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Longwood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Longwood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August 2017</w:t>
      </w:r>
      <w:bookmarkEnd w:id="7"/>
      <w:r w:rsidRPr="009418D4">
        <w:rPr>
          <w:rFonts w:cs="Arial"/>
        </w:rPr>
        <w:tab/>
        <w:t xml:space="preserve">End date: </w:t>
      </w:r>
      <w:bookmarkStart w:id="8" w:name="AuditEndDate"/>
      <w:r w:rsidR="00A4268A">
        <w:rPr>
          <w:rFonts w:cs="Arial"/>
        </w:rPr>
        <w:t>24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Longwood Rest Home is part of the Bupa group. The service is certified to provide rest home and hospital level care for up to 52 residents. On the day of audit there were 42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care home manager has been in the role for three years.  She is supported by a clinical manager who has been in the position for over three years.  </w:t>
      </w:r>
    </w:p>
    <w:p w:rsidRPr="00A4268A">
      <w:pPr>
        <w:spacing w:before="240" w:line="276" w:lineRule="auto"/>
        <w:rPr>
          <w:rFonts w:eastAsia="Calibri"/>
        </w:rPr>
      </w:pPr>
      <w:r w:rsidRPr="00A4268A">
        <w:rPr>
          <w:rFonts w:eastAsia="Calibri"/>
        </w:rPr>
        <w:t xml:space="preserve">There are quality systems and processes being implemented that are structured to provide appropriate quality care for people who use the service.  Implementation is supported through the Bupa quality and risk management programme that is individualised to Longwood.  Quality initiatives are being implemented which provide evidence of improved services for residents. There is an orientation and in-service training programme in place that provides staff with appropriate knowledge and skills to deliver care and support. </w:t>
      </w:r>
    </w:p>
    <w:p w:rsidRPr="00A4268A">
      <w:pPr>
        <w:spacing w:before="240" w:line="276" w:lineRule="auto"/>
        <w:rPr>
          <w:rFonts w:eastAsia="Calibri"/>
        </w:rPr>
      </w:pPr>
      <w:r w:rsidRPr="00A4268A">
        <w:rPr>
          <w:rFonts w:eastAsia="Calibri"/>
        </w:rPr>
        <w:t>The service is achieving one continuous improvement rating relating to activities.  One improvement having an up-to-date civil defence kit.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Longwood endeavours to ensure that care is provided in a way that focuses on the individual, values residents' quality of life and maintains their privacy and choice.  Staff demonstrate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the day-to-day operations of the facility. Goals are documented for the service with evidence of annual reviews.  Longwood is implementing the organisational quality and risk management system that supports the provision of clinical care.  Key components of the quality management system link to a number of meetings including quality meetings.  Quality and risk performance is reported across the facility meetings and to the organisation's management team.  Interviews with staff and review of meeting minutes/quality action forms/toolbox talks, demonstrate a culture of quality improvements.  An annual resident/relative satisfaction survey is completed and there are regular resident/relative newsletters.  Human resources are managed in accordance with good employment practice.  An orientation programme is in place for new staff.  Ongoing education and training for staff is in place. The staffing levels meet contractual requirements.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admission package available prior to or on entry to the service.  Resident records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three monthly reviews by a general practitioner.  There is evidence of other allied health professional input into resident care.  Medication policies reflect legislative requirements and guidelines.  All staff responsible for administration of medicines completes education and medicines competencies.  An activities programme is implemented for the rest home and hospital residents.  The programme includes community visitors and outings, entertainment and activities that meets the recreational preferences and abilities of the residents.  All food and baking is done on-site.  All residents' nutritional needs are identified and documented.  Choices are available and are provided.  The organisational dietitian reviews the Bupa menu plans.  Nutritious snacks are available 24/7 in the units.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warrant of fitness.  Resident rooms are single, spacious and personalised.  Communal areas within each area are easily accessed with appropriate seating and furniture to accommodate the needs of the residents.  External areas are safe, secure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all hoists have been serviced and calibrated.  Hot water temperatures are monitored.  There is an approved evacuation scheme and emergency supplies for at least three days.  At least one first aid trained staff member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At the time of the audit, the service had three residents using restraints and three residents with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5"/>
        <w:gridCol w:w="1280"/>
        <w:gridCol w:w="92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10 care staff (seven caregivers, two registered nurses and one diversional therapist),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 directives.  General consents obtained on admission were sighted in the residents’ files reviewed. Advance directives if known were on the residents’ files.  Resuscitation plans for competent residents were appropriately signed.  Copies of enduring power of attorney (EPOA)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An informed consent policy is implemented.  Systems are in place to ensure residents, and where appropriate their family/whānau, are provided with appropriate information to make informed choices and informed decisions.  Residents and relatives interviewed confirmed they have been made aware of and fully understand informed consent processes and confirmed that appropriate information had been provided.  All resident files reviewed had a signed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monthly and relative meetings bimonthly.  Monthly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care home manager maintains a record of all complaints, both verbal and written, by using a complaint’s register. One complaint made in 2016 and one complaint received in 2017 year to date, were reviewed with evidence of appropriate follow-up actions taken.  Documentation including follow-up letters and resolution, demonstrates that complaints are being managed in accordance with guidelines set by the HDC.  Any corrective actions developed have been followed-up and implemented.  Discussions with residents and relatives confirmed they were provided with information on complaints and complaints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care home manager, clinical manager and registered nurses (RN) discuss aspects of the Code with residents and their family on admission.  Discussions relating to the Code are held during the resident/family meetings.  Ten residents (five rest home and five hospital level) and four relatives (one rest home and three hospital level) interviewed, report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received training in July 2017. 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was one resident that identified as Māori living at the facility.  Māori consultation is available through the documented iwi links (Onaka Aparima Rumaka) and Māori staff who are employed by the service.  Staff receive education on cultural awareness during their induction to the service and as a regular in-service topic, last occurring in May 2017.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house general practitioner (GP) visits the facility one day a week. The GP reviews residents identified as stable every three months, with more frequent visits for those residents whose condition is not deemed stable.  The service receives support from the district health board (DHB).  Physiotherapy services are provided on-site, six hours per week. There is a regular in-service education and training programme for staff.  A podiatrist is on-site every six-weeks.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established benchmarking groups for rest home, hospital, dementia, psychogeriatric/mental health services.  Longwood is benchmarked against the rest home and hospital data.  If the results are above the benchmark, a corrective action plan is developed by the service.  All Bupa facilities have a master copy of all policies and procedures and a master copy of clinical forms filed alphabetically in folders. These documents have been developed in line with current accepted best and/or evidence-based practice and are reviewed regularly. The content of policy and procedures are detailed to allow effective implementation by staff.  A number of core clinical practices also have education packages for staff, which are based on their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Twelve accident/incident forms reviewed (from July 2017),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The information pack is available in large print and is read to residents who require assistance.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Longwood Rest Home is certified to provide hospital (medical and geriatric) and rest home level care for up to 52 residents.  On the day of audit there were 42 residents in total, 20 rest home residents, including one resident on a long-term support chronic health condition contract (LTSCHC) and 22 hospital residents, including two residents under younger persons with disabilities (YPD) contracts and one resident on an ACC funded contract.  All other residents are on the aged residential related care (ARRC) contract.  There are 18 dual-purpose beds between the rest home and hospital.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who is employed full time steps in when the care home manager is absent.  The operations manager who visits regularly, supports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being implemented into practice.  Quality and risk performance is reported across facility meetings and to the organisation's management team.  Discussions with the managers and staff reflected staff involvement in quality and risk management processes.  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injuries, wounds and medication errors.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developed when service shortfalls are identified and signed off when completed.  Interviews with staff and review of meeting minutes/quality action forms/toolbox talks, demonstrate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control and emergency policies and procedures are being implemented and are monitored by the health and safety committee.  Hazard identification forms and a hazard register are in place.  There are procedures to guide staff in managing clinical and non-clinical emergencies.  All new staff and contractors undergo a health and safety orientation programme.  An employee health and safety programme (Smile) is in place, which is linked to the overarching Bupa national health and safety plan.  There was an annual resident/relative satisfaction survey completed in March 2017 with a 100% overall satisfaction rate.  Falls prevention strategies include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Incident/accident data is linked to the organisation's quality and risk management programme and is used for comparative purposes.  Twelve accident/incident forms were reviewed.  Each event involving a resident reflected a clinical assessment and follow-up by a registered nurse.  Neurological observations were completed for resident falls reviewed that resulted in a potential head injury.  Incidents are benchmarked and analysed for trends.  The managers are aware of their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Eight staff files (one clinical manager, two RNs, three caregivers, one cook and one maintenance officer) reviewed, evidenced implementation of the recruitment process, employment contracts, completed orientation, and annual performance appraisals.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The orientation programme is developed specifically to worker type (eg, RN, support staff) and includes documented competencies.  The caregivers when newly employed, complete an orientation booklet that has been aligned with foundation skills unit standards.  On completion of this orientation, they have effectively attained their first national certificates.  From this, they are then able to continue with Core Competencies Level 3, unit standards.  These align with Bupa policy and procedures.  Sixty-eight percent of the total staff have attained at least one Bupa personal best certificate.  A total of 55% of caregivers have attained a Careerforce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Education and training for clinical staff is linked to external education provided by the DHB.  There are six RNs and one has completed interRAI training with two enrolled for interRAI training on 28 August 2017.  The care home manager and clinical manager are both interRAI trained.  Core competencies are completed annually and a record of completion is maintained (signed competency questionnaires sighted in reviewed files).  There are a number of implemented competencies for registered nurses including insulin administration, moving &amp; handling, nebuliser, oxygen administration, PEG tube care/feeds, restraint, wound management, syringe driver and medication competencies.  Staff training has included sessions on privacy/dignity, and spirituality/counselling to ensure the needs of younger residents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aligns/includes skill mixes.  Longwood has a four-weekly roster in place which ensures there are adequate staffing levels to meet the acuity and safety needs of the residents.  The care home manager and clinical manager are available during weekdays.  The care home manager is on-call after hours for any organisational concerns and the clinical manager is on-call for any clinical issues.  Adequate RN cover is provided 24 hours a day, seven days a week.  There is one RN on duty on the morning, afternoon and night shifts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wing (16 hospital residents) there are four caregivers on duty in the morning shift, three caregivers on the afternoon shift and two caregivers on the night shift.  In the rest home wing (12 rest home residents) there is one caregiver on duty in the morning and afternoon shifts.  In the Oceanview wing (eight rest home residents and six hospital residents) there is one caregiver on duty in the morning and afternoon shifts.  The caregivers in the hospital help in Oceanview if required.  Interviews with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policy and resident information handbook outlines access, assessment and the entry screening processes.  The local community and needs assessment and coordination agencies are familiar with entry criteria and how to access the service.  The service operates 24 hours a day, 7 days a week.  Comprehensive information about the service is made available to referrers, potential residents and their families, and sighted resident agreements contain all detail required under the aged residential care agreement.  Family members and residents interviewed stated that they had received the information pack and had received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  One file reviewed was of a resident that had been transferred to hospital acutely.  All appropriate documentation and communication was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appropriately stored in accordance with relevant guidelines and legislation.  Residents’ medicines are stored securely in the medication room/cupboards.  Medication administration practice complied with the medication management policy for the medication round sighted.  There was evidence of three-monthly reviews by the GP.  Registered nurses and caregivers administer medicines.  All staff that administer medicines are competent and have received medication management training.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robotically packed medication management system for the packaging of all tablets.  The RN on duty reconciles the delivery and documents this. Temperature monitoring of the medication fridges was recorded weekly.  There were two residents self-administering medication on the day of audit, each had a competency completed by the GP, which was reviewed three-monthly or sooner if there is a concern, and kept in the medication file.  Medication is kept in a locked box in the resident’s room.  There are standing orders, which were clearly prescribed.  All are medication specific and can only be used for long-term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head cook who oversees food management.  The food, fluid, and nutritional needs of residents are provided in line with recognised nutritional guidelines and there is a national menu in place that has been audited and approved by an external dietitian.  There are policies in place to guide staff.  All food is cooked on-site in a large commercial kitchen.  There is sufficient storage available.  Stock rotation is practised.  Hot food temperatures are monitored daily on all meals (records sighted).  Fridges and freezers have temperatures monitored daily.  Chilled inward goods are temperature checked on delivery and prior to storage.  Daily air temperatures are recorded.  Resident likes and dislikes are known, recorded in the kitchen and alternatives are offered.  The residents have a nutritional profile developed on admission, which identifies dietary requirements and likes and dislikes and is reviewed six-monthly, as part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Special diets (ie, soft and pureed diets) are noted on the kitchen whiteboard, which can be viewed only by kitchen staff.  Meals are served from bain maries to the residents in the dining rooms and can be delivered to rooms as required.  Specialist utensils and plates are available for residents.  Alternatives are available and snacks are also available.  The resident annual satisfaction survey monitors food satisfaction.  The head cook goes around the units and asks the residents about their preferences as these often change from the first initial assessment.  The kitchen is included in the internal audit programme.  Staff have been trained in safe food handling and chemical safety.  Residents and relatives interviewed commented positively on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in place regarding the process for declining entry.  Consumers are declined entry when there are no beds available or, if the person has health needs that are not able to be provided by the facility.  If a potential admission was declined entry, the consumer and where appropriate their family/whānau of choice, is informed of the reason for the decline and provided with other options where they can access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assessment booklets and care plans were comprehensively completed for all the permanent resident files reviewed.  InterRAI initial assessments and assessment summaries were evident in printed format in all seven resident files.  Files reviewed across the rest home and hospital units identified that risk assessments have been completed on admission and reviewed six-monthly as part of the evaluation.  Additional assessments for management of behaviour, pain, wound care and restraint were appropriately completed according to need.  For the resident files reviewed, the outcomes from assessments and risk assessments were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were comprehensive, and demonstrate service integration and input from allied health.  All resident care plans sampled were resident centred.  Family members interviewed confirm care delivery and support by staff is consistent with their expectations.  Other specific care plans were implemented for specific health needs, including (but not limited to) dementia, depression, medical needs, diabetes, and chronic wounds.  The contracted physiotherapist has completed transfer plans.  Short-term care plans were in use for changes in health status and signed-off as resolved.  There was evidence of service integration with documented input from a range of specialist care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If external nursing or allied health advice is required, the RNs will initiate a referral (wound care specialist nurse).  If external medical advice is required, this will be actioned by the GPs.  Staff have access to sufficient medical supplies (eg, dressings).  Sufficient continence products are available and resident files include a continence assessment and plan as part of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were fully completed.  On the day of audit, there were six wounds.  These included three skin tears, one surgical wound, one excoriated area, one in-growing toenail.  Interviews with registered nurses and caregivers demonstrated an understanding of the individualised needs of residents.  Monitoring charts sighted included behaviour charts, restraint monitoring forms, turning charts, food and fluid charts, regular monitoring of bowels and regular (monthly or more frequently if required) weight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at Bupa Longwood is comprised of one diversional therapist and four activity assistants who deliver the activity programme over seven days per week.  The activity team have access to the Bupa diversional therapy (DT) team at head office.  Each resident has an individual activities programme, which is reviewed when their plan of care is reviewed and as part of their interRAI assessments.  The group activity programme is implemented over seven days per week in all areas.  There is a large open plan lounge/dining area, which is used for activities for residents, additional to the lounge areas in the three areas.  There are a range of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There are activities that meet the needs and preferences of the resident groups; however, some activities are integrated such as entertainment.  Variations to the group programme are made known to the residents.  Residents may choose to participate in any group programme.  Individual programmes are delivered to residents in their rooms when they are unable to or choose not to participate in the group programme.  Residents have the opportunity to provide feedback on the activity programme through the bi-monthly resident meeting, discussion groups and resident satisfaction surveys.  Residents and relatives interviewed were satisfied with the activities programmes on offer.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six-monthly, or when changes to care occurs.  Written evaluations reviewed described the resident’s progress against the resident’s identified goals.  Short-term care plans for short-term needs are evaluated and either resolved or added to the long-term care plan as an ongoing need. The six-monthly multidisciplinary review involves the RN, GP, activities staff, physiotherapist (if involved) and resident/family.  The family are notified of the outcome of the review by phone call and if unable to attend, they receive a copy of the reviewed plans.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Discussion with the clinical manager and registered nurses identified that the service has access to a wide range of support either through the GP, Bupa specialists or contracted allied services. YPD residents are assisted to access community groups and health services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effective system of waste management in place.  Chemicals are supplied by an external contractor and stored securely throughout the facility when not in use.  Appropriate policies are available along with chemical product safety charts.  Education on hazardous substances occurs at orientation and is included in in-service training.  There is appropriate signage throughout regarding chemical storage and hazards.  There is personal protective equipment available for use by staff and this was in use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October 2017. The facility employs a part-time maintenance person. There are proactive and reactive maintenance management plans in place. The grounds and gardens are maintained by a qualified gardener who assists with maintenance.  Contracted providers test equipment.  Electrical testing of non-hard-wired equipment was last conducted in August 2017.  Medical equipment requiring servicing and calibration was last conducted in August.  There are hazard management systems in place to ensure the physical environment minimises risk of harm, promotes safe mobility, aids independence and is appropriate to the needs of the residents and any visitors to the facility.  Residents have adequate internal space to meet their needs.  External areas are safe and well maintained. The facility has a van available for transportation of residents.  Those transporting residents are designated drivers with first aid certificates and a full medical for driving.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toilets and showers for residents.  Water temperatures are monitored and temperatures are maintained at or below 45 degrees Celsius.  Fixtures fittings and flooring are appropriate and toilet/shower facilities are constructed for ease of cleaning.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are spacious.  Walking frames, wheelchairs and hoists can be manoeuvred around the bed within the rooms, if required.  Residents requiring transportation between rooms or services can be moved from their room either by trolley or by wheelchair.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lounges and dining areas in each area of the facility. There is an extra room that is multi-purpose, mainly used for some activities.  Residents can move freely.  Activities occur in each area as well as the multi-purpose room. There are quiet areas if people wish to speak privately.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housekeeping staff have access to the appropriate equipment and chemicals.  Cleaning equipment and cleaning chemicals are stored securely when not in use.  Laundry services are completed on-site. There is a good dirty to clean flow.  Internal audits are completed to monitor performance.  Housekeeping staff receive training at orientation and through the in-service programme.  All housekeeping and laundry staff on duty on the day of the audit had a very good knowledge of outbreak management.  There are policies in place to guide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first aid and CPR are included in the mandatory in-service programme.  At least one staff member is on duty at all times with a current first aid certificate.  The facility has an approved fire evacuation scheme dated 30 May 2014.  Fire evacuation drills take place every six months, with the last fire drill occurring on 28 July 2017.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There are civil defence kits in the facility, however, they were not up-to-date and had items that were past the expiry date.  There is sufficient water stored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light and airy and able to be ventilated by opening external windows and doors.  There is underfloor heating throughout the building. Internal temperatures are monitored and regulated by the maintenance person on a regular basis.  Residents and relatives state the environment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Staff are well informed about infection control practises and reporting.  The infection control coordinator is a registered nurse (CM) and she is responsible for infection control across the facility.  The committee and the Bupa governing body in conjunction with Bug Control, is responsible for the development of the infection control programme and its review.  A lower north/southern regional infection control meeting addresses infection control issues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well established at Bupa Longwood. The quality/infection control committee consists of a cross-section of staff and there is external input as required from general practitioners, and local community laboratory. On 1 August 2017, there was a suspected respiratory outbreak, all staff were updated with designated roles and responsibilities.  Documentation in the IPC file evidenced the outbreak to be well managed with the relevant authorities having been notified.  All samples sent for testing came back with no growth.  A debrief and education session is planned to be held early September.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Bupa Longwood.  The infection control (IC) coordinator has maintained best practice by attending infection control updates.  External resources and support are available when required.  Infection prevention and control is part of staff orientation and induction.  Hand washing facilities are available throughout the facility and alcohol hand gel is freely available.  The IC coordinator has a ‘glow bug kit’ and regularly performs spot hand washing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committee,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washing and standard precautions.  Infection control training was last provided in July 2017.  The infection control officer has received education by the southern DHB, and Bupa education sessions to enhance her skills and knowledge. The infection control coordinator has access to the Bupa intranet with resources, guidelines best practice and group benchmarking.  A number of toolbox talks have been provided, including (but not limited to) multi drug resistant organisms and the importance of hand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local laboratory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Effective monitoring is the responsibility of the infection control coordinator. This includes audits of the facility, hand hygiene and surveillance of infection control events and infections.  Surveillance data is available to all staff.  Infections statistics are included for benchmarking.  Corrective actions are established where infections are above the benchmark.  All infections are documented monthly in an infection control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 their understanding of restraints and enablers.  At the time of the audit, the service had three residents using restraints (one bed rail and two lap belts) and three residents with bedrails as an enabler.  Staff training around restraint minimisation and management of challenging behaviours was last completed in September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(care home manager)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by the staff.  Ongoing consultation with the resident and family/whānau are evident.  The files for two residents using restraint and two residents using an enabler were reviewed.  The completed assessment considered those listed in 2.2.2.1 (a) - (h).  Falls risk assessments are completed six-monthly and interRAI assessment identifies risk and need for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The care plan reviewed of two residents with restraint, identified observations and monitoring.  Restraint use is reviewed through the three-monthly assessment evaluation, monthly restraint meetings and six 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three-monthly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monthly through the restraint meeting and as part of the internal audit programme.  Restraint usage throughout the organisation is also monitored regularly and is benchmarked.  Review of this use across the group is discussed at the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26"/>
        <w:gridCol w:w="1280"/>
        <w:gridCol w:w="4162"/>
        <w:gridCol w:w="2808"/>
        <w:gridCol w:w="17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emergency/disaster plans in place to guide staff in managing emergencies and disasters.  There are civil defence kits in the facility, however they were not up-to-date and had items that were past the expiry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up-to-date civil defence kit checklist.  The civil defence kits reviewed were not up-to-date and had items that were past the expiry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an up-to-date civil defence kit checklist and that all items are up-to-date.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377"/>
        <w:gridCol w:w="53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2016, the resident survey showed 50% of residents were dissatisfied with the activities programme.  Activities staff was increased to cover 7 days a week.  Residents and staff were involved with brain storming and decision making around the activities they would like to have on offer. Maintenance man has been booked to drive the van twice a week for outings.  There has been an increase in training for activities staff.  The activities programme covers physical, cognitive, social and spiritual needs.  There are regular visiting entertainers and community groups.  Targeted group programmes are offered as appropriate to meet the needs of subsets of residents.  There is a walking group, which has been established for the more able residents, this has had a positive improvement in the fitness of residents and has shown a decline in falls (21 falls recorded in first quarter, 7 recorded in the second quarter).  Some residents attend church services in the community, church services are held weekly in the facility, and the catholic priest visits on a weekly basis.  Residents can go on outings using the service’s van twice a week.  The van can accommodate wheelchairs.  Two activities staff go on outings.  One drives and one is in the back with residents.  At least one activities staff on outings holds a current first aid certificate, and has completed a medical to drive the van.  </w:t>
            </w:r>
          </w:p>
          <w:p w:rsidR="00EB7645" w:rsidRPr="00BE00C7" w:rsidP="00BE00C7">
            <w:pPr>
              <w:pStyle w:val="OutcomeDescription"/>
              <w:spacing w:before="120" w:after="120"/>
              <w:rPr>
                <w:rFonts w:cs="Arial"/>
                <w:b w:val="0"/>
                <w:lang w:eastAsia="en-NZ"/>
              </w:rPr>
            </w:pPr>
            <w:r w:rsidRPr="00BE00C7">
              <w:rPr>
                <w:rFonts w:cs="Arial"/>
                <w:b w:val="0"/>
                <w:lang w:eastAsia="en-NZ"/>
              </w:rPr>
              <w:t>One resident drives and has own car.  The local school children come to the facility to ‘adopt a grandparent’ mornings and residents report they enjoy catching up with the children. Guest speakers included the CEO southern steel with the cup they won recently.  One resident is very interested in woodwork.  Activities sourced kit set trucks and other vehicles to assemble, one resident has a pet rabbit.  The activities staff make a real effort to get to know all the residents and adapt the monthly programme around interests of the residents.  There are raised beds to grow vegetables, spud in bucket competitions are held, and there is a knitting group.  A childcare group attend the facility monthly.  Activities staff are involved in the admission process around creating the ‘map of life’.  Special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With the changes in activities and increase in hours the satisfaction survey increased from 58% satisfaction in 2016 to 93% satisfaction in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2016, the resident survey showed 50% of residents were dissatisfied with the activities programme.  Activities staff was increased to cover 7 days a week.  Residents and staff were involved with brain storming and decision making around the activities they would like to have on offer. Maintenance man has been booked to drive the van twice a week for outings.  There has been an increase in training for activities staff.  The activities programme covers physical, cognitive, social and spiritual needs.  There are regular visiting entertainers and community groups.  Targeted group programmes are offered as appropriate to meet the needs of subsets of residents.  There is a walking group, which has been established for the more able residents, this has had a positive improvement in the fitness of residents and has shown a decline in falls (21 falls recorded in first quarter, 7 recorded in the second quarter).  Some residents attend church services in the community, church services are held weekly in the facility, and the catholic priest visits on a weekly basis.  Residents can go on outings using the service’s van twice a week.  The van can accommodate wheelchairs.  Two activities staff go on outings.  One drives and one is in the back with residents.  At least one activities staff on outings holds a current first aid certificate, and has completed a medical to drive the van.  </w:t>
            </w:r>
          </w:p>
          <w:p w:rsidR="00EB7645" w:rsidRPr="00BE00C7" w:rsidP="00BE00C7">
            <w:pPr>
              <w:pStyle w:val="OutcomeDescription"/>
              <w:spacing w:before="120" w:after="120"/>
              <w:rPr>
                <w:rFonts w:cs="Arial"/>
                <w:b w:val="0"/>
                <w:lang w:eastAsia="en-NZ"/>
              </w:rPr>
            </w:pPr>
            <w:r w:rsidRPr="00BE00C7">
              <w:rPr>
                <w:rFonts w:cs="Arial"/>
                <w:b w:val="0"/>
                <w:lang w:eastAsia="en-NZ"/>
              </w:rPr>
              <w:t>One resident drives and has own car.  The local school children come to the facility to ‘adopt a grandparent’ mornings and residents report they enjoy catching up with the children. Guest speakers included the CEO southern steel with the cup they won recently.  One resident is very interested in woodwork.  Activities sourced kit set trucks and other vehicles to assemble, one resident has a pet rabbit.  The activities staff make a real effort to get to know all the residents and adapt the monthly programme around interests of the residents.  There are raised beds to grow vegetables, spud in bucket competitions are held, and there is a knitting group.  A childcare group attend the facility monthly.  Activities staff are involved in the admission process around creating the ‘map of life’.  Special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With the changes in activities and increase in hours the satisfaction survey increased from 58% satisfaction in 2016 to 93% satisfaction in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Longwood Rest Home</w:t>
    </w:r>
    <w:bookmarkEnd w:id="58"/>
    <w:r>
      <w:rPr>
        <w:rFonts w:cs="Arial"/>
        <w:sz w:val="16"/>
        <w:szCs w:val="20"/>
      </w:rPr>
      <w:tab/>
      <w:t xml:space="preserve">Date of Audit: </w:t>
    </w:r>
    <w:bookmarkStart w:id="59" w:name="AuditStartDate1"/>
    <w:r>
      <w:rPr>
        <w:rFonts w:cs="Arial"/>
        <w:sz w:val="16"/>
        <w:szCs w:val="20"/>
      </w:rPr>
      <w:t>23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