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Nazareth Care Charitable Trust - Nazareth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Nazareth Care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Nazareth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August 2017</w:t>
      </w:r>
      <w:bookmarkEnd w:id="7"/>
      <w:r w:rsidRPr="009418D4">
        <w:rPr>
          <w:rFonts w:cs="Arial"/>
        </w:rPr>
        <w:tab/>
        <w:t xml:space="preserve">End date: </w:t>
      </w:r>
      <w:bookmarkStart w:id="8" w:name="AuditEndDate"/>
      <w:r w:rsidR="00A4268A">
        <w:rPr>
          <w:rFonts w:cs="Arial"/>
        </w:rPr>
        <w:t>16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Nazareth House, otherwise known as the Nazareth Community of Care, provides rest home and hospital level care for up to 80 residents. The service is operated by the Sisters of Nazareth Australasia and managed at the regional level by a general manager and a care services manager. Residents and families spoke positively about the care provided within this new facility.</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contracted allied health providers and a general practitioner.  </w:t>
      </w:r>
    </w:p>
    <w:p w:rsidRPr="00A4268A">
      <w:pPr>
        <w:spacing w:before="240" w:line="276" w:lineRule="auto"/>
        <w:rPr>
          <w:rFonts w:eastAsia="Calibri"/>
        </w:rPr>
      </w:pPr>
      <w:r w:rsidRPr="00A4268A">
        <w:rPr>
          <w:rFonts w:eastAsia="Calibri"/>
        </w:rPr>
        <w:t xml:space="preserve">This audit has resulted in two areas of continuous improvement related to implementation of quality management systems and identified three areas requiring improvement relating to staff training for new support workers, the need for the service agreement to meet contractual requirements, and that all residents’ documented goals are individualised and specific.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There is a strong culture around recording, investigating and following up on feedback, which is consistent with the organisational policy on compliments and complaints. A complaints register demonstrated that actions and follow-up is occurring within expected timeframes.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Nazareth House, Christchurch, has a Christian based philosophy and its values and mission statement are documented. A strategic business plan and quality policies include measurable goals and objectives that are regularly monitored. An experienced and suitably qualified general manager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An electronic recording and monitoring system is used to improve implementation of the quality and risk management system.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Requirements for staffing levels and skill mix are documented and are amended according to the needs of residents at any given point in time.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Waste and hazardous substances are well managed within this facility and chemicals are stored safely. Staff use protective equipment and clothing when appropriate.</w:t>
      </w:r>
    </w:p>
    <w:p w:rsidRPr="00A4268A">
      <w:pPr>
        <w:spacing w:before="240" w:line="276" w:lineRule="auto"/>
        <w:rPr>
          <w:rFonts w:eastAsia="Calibri"/>
        </w:rPr>
      </w:pPr>
      <w:r w:rsidRPr="00A4268A">
        <w:rPr>
          <w:rFonts w:eastAsia="Calibri"/>
        </w:rPr>
        <w:t xml:space="preserve">The facility is new, clean and well maintained. It has been designed to meet the needs of people requiring rest home and hospital care. There is a current Code of Compliance on display.  Electrical equipment and essential equipment, such as for fire warning and emergency management, is tested as required. </w:t>
      </w:r>
    </w:p>
    <w:p w:rsidRPr="00A4268A">
      <w:pPr>
        <w:spacing w:before="240" w:line="276" w:lineRule="auto"/>
        <w:rPr>
          <w:rFonts w:eastAsia="Calibri"/>
        </w:rPr>
      </w:pPr>
      <w:r w:rsidRPr="00A4268A">
        <w:rPr>
          <w:rFonts w:eastAsia="Calibri"/>
        </w:rPr>
        <w:t xml:space="preserve">All internal areas are maintained at a comfortable temperature. Residents’ rooms are spacious, have an openable window and have ensuite toilet and bathroom facilities. Communal and whanau rooms are available, as are smaller individual sitting areas for privacy. External areas are accessible, safe and provide shade and seating.  </w:t>
      </w:r>
    </w:p>
    <w:p w:rsidRPr="00A4268A">
      <w:pPr>
        <w:spacing w:before="240" w:line="276" w:lineRule="auto"/>
        <w:rPr>
          <w:rFonts w:eastAsia="Calibri"/>
        </w:rPr>
      </w:pPr>
      <w:r w:rsidRPr="00A4268A">
        <w:rPr>
          <w:rFonts w:eastAsia="Calibri"/>
        </w:rPr>
        <w:t xml:space="preserve">Laundry and cleaning are undertaken according to documented schedules. On-site laundry services are available and both cleaning and laundry processes are evaluated for effectiveness as part of the internal audit schedule. </w:t>
      </w:r>
    </w:p>
    <w:p w:rsidRPr="00A4268A">
      <w:pPr>
        <w:spacing w:before="240" w:line="276" w:lineRule="auto"/>
        <w:rPr>
          <w:rFonts w:eastAsia="Calibri"/>
        </w:rPr>
      </w:pPr>
      <w:r w:rsidRPr="00A4268A">
        <w:rPr>
          <w:rFonts w:eastAsia="Calibri"/>
        </w:rPr>
        <w:t>Suitable emergency supplies are available. Staff are trained in emergency procedures, use of emergency equipment and supplies and attend regular six-monthly fire evacuation drills. A call bell system is in place and initial operational problems have been addressed. There are a range of systems that have been implemented to ensure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and six restraints were in use at the time of audit.  Comprehensive assessments, approvals and monitoring processes are occurring according to policy documents, and a monthly review system is in place.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73"/>
        <w:gridCol w:w="1280"/>
        <w:gridCol w:w="93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Nazareth House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Staff provided examples of the involvement of Advocacy Services in relation to staff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compliments and complaints (feedback) policy and associated forms meet the requirements of Right 10 of the Code.  This notes that verbal complaints are to be formally reported and that all complaints will be analysed with the resulting information used for continuous improvement when appropriate.  The policy provides information and details on accessing advocacy services, information about the complaints process and states the timeframes for different stages of reporting during the follow-up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services manager is responsible for complaints management and follow up. A complaints register is electronic and a review of this demonstrated there was a strong culture of recording complaints. There was evidence that verbally expressed low levels of dissatisfaction had been recorded and investigated. Complaints were reviewed and a sample were traced. The documentation showed that actions have been taken when relevant and that follow through to an agreed resolution had occurred within expected timeframes.  Action plans show follow up and improvements have been made.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sound understanding of the complaint process and what actions are required. Information on the complaint process is provided to residents and families on admission and those interviewed knew who to talk to and how to provide feedback. Such knowledge was further confirmed in the residents and family survey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service opened.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and discussion with management. The Code is displayed in the entrance and communal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arranging their own visits to the doctor.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There were no residents who identified as Māori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For example, one resident with specific cultural requirements has this identified in her well-being and lifestyle care plan.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palliative care team, diabetes nurse specialist, wound nurse specialist, and education of staff. The service employs a physiotherapist who assesses all new residents on admission to the facility and ongoing as required.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There was one resident with limited English and family members and communication cards were the preferred method of communication.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chart for Nazareth House in Christchurch was sighted along with a number of others that show where this facility sits within the wider Australasian Nazareth Care Sisters of Nazareth services. Nazareth Care Australasia, established 2010, is the business arm of the Congregation of the Sisters of Nazareth. They have six values: Love, Compassion, Patience, Justice, Respect and Hospitality. </w:t>
            </w:r>
          </w:p>
          <w:p w:rsidR="00EB7645" w:rsidRPr="00BE00C7" w:rsidP="00BE00C7">
            <w:pPr>
              <w:pStyle w:val="OutcomeDescription"/>
              <w:spacing w:before="120" w:after="120"/>
              <w:rPr>
                <w:rFonts w:cs="Arial"/>
                <w:b w:val="0"/>
                <w:lang w:eastAsia="en-NZ"/>
              </w:rPr>
            </w:pPr>
            <w:r w:rsidRPr="00BE00C7">
              <w:rPr>
                <w:rFonts w:cs="Arial"/>
                <w:b w:val="0"/>
                <w:lang w:eastAsia="en-NZ"/>
              </w:rPr>
              <w:t>The region comprises two governance structures, one of which is the Nazareth Care Australia Board, and the other is the Trustees of the Nazareth Care Charitable Trust in   New Zealand.  Board members work as a single board as a way of enhancing the governance of all Nazareth Care services across Australia and New Zealand. ‘The Nazareth Way’ is said to underpin services delivered and associated documentation about this concept is that it is Christian based, person centred and that they strive for excellence in their practice with everything that is done coming from the heart of who they are. The Mission of the Sisters of Nazareth and of Nazareth Care describes the Christian nature of their ministries of care and education and their openness to respond to the needs of the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describes seven outcomes under the result areas of their mission, practice, people, relationships, infrastructure, property and sustainability. Milestones under each heading are documented. A ‘congregational plan’ for the Sisters, that further describes their values and ethos, was also sighted. The strategic business plan 2013–2018 is regional and a Christchurch specific section was added in 2013. This is reviewed annually and described annual and longer term objectives and the associated operational plans. A sample of monthly reports to the Chief Executive Officer in Australia, who extracts information for board reports, was sighted. The reports included information that demonstrates financial performance, emerging risks and current issues are being monitored.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general manager, who has been in the role since January 2017, is responsible for management of the Christchurch Nazareth House. This person has suitable skills and attributes with 10 years’ experience in the management of aged care facilities in New Zealand and in the wider health field. She is a registered nurse (Masters of Nursing) with a current practising certificate and a post graduate Diploma in Management. Responsibilities and accountabilities are defined in a job description and individual employment agreement.  The general manager confirmed knowledge of the sector, regulatory and reporting requirements and maintains currency through ongoing professional development.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four contracts with service agreements covering Aged Related Residential Care Agreement, young people with disabilities (YPD), palliative care and respite care. On the day of audit, there were 75 of the 80 swing beds occupied, with 33 rest home and 37 hospital level care residents; two YPD; two end of life/palliative care and one respite 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general manager, the Sister Superior who is the mission and pastoral director, alongside the care services manager, jointly carries out all the required duties under delegated authority. Both of these people are registered nurses, are experienced in the sector, understand the mission and philosophy of the service and are able to take responsibility for any clinical issues that may arise.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managers have access to advice and support from the regional office in Australia. The general manager stated that she does not go on leave at the same time as the care services manager. Staff reported the current arrangements work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diagram illustrates the nine key facets of the Nazareth Care quality management system, which includes feedback, legislation, clinical governance, meetings, risk management, resident information, staff information, continuous improvement, and key performance indicators. Expectations of the system and key responsibilities of managers are described within a quality systems policy, which also outline expectations, principles, procedures and the documentation involved in ensuring a consistent approach to the management of quality systems. Four goals around resident involvement, managing risks, providing effective human resources and striving to provide excellent clinical care have related objectives and management controls with each objective identifying who is responsible and what measures are to be used for evaluation.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reviewed cover all necessary aspects of the service and contractual requirements, including reference to management of pressure injuries, the interRAI Long Term Care Facility (LTCF) assessment tool and process.  The document control system promotes a systematic two-yearly review process, ensures the referencing of relevant sources and that all organisational documents are approved and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 complaints, audit activities, a family and patient satisfaction survey, monitoring of outcomes, clinical incidents including infections and restraint use are examples of the key components within the quality and risk system.  A meeting schedule showed how regular reporting systems at all levels of the organisation are enabling ongoing monitoring of the quality management system. Meeting minutes reviewed confirmed regular review and analysis of quality indicators is occurring and that related information is reported and discussed at the various meetings. A specialised electronic system is being used to record quality data and the consistency and commitment to the analysis and review of the data from key components of the quality and risk management system is occurring at a level of continuous improvement. Likewise, the development of corrective action plans as quality improvements is occurring at a level of continuous improvement with all such actions aimed to improve management and residents’ life experiences. </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during interview that they are required to read meeting minutes, to complete reports such as incidents/accidents and infections and are involved in assisting with improvements within the service. Those interviewed were aware of how the different components of the quality and risk management system were managed, albeit they are not always directly involved.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services manager and the general manager described the processes for the identification, monitoring, review and reporting of risks and development of mitigation strategies. This is occurring at all levels of the quality management system, in particular the analysis and review processes, and is a component of all quality improvement plans. Individual risks are managed through service delivery plans and in residents’ risk management plans. The managers are familiar with the Health and Safety at Work Act (2015) and have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and clinical services described essential notification reporting requirements, including for pressure injuries.  They advised there has not been a need for any essential notifications to be made to the Ministry of Health, or other authority as there has not been any police investigations, coroner’s inquests, issues based audits or significant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incident form, which are then filed into the relevant resident’s, or staff person’s file. A sample of incidents forms reviewed showed these were fully completed, incidents were investigated, action plans developed and actions followed up in a timely manner.  Adverse event data is collated, analysed and reported through the quality and risk group monthly meetings. Quality improvement initiatives are developed when indicated and examples of the implementation of these were sighted, as noted within the continuous improvement under criterion 1.2.3.8.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Validation of qualifications of health professionals who are employed or contracted by Nazareth House is occurring. Records of annual practising certificates were sighted in staff and contractor files. </w:t>
            </w:r>
          </w:p>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which is primarily coordinated by the human resources department in Australia, includes formal advertising, application and interview processes, referee checks and police vetting. Interviews are undertaken by the Sister Superior and the line manager for the vacant position.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A staff orientation process is in place and includes all necessary components relevant to the new person’s role. Staff reported that the orientation prepared them well for their role and stated that they believe new employees that have been taken on since the opening are being adequately orientated. There is a comprehensive orientation guide available for staff and an orientation checklist is completed and placed in the staff person’s file. A four-day orientation that included emergency management and relevant competencies was provided for all new staff prior to the facility opening in November 2016 and records of staff participation in these were sighted. Although there was evidence that formal employment processes occur after three months, staff records do not include staff appraisals as this service has not yet been operating for a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training plan called ‘Empowered by Learning 2017’ was sighted and includes topics for mandatory training requirements to be provided by both external and internal experts. The plan demonstrates that this staff training is provided two to three times a month and includes topics such as behaviours that challenge the norm, culture, the Treaty of Waitangi and end of life care for example. A number of care staff who were employed when the service commenced had already completed or commenced a New Zealand Qualification Authority education programme that met the requirements of the provider’s agreement with the DHB. However, there is not currently a process in place to ensure new personal care workers staff are entering such a programme and this has been raised for corrective action. There are sufficient trained and competent registered nurses who are maintaining their annual competency requirements to undertake interRAI assessments. Records reviewed demonstrated there is access to external training for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on staffing rationale in the organisational folder. This describes minimum staffing numbers and the expectations of different groups of staff to meet residents’ needs in a safe manner, 24 hours a day on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adjusts staffing levels to meet the changing needs of residents and examples of this were viewed with additional staff being rostered in two instances when residents required end of life care. An afterhours on call roster is in place, with staff reporting that good access to advice is available when needed.  All registered nurses have a current first aid certificate and there is registered nurse cover on all shifts.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the rosters covering six weeks confirmed adequate staff cover had been provided, with staff replaced in any unplanned absence. The master roster has a two-weekly rotation and is entered electronically into ‘Roster-On’ by the general manager. Annual leave and gaps were colour coded, as were the ground and upper floor staff.  Personal care workers reported there were adequate staff available to complete the work allocated to them.  Residents and family interviewed supported this and were positive about the capability of the staff at Nazareth House.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Not all exclusions in the admission agreement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confirmed this process.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weekly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 monthly GP review was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Appropriate processes are in place to ensure this is managed in a safe manner, should this be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cooks and a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district council.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The facility documents all enquiries into an Expression of Interest and Declining Entry form.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continence, as a means to identify any deficits and to inform care planning. The sample of care plans reviewed had an integrated range of resident-related information.  All residents have current interRAI assessments completed by one of seven trained interRAI assessors on site. Residents and families confirmed their involvement in the assessment process. While goals are developed and included in the well-being and lifestyle care plan, these are generic and not specific to the assessed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and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very good.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trained diversional therapist holding the National Certificate in Diversional Therapy, and two assistants.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six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Residents and families/whānau are involved in evaluating and improving the programme through residents’ meetings, satisfaction surveys. Residents interviewed confirmed they find the programme varied and interesting.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wounds, and falls.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wound care specialist and palliative care team.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infectious and hazardous substances are in place to guide staff.  Appropriate signage is displayed where necessary. A contractor manages the removal of general waste from the premises, while an external company is contracted to supply and manage all chemicals and cleaning products. The company provides relevant training for staff and has provided the material safety data sheets that were available where chemicals are stored. Staff interviewed knew what to do should any chemical spill/event occur.  Spill kits that manage three different types of chemical spills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Code of Compliance is on display and is current until 10 October 2017. Building, which is safely fenced is continuing on site and associated hazards have been identified.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Corridors are wide and both personal and communal rooms are spacious. Residents are encouraged to bring their own personal items in and this was evident.</w:t>
            </w:r>
          </w:p>
          <w:p w:rsidR="00EB7645" w:rsidRPr="00BE00C7" w:rsidP="00BE00C7">
            <w:pPr>
              <w:pStyle w:val="OutcomeDescription"/>
              <w:spacing w:before="120" w:after="120"/>
              <w:rPr>
                <w:rFonts w:cs="Arial"/>
                <w:b w:val="0"/>
                <w:lang w:eastAsia="en-NZ"/>
              </w:rPr>
            </w:pPr>
            <w:r w:rsidRPr="00BE00C7">
              <w:rPr>
                <w:rFonts w:cs="Arial"/>
                <w:b w:val="0"/>
                <w:lang w:eastAsia="en-NZ"/>
              </w:rPr>
              <w:t>The testing and tagging of electrical equipment is current (10 July 2017) as confirmed in documentation reviewed, interviews with maintenance personnel and observation of the environment.  Likewise, calibration of bio medical equipment and weighing scales, which were all purchased new in 2016, is current until October 2017. A hazard register is available and staff reported efforts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Exposed aggregate paths through gardens make it easy for residents to walk through, or be pushed in wheelchairs. Shaded and sheltered areas are available.</w:t>
            </w:r>
          </w:p>
          <w:p w:rsidR="00EB7645" w:rsidRPr="00BE00C7" w:rsidP="00BE00C7">
            <w:pPr>
              <w:pStyle w:val="OutcomeDescription"/>
              <w:spacing w:before="120" w:after="120"/>
              <w:rPr>
                <w:rFonts w:cs="Arial"/>
                <w:b w:val="0"/>
                <w:lang w:eastAsia="en-NZ"/>
              </w:rPr>
            </w:pPr>
            <w:r w:rsidRPr="00BE00C7">
              <w:rPr>
                <w:rFonts w:cs="Arial"/>
                <w:b w:val="0"/>
                <w:lang w:eastAsia="en-NZ"/>
              </w:rPr>
              <w:t>A maintenance schedule and a repair and maintenance register was sighted. This is being updated as required. Residents informed they are happy with the environment, although comments were made about all the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An ensuite is attached to all residents’ rooms and communal wheelchair accessible toilets are near the nurses’ station both upstairs and downstairs and near the main lounge. Appropriately secured and approved handrails are provided in the toilet/shower areas, and other equipment/accessories are available to promote resident independence.  One upstairs bathroom and one downstairs bathroom have an adjustable recliner ‘sit-bath’ in them. Lift-up arms are available beside all toilets. All rooms have overhead hoists as do the bathrooms.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are the same size, measure 25 square metres and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are storage rooms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range of communal areas are available for residents to use and to engage in activities. Furniture is appropriate to the setting and residents’ needs. Spacious dining rooms are both upstairs and downstairs. There is a medium sized television lounge both upstairs and downstairs between two wings. Two whanau rooms are positioned near the nurses’ stations in addition to two smaller ones where people may go for some privacy if required. A smaller activities room is used for supervised activities such as cooking sessions and a large communal room is available for group activities and entertainment. There is a prayer/quiet room, a cinema and a café that provides community access.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suite of policies and procedures on cleaning and laundry that include equipment, pest control, spill kit management, personal protective equipment, laundry services, linen services and cleaning and equipment. Cleaning and laundry schedules were available. </w:t>
            </w:r>
          </w:p>
          <w:p w:rsidR="00EB7645" w:rsidRPr="00BE00C7" w:rsidP="00BE00C7">
            <w:pPr>
              <w:pStyle w:val="OutcomeDescription"/>
              <w:spacing w:before="120" w:after="120"/>
              <w:rPr>
                <w:rFonts w:cs="Arial"/>
                <w:b w:val="0"/>
                <w:lang w:eastAsia="en-NZ"/>
              </w:rPr>
            </w:pPr>
            <w:r w:rsidRPr="00BE00C7">
              <w:rPr>
                <w:rFonts w:cs="Arial"/>
                <w:b w:val="0"/>
                <w:lang w:eastAsia="en-NZ"/>
              </w:rPr>
              <w:t>Laundry services are undertaken in an on-site laundry by dedicated laundry staff. It is specially designed with metred doses of chemicals and dirty to clean flow processes as well as pressing services. Commercial laundry equipment has been installed. Laundry staff demonstrated a sound knowledge of the laundry processes and during interview noted that there had not been any laundry based complaints.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cleaning team and all members have received appropriate training.  Chemicals were stored in lockable cupboards and were in appropriately labelled containers. Cleaning trolleys are designed with residents’ safety in mind and have a lockable cabinet on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at six monthly intervals.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available. Disaster and civil defence planning guides direct the facility in their preparation for disasters and describe the procedures to be followed in the event of a fire or other emergency.   The current fire evacuation plan dated 11 October 2016 was approved by the New Zealand Fire Service on 04 November 2016.  A trial evacuation takes place six-monthly (February and August) with the most recent being on 7 August 2017. Records for the last three evacuations were sighted. Registered nurses, enrolled nurses, line managers, care services manager and clinical care coordinator who started 7 November 2016 received full warden training and full emergency management training. Staff commencing since have undertaken basic fire and emergency training during orientation and are required to undertake the next trial evacuation. Staff records demonstrated participation in these processes and staff interviewed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 water storage tank (5000 litres) is located on site and there are three forms of back-up power for use in the event of an emergency. Emergency lighting is regularly tested and all civil defence supplies are checked six monthly as part of the internal audit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and staff ‘DECT’ phones ring and vibrate when a person presses a bell for assistance. The general manager explained the difficulties they had had as the structure of the building has compromised its operations. Two repeaters have been installed and three weeks ago a display panel was set up. An electronic system records call bell response timeframes and the computer screens where these show up were sighted in the nursing stations.  Call system audits of these records have been undertaken more frequently due to the problems that have emerged. Families and residents acknowledged the efforts the service provider has made to address the issues.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 There are 44 closed circuit television security cameras installed around external areas of the building as well as in doorways and corridors only inside. Monitoring screens are in both nursing stations and the videos are retained for a predetermined timeframe.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from openable external windows with security latches in situ. Doors in communal areas throughout the facility open onto a patio and outside garden, or a balcony.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Heating is provided through a computerised building management system with water filled radiators in hallways and a ducted heat pump system. The property manager checks the temperatures throughout the building on a monthly basis. Areas of the facility were warm throughout the audit and residents and families confirmed the facilities are maintained at a comfortable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the DHB consultant as available.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Infection control matters, including surveillance results, are reported monthly to the general manager, and tabled at the quality committee meeting.  This committee includes the general manager, facility manager,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one year.  She has undertaken specific training in infection prevention and control and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October 2016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An example of this occurred when three outbreaks occurred in the past eight months.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and advice about remaining in their room if they are unwell.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clinical manager, quality, IPC committee and included in the report to CEO. Data is benchmarked externally within the organisation.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gastrointestinal infection outbreak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and safe practice policies and procedures meet the requirements of the restraint minimisation and safe practice standards and provide guidance on the safe use of both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six residents were using restraints and one residents was using an enabler. These included two brief/groin restraints, a ‘princess chair’, a chair lap tray, a bedrail and two wheelchair lap belts, one of which was the enabler.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documentation and processes in use are the same for both enablers and restraints as the care services manager informed the associated risks were perceived to be similar. Restraint is used as a last resort when all alternatives have been explored. This was evident on review of the residents’ files, reviews within the restraint register folder and through staff interviews.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coordinator provides support and oversight for the use and management of enabler and restraint use in the facility and demonstrated an understanding both of the requirements around their use and of her responsibilities. The roles and responsibilities of the restraint approval group (within quality and risk group), the restraint coordinator and the employer are described in the policy documents.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is the quality and risk management group and is responsible for the final approval of the use of restraints and for the restraint use processes. It was evident from the restraint coordinator’s restraint management records, review of quality and risk meeting minutes and an interview with the care services manager and restraint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 involvement in the decision making was on file in each case. Use of a restraint, or an enabler, is included in the resident’s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A registered nurse, in consultation with the care services manager undertakes the initial assessment with the restraint coordinator’s involvement, and input from the resident’s family/whānau/EPOA. The care services manager and the restraint coordinator described the documented process and records sighted showed that a general practitioner is involved in the final decision on the safety of the use of the restraint and signs the document accordingly. Assessment processes have identified the underlying cause of the behaviours, history of restraint use and cultural considerations. Alternatives have been trialled and associated risks identified and documented. Resident’s safety and security was reported as the primary purpose of the use of any form of restraint. Completed assessments were sighted in the records of all residents who were currently using a restraint or an enabler.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care services manager described how alternatives to restraints, such as sensor mats and lowering the bed, are trialled and discussed with staff and family members.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two hourly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every month and reviewed at monthly quality and risk group meetings. The register was reviewed and contained details of the restraints currently in use. There was sufficient associated information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Reviews of residents’ files showed that the individual use of restraints is reviewed and evaluated during care plan and interRAI reviews and at monthly clinical registered nurse meetings.  Monthly reviews are led by the restraint coordinator. Families interviewed confirmed their involvement in the evaluation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Reports on restraint use are provided to quality and risk meetings for review purposes and consistency with the organisation’s policies and procedures is checked.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evaluations of restraint use cover all requirements of the standard, including future options to eliminate use, impact of the use of the restraint for the person(s) and on the staff.  Internal audits of residents’ records included evaluation of the completion of restraint documentation.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Monthly reviews of all restraint use are occurring and being reported to quality and risk meetings when data analysis and evaluation occurs and checks for any trends are made. The general manager provides monthly reports to the Chief Executive Officer, which include details of the use of restraints. This information is compared with that provided by the Australian counterparts of Nazareth House, which may influence future decisions and approaches taken. For example, a stronger focus on ensuring staff are educated on de-escalation arose as a result of reports on restraint use. The care services manager discussed some of the factors within the facility that influence restraint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1"/>
        <w:gridCol w:w="1280"/>
        <w:gridCol w:w="4915"/>
        <w:gridCol w:w="2753"/>
        <w:gridCol w:w="26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copy of the annual training plan called ‘Empowered by Learning 2017’ was sighted. This includes topics that meet mandatory training requirements and enables staff to attend ongoing paid training opportunities.  A comprehensive orientation programme is also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the opening of this facility in November 2016, all new personal care workers attended a four-day orientation. Of this group 22 had completed or partially completed their certificate in health disability and aged support. Eleven other staff had not commenced any training suitable for aged care support work. The orientation course covered the topics required in clause D17.6c (i to vii) of the Aged Related Residential Care service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Despite reports of initial discussions between managers, personal care workers employed since the opening of Nazareth House have not completed the training within six months of employment as required in the service agreement and nor is there currently a system in place for this to occur.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training system does not ensure that new staff complete the specific training, as required in clause D17.6c (i to vii) of the Aged Related Residential Care Service Agreement, within six months of appointment.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who will be in direct contact with the residents shall within six months of employment, complete education (or have completed education) that is related to older people, as detailed in clause D17.6c (i to vii) of the Aged Related Residential Care Service Agreement.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1.3.1.4</w:t>
            </w:r>
          </w:p>
          <w:p w:rsidR="00EB7645" w:rsidRPr="00BE00C7" w:rsidP="00BE00C7">
            <w:pPr>
              <w:pStyle w:val="OutcomeDescription"/>
              <w:spacing w:before="120" w:after="120"/>
              <w:rPr>
                <w:rFonts w:cs="Arial"/>
                <w:b w:val="0"/>
                <w:lang w:eastAsia="en-NZ"/>
              </w:rPr>
            </w:pPr>
            <w:r w:rsidRPr="00BE00C7">
              <w:rPr>
                <w:rFonts w:cs="Arial"/>
                <w:b w:val="0"/>
                <w:lang w:eastAsia="en-NZ"/>
              </w:rPr>
              <w:t>Entry criteria, assessment, and entry screening processes are documented and clearly communicated to consumers, their family/whānau of choice where appropriate, local communities, and referral agencies.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Entry criteria, assessment and screening processes during entry to service are documented, meet timeframes and are clearly communicated to residents and/or families. Those interviewed verified they were satisfied with the admission process and were given time to review the admission agreement. However, not all exclusions listed in Nazareth House admission agreement comply with the Canterbury District Health Board (CDHB) Age Related Residential Care (ARRC) Services Agreement.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Nazareth House residential agreement does not completely align with ARRC agreement D14.1 regarding exclusions from service. The admission agreement includes in Clause 3 exclusions services that are available and funded, for example, dietetics (dietitian) and advocacy. </w:t>
            </w:r>
          </w:p>
          <w:p w:rsidR="00EB7645" w:rsidRPr="00BE00C7" w:rsidP="00BE00C7">
            <w:pPr>
              <w:pStyle w:val="OutcomeDescription"/>
              <w:spacing w:before="120" w:after="120"/>
              <w:rPr>
                <w:rFonts w:cs="Arial"/>
                <w:b w:val="0"/>
                <w:lang w:eastAsia="en-NZ"/>
              </w:rPr>
            </w:pPr>
            <w:r w:rsidRPr="00BE00C7">
              <w:rPr>
                <w:rFonts w:cs="Arial"/>
                <w:b w:val="0"/>
                <w:lang w:eastAsia="en-NZ"/>
              </w:rPr>
              <w:t>The statement regarding exclusions of ‘personal equipment aids’ needs to be further clarified to meet the intent of the ARRC agreement.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Nazareth House admission agreement meets the requirements of the CDHB ARRC agreement in relation to exclusions from service D14.1.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Goals are developed in all sections of the long term care plan. However, the goals are generic and not specific to the problem identified. </w:t>
            </w:r>
          </w:p>
          <w:p w:rsidR="00EB7645" w:rsidRPr="00BE00C7" w:rsidP="00BE00C7">
            <w:pPr>
              <w:pStyle w:val="OutcomeDescription"/>
              <w:spacing w:before="120" w:after="120"/>
              <w:rPr>
                <w:rFonts w:cs="Arial"/>
                <w:b w:val="0"/>
                <w:lang w:eastAsia="en-NZ"/>
              </w:rPr>
            </w:pPr>
            <w:r w:rsidRPr="00BE00C7">
              <w:rPr>
                <w:rFonts w:cs="Arial"/>
                <w:b w:val="0"/>
                <w:lang w:eastAsia="en-NZ"/>
              </w:rPr>
              <w:t>For example, one resident with a complex issue identified as ‘diabetes’, also has identified skin management relating to poor circulation secondary to diabetes. The goal in the section is “To ensure complex needs are managed in a safe, effective and timely manner”. Another resident with diabetes and complex health needs, has the goal “The complex health needs are managed in an effective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with moderate and high risk for pressure injury have a goal “To maintain skin integrity’ or ‘To ensure skin integrity is maintained”. </w:t>
            </w:r>
          </w:p>
          <w:p w:rsidR="00EB7645" w:rsidRPr="00BE00C7" w:rsidP="00BE00C7">
            <w:pPr>
              <w:pStyle w:val="OutcomeDescription"/>
              <w:spacing w:before="120" w:after="120"/>
              <w:rPr>
                <w:rFonts w:cs="Arial"/>
                <w:b w:val="0"/>
                <w:lang w:eastAsia="en-NZ"/>
              </w:rPr>
            </w:pPr>
            <w:r w:rsidRPr="00BE00C7">
              <w:rPr>
                <w:rFonts w:cs="Arial"/>
                <w:b w:val="0"/>
                <w:lang w:eastAsia="en-NZ"/>
              </w:rPr>
              <w:t>There are no goals identified on the wellbeing and lifestyle care plan – activity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generic goals set for residents with complex needs identified rather than specific goals related to the issue/assessed needs. The well-being and lifestyle plan developed for activities does not include the resident’s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specific goals of residents are identified and documented to serve as a basis for care planning.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8754"/>
        <w:gridCol w:w="23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data related to the various monitoring systems, whether it be complaints, incident reports, infection control or internal audit results, for example, is entered into an efficient electronic recording system called AngelTrend. The system is being used in an exemplary manner to record, analyse and evaluate quality improvement data. A range of graphs are being developed from the analysed data and all data from Nazareth House Christchurch is being benchmarked and compared with similar Australian Nazareth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is being entered into AngelTrend in a comprehensive manner and the system facilitates progressive reporting until the issue is resolved, or the quality plan has been completed and evaluated.  The care services manager is utilising the information from the system towards developing excellent and well planned quality improvement initiatives that are primarily either improving management systems or the operational systems for service delivery. Issues documented within the system were traced through and each demonstrated the significant and high level impact on resident outcomes. One such example was the review of the call bell system to ensure residents receive timely responses. The issues were not just thoroughly investigated but every aspect reviewed and evaluated until the desired outcome achieved. Ongoing audits of automated data occur and all out of time responses continue to be followed up. AngelTrend has enabled thorough investigations into concerns over staffing levels, which has resulted in increased staff being rostered on when a person becomes unwell and ongoing monitoring to ensure staffing levels enable residents to consistently receive all the support they require. A third such example related to identifying the issues behind food temperatures not being warm enough and putting in systems and monitoring processes to ensure all residents, including those who require assistance receive hot food.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 only was there anecdotal evidence of the benefits of using AngelTrend, but the general manager provided copies of reports to the CEO and to the board that confirmed the benefits AngelTrend has brought to Nazareth Community of Care. The gains made and reported as a result of its use in Australia are being replicated at Nazareth House, Christchurch. </w:t>
            </w:r>
          </w:p>
          <w:p w:rsidR="00EB7645" w:rsidRPr="00BE00C7" w:rsidP="00BE00C7">
            <w:pPr>
              <w:pStyle w:val="OutcomeDescription"/>
              <w:spacing w:before="120" w:after="120"/>
              <w:rPr>
                <w:rFonts w:cs="Arial"/>
                <w:b w:val="0"/>
                <w:lang w:eastAsia="en-NZ"/>
              </w:rPr>
            </w:pPr>
            <w:r w:rsidRPr="00BE00C7">
              <w:rPr>
                <w:rFonts w:cs="Arial"/>
                <w:b w:val="0"/>
                <w:lang w:eastAsia="en-NZ"/>
              </w:rPr>
              <w:t>The processing of quality improvement data, using the AngelTrend system, is a continuous improvement as not only has it increased the efficiency of managing data within the quality management system but residents are gaining. It is addressing a larger number of resident related issues, the outcomes are more robust and the resulting ongoing monitoring and evaluation implemented mean residents can be confident of the improvements being maintained.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data is being collected, analysed and evaluated at a level of continuous improvement with consistent processing, attention to detail and an ongoing focus of quality improvement of organisational systems and operations, which is ultimately enhancing the care and support and the environment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are being developed within the electronic quality management recording system of AngelTrend. These may commence with monitoring processes to determine the level of intervention required or be the result of a minor issue of concern or dissatisfaction. Each plan of action is time-framed with interim progress reports and reviews documented until the action is completed, the issue resolved or the extent of an issue confirmed. An evaluation date is set and the level of improvement determined. Records sighted showed that timeframes and reporting is being upheld. Such action plans are titled ‘quality improvements’ and are mini projects intended to ensure staff refocus less positive issues onto more positive progress. Each improvement is a project that is evaluated in its own right and evaluation reports on each were sighted.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detailed corrective action planning/quality improvement projects facilitated by the use of AngelTrend is operating at a level of continuous improvement and sits alongside the continuous improvement identified in 1.2.3.6. Meeting minutes and CEO reports note the benefits of using AngelTrend for corrective action follow-up. As noted in 1.2.3.6 detailed action plans and the evaluation of outcomes from the actions demonstrate benefits in multiple areas that enhance resident outcomes and in many cases are also preventing an escalation from occurring.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need for corrective action(s) are identified, Nazareth House commences comprehensive investigation and review processes that according to evaluation summaries are resulting in staff implementing quality improvements for purposes of improving management processes and enhancing the lives and experiences of residents. This is occurring at a level of continuous improvement.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Nazareth Care Charitable Trust - Nazareth House</w:t>
    </w:r>
    <w:bookmarkEnd w:id="58"/>
    <w:r>
      <w:rPr>
        <w:rFonts w:cs="Arial"/>
        <w:sz w:val="16"/>
        <w:szCs w:val="20"/>
      </w:rPr>
      <w:tab/>
      <w:t xml:space="preserve">Date of Audit: </w:t>
    </w:r>
    <w:bookmarkStart w:id="59" w:name="AuditStartDate1"/>
    <w:r>
      <w:rPr>
        <w:rFonts w:cs="Arial"/>
        <w:sz w:val="16"/>
        <w:szCs w:val="20"/>
      </w:rPr>
      <w:t>15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