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Redwood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Redwood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July 2017</w:t>
      </w:r>
      <w:bookmarkEnd w:id="7"/>
      <w:r w:rsidRPr="009418D4">
        <w:rPr>
          <w:rFonts w:cs="Arial"/>
        </w:rPr>
        <w:tab/>
        <w:t xml:space="preserve">End date: </w:t>
      </w:r>
      <w:bookmarkStart w:id="8" w:name="AuditEndDate"/>
      <w:r w:rsidR="00A4268A">
        <w:rPr>
          <w:rFonts w:cs="Arial"/>
        </w:rPr>
        <w:t>25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Redwood Lifestyle Care and Village can provide care for up to 84 residents. There were 62 residents at the facility on the first day of the audit. </w:t>
      </w:r>
    </w:p>
    <w:p w:rsidRPr="00A4268A">
      <w:pPr>
        <w:spacing w:before="240" w:line="276" w:lineRule="auto"/>
        <w:rPr>
          <w:rFonts w:eastAsia="Calibri"/>
        </w:rPr>
      </w:pPr>
      <w:r w:rsidRPr="00A4268A">
        <w:rPr>
          <w:rFonts w:eastAsia="Calibri"/>
        </w:rPr>
        <w:t>This surveillance audit was conducted against the relevant Health and Disability Service Standards and the service contract with the district health board. The audit process included the review of policies, procedures, and residents and staff files, observations and interviews with residents, family, management and staff.</w:t>
      </w:r>
    </w:p>
    <w:p w:rsidRPr="00A4268A">
      <w:pPr>
        <w:spacing w:before="240" w:line="276" w:lineRule="auto"/>
        <w:rPr>
          <w:rFonts w:eastAsia="Calibri"/>
        </w:rPr>
      </w:pPr>
      <w:r w:rsidRPr="00A4268A">
        <w:rPr>
          <w:rFonts w:eastAsia="Calibri"/>
        </w:rPr>
        <w:t>The business and care manager is responsible for the overall management of the facility including clinical care and is supported by a clinical manager, and the regional and executive management teams. Service delivery is monitored.</w:t>
      </w:r>
    </w:p>
    <w:p w:rsidRPr="00A4268A">
      <w:pPr>
        <w:spacing w:before="240" w:line="276" w:lineRule="auto"/>
        <w:rPr>
          <w:rFonts w:eastAsia="Calibri"/>
        </w:rPr>
      </w:pPr>
      <w:r w:rsidRPr="00A4268A">
        <w:rPr>
          <w:rFonts w:eastAsia="Calibri"/>
        </w:rPr>
        <w:t>There were three previous corrective action requirements relating to complaints; corrective actions and assessments which have been implemented. There are three new corrective requirements that relate to essential notification reporting; interRAI assessment timeframes and service provision intervention meeting assessed needs.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Family are updated if any changes occur in a resident’s condition in a timely manner. Resident and family meetings are held every two months. Interpreter services are accessed when required and a multicultural staff mix enables interpretation by staff where appropriate.</w:t>
      </w:r>
    </w:p>
    <w:p w:rsidRPr="00A4268A">
      <w:pPr>
        <w:spacing w:before="240" w:line="276" w:lineRule="auto"/>
        <w:rPr>
          <w:rFonts w:eastAsia="Calibri"/>
        </w:rPr>
      </w:pPr>
      <w:r w:rsidRPr="00A4268A">
        <w:rPr>
          <w:rFonts w:eastAsia="Calibri"/>
        </w:rPr>
        <w:t>Open communication between staff, residents and families is promoted and confirmed.</w:t>
      </w:r>
    </w:p>
    <w:p w:rsidRPr="00A4268A">
      <w:pPr>
        <w:spacing w:before="240" w:line="276" w:lineRule="auto"/>
        <w:rPr>
          <w:rFonts w:eastAsia="Calibri"/>
        </w:rPr>
      </w:pPr>
      <w:r w:rsidRPr="00A4268A">
        <w:rPr>
          <w:rFonts w:eastAsia="Calibri"/>
        </w:rPr>
        <w:t>A complaints register is maintained and is up to date. Complaints are investigated within the required timeframes and documentation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 provided at Redwood Lifestyle Care and Village. The business and care manager is a registered nurse and holds a current practising certificate, and is qualified and experienced in management systems and processes. The clinical manager is supported by the clinical and quality manager (regional), the operations manager (regional) and the senior clinical and quality manager (national) regarding oversight of the service and clinical care. </w:t>
      </w:r>
    </w:p>
    <w:p w:rsidRPr="00A4268A">
      <w:pPr>
        <w:spacing w:before="240" w:line="276" w:lineRule="auto"/>
        <w:rPr>
          <w:rFonts w:eastAsia="Calibri"/>
        </w:rPr>
      </w:pPr>
      <w:r w:rsidRPr="00A4268A">
        <w:rPr>
          <w:rFonts w:eastAsia="Calibri"/>
        </w:rPr>
        <w:t>Oceania Healthcare Limited has a documented quality and risk management system that supports the provision of clinical care at the service. Quality and risk performance is reported through meetings at the facility and monitored by the organisation's management team through the business status reports. Benchmarking reports are produced that include incidents/accidents, infections, complaints and clinical indicators. Policies are reviewed at support office and are current. Resident information is identifiable, accurately recorded, current, confidential, accessible when required and securely stored.</w:t>
      </w:r>
    </w:p>
    <w:p w:rsidRPr="00A4268A">
      <w:pPr>
        <w:spacing w:before="240" w:line="276" w:lineRule="auto"/>
        <w:rPr>
          <w:rFonts w:eastAsia="Calibri"/>
        </w:rPr>
      </w:pPr>
      <w:r w:rsidRPr="00A4268A">
        <w:rPr>
          <w:rFonts w:eastAsia="Calibri"/>
        </w:rPr>
        <w:t>There are human resource policies implemented around recruitment, selection, orientation, staff training and development. Staff, residents and family confirmed that staffing levels are adequate and residents and relatives have access to staff when needed.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the development of care plans with input from the residents, staff and family member representatives. The initial care plans and the initial risk assessments are developed within the required timeframes, which meet the needs of the resident and contractual requirements. The residents’ long-term care plans are evaluated six monthly. The short-term care plans are developed for short-term problems and evaluated in a timely manner.</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Residents expressed satisfaction with the activities programme in place. </w:t>
      </w:r>
    </w:p>
    <w:p w:rsidRPr="00A4268A" w:rsidP="00621629">
      <w:pPr>
        <w:spacing w:before="240" w:line="276" w:lineRule="auto"/>
        <w:rPr>
          <w:rFonts w:eastAsia="Calibri"/>
        </w:rPr>
      </w:pPr>
      <w:r w:rsidRPr="00A4268A">
        <w:rPr>
          <w:rFonts w:eastAsia="Calibri"/>
        </w:rPr>
        <w:t>There is a medication management system in place and medication is administered by staff with current medication competencies. There was one resident self-administering medications at the facility on audit days and did so according to policy and guidelines.</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have been no building modifications since the last audit. Fire damaged rooms are being refurbished and are not in use.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practice policies and procedures record the safe use of restraints and enablers and comply with this standard. There were four residents using restraints and five residents requesting the use of enablers on audit days. Staff interviewed demonstrated an understanding of restraint and enabler use and receive ongoing restraint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surveillance activities are appropriate to the size and scope of the services provided. Infection prevention and control management systems are in place to minimise the risk of infection to residents, visitors and staff. Infection data is collated monthly, analysed and reported to Oceania Healthcare Limited support office, management and staff. Results of the surveillance are acted upon, evaluated and reported.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3"/>
        <w:gridCol w:w="1280"/>
        <w:gridCol w:w="96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complaints policy and procedures are in line with the Code and include periods for responding to a complaint. Complaint forms are available at the entrance of the facility. The business and care manager is responsible for managing complaints. Residents and family confirmed complaints are dealt with as soon as they are identified.</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and the register includes: the date the complaint is received; the source of the complaint; a description of the complaint; the outcome and agreed action. The complaints register includes documentation of verbal complaints. Evidence relating to each complaint lodged is held in the complaints folder. Complaints reviewed in 2017 indicated complaints are investigated promptly with the issues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at interviews that they can raise any issues they have during resident meetings. Projects have been completed as a result of identifying shortfalls through review of complaints, adverse events monitoring and suggestions from residents .Improvements required from the previous audit have been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in regard to the Health and Disability Commission Code of Health and Disability Services Consumers' Rights (the Code), advocacy services, interpreter services, complaints process and the fee structure is provided to residents and their families as part of the admission pack. The resident admission agreement, signed by residents or their representative on entry to the service, details information about the services that are included in service provision, including details of services that will incur cost outside the subsidy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are kept informed of any change in the resident’s condition and incidents/accidents that occur. Communication with family members is recorded in the residents’ progress notes and on family communication forms.  Open disclosure policy and procedures are in place to ensure staff maintain open, transparent communication with residents and families. There was evidence of resident/family input into the care planning process. Staff interviewed demonstrated understanding of the principles of open disclosure, which is supported by policies and procedures that meet the requirements of the Code. Two monthly residents’ meetings provide a forum for discussion.</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through the district health board (DHB), if required. Staff knew how to access this service if needed but reported this was rarely required, as the facility has a multicultural staff mix, which enables staff to act as interpreters.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Redwood Lifestyle Care and Village is part of Oceania Healthcare Limited (Oceania) with the executive management team including the chief executive, general manager, regional manager, operations manager and clinical and quality managers providing support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values, goals and a philosophy documented in the strategic overview of the service. The strategic plan also includes a marketing plan and a strengths, weaknesses, opportunities, and threats analysis. These are communicated to residents, staff and family through information in booklets and in staff orientation and the web site.</w:t>
            </w:r>
          </w:p>
          <w:p w:rsidR="00EB7645" w:rsidRPr="00BE00C7" w:rsidP="00BE00C7">
            <w:pPr>
              <w:pStyle w:val="OutcomeDescription"/>
              <w:spacing w:before="120" w:after="120"/>
              <w:rPr>
                <w:rFonts w:cs="Arial"/>
                <w:b w:val="0"/>
                <w:lang w:eastAsia="en-NZ"/>
              </w:rPr>
            </w:pPr>
            <w:r w:rsidRPr="00BE00C7">
              <w:rPr>
                <w:rFonts w:cs="Arial"/>
                <w:b w:val="0"/>
                <w:lang w:eastAsia="en-NZ"/>
              </w:rPr>
              <w:t>Communication between the service and managers takes place on at least a monthly basis. The operations manager, senior clinical and quality manager and the clinical and quality manager provided support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84 residents. During the audit there were 62 residents living at the facility including 29 residents requiring rest home level of care; 19 residents requiring hospital level. There are 12 residents in care suites requiring rest home and hospital care and 2 requiring respite care, these numbers include 1 young person with disabilities requiring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is responsible for the overall management of the facility and had been in the role for 18 months. The BCM has had previous management experience in district health boards and primary care organisations.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The facility has a documented quality risk management framework incorporated in the business plan,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organisational policies and procedures to support service delivery. All policies are subject to reviews as required with all policies current and in alignment with the document review policy. Policies are linked to the Health and Disability Service Standards, current and applicable legislation, and evidenced-based best practice guidelines. Policies were noted to be readily available to staff in the staff room. New and revised policies are signed by staff to confirm they have read and understand them.</w:t>
            </w:r>
          </w:p>
          <w:p w:rsidR="00EB7645" w:rsidRPr="00BE00C7" w:rsidP="00BE00C7">
            <w:pPr>
              <w:pStyle w:val="OutcomeDescription"/>
              <w:spacing w:before="120" w:after="120"/>
              <w:rPr>
                <w:rFonts w:cs="Arial"/>
                <w:b w:val="0"/>
                <w:lang w:eastAsia="en-NZ"/>
              </w:rPr>
            </w:pPr>
            <w:r w:rsidRPr="00BE00C7">
              <w:rPr>
                <w:rFonts w:cs="Arial"/>
                <w:b w:val="0"/>
                <w:lang w:eastAsia="en-NZ"/>
              </w:rPr>
              <w:t>There are staff; quality; health and safety; and infection control monthly meetings. Minutes of all these meetings are documented and demonstrate issues are resolved. All staff interviewed reported they are kept informed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and procedures are in place for the service. This includes a documented hazard management programme and a hazard register for each part of the service. There is evidence that any hazards identified are signed off as addressed and risks minimised or isolated. Service delivery is monitored through complaints, review of incidents and accidents, surveillance of infections and implementation of an internal audit programme. The internal audit programme is guided by the annual audit plan, which includes, for example, health and safety; code of rights; clinical assessments; training; practising certificates and a facility clinical check.</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analysed for opportunities to improve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previous improvement in regard to corrective action plans has been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is aware of situations in which the service would need to report and notify statutory authorities. An improvement is required in reporting. </w:t>
            </w:r>
          </w:p>
          <w:p w:rsidR="00EB7645" w:rsidRPr="00BE00C7" w:rsidP="00BE00C7">
            <w:pPr>
              <w:pStyle w:val="OutcomeDescription"/>
              <w:spacing w:before="120" w:after="120"/>
              <w:rPr>
                <w:rFonts w:cs="Arial"/>
                <w:b w:val="0"/>
                <w:lang w:eastAsia="en-NZ"/>
              </w:rPr>
            </w:pPr>
            <w:r w:rsidRPr="00BE00C7">
              <w:rPr>
                <w:rFonts w:cs="Arial"/>
                <w:b w:val="0"/>
                <w:lang w:eastAsia="en-NZ"/>
              </w:rPr>
              <w:t>Incident/accident reports reviewed had a corresponding note in the progress notes to inform staff of the incident/accident. Information gathered around incidents and accidents is analysed with evidence of improvements put in place. Incident/accident reports are signed off by the business and care manager. Staff receive education at orientation and as part of the ongoing training programme on the incident and accident reporting process. Staff understand elements of the adverse event reporting process and could describe the importance of recording near misses.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policies and processes are in place and implemented. All registered nurses (RN) hold current annual practising certificates and visiting practitioners’ practising certificates reviewed were current. Visiting practitioners include: general practitioners; pharmacists; a dietitian and a podiatrist. Staff files include employment documentation such as: job descriptions; contracts; and appointment documentation. Police and drug checks are completed and an annual appraisal process is in place with all applicable staff having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completed a comprehensive orientation programme. Staff could articulate the buddy system that is in place and confirmed the competency sign off process is completed. </w:t>
            </w:r>
          </w:p>
          <w:p w:rsidR="00EB7645" w:rsidRPr="00BE00C7" w:rsidP="00BE00C7">
            <w:pPr>
              <w:pStyle w:val="OutcomeDescription"/>
              <w:spacing w:before="120" w:after="120"/>
              <w:rPr>
                <w:rFonts w:cs="Arial"/>
                <w:b w:val="0"/>
                <w:lang w:eastAsia="en-NZ"/>
              </w:rPr>
            </w:pPr>
            <w:r w:rsidRPr="00BE00C7">
              <w:rPr>
                <w:rFonts w:cs="Arial"/>
                <w:b w:val="0"/>
                <w:lang w:eastAsia="en-NZ"/>
              </w:rPr>
              <w:t>Mandatory training is identified on a training schedule. A training and competency file is held for all staff. Electronic documentation of all training and folders of attendance records are maintained and include external training programmes. The service has a varied approach to ensuring that staff receive annual training that includes attendance at training sessions and annual individualised training around core topics. The training register and training attendance sheets demonstrated staff completion of annual medication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All seven RNs employed at the facility have completed InterRAI training. Staff completed training around pressure injuries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are reviewed for anticipated workloads, identified numbers and appropriate skill mix, or as required due to changes in the services provided and the number of residents. Rosters sighted reflected staffing levels meet resident acuity and bed occupancy. The staffing policy is the foundation for workforce planning.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54 staff, including clinical staff, staff who facilitate the activities programme and household staff. There is an RN on each shift. The business and care manager is on call. If the business and care manager is on leave, the clinical manager takes the on-call role. </w:t>
            </w:r>
          </w:p>
          <w:p w:rsidR="00EB7645" w:rsidRPr="00BE00C7" w:rsidP="00BE00C7">
            <w:pPr>
              <w:pStyle w:val="OutcomeDescription"/>
              <w:spacing w:before="120" w:after="120"/>
              <w:rPr>
                <w:rFonts w:cs="Arial"/>
                <w:b w:val="0"/>
                <w:lang w:eastAsia="en-NZ"/>
              </w:rPr>
            </w:pPr>
            <w:r w:rsidRPr="00BE00C7">
              <w:rPr>
                <w:rFonts w:cs="Arial"/>
                <w:b w:val="0"/>
                <w:lang w:eastAsia="en-NZ"/>
              </w:rPr>
              <w:t>Evidence reviewed and observations confirmed residents requiring hospital level of care are well supported with a RN on duty at all times. Residents requiring rest home level of care are encouraged to be as independent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implemented to ensure that residents receive medicines in a secure and timely manner. The medication entries sampled on the electronic system complied with legislation, protocols and guidelines. The e-prescribing electronic system is accessed by use of individual passwords and generic facility log in. Allergies are clearly indicated and photographs uploaded for easy identification on the computer.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pre-packaged medication are checked by the RN on delivery to the facility. Medications are stored in a safe and secure way. Medication reconciliation is conducted by the RNs or the GP. All medications are reviewed every three months and as required by the GP.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An observed medication round evidenced safe administration of medicines. The drug register is current and correct. Weekly and six monthly stock takes are conducted and all medications are stored appropriately. The medication fridge temperatures are monitored. A system is in place for returning expired or unwanted medications to the pharmacy.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self-administering medication at the time of the audit and adhered to policy and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and served in the respective dining areas. The menu has been reviewed by a dietitian. The kitchen staff have current food handling certificates. Diets are modified as required and the cook confirmed awareness of dietary needs of the residents. The residents have a nutritional profile developed on admission which identifies dietary requirements,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and pantry were observed to be clean, tidy and stocked. Records of temperature monitoring on refrigerators and freezers are maintained, as are the food temperatures. Regular cleaning is undertaken and all services comply with current legislation and guidelines. The residents and family/whanau interviewed indicated satisfaction with the food service. </w:t>
            </w:r>
          </w:p>
          <w:p w:rsidR="00EB7645" w:rsidRPr="00BE00C7" w:rsidP="00BE00C7">
            <w:pPr>
              <w:pStyle w:val="OutcomeDescription"/>
              <w:spacing w:before="120" w:after="120"/>
              <w:rPr>
                <w:rFonts w:cs="Arial"/>
                <w:b w:val="0"/>
                <w:lang w:eastAsia="en-NZ"/>
              </w:rPr>
            </w:pPr>
            <w:r w:rsidRPr="00BE00C7">
              <w:rPr>
                <w:rFonts w:cs="Arial"/>
                <w:b w:val="0"/>
                <w:lang w:eastAsia="en-NZ"/>
              </w:rPr>
              <w:t>Redwood food control plan was audited in June 2017 by external auditing company with 100% compliance.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interventions in short-term care plans and long-term care plans are sufficient to address the assessed needs and desired goals/outcomes. Progress notes are completed on every shift. Monthly observations are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clinical supplies were observed and the staff confirmed they have access to the supplies and products they require. The review of wound care management documentation evidenced the wounds requiring photo documentation; wound assessments and reviews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is an area requiring improvement relating to ensuring the assessment findings are reflected in provision of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covers the physical; social; recreational; emotional and cultural needs of the residents. The residents and relatives interviewed reported overall satisfaction with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was developed by a diversional therapist (DT) who had resigned from their position two months prior to the audit. Previously the activities programme was implemented five days a week, however, in May 2017 the programme commenced to be provided seven days a week. Two activities assistants have been employed to provide the programme under the guidance of the business and care manager. One of the activities assistants has commenced diversional therapy training.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conducted by the activities assistants within the three weeks of the residents’ admission to the facility and resident’s interests are gathered during an interview with the resident and their family. The activity care plan is part of the long-term care plan completed a registered nurse and reflects the resident’s preferred activities of choice. Residents’ attendances at activities is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and activity plans are evaluated at least six monthly and updated when there are any changes (refer to 1.3.3.3).  Relatives and staff input is sought in all aspects of care. The evaluations record how the resident is progressing towards meeting their goals and responses to interventions. Short-term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posted in a visible location at the entrance to the facility. There have been no building modifications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The recently fire damaged rooms are being refurbished and are not in use. The refurbishment of these rooms is not affecting residents or staff. The improvements required from the previous audit have been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surveillance policy identifies the requirements around the surveillance of infections and the type of surveillance to be undertaken. </w:t>
            </w:r>
          </w:p>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logs are maintained for infection events and collated monthly by the clinical manager. The clinical manager is the infection control nurse. The collated data is analysed to identify any significant trends or common possible causative factors. The collated infection control information is communicated as clinical indicators to the Oceania support office, management and staff. The clinical indicators are reviewed by the Oceania clinical quality team and reported to the Oceania board.</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the residents’ who were diagnosed with an infection had short-term care plans in place. In interviews, staff reported they are made aware of any infections of individual residents by way of feedback from the registered nurses, verbal handovers, short-term care plans and progress notes. This was evidenced during attendance at the staff handover and review of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restraint minimisation and safe practice handbook and policies comply with this standard and relevant legislation and include methods for minimising restraint and approved alternatives. The definitions of restraint and enablers are consistent with this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requesting the use of enablers and four residents requiring restraint. The assessment, approval, monitoring and review process is the same for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a registered nurse, with the position description signed. The restraint register is maintained and current. The required documentation relating to restraint and enabler use is recorded. The residents’ documentation relating to enabler use confirmed the enablers have been requested by the residents, are the least restrictive options and promote the residents’ independence and safety.</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restraint education via the Oceania study days, as well as registered nurse study days.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8"/>
        <w:gridCol w:w="1280"/>
        <w:gridCol w:w="6460"/>
        <w:gridCol w:w="1627"/>
        <w:gridCol w:w="2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is aware of the statutory and/or regulatory obligations and the correct authority to notify, however, a pressure injury requiring reporting via a section 31 was not reported, however this notification was sent to the HealthCERT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pressure injury section 31 was not sent to HealthCERT.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understand statutory and/or regulatory obligations in relation to essential notification reporting and the correct authority is notified where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 of the rest home residents’ clinical files evidenced (two of the three files) risk reassessments were not conducted within the six month timeframe. Three additional rest home residents’ files were reviewed relating to risk reassessments and all showed the six monthly timeframe of review was not adhered to.</w:t>
            </w:r>
          </w:p>
          <w:p w:rsidR="00EB7645" w:rsidRPr="00BE00C7" w:rsidP="00BE00C7">
            <w:pPr>
              <w:pStyle w:val="OutcomeDescription"/>
              <w:spacing w:before="120" w:after="120"/>
              <w:rPr>
                <w:rFonts w:cs="Arial"/>
                <w:b w:val="0"/>
                <w:lang w:eastAsia="en-NZ"/>
              </w:rPr>
            </w:pPr>
            <w:r w:rsidRPr="00BE00C7">
              <w:rPr>
                <w:rFonts w:cs="Arial"/>
                <w:b w:val="0"/>
                <w:lang w:eastAsia="en-NZ"/>
              </w:rPr>
              <w:t>The review of the interRAI reassessments log evidenced four residents had not had their six monthly interRAI reassessments completed. This was confirmed at RN and clinical manager interviews.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reassessments and risk reassessments are not consistently completed within the required six month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interRAI reassessments and risk reassessments are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 one resident (refer 1.3.3 hospital tracer) a nutritional and hydration assessment was conducted in February 2016 and indicated a moderate risk level. However, there was no evidence of interventions put in place following this finding. The resident developed unstageable pressure injury in November 2016. The six monthly nutritional and hydration assessments following the assessment in February 2016 could not be sighted. In June 2017 the nutritional reassessment indicated a high risk level. </w:t>
            </w:r>
          </w:p>
          <w:p w:rsidR="00EB7645" w:rsidRPr="00BE00C7" w:rsidP="00BE00C7">
            <w:pPr>
              <w:pStyle w:val="OutcomeDescription"/>
              <w:spacing w:before="120" w:after="120"/>
              <w:rPr>
                <w:rFonts w:cs="Arial"/>
                <w:b w:val="0"/>
                <w:lang w:eastAsia="en-NZ"/>
              </w:rPr>
            </w:pPr>
            <w:r w:rsidRPr="00BE00C7">
              <w:rPr>
                <w:rFonts w:cs="Arial"/>
                <w:b w:val="0"/>
                <w:lang w:eastAsia="en-NZ"/>
              </w:rPr>
              <w:t>The clinical file of this hospital resident does not record that the resident was referred to a dietitian, commenced on a high protein diet or that they were receiving additional nutrients for healing. The pressure injury care plan records the resident was to have a high protein diet, however, this had not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Discussion was held with the clinical manager on day of audit following this finding. The clinical manager sent a referral to the dietitian; highlighted the high risk level on the risk assessment form; amended the long-term care plan to include a high protein diet and informed the kitchen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high risk assessment for one resident with a pressure injury had not been followed through with appropriate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risk assessment findings are reflected in the provision of services to meet the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Redwood Retirement Village</w:t>
    </w:r>
    <w:bookmarkEnd w:id="58"/>
    <w:r>
      <w:rPr>
        <w:rFonts w:cs="Arial"/>
        <w:sz w:val="16"/>
        <w:szCs w:val="20"/>
      </w:rPr>
      <w:tab/>
      <w:t xml:space="preserve">Date of Audit: </w:t>
    </w:r>
    <w:bookmarkStart w:id="59" w:name="AuditStartDate1"/>
    <w:r>
      <w:rPr>
        <w:rFonts w:cs="Arial"/>
        <w:sz w:val="16"/>
        <w:szCs w:val="20"/>
      </w:rPr>
      <w:t>24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