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Patrick Ferry House Limited - Patrick Ferry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Patrick Ferry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Patrick Ferry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June 2017</w:t>
      </w:r>
      <w:bookmarkEnd w:id="7"/>
      <w:r w:rsidRPr="009418D4">
        <w:rPr>
          <w:rFonts w:cs="Arial"/>
        </w:rPr>
        <w:tab/>
        <w:t xml:space="preserve">End date: </w:t>
      </w:r>
      <w:bookmarkStart w:id="8" w:name="AuditEndDate"/>
      <w:r w:rsidR="00A4268A">
        <w:rPr>
          <w:rFonts w:cs="Arial"/>
        </w:rPr>
        <w:t>22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62 </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Patrick Ferry House provides rest home and hospital (geriatric and medical) level care for up to 74 residents and on the day of the audit there were 62 residents.  The service is managed by an experienced manager.  The residents and relatives interviewed all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 xml:space="preserve">This audit has identified the following areas requiring improvement around completing corrective actions and interRAI training to meet timeframes.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Patrick Ferry House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the service philosophy, goals and a quality planner.  Meetings are held to discuss quality and risk management processes.  Residents/family meetings have been held and residents and families are surveyed regularly.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screened and approved prior to entry to the service.  There is a comprehensive admission package available prior to or on entry to the service.  The registered nurses are responsible for each stage of service provision.  A registered nurse assesses and reviews residents' needs, outcomes and goals with the resident and/or family/whānau input.  Care plans viewed demonstrated service integration and were reviewed at least six-monthly.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responsible for the administration of medicines complete education and medication competencies.  Medication charts are reviewed three-monthly by the general practitioner </w:t>
      </w:r>
    </w:p>
    <w:p w:rsidRPr="00A4268A" w:rsidP="00621629">
      <w:pPr>
        <w:spacing w:before="240" w:line="276" w:lineRule="auto"/>
        <w:rPr>
          <w:rFonts w:eastAsia="Calibri"/>
        </w:rPr>
      </w:pPr>
      <w:r w:rsidRPr="00A4268A">
        <w:rPr>
          <w:rFonts w:eastAsia="Calibri"/>
        </w:rPr>
        <w:t>The diversional therapist implements the activity programme to meet the individual needs, preferences and abilities of the residents.  Residents are encouraged to maintain community links.  There are regular entertainers, outings, and celebrations.  Residents and families report satisfaction with the activities programme.</w:t>
      </w:r>
    </w:p>
    <w:p w:rsidRPr="00A4268A" w:rsidP="00621629">
      <w:pPr>
        <w:spacing w:before="240" w:line="276" w:lineRule="auto"/>
        <w:rPr>
          <w:rFonts w:eastAsia="Calibri"/>
        </w:rPr>
      </w:pPr>
      <w:r w:rsidRPr="00A4268A">
        <w:rPr>
          <w:rFonts w:eastAsia="Calibri"/>
        </w:rPr>
        <w:t>Kitchen staff have completed food handling certificates.  Residents with special dietary needs have their needs reviewed six-monthly as part of the care planning process and these needs are identified in their care plans.  Special equipment is available.  Residents and family interviewed were complimentary about the food service.  All meals are prepared on site.  Individual and special dietary needs are catered for and alternative options are available for residents with dislikes.  The menu has been reviewed by a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Rooms are individualised.  There are large spacious lounges and dining areas.  There are adequate toilets and showers.  The internal areas can be ventilated and heated.  There is sufficient space to allow the movement of residents around the facility using mobility aids.  The outdoor areas are safe and easily accessible.  Cleaning services are well monitored through the internal auditing system.  Laundry is completed on site by dedicated laundry staff. </w:t>
      </w:r>
    </w:p>
    <w:p w:rsidRPr="00A4268A">
      <w:pPr>
        <w:spacing w:before="240" w:line="276" w:lineRule="auto"/>
        <w:rPr>
          <w:rFonts w:eastAsia="Calibri"/>
        </w:rPr>
      </w:pPr>
      <w:r w:rsidRPr="00A4268A">
        <w:rPr>
          <w:rFonts w:eastAsia="Calibri"/>
        </w:rPr>
        <w:t>There is an emergency management plan in place and adequate civil defence supplies in the event of an emergency.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Currently nine residents require restraint for their safety.  There are three enablers currently in use.  Staff are trained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1"/>
        <w:gridCol w:w="1280"/>
        <w:gridCol w:w="97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staff (sixteen healthcare assistants, three registered nurses (RN), two clinical coordinators, one diversional therapist, one clinical manager, one hospital manager and one general manager) confirm their familiarity with the Code.  Interviews with eight residents (three rest home and five hospital) and six families (two rest home and four hospital) confirm the services being provided are in line with the Code.  The Code is discussed at resident, staff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Code of rights training including: advocacy, informed consent, privacy and elderly abuse are part of the mandatory training days that staff undertake which are facilitated twice a year to ensure all staff attend.  This was held in March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 resident or their enduring power of attorney (EPOA) signs written consents.  Eight resident files were reviewed (six hospital - including one interim care, one ACC, and two rest home), demonstrated that consent forms are discussed and completed on admission.  Residents and staff confirm that they are aware that consent can be withdrawn at any stage.  There is evidence of discussion with family when the GP has completed a clinically indicated not for resuscitation order.  Healthcare assistants and registered nurses interviewed confirmed verbal consent is obtained when delivering care.  Family members are involved in decisions that affect their relative’s lives.  All resident files sampled had a signed admission agreement signed on or before the day of admission and included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There are complaint forms available.  Information about complaints is provided on admission.  Interview with residents and families demonstrated an understanding of the complaints process.  All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There have been 14 complaints in 2017 year to date.  The complaint documentation was reviewed.  All complaints had noted investigation, timeframes, corrective actions when required, and resolutions were in place if required.  One complaint was referred to a Health and Disability Advocate and since the draft report has been closed out with resolution.  Results of investigations into any complaints raised are fed back to complainants.  Discussions with residents and families confirmed that their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hospital manager discusses the information pack with the resident and the family/whānau.  The information pack incudes a copy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A pastor and a representative from the Catholic Church visit regularly.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 service has links with Awataha Marae.  There is a Māori health plan.  There were no residents who identified as Māori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 that they are aware of the need to respond to cultural differences and described how they would document the care plans for the specific cultural requirements of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The service has recently introduced a new initiative called “Food for the Soul”, which is incorporated into the activity programme.  This initiative aims to meet the spiritual needs of the wide range of multicultural residents.  All residents interviewed reported that they were satisfied that their cultural and individual values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 including residents’ cultural beliefs and values, is used to develop a care plan, which the resident (if appropriate) and/or their family/whānau are asked to consult on.  Staff receive training on cultural awareness (mandatory training day in May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registered nurses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The resident satisfaction survey was sent out in January 2017 and the 12 completed survey forms returned (sighted) demonstrated high levels of satisfaction with the services provided.  The resident meeting has a standard agenda that asks the residents for ideas each month about how to improve the service.  There was evidence that the residents’ feedback (as appropriate) is acted upon.  Residents interviewed spoke very positively about the care and support provided and stated the management team are very approachable.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incidents/accidents forms were reviewed.  The forms included a section to record family notification.  All forms indicated whether the family were informed or if family did not wish to be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Patrick Ferry House is an aged care facility located on the North Shore.  There are 74 dual-purpose rest home and hospital(geriatric and medical) level beds.  On the day of the audit there were 62 residents.  The service is provided over two levels.  On the day of audit, there were 31 residents across the 39 rooms on the ground floor – 25 hospital and 6 rest home.  On level one, there were 31 residents across the 35 beds - 22 hospital - including two residents admitted under an interim care contract and one ACC funded resident, and nine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2017.  A mission, philosophy and objectives are documented for the service.  The manager completes a weekly report for the general manager and then meets at least fortnightly to review the day-to-day operations and to review progress towards meeting the business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has previous health management experience and has been in her role at this facility since January 2016.  The hospital manager is supported by a clinical manager.  The clinical manager has worked at Patrick Ferry House as a registered nurse for five years and has been in the clinical manager role for seven months.  The hospital and clinical managers have maintained a minimum of eight hours of professional development relating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hospital manager, the clinical manager is in charge with support from the two clinical coordinators, the general manager and the other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general manager, hospital manager, clinical manager, clinical coordinators, care staff and cook, reflected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have been updated to include reference to interRAI, health and safety and pressure injury management.  New policies or changes to policy are communicated to staff, evidenced in meeting minutes.  Staff are requested to sign that they have read the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and complaints management.  Data is being collected monthly, and analysed or trended and the results are communicated to staff.  Corrective actions are documented and communicated to staff but not consistently reviewed and signed out.</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improvements have been made since the last audit, including implementing a new registered nurse handover process at the bedside of each resident, the implementation of an acuity tool to assist with resident allocation, an updated care pathway for the prevention of pressure injuries, and the introduction of moving and handling preceptors.  Although the quality data being captured does not yet show a consistent trend in improved resident outcomes, improvements have been noted.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that meets current legislative requirements.  An interview with the health and safety officer (a registered nurse) and review of health and safety documentation confirmed that legislative requirements are being met.  External contractors have been orientated to the facility’s health and safety programme.  The hazard register is regularly reviewed (last review May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hospital manager investigates accidents and near misses and analysis of incident trends occurs.  There is a discussion of incidents/accidents at monthly staff meetings.  A registered nurse conducts clinical follow-up of residents.  Ten incident forms sampled from June 2017 demonstrated that appropriate clinical follow-up and investigation occurred following incidents.  Discussions with the hospital manager and clinical manager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requires that relevant checks are completed to validate the individual’s qualifications, experience and veracity for new staff.  A copy of practising certificates is kept.  Eight staff files were reviewed (one clinical manager, one registered nurse, two healthcare assistants, one diversional therapist, one cook, one laundry person, and one cleaner) and evidence that reference checks were completed before employment is offered.  The service has a comprehensive orientation programme in place that provides new staff with relevant information for safe work practice.  The in-service education programme for 2016 has been reviewed and a plan for 2017 is being implemented.  The registered nurses have completed competencies relevant to the care of hospital - medical clients, (e.g., fundamentals of palliative care, syringe driver training).  The hospital manager and registered nurses can attend external training, including sessions provided by the local DHB.  Three of eight registered nurses have completed interRAI training, and four registered nurses are currently completing their training.  Annual staff appraisals were evident in all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staff rationale and skill mix.  Sufficient staff are rostered to manage the care requirements of the residents.  The hospital manager is onsite Monday to Friday and is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and the clinical manager work Monday to Friday and share the afterhours on call.  On a morning shift on each floor there is a clinical coordinator (registered nurse) rostered on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ground floor on a morning shift there is a registered nurse and five healthcare assistants, and on an afternoon shift there is a registered nurse and four healthcare assistants - three long and one short shift.  On level one on a morning shift there is a registered nurse and five healthcare assistants - three long and one short shift and on an afternoon, there are thee healthcare assistants on a full shift.  On nights, there are two healthcare assistants on each floor and a registered nurse who works across both floors.  The registered nurse on nights does not attend to residents in the attached village.  The healthcare assistants respond to the village call bells at night and if required, the RN will arrange for the village resident to be transferred to Patrick Ferry for closer monitoring or if required arrange for a transfer to the DHB.  The care staff interviewed advised that additional staff are provided when there is an increase in resident care needs.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five days per week.  There are separate domestic staff who are responsible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Sensitive resident information is not displayed in a way that can be viewed by other residents or members of the public.  Entries in records are legible, dated and signed by the relevant healthcare assistant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available for residents/families at entry.  The admission agreements reviewed meet the requirements of the ARCC.  Exclusions from the service are included in the admission agreement.  Seven of eight admission agreements viewed were signed and dated.  One hospital resident had not signed the ARRC agreement as they were admitted under an interim care scheme.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Policies and procedures clearly document the service provider’s responsibility in relation to each stage of medication management; and medicine management information is recorded to a level of detail and communicated as needed to consumers.  There are currently two residents self-medicating.  These residents have the required self-medicating assessments in place and their medications are kept securely in a locked drawer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robotics system for regular medication and a medico pack system for PRN medications and controlled drugs.  Medications are checked on arrival and any pharmacy errors recorded and fed back to the supplying pharmacy.  Registered nurses who have passed their medication competency administer medications.  Medication competencies are updated annually and staff attend annual education.  There are standing orders and these meet legal requirements.  The medication fridge temperatures are checked daily.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administration sheets.  Controlled drugs are checked out by two people.  The controlled drugs register is checked twice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Medications are reviewed at least three-monthly by the GP.  There was photo ID and allergy status recorded.  ‘As required’ medications have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Patrick Ferry House are prepared and cooked on-site.  There is a qualified chef and a cook that covers the seven-day week.  There is a four-weekly seasonal menu which has been reviewed by a dietitian.  Meals are plated in the kitchen and then served in the ground floor dining room.  Food is delivered in a bain marie to the upstairs kitchenette.  Both dining rooms have a first and second meal service ensuring those requiring additional assistance have their dignity maintained and meals served at an acceptable temperature.  End cooked meal, and fridge and freezer temperatures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known with individual likes and dislikes accommodated.  Cultural and religious food preferences are met.  There is a system to identify residents who require monitoring of food intake.  Specialised crockery and utensils are available to help promote independence at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enjoying their lunch in one dining room and a healthcare assistant was observed assisting a resident to eat in their room.  Residents’ meetings allow for the opportunity for resident feedback on the meals and food services.  Residents interviewed were complimentary of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work in the kitchen have completed food safety and hygiene,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foods were date labelled and stored correctly.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Not all files sampled contained an up to date interRAI assessment (link 1.2.7.5), however other nursing assessment tools (e.g., pain, pressure injury risk, falls risk, behaviour monitoring) were evidenced and used when there was a change in health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were resident centred.  Interventions documented; support needs, were detailed and provided sufficient information.  Residents and family members interviewed stated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and were evaluated on a regular basis and signed off as resolved or transferred to the long-term care plan if an ongoing problem.  There was evidence of service integration with documented input from a range of specialist care professionals including: the podiatrist, physiotherapist, wound care nurse, dietitian and mental health care team for older people.  The care staff interviewed advised that the care plans were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 that they notify family members about any changes in their relative’s health status.  Eight out of eight care plans sampled had interventions documented and these had sufficient detail to guide care.  Care plans had been updated as residents’ needs 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available for all wounds.  The service is proactive in ensuring all skin issues are reported.  There are currently 34 wounds being monitored and treated.  Wound monitoring occurred as planned.  The facility has access to wound care specialist advice if required.  There are currently five pressure injuries, which are all documented on wound care forms and have corresponding incident forms as part of the reporting requirements. Four of these pressure injuries were non-facility acquired and only one was facility acquired.  Advised that the facility acquired pressure injury was due to the resident’s refusal to be turned.</w:t>
            </w:r>
          </w:p>
          <w:p w:rsidR="00EB7645" w:rsidRPr="00BE00C7" w:rsidP="00BE00C7">
            <w:pPr>
              <w:pStyle w:val="OutcomeDescription"/>
              <w:spacing w:before="120" w:after="120"/>
              <w:rPr>
                <w:rFonts w:cs="Arial"/>
                <w:b w:val="0"/>
                <w:lang w:eastAsia="en-NZ"/>
              </w:rPr>
            </w:pPr>
            <w:r w:rsidRPr="00BE00C7">
              <w:rPr>
                <w:rFonts w:cs="Arial"/>
                <w:b w:val="0"/>
                <w:lang w:eastAsia="en-NZ"/>
              </w:rPr>
              <w:t>Appropriate links are developed and maintained with other services (interim care) and organisations (DHB) that are working with consumers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bowel charts, two hourly pressure relief, restraint monitoring, vital signs and wounds.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team of two staff (one diversional therapist (DT) and one activity coordinator who is in her first week of orientation) to coordinate and implement the integrated rest home/hospital activities programme.  The programme is delivered Monday to Friday and includes a wide variety of activities that both hospital and rest home level residents report as interesting and meaningful to them.  These include but are not limited to; exercises, games, crafts, painting, pet therapy and quizzes.  The diversional therapist holds a current first aid certificate.  There is a monthly large print programme on the noticeboard.</w:t>
            </w:r>
          </w:p>
          <w:p w:rsidR="00EB7645" w:rsidRPr="00BE00C7" w:rsidP="00BE00C7">
            <w:pPr>
              <w:pStyle w:val="OutcomeDescription"/>
              <w:spacing w:before="120" w:after="120"/>
              <w:rPr>
                <w:rFonts w:cs="Arial"/>
                <w:b w:val="0"/>
                <w:lang w:eastAsia="en-NZ"/>
              </w:rPr>
            </w:pPr>
            <w:r w:rsidRPr="00BE00C7">
              <w:rPr>
                <w:rFonts w:cs="Arial"/>
                <w:b w:val="0"/>
                <w:lang w:eastAsia="en-NZ"/>
              </w:rPr>
              <w:t>“Food for the soul” is a fortnightly activity and time of sharing and reflection that focuses on the resident’s spirituality where residents can sing hymns and read poetry if they desire.  Catholic Church volunteers come in as needed to give communion to those who request it.  Pastoral care for other denominations can be organised as requested according to residents’ individual needs.</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  The diversional therapist has introduced individual activity boxes for those residents that prefer not to participate in activities, these boxes are individualised to the residents’ activity preferences e.g., crosswords, model building and puzzles.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have the opportunity at meetings and during discussion to provide suggestions for activities, entertainment and outings.  Residents are encouraged to maintain links with community groups such as local primary school visits and fellowship groups.  Monthly visits from a local primary school are enjoyed and residents are able to interact by singing and reading with the young children.  Fortnightly pet therapy visits are a firm favourite with all residents.  There are also regular entertainers visiting the facility.  Special events like birthdays, Easter, Mothers’ Day and Anzac Day are celebrated.  Regular happy hour is enjoyed every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Activities progress notes are completed monthly for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seven long-term care plans reviewed had been evaluated by the registered nurses six monthly or when changes to care occurs.  The resident admitted on an interim care contract also evidenced regular review of their care plan.  Short-term care plans were evaluated and signed off as resolved or added to the long-term care plan if the condition became chronic.  Activities plans are in place for each resident and these are also evaluated six-monthly.  The multidisciplinary review involves the RN, GP and resident/family if they wish to attend.  There is at least a three-monthly review by the GP for rest home residents and one-monthly for hospital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residential care is provided on two levels (the ground floor and level one) on one side of the building, with services and parking for all areas located in the basement level.  The other side of the building has 50 private apartments and is operated as a retirement village.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rooms are dual-purpose with disability friendly ensuites.  Some rooms have ranch sliders to the exterior and others have access to a deck area.  Each room has an electric hospital bed except for one room where the rest home resident has chosen to use their own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(8 January 2018).  The person responsible for the village maintenance also oversees the reactive and planned maintenance programme for the care facility.  All medical and electrical equipment was recently serviced and/or calibrated.  Hot water temperatures are monitored, and maintained in resident areas between 42 and 45 degrees Celsius.  Action is taken if the temperatures are outside of the accepted range.  The facility has sufficient space for residents to mobilise using mobility aids.  External areas are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sufficient toilet and showering facilities to meet the need of the residents.  Every room has an ensuite and all rooms have a hand basin.  The service has adequate hand washing facilities in common areas and there are a number of alcohol hand gel dispensers throughout the premises.  Toilet and showers are identifiable and have appropriate signage when in use.  There are separate toilets for staff and visitor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All resident rooms are large enough to allow for the use of hospital level equipment.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ground floor, there is a lounge and a dining area.  On level one there is a large lounge, where the group activities for both levels of care are held, and one large dining area.  All lounge and dining areas have sufficient space to accommodate the equipment used by residents admitted under the hospital medical component of care.  There is sufficient space to allow for group and individual activities to occur in both lounges.  Residents can move freely and furniture is well arranged to facilitate this.  Residents were observed to be moving freely both with and without assistance throughout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at the service.  They have access to a range of chemicals, cleaning equipment and protective clothing.  The standard of cleanliness is monitored through the internal audit programme.  Residents and families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laundry staff who complete all laundry onsite in an appropriately appointed laundry.  On the day of audit one commercial washing machine was out of use and the service was waiting on a machine part to be replaced.  The service was currently outsourcing the laundering of the sheets and towels.  Residents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trained in first aid and cardiopulmonary resuscitation (CPR) and are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well designed with lots of natural light and internal atriums.  All bedrooms and lounges have windows of a large size that open to the outside of the building and include security stays for safety.  Many of the bedrooms have sliding doors, which open out onto either an internal courtyard or a protected balcony for each room.  Heating is a mix of underfloor gas and electricity.  There are temperature gauges located throughout the facility to guide staff on the internal temperatures.  Smoking is only permitted in one designated area by residents and staff, which is on the ground floor.  The building is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Patrick Ferry House has an established infection control programme.  The infection control programme, its content and detail, is appropriate for the size, complexity and degree of risk associated with the service.  It is linked into the incident reporting system.  A registered nurse is the designated infection control coordinator with support from the clinical manager, the infection control committee and all other staff.  Infection control is an agenda item at the monthly staff meetings.  Minutes are available for staff.  Spot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Patrick Ferry House is the designated infection control (IC) coordinator and is supported by the clinical manager.  There are adequate resources to implement the infection control programme for the size and complexity of the organisation.  The IC coordinator and IC committee (comprising the hospital manager, clinical manager, clinical coordinators, domestic staff, laundry staff and healthcare assistants) have good external support from the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Patrick Ferry House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training in infection control.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Patrick Ferry House’s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staff meetings.  If there is an emergent issue, it is acted upon in a timely manner.  Reports are easily accessible to the hospital manager.  There have been two outbreaks since the previous audit, one in August 2016 and one in May 2017, and both were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around restraints and enablers.  Nine hospital residents were using restraint (8 bedrails and one lap belt), and three hospital residents were using enablers (bedrails)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were completed and written consent was provided by the resident or families for the restraints and by the three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their understanding of the differences between a restraint and an enabler.  Staff receive regular training around restraint minimisation and the management of challenging behaviour that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and the clinical manager are the restraint coordinators.  Assessment and approval process for restraint use included the restraint coordinator, registered nurses, resident 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family/whānau, in the nine restraint and three enabler files sampled.  The restraint coordinator, the resident and/or their representative and a medical practitioner were involved in the assessment and consent process.  In the files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There is an assessment form/process that is completed for all restraints and enablers.  The files reviewed had a completed assessment form and a care plan that reflected risk.  Monitoring forms that included regular monitoring at the frequency determined by the risk level were present in the files reviewed, appropriate interventions were in place to ensure resident safety and care needs are met.  In resident files reviewed, appropriate documentation has been completed.  The service has a restraint and enabler register, which is up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and restraint coordinator.  Restraint practices are reviewed on a formal basis every month by the facility restraint coordinator at quality meetings.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are completed three-monthly or sooner if a need is identified.  Reviews are completed by the restraint coordinator.  Any adverse outcomes are reported at the monthly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7394"/>
        <w:gridCol w:w="242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Where the quality data identified improvements were required, corrective action plans were documented and implemented.  There was evidence in the staff meeting minutes the corrective actions required were discussed at staff meetings.  Not all corrective actions that were implemented were reviewed and signed out once completed, including but not limited to, safe handling, restraint, accident and incidents, medication documentation and complaints management.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not consistently reviewed and signed out once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 plans are consistently reviewed, and signed out once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complete relevant clinical assessments and use this information to develop the care plan.  Six of six care plans reviewed, where an interRAI assessment was required, had not had an interRAI assessment documented or completed within the required timeframes.  One of six files sampled (hospital) had an interRAI assessment last documented eight months prior to audit, and five of six files (two rest home and three hospital) did not have any interRAI assessment documented.  The service has implemented a corrective plan in consultation with the DHB to support the service to meet the contractual requirements regarding the use of interRAI which includes: attempting to recruit consulting interRAI trained nurses, scheduling of two staff members to be interRAI trained per month, contact with Technical Advisory Services (TAS) regarding their delay in marking registered nurses interRAI assessments, and monthly review of interRAI assessment backlog and time-tabling of these with trained nurses to ensure completion.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service had three of their interRAI trained RNs resign and therefore were left with only their Clinical Manager (1 RN) who was interRAI trained.  They endeavoured to secure places on the interRAI training for their newly employed RNs, however, there were no places available for a few months.  Advised, they recruited a consultant who would complete their interRAI assessments and an interRAI trained RN from the bureau but both were not able to go ahead for various reasons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Some residents have not had interRAI assessments completed. This is due to the resignation of a trained interRAI assessors which the provider has taken steps to replace, however the scheduling of training for the new staff, which is beyond the control of the provider, has led to a delay in the carrying out of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Continue to ensure RNs access training to meet contractual timeframes around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Patrick Ferry House Limited - Patrick Ferry House</w:t>
    </w:r>
    <w:bookmarkEnd w:id="58"/>
    <w:r>
      <w:rPr>
        <w:rFonts w:cs="Arial"/>
        <w:sz w:val="16"/>
        <w:szCs w:val="20"/>
      </w:rPr>
      <w:tab/>
      <w:t xml:space="preserve">Date of Audit: </w:t>
    </w:r>
    <w:bookmarkStart w:id="59" w:name="AuditStartDate1"/>
    <w:r>
      <w:rPr>
        <w:rFonts w:cs="Arial"/>
        <w:sz w:val="16"/>
        <w:szCs w:val="20"/>
      </w:rPr>
      <w:t>21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