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Beetham HealthCare Limited - Beetham Healthcare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Beetham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Beetham HealthCare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June 2017</w:t>
      </w:r>
      <w:bookmarkEnd w:id="7"/>
      <w:r w:rsidRPr="009418D4">
        <w:rPr>
          <w:rFonts w:cs="Arial"/>
        </w:rPr>
        <w:tab/>
        <w:t xml:space="preserve">End date: </w:t>
      </w:r>
      <w:bookmarkStart w:id="8" w:name="AuditEndDate"/>
      <w:r w:rsidR="00A4268A">
        <w:rPr>
          <w:rFonts w:cs="Arial"/>
        </w:rPr>
        <w:t>20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Beetham HealthCare provides rest home, hospital and dementia care level care for up to 42 residents.  On the days of audit there were 41 residents.  The service is managed by a general manager who is supported by a clinical manager and a quality and human resources manager.</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Improvements are required around interventions to meet the consumers’ needs, service provider training and infection control coordinator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Beetham HealthCare practices in accordance with the Health and Disability Commissioner (HDC) Code of Health and Disability Services Consumers' Rights (the Code).  There is information available about the Disability Advocacy Service.  Staff, residents and family verified the service is respectful of individual needs including cultural and spiritual beliefs.  Cultural training is provided and individual values and beliefs are considered on admission and continuing through the care planning process.  There is an open disclosure policy that staff understand.  Family/friends can visit at any time and ongoing involvement with community activity is supported.  Complaints processes are being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board of directors have strategic business and annual quality goals with quality objectives.  Quality information is reported to monthly staff and management meetings.  The service has ongoing quality projects to improve outcomes and service delivery for the residents.  Staff interviewed confirmed they are kept informed on risk management matters, outcomes of internal audits and receive meeting minutes.  The service has comprehensive policies/procedures to provide rest home, hospital and dementia levels of care.  There is an orientation programme in place and an annual education programme in place that includes compulsory training for aged care staff.  There are documented job descriptions for all positions, which detail each position’s responsibilities, accountabilities and authorities.  There is a staffing policy that includes a documented rationale for determining staffing levels and skill mixes for safe service delivery.  There are registered nurses on duty 24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Assessments, care plans and evaluations are completed by the registered nurses within the required timeframe.  Care plans demonstrate service integration.  Resident and family interviewed confirmed they were involved in the care plan process and review.  Care plans were updated for changes in health status.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covering seven days a week provide an activities programme in the rest home and hospital and a separate programme in the dementia care unit.  The programme meets the abilities and recreational needs of the groups of residents.  The programme is varied and involved the relatives and community.  There were 24-hour activity plans for residents in the dementia care unit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The menu is designed and reviewed by a dietitian who visits monthly.  Individual and special dietary needs are accommodated.  Nutritional snacks are available 24-hours for residents in the dementia care unit.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All bedrooms are single occupancy with ensuites.  There was sufficient space to allow the movement of residents around the facility.  The hallways and communal areas were spacious and accessible.  The outdoor areas were safe and easily accessible.  There are policies in place for emergency management.  Systems and supplies are in place for essential, emergency and security services.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seven residents voluntarily using enablers and no restraint use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is responsible for coordinating and providing education and training for all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4"/>
        <w:gridCol w:w="1280"/>
        <w:gridCol w:w="95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Beetham HealthCare practices in accordance with the Health and Disability Commissioner (HDC) Code of Health and Disability Services Consumers' Rights (the Code) and posters of the Code are displayed at the front entrance.  The policy relating to the Code is implemented and staff interviewed (four registered nurses, three healthcare assistants and one diversional therapist) could describe how the Code is incorporated in their everyday delivery of care.  Staff receive training about the Code during their induction to the service, which continues through in-service education and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for informed consent and the service is committed to meeting the requirements of the Code of Health and Disability Consumers Rights.  There were signed general consents on all seven files sampled.  The four registered nurses interviewed confirmed that family involvement occurs with the consent of the resident.  Residents interviewed confirm that useful information was provided to them to make informed choices.  Discussion with relatives confirmed that the service actively involves them in decisions that affect their relative’s lives.  Written directives are recorded for resuscitation status for six of seven files sampled (three from the hospital, two from the rest home and two from the dementia unit).  In the seventh file, there was evidence of a discussion held but decision not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Code of Health and Disability Services Consumer Rights and Advocacy pamphlets on entry.  Advocacy pamphlets are displayed in the front entrance of the facility.  Healthcare assistants interviewed were aware of the residents’ right to advocacy services and how to access the information.  Resident advocates are identified on admission.  Interviews with residents and relatives confirmed that they are aware of their right to access advocacy.  Residents have access to an advocate for health consumers who attends resident meetings on request.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key linkages with other community organisations.  Residents are invited to community functions and events.  Visiting arrangements are suitable to residents and family/whānau.  Families and friends can visit at times that meet their needs.  Families interviewed state they are always made to feel most welcome when they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facility manager has overall responsibility for ensuring all complaints (verbal or written) are fully documented and investigated.  Four of the management team have completed privacy training and are included in the investigation of complaints as relevant.  There is a complaint register that includes relevant information regarding the complaint, acknowledgment within the required timeframe, investigation, outcomes, follow-up letters, offers of advocacy and resolution.  There were eight complaints (six for 2016 and two for 2017 to date).  Complaints information is in the information pack at entry.  There were complaints forms and advocacy brochures available and a suggestions box at the front entrance.  Management operate an open-door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available at reception.  The facility manager or clinical manager discusses aspects of the Code with residents and their family on admission.  Seven residents interviewed (four rest home and three hospital) and ten relatives (four rest home, four hospitals and two of dementia care residents) reported that the residents’ rights are being upheld by the service.  Residents and family members interviewed state they received sufficient verbal and written information to be able to make informed choices on matters that affect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Māori consultation is available through the cultural advisor for the service.  The cultural advisor attends the staff meetings and provides education sessions for staff.  Staff receive education on cultural awareness during their induction and at least two yearly.  All healthcare assistants (HCAs) interviewed were aware of the importance of whānau in the delivery of care for Māori residents.  There were no residents who identified as Māori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and is signed by the new employee.  Professional boundaries are defined in job descriptions.  Interviews with healthcare assistants (HCAs) confirmed their understanding of professional boundaries, including the boundaries of the HCAs role and responsibilities.  Professional boundaries are reconfirmed through education and training sessions, staff meetings and performance management if there is infringement with the person concerned.  Healthcare assistants are trained to provide a supportive relationship based on sense of trust, security and self-esteem.  Three HCAs and four registered nurses (RNs) could describe how they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of directors and management team are committed to providing services of a high standard, based on the service philosophy of care.  Staff were observed during the day demonstrating a very caring attitude to the residents.  Residents interviewed state they are very happy with the level of care provided.  The service has implemented policies and procedures that are developed and reviewed by a healthcare consultant.  The policies and procedures meet legislative requirements.  Staff receive a verbal handover between every shift that details any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and the management team promotes this.  The information pack contains a range of information regarding the scope of service provided to the resident and their family on entry and any items they must pay for that is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is available and advised that this can be read to residents.  Interpreter services are available as required.  Relatives interviewed, stated that they are informed when their family member’s health status changes.  Nine incident/ accident forms reviewed all documented that families had been informed of incidents/ accidents.  Discussions with HCAs and RNs identified their knowledge around open disclosure.  Residents /family meetings are held every two months and have recently been changed to alternate weekdays and weekends allowing for more relatives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Beetham HealthCare is a 42-bed facility that provides rest home, hospital/medical and dementia level care.  The service has 36 dual purpose beds hospital/rest home and a six bed secure dementia unit.  Occupancy on the day of audit was 41 residents.  There were six residents in the dementia unit and 35 residents in the dual purpose beds (seventeen rest home and eighteen hospital level).  All residents were under the ARCC.  There were no residents under medical services or respite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Beetham Village and Beetham HealthCare are privately owned and governed by a board of directors.  They employ a facility manager to operate both the village and the healthcare facility.  The facility manager (non-clinical) has been in the role two and a half years and has management experience in the public service sector.  She is supported by a full-time experienced clinical manager (CM) who has been in the role three years.  A qualified quality and human resource manager supports the management team and coordinates staff education and quality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directly to the two monthly board meetings.  There is a three-year strategic business plan that contains the vision, mission and values for Beetham HealthCare.  The business plan is reviewed regularly by the board.  The service has annual quality goals objectives and measures progress towards meeting the goals and objectives.  Goals achieved for 2016 included above 80% resident/relative satisfaction from the annual survey.  The service gained a second place at an aged care conference for small operator category in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of professional development annually including a three-day attendance at an aged care conference, two-day dementia conference and attending quarterly DHB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will cover the facility manager’s role.  A senior RN provides cover for the clinical manager leave.  The service has operational management strategies and a quality improvement programme to minimise risk of unwanted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organisational policies to guide the facility to implement the quality management programme including (but not limited to) quality assurance and risk management programme, management responsibilities, health and safety and infection control responsibilities and internal audit schedule.  Quality information and data is discussed at the monthly staff meetings including health and safety, infection control, audit outcomes and any concerns/complaints.  Staff interviewed stated they are well informed and receive quality and risk management information such as a monthly adverse event summary.  All events are entered in to the healthcare consultant’s database and trended against industry key performance indicators.  The HCAs interviewed state they are asked for suggestions and feedback on quality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confirmed audits are being completed as per the schedule.  Corrective actions are developed where opportunities for improvements are identified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health and safety and hazard identification.  Staff report any hazards identified on the relevant form.  The service has a health and safety officer who completed an update to health and safety training in June 2016.  An HCA who is the health and safety representative has completed stage one of the health and safety training.  Health and safety and emergency management training is included in the one-day training plan.  The hazard registers have been reviewed six-monthly with generic hazards and work area specific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for individual residents that includes the analysis of falls and any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completed annually are residents/relatives (September 2016) and a food survey in July 2016 (91% satisfaction).  The survey results are collated to identify if there are any areas for improvement and fed back to participants.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which is part of the risk management plan.  Monthly data collection of accident/incidents is completed.  When an incident occurs, the staff member discovering the incident completes the accident/incident form.  The incident/accident and progress notes evidence timely RN clinical assessment and identifies preventative and corrective actions.  All incidents/accidents are signed off by the facility manager/clinical manager, who conducts a further investigation if required.  Nine incident/accident forms for March 2017 evidenced detailed investigations and corrective action plans following incidents, however, neurological observations and risk alerts had not been followed up for five unwitnessed falls and one choking incident (link 1.3.6.1).  There has been one section 31 notification to HealthCert and the DHB for a diagnosed subdural haematoma post unwitnessed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Eight staff files were reviewed (four HCAs, two RNs, one clinical manager and one cook).  The recruitment and staff selection process requires that police vetting and reference checks are completed prior to employment to validate the individual’s qualifications, experience and suitability for the role.  All files evidence a signed employment contract and job description.  Staff files reviewed had annual performance appraisals completed where due.  Annual practicing certificates for RNs and allied health practitioners are all current.  There is an orientation programme in place and staff are orientated to their area of work and complete competencies relevant to their role including medication and wound competencies.  Housekeeping staff assist with meals, not all have been trained to safely manage this task.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quality/HR manager is a Careerforce assessor and coordinates training for all staff.  A one-day training day covering mandatory training requirements commenced in 2017.  Staff are allocated to attend the study day which is provided regularly to ensure all staff attend.  Additional training includes manual handling with the physiotherapist and palliative care with the hospice.  Competencies are identified and completed.  Registered nurses and HCAs are encouraged and supported to undertake external education as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HCAs are employed in the dementia unit.  Five HCAs have completed the required dementia standards.  Three HCAs have been employed less than 6 months and are registered to commence the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evidenced that staff that are sick and staff on annual leave are replaced.  There is a full-time clinical manager on Monday to Friday and on-call.  There is a registered nurse on duty 24 hours who also oversees the care for the dementia unit residents.  An HCA is on duty 24 a day in the dementia care unit with support provided from the rest home/hospital.  There an integrated roster for the rest home and hospital beds; the morning shift, there are four HCAs on duty and one breakfast person/HCA from 7am to midday.  Afternoon shifts are staffed with four HCAs on the full shift and one short shift.  On night shift, there is one HCA with the RN in the rest home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manager/clinical manager are on duty Monday to Friday.  There are dedicated laundry/cleaning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secure office in all areas.  Care plans and notes are legible and signed and dated by the RN or HCA.  Progress notes are completed for each shift and recorded in the nursing/care progress notes form held in the residents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Relatives interviewed stated they were well informed upon admission.  The service has a well-developed information pack available for residents/families/whānau at entry.  The information pack for residents being admitted to the dementia unit contains information relating to the service philosophy, restraint minimisation, behaviour management and the complaints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Seven of seven admission agreements viewed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is completed by an RN on delivery of medication and any errors fed back to pharmacy.  Registered nurses and senior care staff who administer medications have been assessed for competency on an annual basis.  Registered nurses and care staff interviewed could describe their role in regard to medicine administration.  Education around safe medication administration has been provided and audits undertaken including by pharmacy.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Three self-medicating residents had been assessed by the GP and RN as competent to self-administer and these had been reviewed three-monthly.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over the three levels of care were reviewed.  The medication profiles reviewed were legible, up-to-date and reviewed at least three monthly by the GP.  All medication charts reviewed have ‘as needed’ medications prescribed with an individualised indication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chef who is supported by a cook and kitchen staff.  All staff have been trained in food safety and chemical safety.  There is a five weekly, four season’s menu that had been designed by the dietitian who visits monthly.  The menu was currently being reviewed with the last review being June 2015.  The chef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as vegetarian and pureed/soft and gluten free meals are provided.  Food is plated in the kitchen and delivered in three scan boxes (nine residents in the serviced apartments also receive meals).  Fridge and freezer temperatures are checked daily.  All foods were date labelled.  A cleaning schedule is maintained.  Feedback on the service is received from resident meetings, surveys and audits.  The head chef maintains regular contact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Anyone declined entry is referred back to the needs assessment service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assessments within its clinical practice.  InterRAI initial assessments and assessment summaries were evident in the files reviewed.  Risk assessments have been completed on admission and reviewed six-monthly as part of the evaluation process.  Additional assessments such as management of behaviour and wound care were completed according to need.  In the resident files reviewed the outcomes of all assessments, needs and supports required were reflected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were comprehensive and demonstrated service integration and input from allied health.  All resident care plans sampled were resident centred and support needs and interventions were documented.  Family members interviewed confirm care delivery and support by staff is consistent with their expectations.  Care plans were evaluated and reviewed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Relatives interviewed stated their relative’s needs were being appropriately met.  When a resident's condition alters, the registered nurse initiates a review and if required a GP/intern NP visit.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all current wounds.  Wounds in the dementia care unit included two skin tears on one resident.  There was a resident with a skin tear and another with a lesion at rest home level.  Five residents between them had: four skin tears, two chronic wounds, one lesion and one moisture wound at hospital level.  Adequate dressing supplies were sighted in the treatment room.  There were no pressure injuries.  Pressure injury prevention strategies were included in the long-term care plan of the residents at risk of pressure injuries.  Staff receive regular education on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place to continually assess a resident’s progress where there is a change in health status however, a shortfall was identified around neurological observations and the absence of a choking alert for one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(one diversional therapist and one activities officer covering seven days of the week) implement a separate activity programme for the rest home/hospital and dementia unit.  With six residents in the dementia unit, the staff in the unit are involved in providing activities as per the programme.  The programme has set activities, with flexibility for each service level to add activities that are meaningful and relevant for all cognitive and physical abilities of the resident group and they are gender appropriate.  The residents are provided with a copy of the weeks activity programme along with the menu each week.  The programme is displayed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were observed to be delivered simultaneously in the rest home/hospital and dementia unit.  Contact is made and one-on-one time is spent with residents who are unable, or chose not to participate in group activities.  There are monthly outings/drives (using a contracted van) for all residents as appropriate.  Entertainment and a visit from residents in other local residential care facilities occurs weekly along with other involvement in community events.  On-site church services are held in the facility chapel/activity room.  The programmes include visits by musicians, pets and from preschool and school children, exercise sessions and a range of intellectual, craft and fun activities.  Residents in the dementia unit were observed to be involved in the programme including active participation in a baking session.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Attendance logs and a record of individual resident’s activities is kept.  Activity staff complete two-weekly recreational progress and evaluation notes in the residents' files.  The activity plan in the files reviewed had been evaluated at least six-monthly (more frequently when resident’s condition indicated) with the care plan review.  The resident/family/whānau as appropriate, are involved in the development of the activity plan and a number of relatives actively participate.  </w:t>
            </w:r>
          </w:p>
          <w:p w:rsidR="00EB7645" w:rsidRPr="00BE00C7" w:rsidP="00BE00C7">
            <w:pPr>
              <w:pStyle w:val="OutcomeDescription"/>
              <w:spacing w:before="120" w:after="120"/>
              <w:rPr>
                <w:rFonts w:cs="Arial"/>
                <w:b w:val="0"/>
                <w:lang w:eastAsia="en-NZ"/>
              </w:rPr>
            </w:pPr>
            <w:r w:rsidRPr="00BE00C7">
              <w:rPr>
                <w:rFonts w:cs="Arial"/>
                <w:b w:val="0"/>
                <w:lang w:eastAsia="en-NZ"/>
              </w:rPr>
              <w:t>Resident/relative meetings are held bi-monthly with a number of the residents and relatives stating they attend.  A quarterly newsletter is distributed.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 monthly or when changes to care occurred.  Written evaluations describe the residents progress against the residents (as appropriate) identified goals.  Care plans for short-term needs were evaluated and either resolved or added to the long-term care plan as an ongoing problem.  The multidisciplinary review involves the RN, GP, activities staff and resident/family.  There is at least a three-monthly review by the GP/intern NP.  Family are notified when this is to occur and are welcome to attend (if resident agrees) and the GP/intern NP will discuss any issues with them.  Family members interviewed confirmed they are invited to attend the GP/intern NP visits and have input into the multidisciplinary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Referral documentation is maintained on resident files.  There was evidence in the files sampled of referrals to the DHB and input from, physiotherapist, dietitian, wound clinical nurse specialist, speech therapist and the intern nurse practitioner who will attend daily if required.  The service facilitates access to other medical and non-medical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9 July 2017.   </w:t>
            </w:r>
          </w:p>
          <w:p w:rsidR="00EB7645" w:rsidRPr="00BE00C7" w:rsidP="00BE00C7">
            <w:pPr>
              <w:pStyle w:val="OutcomeDescription"/>
              <w:spacing w:before="120" w:after="120"/>
              <w:rPr>
                <w:rFonts w:cs="Arial"/>
                <w:b w:val="0"/>
                <w:lang w:eastAsia="en-NZ"/>
              </w:rPr>
            </w:pPr>
            <w:r w:rsidRPr="00BE00C7">
              <w:rPr>
                <w:rFonts w:cs="Arial"/>
                <w:b w:val="0"/>
                <w:lang w:eastAsia="en-NZ"/>
              </w:rPr>
              <w:t>The facility employs a maintenance person to undertake maintenance and maintain the courtyard gardens.  The village gardener cares for the remainder of the gardens and the village gardens.  Daily maintenance requests are addressed and a 12-monthly planned maintenance schedule is in place.  Electrical testing is completed annually.  Annual calibration and functional checks of medical equipment is completed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Temperature recordings reviewed were between 43-45 degrees Celsius.  Contractors are available 24-hours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safely access the outdoor gardens and courtyards safely.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HCAs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provided an open plan dining/lounge area with free and safe access to an outdoor courtyard with gardens, seating and shade, which had won a local award for an outdoor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and have ensuites.  There were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large lounge/dining area for the rest home and hospital residents, which is divided into a number of areas for dining and seating is placed to allow for individual or group activities. There is a separate large activities room / chapel.  There are seating alcoves throughout the facility.  The communal areas are easily accessible.  The dementia care unit has a spacious open plan dining/lounge area with seating placed appropriately to allow for low stimulus, small group and individual activities.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audits of the cleaning and laundry service.  The laundry has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area for the storage of cleaning and laundry chemicals for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There are adequate civil defence supplies including water and food storage.  There is a battery backup in the event of a power failure and the service has a contract with a supplier for a generator in the event of a power failure.</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was approved by the fire service on 30 September 2009.  There are six monthly fire drills.  Fire safety is completed with new staff as part of the health and safety induction and is ongoing as part of the education plan.  There is a first aider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Security policies and procedures are documented and implemented by staff.  The buildings are secure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coordinator/RN team leader.  The infection control programme is reviewed annually by the IC coordinator and quality manager and reported to the facility manager and quality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last attended external education in February 2015.  The service is affiliated with an external aged care consultant for any advice or updates for policies.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provides monthly reports to management and staff meetings.  The infection control coordinator has access to an infection control nurse specialist at the DHB, external infection control consultant, public health, clinical wound nurse specialist, nurse practitioner, GPs and DHB wound nurse.  She has not attended any infection control education within the last two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 infection control policies (last reviewed by an aged care consultant in June 2017)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 washing competencies and standard precautions.  Ongoing training occurs annually as part of the annual training programme.  Staff are required to complete infection control questionnaires and hand hygiene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reports are completed for all infections.  Infection control data and relevant information is displayed for staff.  Definitions of infections are in place, that are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discussed at the monthly meetings.  Monthly and annual comparisons are made for the type and incidence of infection rates.  Internal audits for infection control are included in the annual audit schedule.  The service is benchmarked against other similar services through the aged care consultant database.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last reviewed June 2017.  The service currently has no residents assessed as requiring the use of restraint and seven residents using enablers (bedrails).  There is a restraint coordinator (clinical manager) who reports to the RN meetings and restraint committee.  There is documented evidence of consultation with the resident and family/whānau regarding the use of enablers.  Three resident files of those using enablers evidenced voluntary request and consent to enabler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on orientation and as part of the annual education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0"/>
        <w:gridCol w:w="1280"/>
        <w:gridCol w:w="5679"/>
        <w:gridCol w:w="3084"/>
        <w:gridCol w:w="14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roster identified that one cleaner was allocated to help feed hospital level residents at breakfast time.  On three days of the week, the cleaner is also an HCA who has completed HCA orientation and is on duty as an HCA three-days a week.  On the other week days, the cleaner assisting with hospital resident feeds, including residents with an identified risk of choking has not been trained in carrying out this resident related task (Household staff have only commenced assisting with meals in the past week).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cleaner allocated to assist with resident feeds in the hospital has not received any training to carry out this duty.  The risk is considered low as the practise was to cease immediately with a change in the roster to reflect that only care staff would feed the hospital level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carrying out residents’ feeds have been trained to safely carry out the task.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include (but not limited to); monthly weight, blood pressure and pulse, food and fluid charts, pain monitoring, blood sugar levels and behaviour charts however neurological observations had not been completed as per protocol.  One resident with a potential to choke did not have an alert on the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Five neurological observations post unwitnessed falls had not been completed as per policy.  There was no pulse recorded for three of five neurological recordings.  2) One resident requiring first aid for a choking incident did not have the choking risk alert on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neurological observations are completed as per protocol.  2) Ensure potential risks are identified on residents’ files.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3.2.1</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team/personnel and/or committee shall comprise, or have access to, persons with the range of skills, expertise, and resources necessary to achieve the requirements of this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been in the role since 2014.  She attended external infection control education in February 2015.  The infection control coordinator provides annual infection control education to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not attended external education within the last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infection control coordinator attends external education to maintain own knowledge in infection control and prevention.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Beetham HealthCare Limited - Beetham Healthcare</w:t>
    </w:r>
    <w:bookmarkEnd w:id="58"/>
    <w:r>
      <w:rPr>
        <w:rFonts w:cs="Arial"/>
        <w:sz w:val="16"/>
        <w:szCs w:val="20"/>
      </w:rPr>
      <w:tab/>
      <w:t xml:space="preserve">Date of Audit: </w:t>
    </w:r>
    <w:bookmarkStart w:id="59" w:name="AuditStartDate1"/>
    <w:r>
      <w:rPr>
        <w:rFonts w:cs="Arial"/>
        <w:sz w:val="16"/>
        <w:szCs w:val="20"/>
      </w:rPr>
      <w:t>19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