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Roseneath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Roseneath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June 2017</w:t>
      </w:r>
      <w:bookmarkEnd w:id="7"/>
      <w:r w:rsidRPr="009418D4">
        <w:rPr>
          <w:rFonts w:cs="Arial"/>
        </w:rPr>
        <w:tab/>
        <w:t xml:space="preserve">End date: </w:t>
      </w:r>
      <w:bookmarkStart w:id="8" w:name="AuditEndDate"/>
      <w:r w:rsidR="00A4268A">
        <w:rPr>
          <w:rFonts w:cs="Arial"/>
        </w:rPr>
        <w:t>8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Roseneath Lifecare provides rest home, hospital and dementia  care for up to 46 residents. The service is operated by Heritage Lifecare Limited (HLL) and managed by a facility manager and a clinical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has resulted in one continuous improvement related to medication management and identified  two areas requiring improvements relating to analysis of collated data and 24 hour activity plans for residents in the dementia unit.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provided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 xml:space="preserve">The service has linkages with a range of specialist health care providers to support best practice and meet residents’ needs. </w:t>
      </w:r>
    </w:p>
    <w:p w:rsidRPr="00A4268A">
      <w:pPr>
        <w:spacing w:before="240" w:line="276" w:lineRule="auto"/>
        <w:rPr>
          <w:rFonts w:eastAsia="Calibri"/>
        </w:rPr>
      </w:pPr>
      <w:r w:rsidRPr="00A4268A">
        <w:rPr>
          <w:rFonts w:eastAsia="Calibri"/>
        </w:rPr>
        <w:t>Information about complaints was available throughout the facility. A complaints register is maintained and complaints are resolved promptly.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A quality and risk management plan includes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of quality improvement data.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was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Four residents were using restraints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53"/>
        <w:gridCol w:w="1280"/>
        <w:gridCol w:w="88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Limited - Roseneath Lifecare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understood the principles and practice of informed consent. Informed consent policies provide relevant guidance to staff.  Clinical files reviewed show that informed consent has been gained appropriately using the organisation’s standard consent form.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was documented, as relevant, in the residents’ records reviewed.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has a complaints and concerns policy, and associated forms, which meet the requirements of Right 10 of the Code.  Information on the complaint process is provided to residents and families on admission and those interviewed knew how to do so.  Staff members interviewed understood their responsibilities for responding to complaints and concerns raised and family members interviewed were also aware of how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complaints have been received over the past year and that actions taken, through to an agreed resolution, are documented and completed within the timeframes.  Action plans showed follow up to the issue raised and improvements have been made where possible.  The facility manager is responsible for complaints management and follow-up, with reporting through to the operations manager and quality and compliance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 minutes record discussion of any minor issues or concerns they may have during their regular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on-site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Families of those in the dementia wing during interview demonstrated a good understanding of consumer rights. The Code is displayed on entrance to the facility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  Staff were observed to maintain privacy throughout the audit.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of their choice.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was supported by staff who identify as Māori in the facility.  Māori residents and their whānau interviewed reported that staff acknowledge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verified that they were consulted on resident’s individual culture, values and beliefs and that staff respected these. Resident’s personal preferences, required interventions and special needs were included in care plans reviewed, for example having communion in their room on specific days.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sign of abuse.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wound care specialist, a psychogeriatrician, and mental health services for older persons, and education of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full implementation of an electronic medication management system including routine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purpose, values, scope, direction and goals of the organization are reviewed annually. Currently these are included in the quality and risk management plans for each facility. A generic document is provided to each facility from Heritage Lifecare’s board once their annual two day planning meeting is completed. As well as the vision, mission and values of the organization, there is an overall goal. Each facility develops their own objectives. (See standard 1.2.3 Quality and risk management.) The organization is governed by a private board of directors. Reporting to the board is a senior management team made up of two operations managers, a quality and compliance manager, a human resources managers, chief financial officer and facilities manager. They are led by a general manager who reports to, and is a member of, the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weekly reports from the facility manager to the operations manager and the quality and compliance manager were reviewed. These showed that adequate information to monitor performance is reported including occupancy, financial performance, human resources updates including recruitment and staff training, emerging risks and issues. The quality and compliance manager was present for the audit and confirmed that these reports are sufficient to enable monitoring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has been at Roseneath since May 2016 and has held management positions in the health and disability sector for 14 years, with the last six years at another aged care facility in the Wellington region. Responsibilities and accountabilities are defined in a job description and individual employment agreement.  The facility manager confirmed knowledge of the sector, regulatory and reporting requirements and maintains currency through attending the annual HLL managers conference, external training relevant to her role and in-service training provided by HLL.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their local District Health Board for respite, health recovery and palliative care, as well as the age related residential care and  aged related hospital specialised services at the time of audit. On the day of the audit the service was supporting 15 residents receiving  hospital level care, 12 residents receiving dementia care and 12 residents receiving rest home care. One resident was admited during the day under their respite contract for palliative care, bringing the total to 40 residents on the first day of the audit. The  total available beds in the facility are 29 dual use, 13 dementia and 4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facility manager is absent, HLL uses an experienced facility manager who works on an as needed basis covering the annual leave of their managers. This person carries out all the required duties under delegated authority with the assistance, as needed of the operations and quality and compliance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absences of the clinical services manager, the clinical management is overseen by the operations manager and/or quality and compliance manager who is experienced in the sector and able to take responsibility for any clinical issues that may arise.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has a planned quality and risk system that reflects the principles of continuous quality improvement. This includes management of adverse events (accidents, incidents, infections and complaints), internal audit activities, a regular resident satisfaction survey, monthly monitoring of clinical indicators (which include adverse events) by the clinical manager and weekly compliance reporting by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quality meetings, restraint meetings and infection control meetings are held and minutes are maintained. At interview with the facility manager, she confirmed that quality indicators and related information is reported and discussed at relevant meetings. Meeting minutes are consistently maintained, however while the organisation has a process for analysing collated quality improvement data, this information is only being summarised on a monthly basis and there is no analysis occurring which would enable identification of trends or service shortfalls. An area for improvement is identified in relation to this, and this also links to standards RMSP 2.2.5 and IPC 3.5.7.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reporting and recording adverse events, internal audit activities, and the range of staff and committee meetings.  Relevant corrective actions are developed and implemented to address any issues in response to individual adverse events, during committee meetings. Corrective action plans are also developed by both the operations manager and quality and compliance manager when they have identified systemic issues. Evidence of a range of corrective actions was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satisfaction surveys are completed annually. The most recent survey, completed in January 2017, had an 89% overall satisfaction rating.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This is maintained at the organisation’s national support office and new or updated policies are provided both electronically and in hard copy.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processes for essential notification. The facility manager described these procedures and provided examples of two notifications made since the last audit, both of which related to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 forms reviewed showed these were fully completed, incidents were investigated, action plans developed and actions followed-up in a timely manner. Monthly meetings include discussion of adverse events and the response to these and any follow up action which may be required.  Adverse event data is collated, summarised (see finding 1.2.3.6) and reported to HLL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members interviewed understood the process for reporting and recording adverse events and confirmed that they regularly receive information about summarised adverse event data.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Professional registration and APCs for all employed and contracted health and allied staff was confirmed during the audit visit.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 biennial basis, including mandatory training requirements. Care staff have either completed or commenced a New Zealand Qualification Authority education programme to meet the requirements of the provider’s agreement with the DHB.  Staff working in the dementia care area have either completed or are enrolled in the required education. The activities coordinator employed at the time of the audit was in the process of completing her diversional therapy qualification. The facility had also recruited and appointed a trained diversional therapist who was commencing work at Roseneath on 19th June 2017. This person’s qualification’s and employment documentation was sighted during the audit. (Their current registration expires July 2018).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nursing team are provided with both in-service and external training and development opportunities to meet the requirements of these standards, the providers contract and the needs of the residents. There are also sufficient trained and competent registered nurses who are maintaining their annual competency requirements to undertake interRAI assessments. Records reviewed demonstrated completion of the required training and completion of annual performance appraisals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was adequate staff available to complete the work allocated to them.  Residents and family interviewed supported this. The January 2017 resident satisfaction survey results showed a 92% satisfaction rate for nursing care, 94% for personal rights and 100% for domestic service.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six -week roster cycle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needs assessment service co-ordination (NASC) service and general practitioner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There is open communication between all services, the resident and the family.  At the time of transition between services, appropriate information is provided for the ongoing management of the resident.  All referrals are documented in the progress notes. An example reviewed of a patient recently transferred to the local acute care facility showed fully documented information was provided including any risks.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Weekly audits occur identifying any gaps and has shown continuous improvement and outcomes for a resident in the dementia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monthly/on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 monthly GP review is consistently recorded on the medicine chart.  Standing orders are used, are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who self-administer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authority.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validated nursing assessment tools such as pain scale, falls risk, skin integrity, nutritional screening and depression scale, as a means to identify any deficits and to inform care planning. </w:t>
            </w:r>
          </w:p>
          <w:p w:rsidR="00EB7645" w:rsidRPr="00BE00C7" w:rsidP="00BE00C7">
            <w:pPr>
              <w:pStyle w:val="OutcomeDescription"/>
              <w:spacing w:before="120" w:after="120"/>
              <w:rPr>
                <w:rFonts w:cs="Arial"/>
                <w:b w:val="0"/>
                <w:lang w:eastAsia="en-NZ"/>
              </w:rPr>
            </w:pPr>
            <w:r w:rsidRPr="00BE00C7">
              <w:rPr>
                <w:rFonts w:cs="Arial"/>
                <w:b w:val="0"/>
                <w:lang w:eastAsia="en-NZ"/>
              </w:rPr>
              <w:t>The sample of care plans reviewed had an integrated range of resident-related information.  All residents have current interRAI assessments completed by one of four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and that medical orders are followed.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person undertaking diversional therapy training with oversight of a trained diversional therapist (DT) holding the national Certificate in Diversional Therapy, and a rostered volunteer. The facility has employed a DT to commence on June 19th to assist in the dementia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Residents and families are involved in evaluating and improving the programme through residents’ meetings. Residents and families interviewed confirmed they find the programme provides a variety of activities of interest to them.</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Activities are offered at times when residents are most physically active and/or restless, however the 24 hour plan does not include activities over a 24 hour period and this requires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wounds, falls, skin tears.  When necessary, and for unresolved problems, long term care plans are added to an updated.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the wound nurse specialist and psychogeriatrician. </w:t>
            </w:r>
          </w:p>
          <w:p w:rsidR="00EB7645" w:rsidRPr="00BE00C7" w:rsidP="00BE00C7">
            <w:pPr>
              <w:pStyle w:val="OutcomeDescription"/>
              <w:spacing w:before="120" w:after="120"/>
              <w:rPr>
                <w:rFonts w:cs="Arial"/>
                <w:b w:val="0"/>
                <w:lang w:eastAsia="en-NZ"/>
              </w:rPr>
            </w:pPr>
            <w:r w:rsidRPr="00BE00C7">
              <w:rPr>
                <w:rFonts w:cs="Arial"/>
                <w:b w:val="0"/>
                <w:lang w:eastAsia="en-NZ"/>
              </w:rPr>
              <w:t>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in the laundry and utility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these during the on-site audit. Staff interviewed confirmed there were ample supplies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which expires on 21 June 2017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bio-medical equipment was current as confirmed in documentation reviewed, interviews with the facility manager and observation of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was observed to be hazard free, residents were safe and independence was promoted.  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one bedroom cottage separate from the facility is approved for use by a subsidised resident. The entrance is via steps which has an inadequate  handrail and  would not be suitable a subsidised resident. However, the provider does not use the cottage for the provision of certified services and has not intention to do so. The cottage is currently occupied under a private rental arrangement.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a combination of ensuite toilets, shared bathrooms and shared toilets for residents, and toilets for staff and visitors.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 independence and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With the exception noted below,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wheel chairs and mobility scooters. Family, residents and staff reported the adequacy of bedrooms for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noted in the previous audit report, two bedrooms have been reconfigured into one large bedroom with an ensuite bathroom. It was reconfigured to be available for a couple or as a large premium room. Since the last audit this room is now occupied by an existing resident of the facility who moved into this room by choice. At interview the resident confirmed that she chose to move into the room to have more privacy and space. She is an avid reader and enjoys the aspect of the room and reduced foot traffic outside her door.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members interviewed about the reconfiguration of this double room and the use of the smaller room for rest home level respite talked about being aware of the need to frequently check the residents in these rooms, that some families choose this room because of its location near the old main entrance and nurses station and the additional privacy of its location.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double doors which had previously been in the corridor between the two residents’ rooms and the nurses’ station have now been removed. When interviewing a group of staff, one staff member who has been at the facility for a year had not noticed the removal of the doors because she had never seen them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recreational activities.  There is a large dining room used by all residents who are able and wish to use it. There are three lounges, one in each wing, which are spacious and enable easy access for residents and staff.  Residents can access additional internal recreational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dedicated laundry by family members if requested.  Dedicated laundry staff demonstrated a sound knowledge of the laundry processes, dirty/clean flow and handling of soiled linen. Residents interviewed reported the laundry is managed well and their clothes are returned in a timely manner. The annual residents survey had a 100% score for domestic service. This element included questions about care taken with the resident’s laundry, cleanliness of their bedroom and the bathrooms.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house-keeping team who have received appropriate training.  These staff attend all relevant internal training and the generic orientation as confirmed in interview of cleaning staff and review of training records.  Chemicals were stored in a lockable cupboard and were in appropriately labelled containers. Cleaners’ trolleys were kept under observation when in use and stored in the laundry when not in use. All cleaning products are removed and stored securely when the trolley is not in use.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each staff member’s own practice and a specific internal audit in the annual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has a template and guidelines for emergency planning, preparation and response. These have been used to developed a specific plan for Roseneath and is available and known to staff. The Emergency Plan is based on disaster and civil defence planning guides.  The plan describes the procedures to be followed in the event of a fire or other emergency.   The current fire evacuation plan was approved by the New Zealand Fire Service.  A trial evacuation takes place six-monthly and was sighted during the audit. The orientation programme includes fire and security training.  Staff confirmed their awareness of the emergency procedures. Information and fire evacuation plans are on display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consumables and a gas BBQ were sighted and meet the requirements for the facility at full occupancy. Water storage tanks are located around the complex. Emergency lighting is regularly tested.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and residents and families reported staff respond promptly to call bells. This was also observed during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throughout the facility. The dementia unit has secure external areas , with key pad access on the internal doors. Doors and windows are locked at a predetermined time and night staff check the doors during their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views of the grounds and mature established trees. Heating is provided by wall mounted electric heaters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to the clinical manager, operations manager and head office, and tabled at the quality committee meeting.  This committee includes the clinical manager, IPC coordinator, the health and safety officer, and representatives from care staff.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one year.  She has undertaken external study in infection prevention and control and attended relevant study days, as verified in training records sighted.  Additional support and information is accessed from the infection control team at the DHB, the community laboratory, and the GP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May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An example of this occurred when there was a spike in urinary tract infections in January.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individually analysed to identify any causative factors and required actions, but does not include system analyses (refer criterion 1.2.3.6).  Results of the surveillance programme are shared with staff via regular staff meetings and at staff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policies and procedures meet the requirements of the restraint minimisation and safe practice standards and provide guidance on the safe use of both restraints and enablers.  The restraint coordinator was on leave during the audit but was interviewed by telephone. Another RN was also interviewed. The restraint coordinator’s role includes providing support and oversight for enabler and restraint management in the facility and during interview she demonstrated an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four residents were using restraints and there were no enablers in use. Restraint is used as a last resort when all alternatives have been explored. This was evident on review of the restraint approval group minutes, files reviewed, and from interviews with the two 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restraint coordinator and two other RNs, are responsible for the approval of the use of restraints and the restraint processes. The approval group meets during the quality committee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evident from review of restraint approval group meeting minutes, residents’ files and staff interviews, that there are clear lines of accountability, that all restraints have been approved, and the overall use of restraints is being monitored.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 / EPOA involvement in the decision making was on file in each case. Use of a restraint is part of the plan of care for each of the four residents’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The RN undertakes the initial assessment with the restraint coordinator’s involvement, and input from the resident’s family/EPOA. Both the RN and the restraint coordinator interviewed described the documented process.  Families confirmed their involvement. The general practitioner is involved in the final decision on the safety of the use of the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 and the restraint coordinator’s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and the second RN described how alternatives to restraints were discussed with staff and family members before implementing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All processes to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restraint approval group meetings.  There was evidence of families being  involved in the evaluation process and their satisfaction with the use of restraint to maintain the safety of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At interview with the restraint coordinator and second RN, both discussed the focus on minimising the use of restraint, and there was evidence of this on the register in relation to a resident who now no longer requires the use of a restraint. Documents on this resident’s file demonstrated that the restraint use was appropriate and the approval group considered removal as soon as the nursing care team recommended that it was no longer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and quality committee undertake a six-monthly review of all restraint use which includes the requirements of this Standard. Six monthly restraint meetings and reports are completed and individual use of restraint use is reported to the quality and staff meetings.  Minutes of meeting reviewed confirmed that the HLL system is implemented. This  includes whether all alternatives to restraint have been considered, the effectiveness of the restraint in use, the competency of staff and the appropriateness of restraint / enabler education and feedback from the doctor, staff and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summary only of the amount and type of restraint use in the facility, rather than the required analysis of the data is being prepared and discussed. A finding against standard 1.2.3 has been raised in relation to this. </w:t>
            </w:r>
          </w:p>
          <w:p w:rsidR="00EB7645" w:rsidRPr="00BE00C7" w:rsidP="00BE00C7">
            <w:pPr>
              <w:pStyle w:val="OutcomeDescription"/>
              <w:spacing w:before="120" w:after="120"/>
              <w:rPr>
                <w:rFonts w:cs="Arial"/>
                <w:b w:val="0"/>
                <w:lang w:eastAsia="en-NZ"/>
              </w:rPr>
            </w:pPr>
            <w:r w:rsidRPr="00BE00C7">
              <w:rPr>
                <w:rFonts w:cs="Arial"/>
                <w:b w:val="0"/>
                <w:lang w:eastAsia="en-NZ"/>
              </w:rPr>
              <w:t>HLL’s national support office has recently completed an internal audit of the restraint and enabler use at the facility. This has informed recent improvements in the documentation and meeting records.  Any changes to policies, guidelines, education and processes are forwarded to HLL support office for consideration. Documents reviewed, minutes and interviews with the two staff members confirmed that the use of restraint is minimised on an individual basis (as noted).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346"/>
        <w:gridCol w:w="4255"/>
        <w:gridCol w:w="21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has systems and processes for the collection, analysis and evaluation of quality improvement data. There is consistent reporting of adverse events, collection of data and summaries of the types of events are discussed regularly at general staff meetings, the quality committee and nursing  staff meetings.  Staff members reported receiving these summaries of adverse events and discussing individual responses.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meeting minutes record regular meetings, and list use of restraint by individual residents. Infection surveillance is limited to a description of the type of infections which are occurring each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very limited analysis of summarised data which usually comprises a description of the events / data which have occurred over the past month.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evaluation or analysis of the collected data to establish if there are trends. Data is only summarised on a monthly basis so there no opportunity to look for any issues which are arising over longer periods of time or for systemic issues to be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relation to the use of restraints and enablers, the six monthly quality review of restraint use does not analyse the overall use of restraints in the facility. Rather a summary of use by individual residents is discussed and a focus on minimisation is only at the individual resident level. In relation to infection prevention and control, there is similarly a lack of analysis of the summarised infection surveillance data.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has processes for analysing quality improvement data and these need to be utilised so that there is effective evaluation of all information to identify trends and manage any shortfalls in service delivery.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social history and assessment is completed and an activity programme is provided that reflects resident’s interests. An individual activity plan is developed and signed off by a DT in the hospital and rest wings. Residents’ 24 hour activity plan in the dementia wing was not completed by the DT or activities person and does not reflect activities over a 24 hour period.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24 hour activity plan for each resident in the dementia wing is not completed by the recreation officer or DT.  Time sections, particularly overnight, are not all completed to include activities for staff about a range of suitable activities that they could undertake with residents at indicated times, when the recreation officer is not present. </w:t>
            </w:r>
          </w:p>
          <w:p w:rsidR="00EB7645" w:rsidRPr="00BE00C7" w:rsidP="00BE00C7">
            <w:pPr>
              <w:pStyle w:val="OutcomeDescription"/>
              <w:spacing w:before="120" w:after="120"/>
              <w:rPr>
                <w:rFonts w:cs="Arial"/>
                <w:b w:val="0"/>
                <w:lang w:eastAsia="en-NZ"/>
              </w:rPr>
            </w:pPr>
            <w:r w:rsidRPr="00BE00C7">
              <w:rPr>
                <w:rFonts w:cs="Arial"/>
                <w:b w:val="0"/>
                <w:lang w:eastAsia="en-NZ"/>
              </w:rPr>
              <w:t>The sections during daytime include cares, meals and other caregiving tasks. During the night time the sections have either been left blank or include the words “sleeping when checked”. Evidence in files reviewed showed that these residents were consistently up / awake during these times.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24 hour activity plan for residents in the dementia wing is to include activities over a 24 hour period including during night times when the resident is awake.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37"/>
        <w:gridCol w:w="1280"/>
        <w:gridCol w:w="7079"/>
        <w:gridCol w:w="25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fully implemented electronic software for medication management, including weekly audit reports that identifies gaps in completing documentation, including reasons for PRN (as required) medication. On review of the weekly audit the facility has implemented training, placed notices and reminders to staff to complete reasons and outcomes of PRN medications administration within the system.</w:t>
            </w:r>
          </w:p>
          <w:p w:rsidR="00EB7645" w:rsidRPr="00BE00C7" w:rsidP="00BE00C7">
            <w:pPr>
              <w:pStyle w:val="OutcomeDescription"/>
              <w:spacing w:before="120" w:after="120"/>
              <w:rPr>
                <w:rFonts w:cs="Arial"/>
                <w:b w:val="0"/>
                <w:lang w:eastAsia="en-NZ"/>
              </w:rPr>
            </w:pPr>
            <w:r w:rsidRPr="00BE00C7">
              <w:rPr>
                <w:rFonts w:cs="Arial"/>
                <w:b w:val="0"/>
                <w:lang w:eastAsia="en-NZ"/>
              </w:rPr>
              <w:t>A further review of the weekly audits has identified a reduction in the number of non-reporting of outcomes of PRN medication over a two month period. As well this has resulted in an improved outcome for one resident who had poor mobility and a PI in the dementia wing who was unable to verbalise pain. The reason for the PRN medication and a comment as to the outcome was included in the electronic review, and this then resulted in an increase in frequency and a change to pain medication from PRN to regular and more frequent. The resident can now mobilise without assistance and the PI has shown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Full implementation of an electronic medication system, including weekly audits and reviews to identify reasons and outcomes of PRN medication has resulted in an improved outcome in pain control and PI for one resident.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Roseneath Lifecare</w:t>
    </w:r>
    <w:bookmarkEnd w:id="58"/>
    <w:r>
      <w:rPr>
        <w:rFonts w:cs="Arial"/>
        <w:sz w:val="16"/>
        <w:szCs w:val="20"/>
      </w:rPr>
      <w:tab/>
      <w:t xml:space="preserve">Date of Audit: </w:t>
    </w:r>
    <w:bookmarkStart w:id="59" w:name="AuditStartDate1"/>
    <w:r>
      <w:rPr>
        <w:rFonts w:cs="Arial"/>
        <w:sz w:val="16"/>
        <w:szCs w:val="20"/>
      </w:rPr>
      <w:t>7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