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Carter Society Incorporated - Carter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Carter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Carter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May 2017</w:t>
      </w:r>
      <w:bookmarkEnd w:id="7"/>
      <w:r w:rsidRPr="009418D4">
        <w:rPr>
          <w:rFonts w:cs="Arial"/>
        </w:rPr>
        <w:tab/>
        <w:t xml:space="preserve">End date: </w:t>
      </w:r>
      <w:bookmarkStart w:id="8" w:name="AuditEndDate"/>
      <w:r w:rsidR="00A4268A">
        <w:rPr>
          <w:rFonts w:cs="Arial"/>
        </w:rPr>
        <w:t>4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Carter Court Rest Home provides rest home and hospital level care for up to 41 residents. The service is operated by the Carter Society Incorporated and managed by a manager and nurse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management, staff, members of the Executive Committee and a general practitioner.  </w:t>
      </w:r>
    </w:p>
    <w:p w:rsidRPr="00A4268A">
      <w:pPr>
        <w:spacing w:before="240" w:line="276" w:lineRule="auto"/>
        <w:rPr>
          <w:rFonts w:eastAsia="Calibri"/>
        </w:rPr>
      </w:pPr>
      <w:r w:rsidRPr="00A4268A">
        <w:rPr>
          <w:rFonts w:eastAsia="Calibri"/>
        </w:rPr>
        <w:t xml:space="preserve">This audit has resulted in a continuous improvement rating in falls management, health and safety and a research project involving the service’s health assistants.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Care is guided by a comprehensive Māori health plan and related policies. There was no evidence of abuse, neglect or discrimination and staff understood how to implement related policies should this be required.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Strategic, 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Registered nurses are on duty 24 hours each day in the facility and are supported by care and allied health staff and a designated general practitioner.   On call arrangements for support from senior staff are in place.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were identified and reviewed on a regular basis. Residents and families interviewed reported being well informed and involved in care planning and evaluation, and that the care provided was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overseen by a diversional therapist,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enrolled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Staff working in the service have food safety qualifications. The kitchen was well organised, clean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or restraints in use at the time of audit. The facility supports a restraint free environment. Policy and processes are in place for comprehensive assessment, approval and monitoring with regular reviews, should any enabler or restraint use be indicated.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an external advisor and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3"/>
        <w:gridCol w:w="1280"/>
        <w:gridCol w:w="90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Carter Court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consent for photographs, outings, names on doors and the collection and sharing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was defined and documented where relevant in the residents’ records as relevant.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and examples of their involvement were discussed with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supports the accredited visiting service, an Aged concern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two complaints have been received over the past year and that actions taken, through to an agreed resolution, are documented and completed within the timeframes.  Action plans show any required follow up and improvements have been made where possible.  The nurse manager and the business and finance administrator are responsible for complaints management and follow up. All staff interviewed confirmed an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through information provided as part of the admission process, discussion with staff, and by frequent discussions on consumer rights at resident meetings. The Code is displayed in communal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and exchanging verbal information.  All residents have a single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being assisted to maintain ongoing interests, attending community activities, providing input to any arrangements required for community visits and participation in clubs or outings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review of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the one resident in the service who identifies as Māori to integrate their cultural values and beliefs.  The principles of the Treaty of Waitangi are incorporated into day to day practice, as is the importance of whānau to Māori residents.  There is a current Māori health plan developed with input from cultural advisors.  Current access to resources includes the contact details of local cultural advisors.  Guidance on tikanga best practice is available and is supported by staff who identify as Māori in the facility. A member of the local iwi and a kaumatua is on the Executive Committee of Carter Court.  The Māori resident and the whānau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have records of completion of the required training on professional boundaries.  Staff are provided with a Code of Conduct as part of their employment agreement.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specialists, the physiotherapist, wound care specialist, community dieticians, seating specialists, psychogeriatrician and mental health services for older persons), access to journal articles and education of staff. The nurse manager addresses immediately with the person concerned any practice that could compromise safety.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access to clinical updates and onsite education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wide range accessible resources to ensure current best practice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able to be accessed when required. Staff knew how to do so, although reported this was rarely required due to all present residents being able to speak English or staff being able to provide interpretation as and when needed.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communicating effectively with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and goals of the organisation. The documents describe annual and longer term objectives and the associated operational plans. A sample of monthly reports to the Audit and Finance Committee and Executive Committee showed adequate information to monitor performance is reported including financial performance, emerging risks and issues, occupancy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manager who holds relevant qualifications and has been in the role for six years. Responsibilities and accountabilities are defined in a job description and individual employment agreement. The manager confirms knowledge of the sector, regulatory and reporting requirements and maintains currency through ongoing external study and regular liaison with other managers in the sector.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aged residential care (both hospital and rest home level), respite, heath recovery and chronic long term health conditions. 34 residents were receiving services under the rest home contract and six under the hospital level care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business and finance administrator and the nurse manager together carry out all the required duties under delegated authority. During absences of key clinical staff, the clinical management is overseen by a senior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the research initiative to enhance engagement of health assistants in their daily work activity.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meetings, health and safety and the staff meetings. Staff reported their involvement in quality and risk management activities through internal audit activities, the research project and the regular staff meetings. Relevant corrective actions are developed and implemented to address any shortfalls. Resident meetings are held regularly with the deputy chair of the Executive Committee, where recent issues concerning food options were raised and procedures were subsequently reviewed and changed. Family satisfaction surveys are completed annually. The most recent survey showed any issues raised were followed up appropriately and actions then communicated to the families through the regular newsletter.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health and safety policies and procedures and the work of the Health and Safety Committee have been developed to meet the requirements of ACC tertiary accreditation.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management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management team and the executive committee.</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administration manager described essential notification reporting requirements, including for pressure injuries. They advised there have been no notifications of significant events made to the Ministry of Health, since the previous audit. One staff related injury was recently notified to Worksafe using the appropriate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induction and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Care staff have either completed or commenced a New Zealand Qualification Authority education programme to meet the requirements of the provider’s agreement with the DHB. Two staff members are internal assessors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two-week roster cycle for health assistants and a four-week cycle for RNs,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meet with nurse manager. They are also provided with written information about the service and the admission process. The organisation seeks updates information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  At the time of transition between services, appropriate information, including medication records is provided for the ongoing management of the resident.  All referrals are documented in the progress notes. An example reviewed of a patient recently transferred to the local acute care facility showed a co-ordinated, planned approach.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 number of residents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nurse manager and recorded on an accident/incident form. The resident and/or the designated representative are advised. There is a process for comprehensive analysis of any medication errors, and compliance with this process is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were used, were current and complied with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in May 2016.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satisfaction surveys and resident meeting minutes.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nurse manager.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current interRAI assessments completed by one of two trained interRAI assessors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From May to September 2016 it was identified that the number of incident/accident forms directly relating to falls was between 50% and 84% of the total number of monthly incident/accident forms recorded. An initiative was implemented to focus on a small number of residents who continued to have frequent falls, despite conventional approaches and strategies being in place. The implementation of this initiative is identified as an area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trained diversional therapists holding the national Certificate in Diversional Therapy, with support from two assistants and rostered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residents needs change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 residents’ goals, ordinary patterns of life and include normal community activities. Individual, group activities and regular events are offered. Following an organised event, the event is evaluated by all parties involved. The residents decide whether they were satisfied or not. Results of findings are integrated into the planning of the next event. Changes are made to ongoing events as a result of the feedback received. </w:t>
            </w:r>
          </w:p>
          <w:p w:rsidR="00EB7645" w:rsidRPr="00BE00C7" w:rsidP="00BE00C7">
            <w:pPr>
              <w:pStyle w:val="OutcomeDescription"/>
              <w:spacing w:before="120" w:after="120"/>
              <w:rPr>
                <w:rFonts w:cs="Arial"/>
                <w:b w:val="0"/>
                <w:lang w:eastAsia="en-NZ"/>
              </w:rPr>
            </w:pPr>
            <w:r w:rsidRPr="00BE00C7">
              <w:rPr>
                <w:rFonts w:cs="Arial"/>
                <w:b w:val="0"/>
                <w:lang w:eastAsia="en-NZ"/>
              </w:rPr>
              <w:t>Documented planning sheets, includes comprehensive assessment data recorded to identify factors to be addressed to make the event successful. Risks are identified as are the strategies to manage the risks. In the event of the diversional therapist being absent, a colleague is able to identify what is needed for the event to go ahead without her.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discussed at the minuted residents’ meetings and indicated residents’ input is sought and responded to. A recent request for bacon and eggs for breakfast and more fruit to be available has been attended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demonstrated satisfaction with the programme and that information is used to improve the range of activities offered. Residents interviewed confirmed they find the programme very diverse and enjoyable.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were consistently reviewed for and progress evaluated as clinically indicated (daily, weekly or fortnightly)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June 2017)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biomedical equipment is current as confirmed in documentation reviewed, interviews with maintenance personnel and observation of the environment.  The environment is hazard free,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all rooms in the Bill Monk wing which have their own ensuites. Appropriately secured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store mobility aids and wheel chairs around the facility. Mobility scooters are stored in an outside shed.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Large communal areas are available for residents to engage in activities.  The dining and lounge areas are spacious and enable easy access for residents and staff.  Residents can access a number of smaller lounge and library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lockable areas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regularly through the internal audit programme and these results show consistently high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29 April 2004. A trial evacuation takes place six-monthly with a copy sent to the New Zealand Fire Service, the most recent being on 13 March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rechargeable torches, first aid supplies and gas cookers were sighted and meet the requirements for the 40 residents. Emergency lighting is regularly tested and there is access to a generator if required.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call system is monitored informally by the senior staff and residents and families reported staff do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were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wall heaters in all residents’ rooms and heat pumps and additional wall heaters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an external advisor. The IPC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the designated IPC nurse, whose role and responsibilities are defined in a job description. Infection control matters, including surveillance results, are tabled monthly at staff, health and safety, and quality meetings, in addition to the fortnightly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nurse has appropriate skills, knowledge and qualifications for the role, and has been in an IPC role for many years prior to her position at Carter Court.  She has undertaken an array of training in infection prevention and control and attended relevant study days, as verified in training records sighted.  Well-established local networks with the infection control team at the DHB are available in addition to expert advice from a contracted advisor and the community laboratory if additional support/information is required.  The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last reviewed in 2016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appropriate to the setting.  Hand washing and sanitiser dispensers are readily available around the facility.  Staff interviewed verified knowledge of IPC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IPC annual plan. Interviews, observation and documentation verified staff have received education in infection prevention and control at orientation and ongoing education sessions.  Education is provided by suitably qualified registered nurses, and the infection control nurse.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residents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and management is documented in the residents’ clinical records and on infection reporting form. New infections and any required management plan are discussed at handover, to ensure early intervention occurs. The IPC nurse reviews all reported infections.  Monthly surveillance data is collated, recorded and analysed to identify any trends, possible causative factors and required actions. Results of the surveillance programme are shared with staff via quality meetings, staff meetings and at resident handovers as confirmed in meeting minutes sighted and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any enabler and restraint management in the facility if required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who were using either restraints or enablers and the facility maintains a restraint free environment. </w:t>
            </w:r>
          </w:p>
          <w:p w:rsidR="00EB7645" w:rsidRPr="00BE00C7" w:rsidP="00BE00C7">
            <w:pPr>
              <w:pStyle w:val="OutcomeDescription"/>
              <w:spacing w:before="120" w:after="120"/>
              <w:rPr>
                <w:rFonts w:cs="Arial"/>
                <w:b w:val="0"/>
                <w:lang w:eastAsia="en-NZ"/>
              </w:rPr>
            </w:pPr>
            <w:r w:rsidRPr="00BE00C7">
              <w:rPr>
                <w:rFonts w:cs="Arial"/>
                <w:b w:val="0"/>
                <w:lang w:eastAsia="en-NZ"/>
              </w:rPr>
              <w:t>Restraint is only ever used as a last resort when all alternatives have been explored. This was evident from interviews with staff and the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8726"/>
        <w:gridCol w:w="25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through the Health and Safety Committee, identified opportunities for further improvement in their health and safety practices across the organisation. The Executive Committee were then engaged in the process of quality improvement and have now all completed health and safety training from the Health and Safety (H&amp;S) representative, including oversight of the manual and hazard management. The Committee also undertook training around all changes in regard to the Health and Safety at Work (HSAW) Act and their responsibilities as officers of the PCBU, which was undertaken by Business Central. They are now fully aware of their responsibilities as officers and all that implies. They understand their need to be fully informed of day to day H&amp;S operations and reporting. H&amp;S training is a formal part of the Executive Committee membership orientation and has been updated to the new legislation in the governance policy. The Health and Safety representative has undertaken training in relation to the Health and Safety at Work Act (2015) training, which has ensured an in depth understanding of all the relevant obligations and responsibilities. Subsequently new processes have been implemented for all contractors who are on site at the facility. In addition she also undertook further training in hazard management and accident investigation. The health and safety manual has been updated to reflect all changes in the HSAW Act and significant work has been completed in further developing health and safety policies and procedures.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now has a fully trained staff member on site who has undertaken significant training over and above the requirements of the new legislation. The H&amp;S manual is fully updated in terms of the HSWA. The Executive Committee now get a copy monthly of the health &amp; safety committee minutes with reporting on these minutes being recorded at Finance &amp; Audit Committee meetings, a process that was implemented following the changes in the Act. The service was audited by the ACC in February of this year which resulted in a marked improvement on their previous audit results and retention of their tertiary accreditation for another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identified that that the aged care workforce is relatively poorly paid and has a high turnover of staff, yet cares for a highly vulnerable population. A PhD research student believed understanding of the motivational factors in that workforce had the potential to improve both care and the work experience of those in this care setting. A research initiative was undertaken at Carter Court to explore motivational factors and improve understanding of how the health assistants can better engage in their work providing care for the residents, improve the quality of care and also workplace satisfaction. An advisory group of four self-selected caregivers was recruited and these staff co-designed an action plan which was implemented at the facility. The action plan has been implemented with initial work being completed and evaluated. The plan included caregiver only meetings, opportunities to learn teamwork and time management skills, task sheets, rotating rosters and leadership development. The regular meetings are well attended and a number of issues were identified with solutions suggested and implemented. These include improved shower rosters, lunchtime meal management and improved clarification of duty tasks. The findings from the implementation of the action plan indicate that the caregivers are more satisfied in their work and suggests they are achieving this by identifying issues, solving their problems and validating each other’s views. This is resulting in more effective and efficient provision of care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research initiative was implemented at the facility in November 2016 in an effort to improve caregiver satisfaction in the work place and improve the care to residents. Following the development and implementation of their action plan, which was supported by the management team, the caregiving staff have initiated a number of improvements to their daily tasks which is subsequently improving care to the residents. Staff are feeling more valued and more willing to offer suggestions on the care of residents. They are working better as a team and are more ‘engaged’ with increased communication with managers.  Staff retention will be evaluated on an ongoing basis as the initiative becomes imbedded into the business as usual process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aim of the project was to reduce the number of falls for residents identified as continuing to have frequent falls, despite conventional approaches and strategies being in place</w:t>
              <w:br/>
              <w:t>Initial discussions at management level identified that a member of the management team was interested in leading the initiative. Through these initial discussions and subsequent research, the following was agreed:</w:t>
            </w:r>
          </w:p>
          <w:p w:rsidR="00EB7645" w:rsidRPr="00BE00C7" w:rsidP="00BE00C7">
            <w:pPr>
              <w:pStyle w:val="OutcomeDescription"/>
              <w:spacing w:before="120" w:after="120"/>
              <w:rPr>
                <w:rFonts w:cs="Arial"/>
                <w:b w:val="0"/>
                <w:lang w:eastAsia="en-NZ"/>
              </w:rPr>
            </w:pPr>
            <w:r w:rsidRPr="00BE00C7">
              <w:rPr>
                <w:rFonts w:cs="Arial"/>
                <w:b w:val="0"/>
                <w:lang w:eastAsia="en-NZ"/>
              </w:rPr>
              <w:t>1.</w:t>
              <w:tab/>
              <w:t>To have a champion – someone to monitor and drive the initiative, report back to management and staff and to ensure that agreed practices were being incorporated in to individual resident’s care plan</w:t>
              <w:br/>
              <w:t>2.</w:t>
              <w:tab/>
              <w:t>To ensure best practice. A ‘champion’ joined the local DHB falls group being the only aged care representative on the group. This enabled positive sharing of information and evidenced based ideas on what was best practice. In addition, there was access to key ‘experts’ who could provide information and input when required.</w:t>
              <w:br/>
              <w:t>3.</w:t>
              <w:tab/>
              <w:t>To ensure ‘whole of staff’ engagement in the management and monitoring of falls (nurses, home assistants, cleaning, laundry, maintenance and kitchen staff). To have regular communication, feedback processes, sharing of issues, concerns and ideas to develop further possible strategies. To do comprehensive assessment of identified high risk residents, their environment with interventions and strategies clearly identified on care plans and reviewed regularly – daily if necessary. To ensure integration of assessments by external partners such as GP and CNS health of older people.</w:t>
              <w:br/>
              <w:t>4.</w:t>
              <w:tab/>
              <w:t>To ensure that interventions incorporated not only the resident’s physical needs, but their social and emotional needs. This was to ensure the provision of person-centred care, maximise their own sense of control and wellbeing and achievement when it came to how they took care of themselves and monitored their own risk.</w:t>
              <w:br/>
              <w:t>5.</w:t>
              <w:tab/>
              <w:t>To ensure partnership with resident and family/whanau/EPOA to enable person-centred strategies.</w:t>
              <w:br/>
              <w:t>6.</w:t>
              <w:tab/>
              <w:t>Falls prevention is a regular agenda item for fortnightly management group meetings, monthly staff and nurses’ meetings.  Further discussion takes place at monthly home assistant and health and safety meetings.  Results of these discussions are recorded in minutes and circulated, available to all staff.</w:t>
              <w:br/>
              <w:t>7.</w:t>
              <w:tab/>
              <w:t xml:space="preserve">A falls register has been developed, and is maintained by the designated falls leader and updated following staff meetings or earlier if required.  This register identifies high risk residents individually with monthly analysis, evaluations and results of discussions noted following meetings.   </w:t>
              <w:br/>
              <w:t>8.</w:t>
              <w:tab/>
              <w:t xml:space="preserve">Resources and information from the Wairarapa DHB Falls Prevention group is regularly disseminated for the benefit of residents, staff and families/whanau. </w:t>
              <w:br/>
              <w:t>9.</w:t>
              <w:tab/>
              <w:t>An annual focus on falls prevention in April to align with the HQ &amp; S Commission “April Falls Month”.</w:t>
              <w:br/>
              <w:t>10.</w:t>
              <w:tab/>
              <w:t>Monthly falls statistics are collated and individual residents are evaluated and discussed with any further interventions and outcomes documented in the Falls Register and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Evaluation/Outcomes </w:t>
            </w:r>
          </w:p>
          <w:p w:rsidR="00EB7645" w:rsidRPr="00BE00C7" w:rsidP="00BE00C7">
            <w:pPr>
              <w:pStyle w:val="OutcomeDescription"/>
              <w:spacing w:before="120" w:after="120"/>
              <w:rPr>
                <w:rFonts w:cs="Arial"/>
                <w:b w:val="0"/>
                <w:lang w:eastAsia="en-NZ"/>
              </w:rPr>
            </w:pPr>
            <w:r w:rsidRPr="00BE00C7">
              <w:rPr>
                <w:rFonts w:cs="Arial"/>
                <w:b w:val="0"/>
                <w:lang w:eastAsia="en-NZ"/>
              </w:rPr>
              <w:t>1.</w:t>
              <w:tab/>
              <w:t>Staff have become more engaged and so better informed regarding an individual resident’s risk and care.</w:t>
              <w:br/>
              <w:t>2.</w:t>
              <w:tab/>
              <w:t>Staff have responded with initiatives for individual residents based to reduce risk and the number of falls.</w:t>
              <w:br/>
              <w:t>3.</w:t>
              <w:tab/>
              <w:t>Because of discussion at the staff meeting, staff are more aware and engaged, and there is better monitoring of the environment.</w:t>
              <w:br/>
              <w:t>4.</w:t>
              <w:tab/>
              <w:t>As staff are more aware of individual residents and their falls risk, changes they are more easily able to identify a potential risk i.e. a decline in health.</w:t>
              <w:br/>
              <w:t>5.</w:t>
              <w:tab/>
              <w:t>A traffic light system of coloured stickers has been implemented on residents’ files, providing to care staff a quick visual indication of each resident’s falls risk.</w:t>
              <w:br/>
              <w:t>6.</w:t>
              <w:tab/>
              <w:t xml:space="preserve">Times of falls are graphed monthly and individual trends are investigated. This has led to an increased understanding of the high-risk times of day for falls. Increased staffing hours have been implemented – a floater caregiver in the morning, and the ability to increase the caregiver hours in the evening according to identified need. </w:t>
            </w:r>
          </w:p>
          <w:p w:rsidR="00EB7645" w:rsidRPr="00BE00C7" w:rsidP="00BE00C7">
            <w:pPr>
              <w:pStyle w:val="OutcomeDescription"/>
              <w:spacing w:before="120" w:after="120"/>
              <w:rPr>
                <w:rFonts w:cs="Arial"/>
                <w:b w:val="0"/>
                <w:lang w:eastAsia="en-NZ"/>
              </w:rPr>
            </w:pPr>
            <w:r w:rsidRPr="00BE00C7">
              <w:rPr>
                <w:rFonts w:cs="Arial"/>
                <w:b w:val="0"/>
                <w:lang w:eastAsia="en-NZ"/>
              </w:rPr>
              <w:t>Resident Analysis</w:t>
            </w:r>
          </w:p>
          <w:p w:rsidR="00EB7645" w:rsidRPr="00BE00C7" w:rsidP="00BE00C7">
            <w:pPr>
              <w:pStyle w:val="OutcomeDescription"/>
              <w:spacing w:before="120" w:after="120"/>
              <w:rPr>
                <w:rFonts w:cs="Arial"/>
                <w:b w:val="0"/>
                <w:lang w:eastAsia="en-NZ"/>
              </w:rPr>
            </w:pPr>
            <w:r w:rsidRPr="00BE00C7">
              <w:rPr>
                <w:rFonts w:cs="Arial"/>
                <w:b w:val="0"/>
                <w:lang w:eastAsia="en-NZ"/>
              </w:rPr>
              <w:t>Resident 1, had 16 falls in last three months of 2016. Most falls occurred in the bedroom and times of falls were spread throughout 24 hours.  Strategies to manage the falls were initiated after in depth analysis of the situation in addition to staff input and discussion and included contacting ACC to fund hearing aids to provide this resident with increased awareness of surroundings and potential hazards (with excellent outcome); For the first few months a sensor mat was in place to alert staff (now no longer needed); extended call bell in place to allow ease of calling for assistance.</w:t>
              <w:br/>
              <w:t xml:space="preserve">All these strategies were initiated because of full staff input and discussion.  With staff being fully aware monitoring was vigilant and continuous.  </w:t>
              <w:br/>
              <w:t>This resident has had no falls recorded in recent months.</w:t>
            </w:r>
          </w:p>
          <w:p w:rsidR="00EB7645" w:rsidRPr="00BE00C7" w:rsidP="00BE00C7">
            <w:pPr>
              <w:pStyle w:val="OutcomeDescription"/>
              <w:spacing w:before="120" w:after="120"/>
              <w:rPr>
                <w:rFonts w:cs="Arial"/>
                <w:b w:val="0"/>
                <w:lang w:eastAsia="en-NZ"/>
              </w:rPr>
            </w:pPr>
            <w:r w:rsidRPr="00BE00C7">
              <w:rPr>
                <w:rFonts w:cs="Arial"/>
                <w:b w:val="0"/>
                <w:lang w:eastAsia="en-NZ"/>
              </w:rPr>
              <w:t>Resident 2, following admission had 26 falls recorded in the first five months. Strategies to manage the falls were initiated  after in depth analysis of the situation in addition to staff input and discussion and include: the electric chair control turned off at wall when carer not present to minimise risk of tipping self out of chair due to resident pressing the chair control buttons; reassessment by diversional therapist for individualised distraction activities that are therapeutic and engage the resident; radio on preferred radio station; timely provision of extra food and fluids (resident is accustomed to frequent cups of tea) and continuing this has been of benefit; identification of cues that indicate potential restlessness. With full involvement and input from all staff this resident’s falls have reduced to five falls in the last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initiative was implemented to focus on addressing the individualised needs of a small number of residents who continued to have frequent falls despite the use of conventional approaches and strategies.  This initiative has led to a substantial reduction in falls by integrating a number of comprehensive interventions which are specific to each resident.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Carter Society Incorporated - Carter Court Rest Home</w:t>
    </w:r>
    <w:bookmarkEnd w:id="58"/>
    <w:r>
      <w:rPr>
        <w:rFonts w:cs="Arial"/>
        <w:sz w:val="16"/>
        <w:szCs w:val="20"/>
      </w:rPr>
      <w:tab/>
      <w:t xml:space="preserve">Date of Audit: </w:t>
    </w:r>
    <w:bookmarkStart w:id="59" w:name="AuditStartDate1"/>
    <w:r>
      <w:rPr>
        <w:rFonts w:cs="Arial"/>
        <w:sz w:val="16"/>
        <w:szCs w:val="20"/>
      </w:rPr>
      <w:t>3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