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65" w:rsidRDefault="00705AB0" w:rsidP="00C70606">
      <w:pPr>
        <w:pStyle w:val="Title"/>
      </w:pPr>
      <w:r>
        <w:t>The Well Child</w:t>
      </w:r>
      <w:r w:rsidR="00B7773C">
        <w:t xml:space="preserve"> </w:t>
      </w:r>
      <w:r>
        <w:t>/ Tamariki Ora Quality Improvement Framework</w:t>
      </w:r>
    </w:p>
    <w:p w:rsidR="00C86248" w:rsidRDefault="00C86248" w:rsidP="00343365">
      <w:pPr>
        <w:pStyle w:val="Subhead"/>
      </w:pPr>
    </w:p>
    <w:p w:rsidR="00142954" w:rsidRPr="00142954" w:rsidRDefault="00142954" w:rsidP="00142954">
      <w:pPr>
        <w:sectPr w:rsidR="00142954" w:rsidRPr="00142954" w:rsidSect="000F2AE2">
          <w:headerReference w:type="default" r:id="rId7"/>
          <w:footerReference w:type="default" r:id="rId8"/>
          <w:pgSz w:w="11907" w:h="16834" w:code="9"/>
          <w:pgMar w:top="3969" w:right="851" w:bottom="851" w:left="2552" w:header="851" w:footer="851" w:gutter="0"/>
          <w:cols w:space="720"/>
        </w:sectPr>
      </w:pPr>
    </w:p>
    <w:p w:rsidR="00A80363" w:rsidRPr="00D54D50" w:rsidRDefault="00A80363">
      <w:pPr>
        <w:pStyle w:val="Imprint"/>
      </w:pPr>
      <w:r>
        <w:lastRenderedPageBreak/>
        <w:t xml:space="preserve">Citation: </w:t>
      </w:r>
      <w:r w:rsidR="00705AB0">
        <w:t xml:space="preserve">Ministry of Health. 2013. </w:t>
      </w:r>
      <w:r w:rsidR="00705AB0">
        <w:rPr>
          <w:i/>
        </w:rPr>
        <w:t>The Well Child/Tamariki Ora Quality Improvement Framework</w:t>
      </w:r>
      <w:r w:rsidR="00705AB0">
        <w:t>. Wellington: Ministry of Health.</w:t>
      </w:r>
    </w:p>
    <w:p w:rsidR="00C86248" w:rsidRDefault="00C86248">
      <w:pPr>
        <w:pStyle w:val="Imprint"/>
      </w:pPr>
      <w:r>
        <w:t xml:space="preserve">Published in </w:t>
      </w:r>
      <w:r w:rsidR="00705AB0">
        <w:t xml:space="preserve">July </w:t>
      </w:r>
      <w:r w:rsidR="008535DE">
        <w:t xml:space="preserve">2013 </w:t>
      </w:r>
      <w:r>
        <w:t>by the</w:t>
      </w:r>
      <w:r w:rsidR="005019AE">
        <w:br/>
      </w:r>
      <w:r>
        <w:t>Ministry of Health</w:t>
      </w:r>
      <w:r>
        <w:br/>
        <w:t>PO Box 5013, Wellington</w:t>
      </w:r>
      <w:r w:rsidR="00A80363">
        <w:t xml:space="preserve"> 6145</w:t>
      </w:r>
      <w:r>
        <w:t>, New Zealand</w:t>
      </w:r>
    </w:p>
    <w:p w:rsidR="001A627D" w:rsidRDefault="00082CD6" w:rsidP="00082CD6">
      <w:pPr>
        <w:pStyle w:val="Imprint"/>
      </w:pPr>
      <w:r>
        <w:t xml:space="preserve">ISBN: </w:t>
      </w:r>
      <w:r w:rsidR="00AA222E">
        <w:t xml:space="preserve">978-0-478-40298-8 </w:t>
      </w:r>
      <w:r>
        <w:t>(online)</w:t>
      </w:r>
      <w:r w:rsidRPr="009C0F2D">
        <w:br/>
        <w:t>HP</w:t>
      </w:r>
      <w:r w:rsidR="00AA222E">
        <w:t xml:space="preserve"> 5688</w:t>
      </w:r>
    </w:p>
    <w:p w:rsidR="00C86248" w:rsidRDefault="00C86248">
      <w:pPr>
        <w:pStyle w:val="Imprint"/>
      </w:pPr>
      <w:r>
        <w:t xml:space="preserve">This document is available </w:t>
      </w:r>
      <w:r w:rsidR="0071741C">
        <w:t>at w</w:t>
      </w:r>
      <w:r>
        <w:t>ww.h</w:t>
      </w:r>
      <w:r w:rsidR="00A80363">
        <w:t>ealth</w:t>
      </w:r>
      <w:r>
        <w:t>.govt.nz</w:t>
      </w:r>
    </w:p>
    <w:p w:rsidR="00C86248" w:rsidRPr="00B701D1" w:rsidRDefault="00794E85">
      <w:pPr>
        <w:jc w:val="center"/>
      </w:pPr>
      <w:r>
        <w:rPr>
          <w:b/>
          <w:noProof/>
          <w:lang w:eastAsia="en-NZ"/>
        </w:rPr>
        <w:drawing>
          <wp:inline distT="0" distB="0" distL="0" distR="0">
            <wp:extent cx="1621155" cy="664845"/>
            <wp:effectExtent l="0" t="0" r="0" b="1905"/>
            <wp:docPr id="1" name="Picture 1" descr="Ministry of Health logo"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155" cy="664845"/>
                    </a:xfrm>
                    <a:prstGeom prst="rect">
                      <a:avLst/>
                    </a:prstGeom>
                    <a:noFill/>
                    <a:ln>
                      <a:noFill/>
                    </a:ln>
                  </pic:spPr>
                </pic:pic>
              </a:graphicData>
            </a:graphic>
          </wp:inline>
        </w:drawing>
      </w:r>
    </w:p>
    <w:p w:rsidR="001B0EBF" w:rsidRPr="00D535D0" w:rsidRDefault="001B0EBF" w:rsidP="001B0EBF">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4" name="Picture 4"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1"/>
          <w:footerReference w:type="default" r:id="rId12"/>
          <w:pgSz w:w="11907" w:h="16834" w:code="9"/>
          <w:pgMar w:top="1701" w:right="1134" w:bottom="1134" w:left="1985" w:header="0" w:footer="0" w:gutter="0"/>
          <w:cols w:space="720"/>
          <w:vAlign w:val="bottom"/>
        </w:sectPr>
      </w:pPr>
      <w:bookmarkStart w:id="0" w:name="_GoBack"/>
      <w:bookmarkEnd w:id="0"/>
    </w:p>
    <w:p w:rsidR="00C86248" w:rsidRDefault="00C86248">
      <w:pPr>
        <w:pStyle w:val="IntroHead"/>
      </w:pPr>
      <w:bookmarkStart w:id="1" w:name="_Toc405792991"/>
      <w:bookmarkStart w:id="2" w:name="_Toc405793224"/>
      <w:r>
        <w:lastRenderedPageBreak/>
        <w:t>Contents</w:t>
      </w:r>
      <w:bookmarkEnd w:id="1"/>
      <w:bookmarkEnd w:id="2"/>
    </w:p>
    <w:p w:rsidR="00624D18" w:rsidRPr="00F46526" w:rsidRDefault="00C86248">
      <w:pPr>
        <w:pStyle w:val="TOC1"/>
        <w:rPr>
          <w:rFonts w:ascii="Calibri" w:hAnsi="Calibri"/>
          <w:b w:val="0"/>
          <w:noProof/>
          <w:szCs w:val="22"/>
          <w:lang w:eastAsia="en-NZ"/>
        </w:rPr>
      </w:pPr>
      <w:r>
        <w:rPr>
          <w:b w:val="0"/>
        </w:rPr>
        <w:fldChar w:fldCharType="begin"/>
      </w:r>
      <w:r>
        <w:instrText xml:space="preserve"> TOC \o "1-2" </w:instrText>
      </w:r>
      <w:r>
        <w:rPr>
          <w:b w:val="0"/>
        </w:rPr>
        <w:fldChar w:fldCharType="separate"/>
      </w:r>
      <w:r w:rsidR="00624D18">
        <w:rPr>
          <w:noProof/>
        </w:rPr>
        <w:t>Executive summary</w:t>
      </w:r>
      <w:r w:rsidR="00624D18">
        <w:rPr>
          <w:noProof/>
        </w:rPr>
        <w:tab/>
      </w:r>
      <w:r w:rsidR="00624D18">
        <w:rPr>
          <w:noProof/>
        </w:rPr>
        <w:fldChar w:fldCharType="begin"/>
      </w:r>
      <w:r w:rsidR="00624D18">
        <w:rPr>
          <w:noProof/>
        </w:rPr>
        <w:instrText xml:space="preserve"> PAGEREF _Toc361597290 \h </w:instrText>
      </w:r>
      <w:r w:rsidR="00624D18">
        <w:rPr>
          <w:noProof/>
        </w:rPr>
      </w:r>
      <w:r w:rsidR="00624D18">
        <w:rPr>
          <w:noProof/>
        </w:rPr>
        <w:fldChar w:fldCharType="separate"/>
      </w:r>
      <w:r w:rsidR="0076420C">
        <w:rPr>
          <w:noProof/>
        </w:rPr>
        <w:t>v</w:t>
      </w:r>
      <w:r w:rsidR="00624D18">
        <w:rPr>
          <w:noProof/>
        </w:rPr>
        <w:fldChar w:fldCharType="end"/>
      </w:r>
    </w:p>
    <w:p w:rsidR="00624D18" w:rsidRPr="00F46526" w:rsidRDefault="00624D18">
      <w:pPr>
        <w:pStyle w:val="TOC1"/>
        <w:rPr>
          <w:rFonts w:ascii="Calibri" w:hAnsi="Calibri"/>
          <w:b w:val="0"/>
          <w:noProof/>
          <w:szCs w:val="22"/>
          <w:lang w:eastAsia="en-NZ"/>
        </w:rPr>
      </w:pPr>
      <w:r>
        <w:rPr>
          <w:noProof/>
        </w:rPr>
        <w:t>Introduction</w:t>
      </w:r>
      <w:r>
        <w:rPr>
          <w:noProof/>
        </w:rPr>
        <w:tab/>
      </w:r>
      <w:r>
        <w:rPr>
          <w:noProof/>
        </w:rPr>
        <w:fldChar w:fldCharType="begin"/>
      </w:r>
      <w:r>
        <w:rPr>
          <w:noProof/>
        </w:rPr>
        <w:instrText xml:space="preserve"> PAGEREF _Toc361597291 \h </w:instrText>
      </w:r>
      <w:r>
        <w:rPr>
          <w:noProof/>
        </w:rPr>
      </w:r>
      <w:r>
        <w:rPr>
          <w:noProof/>
        </w:rPr>
        <w:fldChar w:fldCharType="separate"/>
      </w:r>
      <w:r w:rsidR="0076420C">
        <w:rPr>
          <w:noProof/>
        </w:rPr>
        <w:t>1</w:t>
      </w:r>
      <w:r>
        <w:rPr>
          <w:noProof/>
        </w:rPr>
        <w:fldChar w:fldCharType="end"/>
      </w:r>
    </w:p>
    <w:p w:rsidR="00624D18" w:rsidRPr="00F46526" w:rsidRDefault="00624D18">
      <w:pPr>
        <w:pStyle w:val="TOC2"/>
        <w:rPr>
          <w:rFonts w:ascii="Calibri" w:hAnsi="Calibri"/>
          <w:noProof/>
          <w:szCs w:val="22"/>
          <w:lang w:eastAsia="en-NZ"/>
        </w:rPr>
      </w:pPr>
      <w:r>
        <w:rPr>
          <w:noProof/>
        </w:rPr>
        <w:t>What is the Well Child/Tamariki Ora programme?</w:t>
      </w:r>
      <w:r>
        <w:rPr>
          <w:noProof/>
        </w:rPr>
        <w:tab/>
      </w:r>
      <w:r>
        <w:rPr>
          <w:noProof/>
        </w:rPr>
        <w:fldChar w:fldCharType="begin"/>
      </w:r>
      <w:r>
        <w:rPr>
          <w:noProof/>
        </w:rPr>
        <w:instrText xml:space="preserve"> PAGEREF _Toc361597292 \h </w:instrText>
      </w:r>
      <w:r>
        <w:rPr>
          <w:noProof/>
        </w:rPr>
      </w:r>
      <w:r>
        <w:rPr>
          <w:noProof/>
        </w:rPr>
        <w:fldChar w:fldCharType="separate"/>
      </w:r>
      <w:r w:rsidR="0076420C">
        <w:rPr>
          <w:noProof/>
        </w:rPr>
        <w:t>1</w:t>
      </w:r>
      <w:r>
        <w:rPr>
          <w:noProof/>
        </w:rPr>
        <w:fldChar w:fldCharType="end"/>
      </w:r>
    </w:p>
    <w:p w:rsidR="00624D18" w:rsidRPr="00F46526" w:rsidRDefault="00624D18">
      <w:pPr>
        <w:pStyle w:val="TOC2"/>
        <w:rPr>
          <w:rFonts w:ascii="Calibri" w:hAnsi="Calibri"/>
          <w:noProof/>
          <w:szCs w:val="22"/>
          <w:lang w:eastAsia="en-NZ"/>
        </w:rPr>
      </w:pPr>
      <w:r>
        <w:rPr>
          <w:noProof/>
        </w:rPr>
        <w:t>Background to the Well Child/Tamariki Ora Quality Improvement Framework</w:t>
      </w:r>
      <w:r>
        <w:rPr>
          <w:noProof/>
        </w:rPr>
        <w:tab/>
      </w:r>
      <w:r>
        <w:rPr>
          <w:noProof/>
        </w:rPr>
        <w:fldChar w:fldCharType="begin"/>
      </w:r>
      <w:r>
        <w:rPr>
          <w:noProof/>
        </w:rPr>
        <w:instrText xml:space="preserve"> PAGEREF _Toc361597293 \h </w:instrText>
      </w:r>
      <w:r>
        <w:rPr>
          <w:noProof/>
        </w:rPr>
      </w:r>
      <w:r>
        <w:rPr>
          <w:noProof/>
        </w:rPr>
        <w:fldChar w:fldCharType="separate"/>
      </w:r>
      <w:r w:rsidR="0076420C">
        <w:rPr>
          <w:noProof/>
        </w:rPr>
        <w:t>1</w:t>
      </w:r>
      <w:r>
        <w:rPr>
          <w:noProof/>
        </w:rPr>
        <w:fldChar w:fldCharType="end"/>
      </w:r>
    </w:p>
    <w:p w:rsidR="00624D18" w:rsidRPr="00F46526" w:rsidRDefault="00624D18">
      <w:pPr>
        <w:pStyle w:val="TOC2"/>
        <w:rPr>
          <w:rFonts w:ascii="Calibri" w:hAnsi="Calibri"/>
          <w:noProof/>
          <w:szCs w:val="22"/>
          <w:lang w:eastAsia="en-NZ"/>
        </w:rPr>
      </w:pPr>
      <w:r>
        <w:rPr>
          <w:noProof/>
        </w:rPr>
        <w:t>Overview of the Quality Improvement Framework</w:t>
      </w:r>
      <w:r>
        <w:rPr>
          <w:noProof/>
        </w:rPr>
        <w:tab/>
      </w:r>
      <w:r>
        <w:rPr>
          <w:noProof/>
        </w:rPr>
        <w:fldChar w:fldCharType="begin"/>
      </w:r>
      <w:r>
        <w:rPr>
          <w:noProof/>
        </w:rPr>
        <w:instrText xml:space="preserve"> PAGEREF _Toc361597294 \h </w:instrText>
      </w:r>
      <w:r>
        <w:rPr>
          <w:noProof/>
        </w:rPr>
      </w:r>
      <w:r>
        <w:rPr>
          <w:noProof/>
        </w:rPr>
        <w:fldChar w:fldCharType="separate"/>
      </w:r>
      <w:r w:rsidR="0076420C">
        <w:rPr>
          <w:noProof/>
        </w:rPr>
        <w:t>2</w:t>
      </w:r>
      <w:r>
        <w:rPr>
          <w:noProof/>
        </w:rPr>
        <w:fldChar w:fldCharType="end"/>
      </w:r>
    </w:p>
    <w:p w:rsidR="00624D18" w:rsidRPr="00F46526" w:rsidRDefault="00624D18">
      <w:pPr>
        <w:pStyle w:val="TOC1"/>
        <w:rPr>
          <w:rFonts w:ascii="Calibri" w:hAnsi="Calibri"/>
          <w:b w:val="0"/>
          <w:noProof/>
          <w:szCs w:val="22"/>
          <w:lang w:eastAsia="en-NZ"/>
        </w:rPr>
      </w:pPr>
      <w:r>
        <w:rPr>
          <w:noProof/>
          <w:lang w:eastAsia="en-NZ"/>
        </w:rPr>
        <w:t>Aim 1: Improved safety and quality experience for the child, family/whānau and community</w:t>
      </w:r>
      <w:r>
        <w:rPr>
          <w:noProof/>
        </w:rPr>
        <w:tab/>
      </w:r>
      <w:r>
        <w:rPr>
          <w:noProof/>
        </w:rPr>
        <w:fldChar w:fldCharType="begin"/>
      </w:r>
      <w:r>
        <w:rPr>
          <w:noProof/>
        </w:rPr>
        <w:instrText xml:space="preserve"> PAGEREF _Toc361597295 \h </w:instrText>
      </w:r>
      <w:r>
        <w:rPr>
          <w:noProof/>
        </w:rPr>
      </w:r>
      <w:r>
        <w:rPr>
          <w:noProof/>
        </w:rPr>
        <w:fldChar w:fldCharType="separate"/>
      </w:r>
      <w:r w:rsidR="0076420C">
        <w:rPr>
          <w:noProof/>
        </w:rPr>
        <w:t>4</w:t>
      </w:r>
      <w:r>
        <w:rPr>
          <w:noProof/>
        </w:rPr>
        <w:fldChar w:fldCharType="end"/>
      </w:r>
    </w:p>
    <w:p w:rsidR="00624D18" w:rsidRPr="00F46526" w:rsidRDefault="00624D18">
      <w:pPr>
        <w:pStyle w:val="TOC2"/>
        <w:rPr>
          <w:rFonts w:ascii="Calibri" w:hAnsi="Calibri"/>
          <w:noProof/>
          <w:szCs w:val="22"/>
          <w:lang w:eastAsia="en-NZ"/>
        </w:rPr>
      </w:pPr>
      <w:r>
        <w:rPr>
          <w:noProof/>
          <w:lang w:eastAsia="en-NZ"/>
        </w:rPr>
        <w:t>Guiding principles</w:t>
      </w:r>
      <w:r>
        <w:rPr>
          <w:noProof/>
        </w:rPr>
        <w:tab/>
      </w:r>
      <w:r>
        <w:rPr>
          <w:noProof/>
        </w:rPr>
        <w:fldChar w:fldCharType="begin"/>
      </w:r>
      <w:r>
        <w:rPr>
          <w:noProof/>
        </w:rPr>
        <w:instrText xml:space="preserve"> PAGEREF _Toc361597296 \h </w:instrText>
      </w:r>
      <w:r>
        <w:rPr>
          <w:noProof/>
        </w:rPr>
      </w:r>
      <w:r>
        <w:rPr>
          <w:noProof/>
        </w:rPr>
        <w:fldChar w:fldCharType="separate"/>
      </w:r>
      <w:r w:rsidR="0076420C">
        <w:rPr>
          <w:noProof/>
        </w:rPr>
        <w:t>4</w:t>
      </w:r>
      <w:r>
        <w:rPr>
          <w:noProof/>
        </w:rPr>
        <w:fldChar w:fldCharType="end"/>
      </w:r>
    </w:p>
    <w:p w:rsidR="00624D18" w:rsidRPr="00F46526" w:rsidRDefault="00624D18">
      <w:pPr>
        <w:pStyle w:val="TOC1"/>
        <w:rPr>
          <w:rFonts w:ascii="Calibri" w:hAnsi="Calibri"/>
          <w:b w:val="0"/>
          <w:noProof/>
          <w:szCs w:val="22"/>
          <w:lang w:eastAsia="en-NZ"/>
        </w:rPr>
      </w:pPr>
      <w:r>
        <w:rPr>
          <w:noProof/>
          <w:lang w:eastAsia="en-NZ"/>
        </w:rPr>
        <w:t>Aim 2: Improved health and equity for all populations</w:t>
      </w:r>
      <w:r>
        <w:rPr>
          <w:noProof/>
        </w:rPr>
        <w:tab/>
      </w:r>
      <w:r>
        <w:rPr>
          <w:noProof/>
        </w:rPr>
        <w:fldChar w:fldCharType="begin"/>
      </w:r>
      <w:r>
        <w:rPr>
          <w:noProof/>
        </w:rPr>
        <w:instrText xml:space="preserve"> PAGEREF _Toc361597297 \h </w:instrText>
      </w:r>
      <w:r>
        <w:rPr>
          <w:noProof/>
        </w:rPr>
      </w:r>
      <w:r>
        <w:rPr>
          <w:noProof/>
        </w:rPr>
        <w:fldChar w:fldCharType="separate"/>
      </w:r>
      <w:r w:rsidR="0076420C">
        <w:rPr>
          <w:noProof/>
        </w:rPr>
        <w:t>5</w:t>
      </w:r>
      <w:r>
        <w:rPr>
          <w:noProof/>
        </w:rPr>
        <w:fldChar w:fldCharType="end"/>
      </w:r>
    </w:p>
    <w:p w:rsidR="00624D18" w:rsidRPr="00F46526" w:rsidRDefault="00624D18">
      <w:pPr>
        <w:pStyle w:val="TOC2"/>
        <w:rPr>
          <w:rFonts w:ascii="Calibri" w:hAnsi="Calibri"/>
          <w:noProof/>
          <w:szCs w:val="22"/>
          <w:lang w:eastAsia="en-NZ"/>
        </w:rPr>
      </w:pPr>
      <w:r>
        <w:rPr>
          <w:noProof/>
          <w:lang w:eastAsia="en-NZ"/>
        </w:rPr>
        <w:t>Guiding principles</w:t>
      </w:r>
      <w:r>
        <w:rPr>
          <w:noProof/>
        </w:rPr>
        <w:tab/>
      </w:r>
      <w:r>
        <w:rPr>
          <w:noProof/>
        </w:rPr>
        <w:fldChar w:fldCharType="begin"/>
      </w:r>
      <w:r>
        <w:rPr>
          <w:noProof/>
        </w:rPr>
        <w:instrText xml:space="preserve"> PAGEREF _Toc361597298 \h </w:instrText>
      </w:r>
      <w:r>
        <w:rPr>
          <w:noProof/>
        </w:rPr>
      </w:r>
      <w:r>
        <w:rPr>
          <w:noProof/>
        </w:rPr>
        <w:fldChar w:fldCharType="separate"/>
      </w:r>
      <w:r w:rsidR="0076420C">
        <w:rPr>
          <w:noProof/>
        </w:rPr>
        <w:t>5</w:t>
      </w:r>
      <w:r>
        <w:rPr>
          <w:noProof/>
        </w:rPr>
        <w:fldChar w:fldCharType="end"/>
      </w:r>
    </w:p>
    <w:p w:rsidR="00624D18" w:rsidRPr="00F46526" w:rsidRDefault="00624D18">
      <w:pPr>
        <w:pStyle w:val="TOC1"/>
        <w:rPr>
          <w:rFonts w:ascii="Calibri" w:hAnsi="Calibri"/>
          <w:b w:val="0"/>
          <w:noProof/>
          <w:szCs w:val="22"/>
          <w:lang w:eastAsia="en-NZ"/>
        </w:rPr>
      </w:pPr>
      <w:r>
        <w:rPr>
          <w:noProof/>
          <w:lang w:eastAsia="en-NZ"/>
        </w:rPr>
        <w:t>Aim 3: Best value for health system resource</w:t>
      </w:r>
      <w:r>
        <w:rPr>
          <w:noProof/>
        </w:rPr>
        <w:tab/>
      </w:r>
      <w:r>
        <w:rPr>
          <w:noProof/>
        </w:rPr>
        <w:fldChar w:fldCharType="begin"/>
      </w:r>
      <w:r>
        <w:rPr>
          <w:noProof/>
        </w:rPr>
        <w:instrText xml:space="preserve"> PAGEREF _Toc361597299 \h </w:instrText>
      </w:r>
      <w:r>
        <w:rPr>
          <w:noProof/>
        </w:rPr>
      </w:r>
      <w:r>
        <w:rPr>
          <w:noProof/>
        </w:rPr>
        <w:fldChar w:fldCharType="separate"/>
      </w:r>
      <w:r w:rsidR="0076420C">
        <w:rPr>
          <w:noProof/>
        </w:rPr>
        <w:t>6</w:t>
      </w:r>
      <w:r>
        <w:rPr>
          <w:noProof/>
        </w:rPr>
        <w:fldChar w:fldCharType="end"/>
      </w:r>
    </w:p>
    <w:p w:rsidR="00624D18" w:rsidRPr="00F46526" w:rsidRDefault="00624D18">
      <w:pPr>
        <w:pStyle w:val="TOC2"/>
        <w:rPr>
          <w:rFonts w:ascii="Calibri" w:hAnsi="Calibri"/>
          <w:noProof/>
          <w:szCs w:val="22"/>
          <w:lang w:eastAsia="en-NZ"/>
        </w:rPr>
      </w:pPr>
      <w:r>
        <w:rPr>
          <w:noProof/>
          <w:lang w:eastAsia="en-NZ"/>
        </w:rPr>
        <w:t>Guiding principles</w:t>
      </w:r>
      <w:r>
        <w:rPr>
          <w:noProof/>
        </w:rPr>
        <w:tab/>
      </w:r>
      <w:r>
        <w:rPr>
          <w:noProof/>
        </w:rPr>
        <w:fldChar w:fldCharType="begin"/>
      </w:r>
      <w:r>
        <w:rPr>
          <w:noProof/>
        </w:rPr>
        <w:instrText xml:space="preserve"> PAGEREF _Toc361597300 \h </w:instrText>
      </w:r>
      <w:r>
        <w:rPr>
          <w:noProof/>
        </w:rPr>
      </w:r>
      <w:r>
        <w:rPr>
          <w:noProof/>
        </w:rPr>
        <w:fldChar w:fldCharType="separate"/>
      </w:r>
      <w:r w:rsidR="0076420C">
        <w:rPr>
          <w:noProof/>
        </w:rPr>
        <w:t>6</w:t>
      </w:r>
      <w:r>
        <w:rPr>
          <w:noProof/>
        </w:rPr>
        <w:fldChar w:fldCharType="end"/>
      </w:r>
    </w:p>
    <w:p w:rsidR="00624D18" w:rsidRPr="00F46526" w:rsidRDefault="00624D18">
      <w:pPr>
        <w:pStyle w:val="TOC1"/>
        <w:rPr>
          <w:rFonts w:ascii="Calibri" w:hAnsi="Calibri"/>
          <w:b w:val="0"/>
          <w:noProof/>
          <w:szCs w:val="22"/>
          <w:lang w:eastAsia="en-NZ"/>
        </w:rPr>
      </w:pPr>
      <w:r>
        <w:rPr>
          <w:noProof/>
          <w:lang w:eastAsia="en-NZ"/>
        </w:rPr>
        <w:t>Quality Indicators for the Well Child/Tamariki Ora Quality Improvement Framework</w:t>
      </w:r>
      <w:r>
        <w:rPr>
          <w:noProof/>
        </w:rPr>
        <w:tab/>
      </w:r>
      <w:r>
        <w:rPr>
          <w:noProof/>
        </w:rPr>
        <w:fldChar w:fldCharType="begin"/>
      </w:r>
      <w:r>
        <w:rPr>
          <w:noProof/>
        </w:rPr>
        <w:instrText xml:space="preserve"> PAGEREF _Toc361597301 \h </w:instrText>
      </w:r>
      <w:r>
        <w:rPr>
          <w:noProof/>
        </w:rPr>
      </w:r>
      <w:r>
        <w:rPr>
          <w:noProof/>
        </w:rPr>
        <w:fldChar w:fldCharType="separate"/>
      </w:r>
      <w:r w:rsidR="0076420C">
        <w:rPr>
          <w:noProof/>
        </w:rPr>
        <w:t>7</w:t>
      </w:r>
      <w:r>
        <w:rPr>
          <w:noProof/>
        </w:rPr>
        <w:fldChar w:fldCharType="end"/>
      </w:r>
    </w:p>
    <w:p w:rsidR="00624D18" w:rsidRPr="00F46526" w:rsidRDefault="00624D18">
      <w:pPr>
        <w:pStyle w:val="TOC2"/>
        <w:rPr>
          <w:rFonts w:ascii="Calibri" w:hAnsi="Calibri"/>
          <w:noProof/>
          <w:szCs w:val="22"/>
          <w:lang w:eastAsia="en-NZ"/>
        </w:rPr>
      </w:pPr>
      <w:r>
        <w:rPr>
          <w:noProof/>
          <w:lang w:eastAsia="en-NZ"/>
        </w:rPr>
        <w:t>Background</w:t>
      </w:r>
      <w:r>
        <w:rPr>
          <w:noProof/>
        </w:rPr>
        <w:tab/>
      </w:r>
      <w:r>
        <w:rPr>
          <w:noProof/>
        </w:rPr>
        <w:fldChar w:fldCharType="begin"/>
      </w:r>
      <w:r>
        <w:rPr>
          <w:noProof/>
        </w:rPr>
        <w:instrText xml:space="preserve"> PAGEREF _Toc361597302 \h </w:instrText>
      </w:r>
      <w:r>
        <w:rPr>
          <w:noProof/>
        </w:rPr>
      </w:r>
      <w:r>
        <w:rPr>
          <w:noProof/>
        </w:rPr>
        <w:fldChar w:fldCharType="separate"/>
      </w:r>
      <w:r w:rsidR="0076420C">
        <w:rPr>
          <w:noProof/>
        </w:rPr>
        <w:t>7</w:t>
      </w:r>
      <w:r>
        <w:rPr>
          <w:noProof/>
        </w:rPr>
        <w:fldChar w:fldCharType="end"/>
      </w:r>
    </w:p>
    <w:p w:rsidR="00624D18" w:rsidRPr="00F46526" w:rsidRDefault="00624D18">
      <w:pPr>
        <w:pStyle w:val="TOC2"/>
        <w:rPr>
          <w:rFonts w:ascii="Calibri" w:hAnsi="Calibri"/>
          <w:noProof/>
          <w:szCs w:val="22"/>
          <w:lang w:eastAsia="en-NZ"/>
        </w:rPr>
      </w:pPr>
      <w:r>
        <w:rPr>
          <w:noProof/>
          <w:lang w:eastAsia="en-NZ"/>
        </w:rPr>
        <w:t>Target setting methodology</w:t>
      </w:r>
      <w:r>
        <w:rPr>
          <w:noProof/>
        </w:rPr>
        <w:tab/>
      </w:r>
      <w:r>
        <w:rPr>
          <w:noProof/>
        </w:rPr>
        <w:fldChar w:fldCharType="begin"/>
      </w:r>
      <w:r>
        <w:rPr>
          <w:noProof/>
        </w:rPr>
        <w:instrText xml:space="preserve"> PAGEREF _Toc361597303 \h </w:instrText>
      </w:r>
      <w:r>
        <w:rPr>
          <w:noProof/>
        </w:rPr>
      </w:r>
      <w:r>
        <w:rPr>
          <w:noProof/>
        </w:rPr>
        <w:fldChar w:fldCharType="separate"/>
      </w:r>
      <w:r w:rsidR="0076420C">
        <w:rPr>
          <w:noProof/>
        </w:rPr>
        <w:t>7</w:t>
      </w:r>
      <w:r>
        <w:rPr>
          <w:noProof/>
        </w:rPr>
        <w:fldChar w:fldCharType="end"/>
      </w:r>
    </w:p>
    <w:p w:rsidR="00624D18" w:rsidRPr="00F46526" w:rsidRDefault="00624D18">
      <w:pPr>
        <w:pStyle w:val="TOC1"/>
        <w:rPr>
          <w:rFonts w:ascii="Calibri" w:hAnsi="Calibri"/>
          <w:b w:val="0"/>
          <w:noProof/>
          <w:szCs w:val="22"/>
          <w:lang w:eastAsia="en-NZ"/>
        </w:rPr>
      </w:pPr>
      <w:r>
        <w:rPr>
          <w:noProof/>
          <w:lang w:eastAsia="en-NZ"/>
        </w:rPr>
        <w:t>Quality Indicators 1–10: Access</w:t>
      </w:r>
      <w:r>
        <w:rPr>
          <w:noProof/>
        </w:rPr>
        <w:tab/>
      </w:r>
      <w:r>
        <w:rPr>
          <w:noProof/>
        </w:rPr>
        <w:fldChar w:fldCharType="begin"/>
      </w:r>
      <w:r>
        <w:rPr>
          <w:noProof/>
        </w:rPr>
        <w:instrText xml:space="preserve"> PAGEREF _Toc361597304 \h </w:instrText>
      </w:r>
      <w:r>
        <w:rPr>
          <w:noProof/>
        </w:rPr>
      </w:r>
      <w:r>
        <w:rPr>
          <w:noProof/>
        </w:rPr>
        <w:fldChar w:fldCharType="separate"/>
      </w:r>
      <w:r w:rsidR="0076420C">
        <w:rPr>
          <w:noProof/>
        </w:rPr>
        <w:t>8</w:t>
      </w:r>
      <w:r>
        <w:rPr>
          <w:noProof/>
        </w:rPr>
        <w:fldChar w:fldCharType="end"/>
      </w:r>
    </w:p>
    <w:p w:rsidR="00624D18" w:rsidRPr="00F46526" w:rsidRDefault="00624D18">
      <w:pPr>
        <w:pStyle w:val="TOC2"/>
        <w:rPr>
          <w:rFonts w:ascii="Calibri" w:hAnsi="Calibri"/>
          <w:noProof/>
          <w:szCs w:val="22"/>
          <w:lang w:eastAsia="en-NZ"/>
        </w:rPr>
      </w:pPr>
      <w:r>
        <w:rPr>
          <w:noProof/>
        </w:rPr>
        <w:t>Why measure access?</w:t>
      </w:r>
      <w:r>
        <w:rPr>
          <w:noProof/>
        </w:rPr>
        <w:tab/>
      </w:r>
      <w:r>
        <w:rPr>
          <w:noProof/>
        </w:rPr>
        <w:fldChar w:fldCharType="begin"/>
      </w:r>
      <w:r>
        <w:rPr>
          <w:noProof/>
        </w:rPr>
        <w:instrText xml:space="preserve"> PAGEREF _Toc361597305 \h </w:instrText>
      </w:r>
      <w:r>
        <w:rPr>
          <w:noProof/>
        </w:rPr>
      </w:r>
      <w:r>
        <w:rPr>
          <w:noProof/>
        </w:rPr>
        <w:fldChar w:fldCharType="separate"/>
      </w:r>
      <w:r w:rsidR="0076420C">
        <w:rPr>
          <w:noProof/>
        </w:rPr>
        <w:t>8</w:t>
      </w:r>
      <w:r>
        <w:rPr>
          <w:noProof/>
        </w:rPr>
        <w:fldChar w:fldCharType="end"/>
      </w:r>
    </w:p>
    <w:p w:rsidR="00624D18" w:rsidRPr="00F46526" w:rsidRDefault="00624D18">
      <w:pPr>
        <w:pStyle w:val="TOC2"/>
        <w:rPr>
          <w:rFonts w:ascii="Calibri" w:hAnsi="Calibri"/>
          <w:noProof/>
          <w:szCs w:val="22"/>
          <w:lang w:eastAsia="en-NZ"/>
        </w:rPr>
      </w:pPr>
      <w:r>
        <w:rPr>
          <w:noProof/>
        </w:rPr>
        <w:t>Alignment with Aim 1</w:t>
      </w:r>
      <w:r>
        <w:rPr>
          <w:noProof/>
        </w:rPr>
        <w:tab/>
      </w:r>
      <w:r>
        <w:rPr>
          <w:noProof/>
        </w:rPr>
        <w:fldChar w:fldCharType="begin"/>
      </w:r>
      <w:r>
        <w:rPr>
          <w:noProof/>
        </w:rPr>
        <w:instrText xml:space="preserve"> PAGEREF _Toc361597306 \h </w:instrText>
      </w:r>
      <w:r>
        <w:rPr>
          <w:noProof/>
        </w:rPr>
      </w:r>
      <w:r>
        <w:rPr>
          <w:noProof/>
        </w:rPr>
        <w:fldChar w:fldCharType="separate"/>
      </w:r>
      <w:r w:rsidR="0076420C">
        <w:rPr>
          <w:noProof/>
        </w:rPr>
        <w:t>8</w:t>
      </w:r>
      <w:r>
        <w:rPr>
          <w:noProof/>
        </w:rPr>
        <w:fldChar w:fldCharType="end"/>
      </w:r>
    </w:p>
    <w:p w:rsidR="00624D18" w:rsidRPr="00F46526" w:rsidRDefault="00624D18">
      <w:pPr>
        <w:pStyle w:val="TOC1"/>
        <w:rPr>
          <w:rFonts w:ascii="Calibri" w:hAnsi="Calibri"/>
          <w:b w:val="0"/>
          <w:noProof/>
          <w:szCs w:val="22"/>
          <w:lang w:eastAsia="en-NZ"/>
        </w:rPr>
      </w:pPr>
      <w:r>
        <w:rPr>
          <w:noProof/>
          <w:lang w:eastAsia="en-NZ"/>
        </w:rPr>
        <w:t>Quality Indicators 11–20: Outcomes</w:t>
      </w:r>
      <w:r>
        <w:rPr>
          <w:noProof/>
        </w:rPr>
        <w:tab/>
      </w:r>
      <w:r>
        <w:rPr>
          <w:noProof/>
        </w:rPr>
        <w:fldChar w:fldCharType="begin"/>
      </w:r>
      <w:r>
        <w:rPr>
          <w:noProof/>
        </w:rPr>
        <w:instrText xml:space="preserve"> PAGEREF _Toc361597307 \h </w:instrText>
      </w:r>
      <w:r>
        <w:rPr>
          <w:noProof/>
        </w:rPr>
      </w:r>
      <w:r>
        <w:rPr>
          <w:noProof/>
        </w:rPr>
        <w:fldChar w:fldCharType="separate"/>
      </w:r>
      <w:r w:rsidR="0076420C">
        <w:rPr>
          <w:noProof/>
        </w:rPr>
        <w:t>10</w:t>
      </w:r>
      <w:r>
        <w:rPr>
          <w:noProof/>
        </w:rPr>
        <w:fldChar w:fldCharType="end"/>
      </w:r>
    </w:p>
    <w:p w:rsidR="00624D18" w:rsidRPr="00F46526" w:rsidRDefault="00624D18">
      <w:pPr>
        <w:pStyle w:val="TOC2"/>
        <w:rPr>
          <w:rFonts w:ascii="Calibri" w:hAnsi="Calibri"/>
          <w:noProof/>
          <w:szCs w:val="22"/>
          <w:lang w:eastAsia="en-NZ"/>
        </w:rPr>
      </w:pPr>
      <w:r>
        <w:rPr>
          <w:noProof/>
        </w:rPr>
        <w:t>Why measure outcomes?</w:t>
      </w:r>
      <w:r>
        <w:rPr>
          <w:noProof/>
        </w:rPr>
        <w:tab/>
      </w:r>
      <w:r>
        <w:rPr>
          <w:noProof/>
        </w:rPr>
        <w:fldChar w:fldCharType="begin"/>
      </w:r>
      <w:r>
        <w:rPr>
          <w:noProof/>
        </w:rPr>
        <w:instrText xml:space="preserve"> PAGEREF _Toc361597308 \h </w:instrText>
      </w:r>
      <w:r>
        <w:rPr>
          <w:noProof/>
        </w:rPr>
      </w:r>
      <w:r>
        <w:rPr>
          <w:noProof/>
        </w:rPr>
        <w:fldChar w:fldCharType="separate"/>
      </w:r>
      <w:r w:rsidR="0076420C">
        <w:rPr>
          <w:noProof/>
        </w:rPr>
        <w:t>10</w:t>
      </w:r>
      <w:r>
        <w:rPr>
          <w:noProof/>
        </w:rPr>
        <w:fldChar w:fldCharType="end"/>
      </w:r>
    </w:p>
    <w:p w:rsidR="00624D18" w:rsidRPr="00F46526" w:rsidRDefault="00624D18">
      <w:pPr>
        <w:pStyle w:val="TOC2"/>
        <w:rPr>
          <w:rFonts w:ascii="Calibri" w:hAnsi="Calibri"/>
          <w:noProof/>
          <w:szCs w:val="22"/>
          <w:lang w:eastAsia="en-NZ"/>
        </w:rPr>
      </w:pPr>
      <w:r>
        <w:rPr>
          <w:noProof/>
        </w:rPr>
        <w:t>Alignment with Aim 2</w:t>
      </w:r>
      <w:r>
        <w:rPr>
          <w:noProof/>
        </w:rPr>
        <w:tab/>
      </w:r>
      <w:r>
        <w:rPr>
          <w:noProof/>
        </w:rPr>
        <w:fldChar w:fldCharType="begin"/>
      </w:r>
      <w:r>
        <w:rPr>
          <w:noProof/>
        </w:rPr>
        <w:instrText xml:space="preserve"> PAGEREF _Toc361597309 \h </w:instrText>
      </w:r>
      <w:r>
        <w:rPr>
          <w:noProof/>
        </w:rPr>
      </w:r>
      <w:r>
        <w:rPr>
          <w:noProof/>
        </w:rPr>
        <w:fldChar w:fldCharType="separate"/>
      </w:r>
      <w:r w:rsidR="0076420C">
        <w:rPr>
          <w:noProof/>
        </w:rPr>
        <w:t>10</w:t>
      </w:r>
      <w:r>
        <w:rPr>
          <w:noProof/>
        </w:rPr>
        <w:fldChar w:fldCharType="end"/>
      </w:r>
    </w:p>
    <w:p w:rsidR="00624D18" w:rsidRPr="00F46526" w:rsidRDefault="00624D18">
      <w:pPr>
        <w:pStyle w:val="TOC1"/>
        <w:rPr>
          <w:rFonts w:ascii="Calibri" w:hAnsi="Calibri"/>
          <w:b w:val="0"/>
          <w:noProof/>
          <w:szCs w:val="22"/>
          <w:lang w:eastAsia="en-NZ"/>
        </w:rPr>
      </w:pPr>
      <w:r>
        <w:rPr>
          <w:noProof/>
          <w:lang w:eastAsia="en-NZ"/>
        </w:rPr>
        <w:t>Quality Indicators 21–27: Quality</w:t>
      </w:r>
      <w:r>
        <w:rPr>
          <w:noProof/>
        </w:rPr>
        <w:tab/>
      </w:r>
      <w:r>
        <w:rPr>
          <w:noProof/>
        </w:rPr>
        <w:fldChar w:fldCharType="begin"/>
      </w:r>
      <w:r>
        <w:rPr>
          <w:noProof/>
        </w:rPr>
        <w:instrText xml:space="preserve"> PAGEREF _Toc361597310 \h </w:instrText>
      </w:r>
      <w:r>
        <w:rPr>
          <w:noProof/>
        </w:rPr>
      </w:r>
      <w:r>
        <w:rPr>
          <w:noProof/>
        </w:rPr>
        <w:fldChar w:fldCharType="separate"/>
      </w:r>
      <w:r w:rsidR="0076420C">
        <w:rPr>
          <w:noProof/>
        </w:rPr>
        <w:t>12</w:t>
      </w:r>
      <w:r>
        <w:rPr>
          <w:noProof/>
        </w:rPr>
        <w:fldChar w:fldCharType="end"/>
      </w:r>
    </w:p>
    <w:p w:rsidR="00624D18" w:rsidRPr="00F46526" w:rsidRDefault="00624D18">
      <w:pPr>
        <w:pStyle w:val="TOC2"/>
        <w:rPr>
          <w:rFonts w:ascii="Calibri" w:hAnsi="Calibri"/>
          <w:noProof/>
          <w:szCs w:val="22"/>
          <w:lang w:eastAsia="en-NZ"/>
        </w:rPr>
      </w:pPr>
      <w:r>
        <w:rPr>
          <w:noProof/>
        </w:rPr>
        <w:t>Why measure quality?</w:t>
      </w:r>
      <w:r>
        <w:rPr>
          <w:noProof/>
        </w:rPr>
        <w:tab/>
      </w:r>
      <w:r>
        <w:rPr>
          <w:noProof/>
        </w:rPr>
        <w:fldChar w:fldCharType="begin"/>
      </w:r>
      <w:r>
        <w:rPr>
          <w:noProof/>
        </w:rPr>
        <w:instrText xml:space="preserve"> PAGEREF _Toc361597311 \h </w:instrText>
      </w:r>
      <w:r>
        <w:rPr>
          <w:noProof/>
        </w:rPr>
      </w:r>
      <w:r>
        <w:rPr>
          <w:noProof/>
        </w:rPr>
        <w:fldChar w:fldCharType="separate"/>
      </w:r>
      <w:r w:rsidR="0076420C">
        <w:rPr>
          <w:noProof/>
        </w:rPr>
        <w:t>12</w:t>
      </w:r>
      <w:r>
        <w:rPr>
          <w:noProof/>
        </w:rPr>
        <w:fldChar w:fldCharType="end"/>
      </w:r>
    </w:p>
    <w:p w:rsidR="00624D18" w:rsidRPr="00F46526" w:rsidRDefault="00624D18">
      <w:pPr>
        <w:pStyle w:val="TOC2"/>
        <w:rPr>
          <w:rFonts w:ascii="Calibri" w:hAnsi="Calibri"/>
          <w:noProof/>
          <w:szCs w:val="22"/>
          <w:lang w:eastAsia="en-NZ"/>
        </w:rPr>
      </w:pPr>
      <w:r>
        <w:rPr>
          <w:noProof/>
        </w:rPr>
        <w:t>Alignment with Aim 3</w:t>
      </w:r>
      <w:r>
        <w:rPr>
          <w:noProof/>
        </w:rPr>
        <w:tab/>
      </w:r>
      <w:r>
        <w:rPr>
          <w:noProof/>
        </w:rPr>
        <w:fldChar w:fldCharType="begin"/>
      </w:r>
      <w:r>
        <w:rPr>
          <w:noProof/>
        </w:rPr>
        <w:instrText xml:space="preserve"> PAGEREF _Toc361597312 \h </w:instrText>
      </w:r>
      <w:r>
        <w:rPr>
          <w:noProof/>
        </w:rPr>
      </w:r>
      <w:r>
        <w:rPr>
          <w:noProof/>
        </w:rPr>
        <w:fldChar w:fldCharType="separate"/>
      </w:r>
      <w:r w:rsidR="0076420C">
        <w:rPr>
          <w:noProof/>
        </w:rPr>
        <w:t>12</w:t>
      </w:r>
      <w:r>
        <w:rPr>
          <w:noProof/>
        </w:rPr>
        <w:fldChar w:fldCharType="end"/>
      </w:r>
    </w:p>
    <w:p w:rsidR="00624D18" w:rsidRDefault="00624D18">
      <w:pPr>
        <w:pStyle w:val="TOC1"/>
        <w:rPr>
          <w:noProof/>
        </w:rPr>
      </w:pPr>
      <w:r>
        <w:rPr>
          <w:noProof/>
        </w:rPr>
        <w:t>Appendices</w:t>
      </w:r>
    </w:p>
    <w:p w:rsidR="00624D18" w:rsidRPr="00F46526" w:rsidRDefault="00624D18" w:rsidP="00624D18">
      <w:pPr>
        <w:pStyle w:val="TOC2"/>
        <w:rPr>
          <w:rFonts w:ascii="Calibri" w:hAnsi="Calibri"/>
          <w:b/>
          <w:noProof/>
          <w:szCs w:val="22"/>
          <w:lang w:eastAsia="en-NZ"/>
        </w:rPr>
      </w:pPr>
      <w:r>
        <w:rPr>
          <w:noProof/>
        </w:rPr>
        <w:t>Appendix 1: Glossary and abbreviations</w:t>
      </w:r>
      <w:r>
        <w:rPr>
          <w:noProof/>
        </w:rPr>
        <w:tab/>
      </w:r>
      <w:r>
        <w:rPr>
          <w:noProof/>
        </w:rPr>
        <w:fldChar w:fldCharType="begin"/>
      </w:r>
      <w:r>
        <w:rPr>
          <w:noProof/>
        </w:rPr>
        <w:instrText xml:space="preserve"> PAGEREF _Toc361597313 \h </w:instrText>
      </w:r>
      <w:r>
        <w:rPr>
          <w:noProof/>
        </w:rPr>
      </w:r>
      <w:r>
        <w:rPr>
          <w:noProof/>
        </w:rPr>
        <w:fldChar w:fldCharType="separate"/>
      </w:r>
      <w:r w:rsidR="0076420C">
        <w:rPr>
          <w:noProof/>
        </w:rPr>
        <w:t>14</w:t>
      </w:r>
      <w:r>
        <w:rPr>
          <w:noProof/>
        </w:rPr>
        <w:fldChar w:fldCharType="end"/>
      </w:r>
    </w:p>
    <w:p w:rsidR="00624D18" w:rsidRPr="00F46526" w:rsidRDefault="00624D18" w:rsidP="00624D18">
      <w:pPr>
        <w:pStyle w:val="TOC2"/>
        <w:rPr>
          <w:rFonts w:ascii="Calibri" w:hAnsi="Calibri"/>
          <w:b/>
          <w:noProof/>
          <w:szCs w:val="22"/>
          <w:lang w:eastAsia="en-NZ"/>
        </w:rPr>
      </w:pPr>
      <w:r>
        <w:rPr>
          <w:noProof/>
        </w:rPr>
        <w:t>Appendix 2: Measures and data sources for the quality indicators</w:t>
      </w:r>
      <w:r>
        <w:rPr>
          <w:noProof/>
        </w:rPr>
        <w:tab/>
      </w:r>
      <w:r>
        <w:rPr>
          <w:noProof/>
        </w:rPr>
        <w:fldChar w:fldCharType="begin"/>
      </w:r>
      <w:r>
        <w:rPr>
          <w:noProof/>
        </w:rPr>
        <w:instrText xml:space="preserve"> PAGEREF _Toc361597314 \h </w:instrText>
      </w:r>
      <w:r>
        <w:rPr>
          <w:noProof/>
        </w:rPr>
      </w:r>
      <w:r>
        <w:rPr>
          <w:noProof/>
        </w:rPr>
        <w:fldChar w:fldCharType="separate"/>
      </w:r>
      <w:r w:rsidR="0076420C">
        <w:rPr>
          <w:noProof/>
        </w:rPr>
        <w:t>16</w:t>
      </w:r>
      <w:r>
        <w:rPr>
          <w:noProof/>
        </w:rPr>
        <w:fldChar w:fldCharType="end"/>
      </w:r>
    </w:p>
    <w:p w:rsidR="00624D18" w:rsidRPr="00F46526" w:rsidRDefault="00624D18" w:rsidP="00624D18">
      <w:pPr>
        <w:pStyle w:val="TOC2"/>
        <w:rPr>
          <w:rFonts w:ascii="Calibri" w:hAnsi="Calibri"/>
          <w:b/>
          <w:noProof/>
          <w:szCs w:val="22"/>
          <w:lang w:eastAsia="en-NZ"/>
        </w:rPr>
      </w:pPr>
      <w:r>
        <w:rPr>
          <w:noProof/>
        </w:rPr>
        <w:t>Appendix 3: Data sources for the quality indicators</w:t>
      </w:r>
      <w:r>
        <w:rPr>
          <w:noProof/>
        </w:rPr>
        <w:tab/>
      </w:r>
      <w:r>
        <w:rPr>
          <w:noProof/>
        </w:rPr>
        <w:fldChar w:fldCharType="begin"/>
      </w:r>
      <w:r>
        <w:rPr>
          <w:noProof/>
        </w:rPr>
        <w:instrText xml:space="preserve"> PAGEREF _Toc361597315 \h </w:instrText>
      </w:r>
      <w:r>
        <w:rPr>
          <w:noProof/>
        </w:rPr>
      </w:r>
      <w:r>
        <w:rPr>
          <w:noProof/>
        </w:rPr>
        <w:fldChar w:fldCharType="separate"/>
      </w:r>
      <w:r w:rsidR="0076420C">
        <w:rPr>
          <w:noProof/>
        </w:rPr>
        <w:t>18</w:t>
      </w:r>
      <w:r>
        <w:rPr>
          <w:noProof/>
        </w:rPr>
        <w:fldChar w:fldCharType="end"/>
      </w:r>
    </w:p>
    <w:p w:rsidR="00624D18" w:rsidRPr="00F46526" w:rsidRDefault="00624D18" w:rsidP="00624D18">
      <w:pPr>
        <w:pStyle w:val="TOC2"/>
        <w:rPr>
          <w:rFonts w:ascii="Calibri" w:hAnsi="Calibri"/>
          <w:b/>
          <w:noProof/>
          <w:szCs w:val="22"/>
          <w:lang w:eastAsia="en-NZ"/>
        </w:rPr>
      </w:pPr>
      <w:r>
        <w:rPr>
          <w:noProof/>
        </w:rPr>
        <w:t>Appendix 4: References</w:t>
      </w:r>
      <w:r>
        <w:rPr>
          <w:noProof/>
        </w:rPr>
        <w:tab/>
      </w:r>
      <w:r>
        <w:rPr>
          <w:noProof/>
        </w:rPr>
        <w:fldChar w:fldCharType="begin"/>
      </w:r>
      <w:r>
        <w:rPr>
          <w:noProof/>
        </w:rPr>
        <w:instrText xml:space="preserve"> PAGEREF _Toc361597325 \h </w:instrText>
      </w:r>
      <w:r>
        <w:rPr>
          <w:noProof/>
        </w:rPr>
      </w:r>
      <w:r>
        <w:rPr>
          <w:noProof/>
        </w:rPr>
        <w:fldChar w:fldCharType="separate"/>
      </w:r>
      <w:r w:rsidR="0076420C">
        <w:rPr>
          <w:noProof/>
        </w:rPr>
        <w:t>20</w:t>
      </w:r>
      <w:r>
        <w:rPr>
          <w:noProof/>
        </w:rPr>
        <w:fldChar w:fldCharType="end"/>
      </w:r>
    </w:p>
    <w:p w:rsidR="00C86248" w:rsidRDefault="00C86248">
      <w:r>
        <w:rPr>
          <w:b/>
        </w:rPr>
        <w:fldChar w:fldCharType="end"/>
      </w:r>
    </w:p>
    <w:p w:rsidR="00C86248" w:rsidRDefault="00C86248"/>
    <w:p w:rsidR="00C86248" w:rsidRDefault="00C86248" w:rsidP="003B1D10">
      <w:pPr>
        <w:pStyle w:val="TOC1"/>
        <w:keepNext/>
      </w:pPr>
      <w:r>
        <w:lastRenderedPageBreak/>
        <w:t>List of Tables</w:t>
      </w:r>
    </w:p>
    <w:p w:rsidR="00624D18" w:rsidRPr="00F46526" w:rsidRDefault="00C86248">
      <w:pPr>
        <w:pStyle w:val="TOC3"/>
        <w:rPr>
          <w:rFonts w:ascii="Calibri" w:hAnsi="Calibri"/>
          <w:noProof/>
          <w:szCs w:val="22"/>
          <w:lang w:eastAsia="en-NZ"/>
        </w:rPr>
      </w:pPr>
      <w:r>
        <w:rPr>
          <w:sz w:val="20"/>
        </w:rPr>
        <w:fldChar w:fldCharType="begin"/>
      </w:r>
      <w:r>
        <w:instrText xml:space="preserve"> TOC \t "Table,3" </w:instrText>
      </w:r>
      <w:r>
        <w:rPr>
          <w:sz w:val="20"/>
        </w:rPr>
        <w:fldChar w:fldCharType="separate"/>
      </w:r>
      <w:r w:rsidR="00624D18">
        <w:rPr>
          <w:noProof/>
        </w:rPr>
        <w:t>Table 1:</w:t>
      </w:r>
      <w:r w:rsidR="00624D18">
        <w:rPr>
          <w:noProof/>
        </w:rPr>
        <w:tab/>
        <w:t>WCTO quality indicators 1–10: access</w:t>
      </w:r>
      <w:r w:rsidR="00624D18">
        <w:rPr>
          <w:noProof/>
        </w:rPr>
        <w:tab/>
      </w:r>
      <w:r w:rsidR="00624D18">
        <w:rPr>
          <w:noProof/>
        </w:rPr>
        <w:fldChar w:fldCharType="begin"/>
      </w:r>
      <w:r w:rsidR="00624D18">
        <w:rPr>
          <w:noProof/>
        </w:rPr>
        <w:instrText xml:space="preserve"> PAGEREF _Toc361597327 \h </w:instrText>
      </w:r>
      <w:r w:rsidR="00624D18">
        <w:rPr>
          <w:noProof/>
        </w:rPr>
      </w:r>
      <w:r w:rsidR="00624D18">
        <w:rPr>
          <w:noProof/>
        </w:rPr>
        <w:fldChar w:fldCharType="separate"/>
      </w:r>
      <w:r w:rsidR="0076420C">
        <w:rPr>
          <w:noProof/>
        </w:rPr>
        <w:t>9</w:t>
      </w:r>
      <w:r w:rsidR="00624D18">
        <w:rPr>
          <w:noProof/>
        </w:rPr>
        <w:fldChar w:fldCharType="end"/>
      </w:r>
    </w:p>
    <w:p w:rsidR="00624D18" w:rsidRPr="00F46526" w:rsidRDefault="00624D18">
      <w:pPr>
        <w:pStyle w:val="TOC3"/>
        <w:rPr>
          <w:rFonts w:ascii="Calibri" w:hAnsi="Calibri"/>
          <w:noProof/>
          <w:szCs w:val="22"/>
          <w:lang w:eastAsia="en-NZ"/>
        </w:rPr>
      </w:pPr>
      <w:r>
        <w:rPr>
          <w:noProof/>
        </w:rPr>
        <w:t>Table 2:</w:t>
      </w:r>
      <w:r>
        <w:rPr>
          <w:noProof/>
        </w:rPr>
        <w:tab/>
        <w:t>WCTO quality indicators 11–20: outcomes</w:t>
      </w:r>
      <w:r>
        <w:rPr>
          <w:noProof/>
        </w:rPr>
        <w:tab/>
      </w:r>
      <w:r>
        <w:rPr>
          <w:noProof/>
        </w:rPr>
        <w:fldChar w:fldCharType="begin"/>
      </w:r>
      <w:r>
        <w:rPr>
          <w:noProof/>
        </w:rPr>
        <w:instrText xml:space="preserve"> PAGEREF _Toc361597328 \h </w:instrText>
      </w:r>
      <w:r>
        <w:rPr>
          <w:noProof/>
        </w:rPr>
      </w:r>
      <w:r>
        <w:rPr>
          <w:noProof/>
        </w:rPr>
        <w:fldChar w:fldCharType="separate"/>
      </w:r>
      <w:r w:rsidR="0076420C">
        <w:rPr>
          <w:noProof/>
        </w:rPr>
        <w:t>11</w:t>
      </w:r>
      <w:r>
        <w:rPr>
          <w:noProof/>
        </w:rPr>
        <w:fldChar w:fldCharType="end"/>
      </w:r>
    </w:p>
    <w:p w:rsidR="00624D18" w:rsidRPr="00F46526" w:rsidRDefault="00624D18">
      <w:pPr>
        <w:pStyle w:val="TOC3"/>
        <w:rPr>
          <w:rFonts w:ascii="Calibri" w:hAnsi="Calibri"/>
          <w:noProof/>
          <w:szCs w:val="22"/>
          <w:lang w:eastAsia="en-NZ"/>
        </w:rPr>
      </w:pPr>
      <w:r>
        <w:rPr>
          <w:noProof/>
        </w:rPr>
        <w:t>Table 3:</w:t>
      </w:r>
      <w:r>
        <w:rPr>
          <w:noProof/>
        </w:rPr>
        <w:tab/>
        <w:t>WCTO quality indicators 21–27: quality</w:t>
      </w:r>
      <w:r>
        <w:rPr>
          <w:noProof/>
        </w:rPr>
        <w:tab/>
      </w:r>
      <w:r>
        <w:rPr>
          <w:noProof/>
        </w:rPr>
        <w:fldChar w:fldCharType="begin"/>
      </w:r>
      <w:r>
        <w:rPr>
          <w:noProof/>
        </w:rPr>
        <w:instrText xml:space="preserve"> PAGEREF _Toc361597329 \h </w:instrText>
      </w:r>
      <w:r>
        <w:rPr>
          <w:noProof/>
        </w:rPr>
      </w:r>
      <w:r>
        <w:rPr>
          <w:noProof/>
        </w:rPr>
        <w:fldChar w:fldCharType="separate"/>
      </w:r>
      <w:r w:rsidR="0076420C">
        <w:rPr>
          <w:noProof/>
        </w:rPr>
        <w:t>13</w:t>
      </w:r>
      <w:r>
        <w:rPr>
          <w:noProof/>
        </w:rPr>
        <w:fldChar w:fldCharType="end"/>
      </w:r>
    </w:p>
    <w:p w:rsidR="00C86248" w:rsidRDefault="00C86248" w:rsidP="0030382F">
      <w:r>
        <w:fldChar w:fldCharType="end"/>
      </w:r>
    </w:p>
    <w:p w:rsidR="003A5FEA" w:rsidRDefault="003A5FEA" w:rsidP="003A5FEA">
      <w:pPr>
        <w:pStyle w:val="TOC1"/>
      </w:pPr>
      <w:r>
        <w:t>List of Figures</w:t>
      </w:r>
    </w:p>
    <w:p w:rsidR="00624D18" w:rsidRPr="00F46526" w:rsidRDefault="003A5FEA">
      <w:pPr>
        <w:pStyle w:val="TOC3"/>
        <w:rPr>
          <w:rFonts w:ascii="Calibri" w:hAnsi="Calibri"/>
          <w:noProof/>
          <w:szCs w:val="22"/>
          <w:lang w:eastAsia="en-NZ"/>
        </w:rPr>
      </w:pPr>
      <w:r>
        <w:fldChar w:fldCharType="begin"/>
      </w:r>
      <w:r>
        <w:instrText xml:space="preserve"> TOC \t "Figure,3" </w:instrText>
      </w:r>
      <w:r>
        <w:fldChar w:fldCharType="separate"/>
      </w:r>
      <w:r w:rsidR="00624D18">
        <w:rPr>
          <w:noProof/>
          <w:lang w:eastAsia="en-NZ"/>
        </w:rPr>
        <w:t>Figure 1:</w:t>
      </w:r>
      <w:r w:rsidR="00624D18">
        <w:rPr>
          <w:noProof/>
          <w:lang w:eastAsia="en-NZ"/>
        </w:rPr>
        <w:tab/>
        <w:t>Model for the WCTO Quality Improvement Framework</w:t>
      </w:r>
      <w:r w:rsidR="00624D18">
        <w:rPr>
          <w:noProof/>
        </w:rPr>
        <w:tab/>
      </w:r>
      <w:r w:rsidR="00624D18">
        <w:rPr>
          <w:noProof/>
        </w:rPr>
        <w:fldChar w:fldCharType="begin"/>
      </w:r>
      <w:r w:rsidR="00624D18">
        <w:rPr>
          <w:noProof/>
        </w:rPr>
        <w:instrText xml:space="preserve"> PAGEREF _Toc361597326 \h </w:instrText>
      </w:r>
      <w:r w:rsidR="00624D18">
        <w:rPr>
          <w:noProof/>
        </w:rPr>
      </w:r>
      <w:r w:rsidR="00624D18">
        <w:rPr>
          <w:noProof/>
        </w:rPr>
        <w:fldChar w:fldCharType="separate"/>
      </w:r>
      <w:r w:rsidR="0076420C">
        <w:rPr>
          <w:noProof/>
        </w:rPr>
        <w:t>3</w:t>
      </w:r>
      <w:r w:rsidR="00624D18">
        <w:rPr>
          <w:noProof/>
        </w:rPr>
        <w:fldChar w:fldCharType="end"/>
      </w:r>
    </w:p>
    <w:p w:rsidR="003A5FEA" w:rsidRDefault="003A5FEA" w:rsidP="003A5FEA">
      <w:r>
        <w:fldChar w:fldCharType="end"/>
      </w:r>
    </w:p>
    <w:p w:rsidR="00C86248" w:rsidRDefault="00C86248">
      <w:pPr>
        <w:pStyle w:val="Heading1"/>
      </w:pPr>
      <w:r>
        <w:br w:type="page"/>
      </w:r>
      <w:bookmarkStart w:id="3" w:name="_Toc405792992"/>
      <w:bookmarkStart w:id="4" w:name="_Toc405793225"/>
      <w:bookmarkStart w:id="5" w:name="_Toc361597290"/>
      <w:r w:rsidR="00D863D0">
        <w:lastRenderedPageBreak/>
        <w:t>Executive summary</w:t>
      </w:r>
      <w:bookmarkEnd w:id="3"/>
      <w:bookmarkEnd w:id="4"/>
      <w:bookmarkEnd w:id="5"/>
    </w:p>
    <w:p w:rsidR="00705AB0" w:rsidRDefault="00705AB0" w:rsidP="003A7030">
      <w:r>
        <w:t>The 2007/08 review and the 2012 quality reviews of the Well Child/Tamariki Ora (WCTO) programme identified significant practice variability, a lack of consistent training and no specific quality assurance or improvement processes across WCTO providers. Service delivery data showed large variability in services</w:t>
      </w:r>
      <w:r w:rsidR="001A627D">
        <w:t>’</w:t>
      </w:r>
      <w:r>
        <w:t xml:space="preserve"> recorded outputs and outcomes. The reviews recommended a</w:t>
      </w:r>
      <w:r>
        <w:rPr>
          <w:lang w:eastAsia="en-NZ"/>
        </w:rPr>
        <w:t>n evidence-</w:t>
      </w:r>
      <w:r w:rsidRPr="00CB71CB">
        <w:rPr>
          <w:lang w:eastAsia="en-NZ"/>
        </w:rPr>
        <w:t>based quality framework be developed</w:t>
      </w:r>
      <w:r>
        <w:rPr>
          <w:lang w:eastAsia="en-NZ"/>
        </w:rPr>
        <w:t xml:space="preserve"> t</w:t>
      </w:r>
      <w:r w:rsidRPr="00CB71CB">
        <w:rPr>
          <w:lang w:eastAsia="en-NZ"/>
        </w:rPr>
        <w:t xml:space="preserve">o ensure the programme consistently achieves </w:t>
      </w:r>
      <w:r>
        <w:rPr>
          <w:lang w:eastAsia="en-NZ"/>
        </w:rPr>
        <w:t>its aims</w:t>
      </w:r>
      <w:r>
        <w:rPr>
          <w:szCs w:val="22"/>
          <w:lang w:eastAsia="en-NZ"/>
        </w:rPr>
        <w:t>.</w:t>
      </w:r>
    </w:p>
    <w:p w:rsidR="00705AB0" w:rsidRDefault="00705AB0" w:rsidP="003A7030"/>
    <w:p w:rsidR="001A627D" w:rsidRDefault="00705AB0" w:rsidP="003A7030">
      <w:r>
        <w:t>In 2012, Litmus Ltd (in partnership with sector expert advisors and the Ministry of Health) developed the WCTO Quality Improvement Framework, drawing on New Zealand and international research. The Framework has three high-level aims, focusing on individual (family/</w:t>
      </w:r>
      <w:r w:rsidRPr="00CB6C2C">
        <w:rPr>
          <w:szCs w:val="22"/>
          <w:lang w:eastAsia="en-NZ"/>
        </w:rPr>
        <w:t>whānau</w:t>
      </w:r>
      <w:r>
        <w:t>) experience, population health and best value for the health system resource.</w:t>
      </w:r>
    </w:p>
    <w:p w:rsidR="00705AB0" w:rsidRDefault="00705AB0" w:rsidP="003A7030"/>
    <w:p w:rsidR="00705AB0" w:rsidRPr="001A627D" w:rsidRDefault="00705AB0" w:rsidP="003A7030">
      <w:pPr>
        <w:rPr>
          <w:lang w:eastAsia="en-NZ"/>
        </w:rPr>
      </w:pPr>
      <w:r>
        <w:t xml:space="preserve">The Framework sets quality indicators to audit performance. These quality indicators were developed from existing data sources collated nationally. The approach enables regular monitoring across all services, without placing an additional reporting burden on </w:t>
      </w:r>
      <w:r w:rsidR="008535DE">
        <w:t xml:space="preserve">district health boards </w:t>
      </w:r>
      <w:r>
        <w:t xml:space="preserve">(DHBs) or other providers. The </w:t>
      </w:r>
      <w:r w:rsidRPr="001A627D">
        <w:rPr>
          <w:lang w:eastAsia="en-NZ"/>
        </w:rPr>
        <w:t>quality indicators will be regularly reported on by region, ethnicity and deprivation quintile.</w:t>
      </w:r>
    </w:p>
    <w:p w:rsidR="00705AB0" w:rsidRPr="001A627D" w:rsidRDefault="00705AB0" w:rsidP="003A7030">
      <w:pPr>
        <w:rPr>
          <w:lang w:eastAsia="en-NZ"/>
        </w:rPr>
      </w:pPr>
    </w:p>
    <w:p w:rsidR="005763E0" w:rsidRPr="009C0F2D" w:rsidRDefault="00705AB0" w:rsidP="003A7030">
      <w:pPr>
        <w:rPr>
          <w:lang w:eastAsia="en-US"/>
        </w:rPr>
      </w:pPr>
      <w:r>
        <w:t>The Framework and quality indicators provide a mechanism to drive improvement in the delivery of WCTO services. Ultimately, they aim to support all children and their families/</w:t>
      </w:r>
      <w:r w:rsidRPr="00CB6C2C">
        <w:rPr>
          <w:szCs w:val="22"/>
          <w:lang w:eastAsia="en-NZ"/>
        </w:rPr>
        <w:t>whānau</w:t>
      </w:r>
      <w:r>
        <w:t xml:space="preserve"> to achieve maximum health and wellbeing.</w:t>
      </w:r>
    </w:p>
    <w:p w:rsidR="00C86248" w:rsidRDefault="00C86248" w:rsidP="003A7030"/>
    <w:p w:rsidR="00C86248" w:rsidRDefault="00C86248">
      <w:pPr>
        <w:sectPr w:rsidR="00C86248" w:rsidSect="009D5125">
          <w:headerReference w:type="even" r:id="rId13"/>
          <w:headerReference w:type="default" r:id="rId14"/>
          <w:footerReference w:type="even" r:id="rId15"/>
          <w:footerReference w:type="default" r:id="rId16"/>
          <w:pgSz w:w="11907" w:h="16840" w:code="9"/>
          <w:pgMar w:top="851" w:right="1134" w:bottom="1134" w:left="1134" w:header="284" w:footer="567" w:gutter="284"/>
          <w:pgNumType w:fmt="lowerRoman"/>
          <w:cols w:space="720"/>
        </w:sectPr>
      </w:pPr>
    </w:p>
    <w:p w:rsidR="00705AB0" w:rsidRDefault="00705AB0" w:rsidP="003A7030">
      <w:pPr>
        <w:pStyle w:val="Heading1"/>
      </w:pPr>
      <w:bookmarkStart w:id="6" w:name="_Toc361597291"/>
      <w:bookmarkStart w:id="7" w:name="_Toc405792993"/>
      <w:bookmarkStart w:id="8" w:name="_Toc405793226"/>
      <w:r>
        <w:t>Introduction</w:t>
      </w:r>
      <w:bookmarkEnd w:id="6"/>
    </w:p>
    <w:p w:rsidR="00705AB0" w:rsidRPr="00AE474C" w:rsidRDefault="00705AB0" w:rsidP="003A7030">
      <w:pPr>
        <w:pStyle w:val="Heading2"/>
      </w:pPr>
      <w:bookmarkStart w:id="9" w:name="_Toc311786194"/>
      <w:bookmarkStart w:id="10" w:name="_Toc335212940"/>
      <w:bookmarkStart w:id="11" w:name="_Toc360627055"/>
      <w:bookmarkStart w:id="12" w:name="_Toc361597292"/>
      <w:r w:rsidRPr="00AE474C">
        <w:t xml:space="preserve">What </w:t>
      </w:r>
      <w:r>
        <w:t>is the Well Child/Tamariki Ora programme</w:t>
      </w:r>
      <w:r w:rsidRPr="00AE474C">
        <w:t>?</w:t>
      </w:r>
      <w:bookmarkEnd w:id="9"/>
      <w:bookmarkEnd w:id="10"/>
      <w:bookmarkEnd w:id="11"/>
      <w:bookmarkEnd w:id="12"/>
    </w:p>
    <w:p w:rsidR="001A627D" w:rsidRDefault="00705AB0" w:rsidP="003A7030">
      <w:r>
        <w:t xml:space="preserve">The Well Child/Tamariki Ora (WCTO) programme aims </w:t>
      </w:r>
      <w:r w:rsidRPr="00F72F7B">
        <w:t>to support and promote the healthy development of children and their families</w:t>
      </w:r>
      <w:r>
        <w:t>/</w:t>
      </w:r>
      <w:r w:rsidRPr="00F72F7B">
        <w:t>whānau from birth to fi</w:t>
      </w:r>
      <w:r>
        <w:t xml:space="preserve">ve years. It is a universal programme, designed on the principle of providing services for all, with additional services available according to need (that is, the principle of </w:t>
      </w:r>
      <w:r w:rsidR="001A627D">
        <w:t>‘</w:t>
      </w:r>
      <w:r>
        <w:t>proportionate universalism</w:t>
      </w:r>
      <w:r w:rsidR="001A627D">
        <w:t>’</w:t>
      </w:r>
      <w:r>
        <w:t>).</w:t>
      </w:r>
    </w:p>
    <w:p w:rsidR="00705AB0" w:rsidRDefault="00705AB0" w:rsidP="003A7030"/>
    <w:p w:rsidR="001A627D" w:rsidRDefault="00705AB0" w:rsidP="003A7030">
      <w:r>
        <w:t xml:space="preserve">The current WCTO schedule involves 13 </w:t>
      </w:r>
      <w:r w:rsidR="001A627D">
        <w:t>‘</w:t>
      </w:r>
      <w:r>
        <w:t>core</w:t>
      </w:r>
      <w:r w:rsidR="001A627D">
        <w:t>’</w:t>
      </w:r>
      <w:r>
        <w:t xml:space="preserve"> contacts from birth to five years: </w:t>
      </w:r>
      <w:r w:rsidRPr="00142395">
        <w:t>four contacts during the postnatal period provided by lead maternity carers</w:t>
      </w:r>
      <w:r>
        <w:t xml:space="preserve"> (LMCs)</w:t>
      </w:r>
      <w:r w:rsidRPr="00142395">
        <w:t>, a six</w:t>
      </w:r>
      <w:r>
        <w:t>-</w:t>
      </w:r>
      <w:r w:rsidRPr="00142395">
        <w:t>week check by general practice, and a further eight contacts from four to six weeks through to fiv</w:t>
      </w:r>
      <w:r>
        <w:t>e years provided by WCTO providers (Ministry of Health 2010c, 2010d)</w:t>
      </w:r>
      <w:r w:rsidRPr="00142395">
        <w:t>.</w:t>
      </w:r>
      <w:r>
        <w:t xml:space="preserve"> Additional contacts (which may begin antenatally) are provided on the basis of assessed need.</w:t>
      </w:r>
    </w:p>
    <w:p w:rsidR="00705AB0" w:rsidRDefault="00705AB0" w:rsidP="003A7030"/>
    <w:p w:rsidR="00705AB0" w:rsidRDefault="00705AB0" w:rsidP="003A7030">
      <w:r w:rsidRPr="00F72F7B">
        <w:t xml:space="preserve">WCTO services are free and </w:t>
      </w:r>
      <w:r>
        <w:t>include</w:t>
      </w:r>
      <w:r w:rsidRPr="00F72F7B">
        <w:t xml:space="preserve"> clinical assessment, health promotion, family</w:t>
      </w:r>
      <w:r>
        <w:t>/</w:t>
      </w:r>
      <w:r w:rsidRPr="00F72F7B">
        <w:t xml:space="preserve">whānau support and </w:t>
      </w:r>
      <w:r>
        <w:t xml:space="preserve">advice, </w:t>
      </w:r>
      <w:r w:rsidRPr="00F72F7B">
        <w:t>interventions or referral as appropriate.</w:t>
      </w:r>
    </w:p>
    <w:p w:rsidR="00705AB0" w:rsidRDefault="00705AB0" w:rsidP="003A7030"/>
    <w:p w:rsidR="00705AB0" w:rsidRPr="00F72F7B" w:rsidRDefault="00705AB0" w:rsidP="003A7030">
      <w:r>
        <w:t xml:space="preserve">The WCTO programme links with a number of health programmes that aim to improve health and wellbeing outcomes for children and their families, such as the national immunisation programme, the newborn metabolic screening programme and the universal newborn hearing screening programme. It also links with agencies and services external to the health sector, such as the Whānau Ora initiative and a range of </w:t>
      </w:r>
      <w:r w:rsidRPr="00F72F7B">
        <w:t>family</w:t>
      </w:r>
      <w:r>
        <w:t>/</w:t>
      </w:r>
      <w:r w:rsidRPr="00F72F7B">
        <w:t>whānau</w:t>
      </w:r>
      <w:r>
        <w:t xml:space="preserve"> support, early childhood education and early intervention services.</w:t>
      </w:r>
    </w:p>
    <w:p w:rsidR="00705AB0" w:rsidRPr="00A24ECD" w:rsidRDefault="00705AB0" w:rsidP="003A7030"/>
    <w:p w:rsidR="00705AB0" w:rsidRPr="00A24ECD" w:rsidRDefault="00705AB0" w:rsidP="003A7030">
      <w:pPr>
        <w:pStyle w:val="Heading2"/>
      </w:pPr>
      <w:bookmarkStart w:id="13" w:name="_Toc311786195"/>
      <w:bookmarkStart w:id="14" w:name="_Toc335212941"/>
      <w:bookmarkStart w:id="15" w:name="_Toc360627056"/>
      <w:bookmarkStart w:id="16" w:name="_Toc361597293"/>
      <w:r w:rsidRPr="00A24ECD">
        <w:t xml:space="preserve">Background to the </w:t>
      </w:r>
      <w:bookmarkEnd w:id="13"/>
      <w:bookmarkEnd w:id="14"/>
      <w:r>
        <w:t>Well Child/Tamariki Ora Quality Improvement Framework</w:t>
      </w:r>
      <w:bookmarkEnd w:id="15"/>
      <w:bookmarkEnd w:id="16"/>
    </w:p>
    <w:p w:rsidR="00705AB0" w:rsidRPr="0092439D" w:rsidRDefault="00705AB0" w:rsidP="003A7030">
      <w:r w:rsidRPr="0092439D">
        <w:t xml:space="preserve">Over the last </w:t>
      </w:r>
      <w:r w:rsidR="003A7030">
        <w:t>10</w:t>
      </w:r>
      <w:r w:rsidRPr="0092439D">
        <w:t xml:space="preserve"> years, a range of measures have been put in place to improve the WCTO programme. The WCTO Framework (a pricing framework for delivery of the WCTO National Schedule) was introduced in 2002 and was designed to improve consistency in service delivery. 2007/08 saw the beginning of a major review, which resulted in a range of evidence-based changes across the programme, including </w:t>
      </w:r>
      <w:r>
        <w:t xml:space="preserve">changes to </w:t>
      </w:r>
      <w:r w:rsidRPr="0092439D">
        <w:t xml:space="preserve">the timing and content of core contacts (Ministry of Health 2010a, 2010b). The review supported the introduction of the B4 School Check (B4SC) into the WCTO programme. In 2012 the Ministry of Health (the Ministry) commissioned </w:t>
      </w:r>
      <w:r>
        <w:t xml:space="preserve">three quality reviews to </w:t>
      </w:r>
      <w:r w:rsidRPr="0092439D">
        <w:t xml:space="preserve">assess how well </w:t>
      </w:r>
      <w:r>
        <w:t xml:space="preserve">these </w:t>
      </w:r>
      <w:r w:rsidRPr="0092439D">
        <w:t>changes ha</w:t>
      </w:r>
      <w:r>
        <w:t>d</w:t>
      </w:r>
      <w:r w:rsidRPr="0092439D">
        <w:t xml:space="preserve"> been adopted and what impact they </w:t>
      </w:r>
      <w:r>
        <w:t>were</w:t>
      </w:r>
      <w:r w:rsidRPr="0092439D">
        <w:t xml:space="preserve"> having on child health outcomes</w:t>
      </w:r>
      <w:r>
        <w:t xml:space="preserve"> (Litmus </w:t>
      </w:r>
      <w:r w:rsidR="00AA222E">
        <w:t>2012b</w:t>
      </w:r>
      <w:r>
        <w:t xml:space="preserve">, </w:t>
      </w:r>
      <w:r w:rsidR="00AA222E">
        <w:t>2012c</w:t>
      </w:r>
      <w:r>
        <w:t xml:space="preserve">, </w:t>
      </w:r>
      <w:r w:rsidR="00AA222E">
        <w:t>2012d</w:t>
      </w:r>
      <w:r>
        <w:t>)</w:t>
      </w:r>
      <w:r w:rsidRPr="0092439D">
        <w:t>.</w:t>
      </w:r>
    </w:p>
    <w:p w:rsidR="00705AB0" w:rsidRDefault="00705AB0" w:rsidP="003A7030"/>
    <w:p w:rsidR="001A627D" w:rsidRDefault="00705AB0" w:rsidP="003A7030">
      <w:r>
        <w:t xml:space="preserve">Recently, WCTO and other health service providers have increasingly collaborated in an effort to foster quality improvement initiatives. However, at a national level there </w:t>
      </w:r>
      <w:r w:rsidR="00AA222E">
        <w:t xml:space="preserve">are </w:t>
      </w:r>
      <w:r>
        <w:t>no shared principles or standards, and it is difficult to adequately monitor performance across the whole programme and to report on outcomes.</w:t>
      </w:r>
    </w:p>
    <w:p w:rsidR="00705AB0" w:rsidRDefault="00705AB0" w:rsidP="003A7030"/>
    <w:p w:rsidR="001A627D" w:rsidRDefault="00705AB0" w:rsidP="003A7030">
      <w:pPr>
        <w:keepLines/>
      </w:pPr>
      <w:r>
        <w:t>Thus, in 2012, Litmus Ltd (in partnership with sector expert advisors and the Ministry of Health) developed the WCTO Quality Improvement Framework, drawing on New Zealand and international research. The Framework aims to address the identified quality issues and guide the future development of the WCTO programme.</w:t>
      </w:r>
    </w:p>
    <w:p w:rsidR="00705AB0" w:rsidRDefault="00705AB0" w:rsidP="003A7030"/>
    <w:p w:rsidR="00705AB0" w:rsidRPr="00A24ECD" w:rsidRDefault="00705AB0" w:rsidP="003A7030">
      <w:pPr>
        <w:pStyle w:val="Heading2"/>
      </w:pPr>
      <w:bookmarkStart w:id="17" w:name="_Toc311786196"/>
      <w:bookmarkStart w:id="18" w:name="_Toc335212942"/>
      <w:bookmarkStart w:id="19" w:name="_Toc360627057"/>
      <w:bookmarkStart w:id="20" w:name="_Toc361597294"/>
      <w:r w:rsidRPr="00A24ECD">
        <w:t xml:space="preserve">Overview of the </w:t>
      </w:r>
      <w:bookmarkEnd w:id="17"/>
      <w:bookmarkEnd w:id="18"/>
      <w:r>
        <w:t>Quality Improvement Framework</w:t>
      </w:r>
      <w:bookmarkEnd w:id="19"/>
      <w:bookmarkEnd w:id="20"/>
    </w:p>
    <w:p w:rsidR="00705AB0" w:rsidRDefault="00705AB0" w:rsidP="003A7030">
      <w:pPr>
        <w:pStyle w:val="Heading3"/>
      </w:pPr>
      <w:bookmarkStart w:id="21" w:name="_Toc360627058"/>
      <w:r w:rsidRPr="006E62F0">
        <w:rPr>
          <w:lang w:eastAsia="en-NZ"/>
        </w:rPr>
        <w:t>Purpose</w:t>
      </w:r>
      <w:bookmarkEnd w:id="21"/>
    </w:p>
    <w:p w:rsidR="00705AB0" w:rsidRPr="00093B32" w:rsidRDefault="00705AB0" w:rsidP="003A7030">
      <w:pPr>
        <w:rPr>
          <w:lang w:eastAsia="en-NZ"/>
        </w:rPr>
      </w:pPr>
      <w:r w:rsidRPr="00AC203B">
        <w:t xml:space="preserve">The </w:t>
      </w:r>
      <w:r>
        <w:t>purpose of the F</w:t>
      </w:r>
      <w:r w:rsidRPr="00AC203B">
        <w:t>ramework</w:t>
      </w:r>
      <w:r>
        <w:t xml:space="preserve"> i</w:t>
      </w:r>
      <w:r w:rsidRPr="00AC203B">
        <w:t xml:space="preserve">s to </w:t>
      </w:r>
      <w:r>
        <w:t>support</w:t>
      </w:r>
      <w:r w:rsidRPr="00AC203B">
        <w:t xml:space="preserve"> continuous quality improvement for the WCTO programme. Monitoring of the </w:t>
      </w:r>
      <w:r>
        <w:t>Fra</w:t>
      </w:r>
      <w:r w:rsidRPr="00AC203B">
        <w:t xml:space="preserve">mework will </w:t>
      </w:r>
      <w:r w:rsidRPr="00093B32">
        <w:rPr>
          <w:lang w:eastAsia="en-NZ"/>
        </w:rPr>
        <w:t xml:space="preserve">demonstrate the value of the </w:t>
      </w:r>
      <w:r>
        <w:rPr>
          <w:lang w:eastAsia="en-NZ"/>
        </w:rPr>
        <w:t>p</w:t>
      </w:r>
      <w:r w:rsidRPr="00093B32">
        <w:rPr>
          <w:lang w:eastAsia="en-NZ"/>
        </w:rPr>
        <w:t xml:space="preserve">rogramme </w:t>
      </w:r>
      <w:r>
        <w:rPr>
          <w:lang w:eastAsia="en-NZ"/>
        </w:rPr>
        <w:t>in</w:t>
      </w:r>
      <w:r w:rsidRPr="00093B32">
        <w:rPr>
          <w:lang w:eastAsia="en-NZ"/>
        </w:rPr>
        <w:t xml:space="preserve"> </w:t>
      </w:r>
      <w:r w:rsidRPr="00093B32">
        <w:rPr>
          <w:rFonts w:cs="Arial"/>
          <w:lang w:eastAsia="en-NZ"/>
        </w:rPr>
        <w:t>support</w:t>
      </w:r>
      <w:r>
        <w:rPr>
          <w:rFonts w:cs="Arial"/>
          <w:lang w:eastAsia="en-NZ"/>
        </w:rPr>
        <w:t>ing</w:t>
      </w:r>
      <w:r w:rsidRPr="00093B32">
        <w:rPr>
          <w:rFonts w:cs="Arial"/>
          <w:lang w:eastAsia="en-NZ"/>
        </w:rPr>
        <w:t xml:space="preserve"> </w:t>
      </w:r>
      <w:r>
        <w:t>families/</w:t>
      </w:r>
      <w:r w:rsidRPr="00F72F7B">
        <w:t>whānau</w:t>
      </w:r>
      <w:r>
        <w:rPr>
          <w:rFonts w:cs="Arial"/>
          <w:lang w:eastAsia="en-NZ"/>
        </w:rPr>
        <w:t xml:space="preserve"> to</w:t>
      </w:r>
      <w:r w:rsidRPr="00093B32">
        <w:rPr>
          <w:rFonts w:cs="Arial"/>
          <w:lang w:eastAsia="en-NZ"/>
        </w:rPr>
        <w:t xml:space="preserve"> maximis</w:t>
      </w:r>
      <w:r>
        <w:rPr>
          <w:rFonts w:cs="Arial"/>
          <w:lang w:eastAsia="en-NZ"/>
        </w:rPr>
        <w:t>e</w:t>
      </w:r>
      <w:r w:rsidRPr="00093B32">
        <w:rPr>
          <w:rFonts w:cs="Arial"/>
          <w:lang w:eastAsia="en-NZ"/>
        </w:rPr>
        <w:t xml:space="preserve"> their </w:t>
      </w:r>
      <w:r>
        <w:rPr>
          <w:rFonts w:cs="Arial"/>
          <w:lang w:eastAsia="en-NZ"/>
        </w:rPr>
        <w:t>children</w:t>
      </w:r>
      <w:r w:rsidR="001A627D">
        <w:rPr>
          <w:rFonts w:cs="Arial"/>
          <w:lang w:eastAsia="en-NZ"/>
        </w:rPr>
        <w:t>’</w:t>
      </w:r>
      <w:r>
        <w:rPr>
          <w:rFonts w:cs="Arial"/>
          <w:lang w:eastAsia="en-NZ"/>
        </w:rPr>
        <w:t>s health and</w:t>
      </w:r>
      <w:r w:rsidRPr="00093B32">
        <w:rPr>
          <w:rFonts w:cs="Arial"/>
          <w:lang w:eastAsia="en-NZ"/>
        </w:rPr>
        <w:t xml:space="preserve"> developmental potentia</w:t>
      </w:r>
      <w:r>
        <w:rPr>
          <w:rFonts w:cs="Arial"/>
          <w:lang w:eastAsia="en-NZ"/>
        </w:rPr>
        <w:t>l.</w:t>
      </w:r>
    </w:p>
    <w:p w:rsidR="00705AB0" w:rsidRDefault="00705AB0" w:rsidP="003A7030">
      <w:pPr>
        <w:rPr>
          <w:lang w:eastAsia="en-NZ"/>
        </w:rPr>
      </w:pPr>
    </w:p>
    <w:p w:rsidR="00705AB0" w:rsidRDefault="00705AB0" w:rsidP="003A7030">
      <w:pPr>
        <w:rPr>
          <w:lang w:eastAsia="en-NZ"/>
        </w:rPr>
      </w:pPr>
      <w:r>
        <w:rPr>
          <w:lang w:eastAsia="en-NZ"/>
        </w:rPr>
        <w:t xml:space="preserve">The </w:t>
      </w:r>
      <w:r w:rsidRPr="001A627D">
        <w:rPr>
          <w:lang w:eastAsia="en-NZ"/>
        </w:rPr>
        <w:t>Framework</w:t>
      </w:r>
      <w:r>
        <w:rPr>
          <w:lang w:eastAsia="en-NZ"/>
        </w:rPr>
        <w:t xml:space="preserve"> focuses on the health and social service environment that the WCTO programme works within, </w:t>
      </w:r>
      <w:r w:rsidRPr="00093B32">
        <w:rPr>
          <w:lang w:eastAsia="en-NZ"/>
        </w:rPr>
        <w:t>including core contact</w:t>
      </w:r>
      <w:r>
        <w:rPr>
          <w:lang w:eastAsia="en-NZ"/>
        </w:rPr>
        <w:t>s,</w:t>
      </w:r>
      <w:r w:rsidRPr="00093B32">
        <w:rPr>
          <w:lang w:eastAsia="en-NZ"/>
        </w:rPr>
        <w:t xml:space="preserve"> </w:t>
      </w:r>
      <w:r>
        <w:rPr>
          <w:lang w:eastAsia="en-NZ"/>
        </w:rPr>
        <w:t xml:space="preserve">additional contacts and the B4SC, as well as other primary care services, referred services and early childhood education. It places deliberate emphasis </w:t>
      </w:r>
      <w:r w:rsidRPr="00093B32">
        <w:rPr>
          <w:lang w:eastAsia="en-NZ"/>
        </w:rPr>
        <w:t xml:space="preserve">on the key </w:t>
      </w:r>
      <w:r>
        <w:rPr>
          <w:lang w:eastAsia="en-NZ"/>
        </w:rPr>
        <w:t>intersections between the WCTO p</w:t>
      </w:r>
      <w:r w:rsidRPr="00093B32">
        <w:rPr>
          <w:lang w:eastAsia="en-NZ"/>
        </w:rPr>
        <w:t xml:space="preserve">rogramme and other </w:t>
      </w:r>
      <w:r>
        <w:rPr>
          <w:lang w:eastAsia="en-NZ"/>
        </w:rPr>
        <w:t>health and social services, to promote delivery of seamless and collaborative care.</w:t>
      </w:r>
    </w:p>
    <w:p w:rsidR="00705AB0" w:rsidRDefault="00705AB0" w:rsidP="003A7030">
      <w:pPr>
        <w:rPr>
          <w:lang w:eastAsia="en-NZ"/>
        </w:rPr>
      </w:pPr>
    </w:p>
    <w:p w:rsidR="001A627D" w:rsidRDefault="00705AB0" w:rsidP="003A7030">
      <w:pPr>
        <w:rPr>
          <w:lang w:eastAsia="en-NZ"/>
        </w:rPr>
      </w:pPr>
      <w:r w:rsidRPr="00093B32">
        <w:rPr>
          <w:lang w:eastAsia="en-NZ"/>
        </w:rPr>
        <w:t xml:space="preserve">The </w:t>
      </w:r>
      <w:r w:rsidRPr="001A627D">
        <w:rPr>
          <w:lang w:eastAsia="en-NZ"/>
        </w:rPr>
        <w:t>Framework</w:t>
      </w:r>
      <w:r w:rsidRPr="00093B32">
        <w:rPr>
          <w:lang w:eastAsia="en-NZ"/>
        </w:rPr>
        <w:t xml:space="preserve"> </w:t>
      </w:r>
      <w:r>
        <w:rPr>
          <w:lang w:eastAsia="en-NZ"/>
        </w:rPr>
        <w:t>do</w:t>
      </w:r>
      <w:r w:rsidRPr="00093B32">
        <w:rPr>
          <w:lang w:eastAsia="en-NZ"/>
        </w:rPr>
        <w:t>es not replace WCTO providers</w:t>
      </w:r>
      <w:r w:rsidR="001A627D">
        <w:rPr>
          <w:lang w:eastAsia="en-NZ"/>
        </w:rPr>
        <w:t>’</w:t>
      </w:r>
      <w:r w:rsidRPr="00093B32">
        <w:rPr>
          <w:lang w:eastAsia="en-NZ"/>
        </w:rPr>
        <w:t xml:space="preserve"> existing </w:t>
      </w:r>
      <w:r>
        <w:rPr>
          <w:lang w:eastAsia="en-NZ"/>
        </w:rPr>
        <w:t xml:space="preserve">individual </w:t>
      </w:r>
      <w:r w:rsidRPr="00093B32">
        <w:rPr>
          <w:lang w:eastAsia="en-NZ"/>
        </w:rPr>
        <w:t>quality assurance and improvement processes</w:t>
      </w:r>
      <w:r>
        <w:rPr>
          <w:lang w:eastAsia="en-NZ"/>
        </w:rPr>
        <w:t xml:space="preserve">, and complements the Well Child Service Specifications and associated contractual arrangements between the Ministry of Health and WCTO providers </w:t>
      </w:r>
      <w:r>
        <w:t>(Ministry of Health 2010e)</w:t>
      </w:r>
      <w:r w:rsidRPr="00093B32">
        <w:rPr>
          <w:lang w:eastAsia="en-NZ"/>
        </w:rPr>
        <w:t xml:space="preserve">. The </w:t>
      </w:r>
      <w:r>
        <w:rPr>
          <w:lang w:eastAsia="en-NZ"/>
        </w:rPr>
        <w:t>F</w:t>
      </w:r>
      <w:r w:rsidRPr="001A627D">
        <w:rPr>
          <w:lang w:eastAsia="en-NZ"/>
        </w:rPr>
        <w:t>ramework</w:t>
      </w:r>
      <w:r w:rsidRPr="00093B32">
        <w:rPr>
          <w:lang w:eastAsia="en-NZ"/>
        </w:rPr>
        <w:t xml:space="preserve"> </w:t>
      </w:r>
      <w:r>
        <w:rPr>
          <w:lang w:eastAsia="en-NZ"/>
        </w:rPr>
        <w:t>seeks to align existing f</w:t>
      </w:r>
      <w:r w:rsidRPr="00093B32">
        <w:rPr>
          <w:lang w:eastAsia="en-NZ"/>
        </w:rPr>
        <w:t>rameworks and processes</w:t>
      </w:r>
      <w:r>
        <w:rPr>
          <w:lang w:eastAsia="en-NZ"/>
        </w:rPr>
        <w:t xml:space="preserve"> across the system</w:t>
      </w:r>
      <w:r w:rsidRPr="00093B32">
        <w:rPr>
          <w:lang w:eastAsia="en-NZ"/>
        </w:rPr>
        <w:t xml:space="preserve"> and </w:t>
      </w:r>
      <w:r>
        <w:rPr>
          <w:lang w:eastAsia="en-NZ"/>
        </w:rPr>
        <w:t>provide</w:t>
      </w:r>
      <w:r w:rsidRPr="00093B32">
        <w:rPr>
          <w:lang w:eastAsia="en-NZ"/>
        </w:rPr>
        <w:t xml:space="preserve"> common understanding</w:t>
      </w:r>
      <w:r>
        <w:rPr>
          <w:lang w:eastAsia="en-NZ"/>
        </w:rPr>
        <w:t xml:space="preserve"> and shared accountability for quality improvement. Implementation of the Framework should be done in partnership with existing quality improvement activities including local Maternity Quality &amp; Safety Programmes.</w:t>
      </w:r>
    </w:p>
    <w:p w:rsidR="00705AB0" w:rsidRDefault="00705AB0" w:rsidP="003A7030">
      <w:pPr>
        <w:rPr>
          <w:lang w:eastAsia="en-NZ"/>
        </w:rPr>
      </w:pPr>
    </w:p>
    <w:p w:rsidR="00705AB0" w:rsidRPr="006E62F0" w:rsidRDefault="00705AB0" w:rsidP="003A7030">
      <w:pPr>
        <w:pStyle w:val="Heading3"/>
        <w:rPr>
          <w:lang w:eastAsia="en-NZ"/>
        </w:rPr>
      </w:pPr>
      <w:bookmarkStart w:id="22" w:name="_Toc360627059"/>
      <w:r w:rsidRPr="006E62F0">
        <w:rPr>
          <w:lang w:eastAsia="en-NZ"/>
        </w:rPr>
        <w:t>Development methodology</w:t>
      </w:r>
      <w:bookmarkEnd w:id="22"/>
    </w:p>
    <w:p w:rsidR="00705AB0" w:rsidRDefault="00705AB0" w:rsidP="003A7030">
      <w:pPr>
        <w:rPr>
          <w:szCs w:val="22"/>
          <w:lang w:eastAsia="en-NZ"/>
        </w:rPr>
      </w:pPr>
      <w:r>
        <w:rPr>
          <w:lang w:eastAsia="en-NZ"/>
        </w:rPr>
        <w:t>Litmus Ltd</w:t>
      </w:r>
      <w:r w:rsidRPr="00093B32">
        <w:rPr>
          <w:lang w:eastAsia="en-NZ"/>
        </w:rPr>
        <w:t xml:space="preserve"> develop</w:t>
      </w:r>
      <w:r>
        <w:rPr>
          <w:lang w:eastAsia="en-NZ"/>
        </w:rPr>
        <w:t>ed</w:t>
      </w:r>
      <w:r w:rsidRPr="00093B32">
        <w:rPr>
          <w:lang w:eastAsia="en-NZ"/>
        </w:rPr>
        <w:t xml:space="preserve"> the </w:t>
      </w:r>
      <w:r>
        <w:rPr>
          <w:lang w:eastAsia="en-NZ"/>
        </w:rPr>
        <w:t xml:space="preserve">WCTO </w:t>
      </w:r>
      <w:r w:rsidRPr="001A627D">
        <w:rPr>
          <w:lang w:eastAsia="en-NZ"/>
        </w:rPr>
        <w:t>Quality Improvement Framework</w:t>
      </w:r>
      <w:r w:rsidRPr="00093B32">
        <w:rPr>
          <w:lang w:eastAsia="en-NZ"/>
        </w:rPr>
        <w:t xml:space="preserve"> concurrently with </w:t>
      </w:r>
      <w:r>
        <w:rPr>
          <w:lang w:eastAsia="en-NZ"/>
        </w:rPr>
        <w:t xml:space="preserve">a number of nationally commissioned quality reviews of individual components of the WCTO programme (Litmus </w:t>
      </w:r>
      <w:r w:rsidR="00AA222E">
        <w:rPr>
          <w:lang w:eastAsia="en-NZ"/>
        </w:rPr>
        <w:t>2012b</w:t>
      </w:r>
      <w:r>
        <w:rPr>
          <w:lang w:eastAsia="en-NZ"/>
        </w:rPr>
        <w:t xml:space="preserve">, </w:t>
      </w:r>
      <w:r w:rsidR="00AA222E">
        <w:rPr>
          <w:lang w:eastAsia="en-NZ"/>
        </w:rPr>
        <w:t>2012c</w:t>
      </w:r>
      <w:r>
        <w:rPr>
          <w:lang w:eastAsia="en-NZ"/>
        </w:rPr>
        <w:t xml:space="preserve">, </w:t>
      </w:r>
      <w:r w:rsidR="00AA222E">
        <w:rPr>
          <w:lang w:eastAsia="en-NZ"/>
        </w:rPr>
        <w:t>2012d</w:t>
      </w:r>
      <w:r>
        <w:rPr>
          <w:lang w:eastAsia="en-NZ"/>
        </w:rPr>
        <w:t>)</w:t>
      </w:r>
      <w:r w:rsidRPr="00093B32">
        <w:rPr>
          <w:lang w:eastAsia="en-NZ"/>
        </w:rPr>
        <w:t xml:space="preserve">. This helped </w:t>
      </w:r>
      <w:r>
        <w:rPr>
          <w:lang w:eastAsia="en-NZ"/>
        </w:rPr>
        <w:t xml:space="preserve">the </w:t>
      </w:r>
      <w:r w:rsidRPr="001A627D">
        <w:rPr>
          <w:lang w:eastAsia="en-NZ"/>
        </w:rPr>
        <w:t>Framework</w:t>
      </w:r>
      <w:r>
        <w:rPr>
          <w:lang w:eastAsia="en-NZ"/>
        </w:rPr>
        <w:t xml:space="preserve"> address </w:t>
      </w:r>
      <w:r w:rsidRPr="00093B32">
        <w:rPr>
          <w:lang w:eastAsia="en-NZ"/>
        </w:rPr>
        <w:t>two key questions of any quality review process: what is working well</w:t>
      </w:r>
      <w:r>
        <w:rPr>
          <w:lang w:eastAsia="en-NZ"/>
        </w:rPr>
        <w:t xml:space="preserve">, and </w:t>
      </w:r>
      <w:r w:rsidRPr="006E62F0">
        <w:rPr>
          <w:szCs w:val="22"/>
          <w:lang w:eastAsia="en-NZ"/>
        </w:rPr>
        <w:t>wh</w:t>
      </w:r>
      <w:r>
        <w:rPr>
          <w:szCs w:val="22"/>
          <w:lang w:eastAsia="en-NZ"/>
        </w:rPr>
        <w:t>at can be improved?</w:t>
      </w:r>
      <w:r w:rsidR="001A627D">
        <w:rPr>
          <w:szCs w:val="22"/>
          <w:lang w:eastAsia="en-NZ"/>
        </w:rPr>
        <w:t xml:space="preserve"> </w:t>
      </w:r>
      <w:r w:rsidRPr="006E62F0">
        <w:rPr>
          <w:szCs w:val="22"/>
          <w:lang w:eastAsia="en-NZ"/>
        </w:rPr>
        <w:t>It also meant that the p</w:t>
      </w:r>
      <w:r>
        <w:rPr>
          <w:szCs w:val="22"/>
          <w:lang w:eastAsia="en-NZ"/>
        </w:rPr>
        <w:t>erspectives of family/</w:t>
      </w:r>
      <w:r w:rsidRPr="006E62F0">
        <w:rPr>
          <w:szCs w:val="22"/>
          <w:lang w:eastAsia="en-NZ"/>
        </w:rPr>
        <w:t xml:space="preserve">whānau, service providers and funders were </w:t>
      </w:r>
      <w:r>
        <w:rPr>
          <w:szCs w:val="22"/>
          <w:lang w:eastAsia="en-NZ"/>
        </w:rPr>
        <w:t xml:space="preserve">a focus </w:t>
      </w:r>
      <w:r w:rsidRPr="006E62F0">
        <w:rPr>
          <w:szCs w:val="22"/>
          <w:lang w:eastAsia="en-NZ"/>
        </w:rPr>
        <w:t>from the outset.</w:t>
      </w:r>
      <w:bookmarkStart w:id="23" w:name="_Toc360627060"/>
    </w:p>
    <w:p w:rsidR="00705AB0" w:rsidRDefault="00705AB0" w:rsidP="003A7030">
      <w:pPr>
        <w:rPr>
          <w:lang w:eastAsia="en-NZ"/>
        </w:rPr>
      </w:pPr>
    </w:p>
    <w:p w:rsidR="001A627D" w:rsidRDefault="00705AB0" w:rsidP="003A7030">
      <w:pPr>
        <w:rPr>
          <w:lang w:eastAsia="en-NZ"/>
        </w:rPr>
      </w:pPr>
      <w:r>
        <w:rPr>
          <w:lang w:eastAsia="en-NZ"/>
        </w:rPr>
        <w:t xml:space="preserve">A </w:t>
      </w:r>
      <w:r w:rsidRPr="00A40E68">
        <w:rPr>
          <w:lang w:eastAsia="en-NZ"/>
        </w:rPr>
        <w:t xml:space="preserve">critical component in the development of </w:t>
      </w:r>
      <w:r w:rsidRPr="009807AF">
        <w:rPr>
          <w:lang w:eastAsia="en-NZ"/>
        </w:rPr>
        <w:t xml:space="preserve">the </w:t>
      </w:r>
      <w:r w:rsidRPr="001A627D">
        <w:rPr>
          <w:lang w:eastAsia="en-NZ"/>
        </w:rPr>
        <w:t>Framework</w:t>
      </w:r>
      <w:r w:rsidRPr="009807AF">
        <w:rPr>
          <w:lang w:eastAsia="en-NZ"/>
        </w:rPr>
        <w:t xml:space="preserve"> was the establishment of </w:t>
      </w:r>
      <w:r>
        <w:rPr>
          <w:lang w:eastAsia="en-NZ"/>
        </w:rPr>
        <w:t xml:space="preserve">and input from </w:t>
      </w:r>
      <w:r w:rsidRPr="009807AF">
        <w:rPr>
          <w:lang w:eastAsia="en-NZ"/>
        </w:rPr>
        <w:t xml:space="preserve">an </w:t>
      </w:r>
      <w:r>
        <w:rPr>
          <w:lang w:eastAsia="en-NZ"/>
        </w:rPr>
        <w:t>e</w:t>
      </w:r>
      <w:r w:rsidRPr="009807AF">
        <w:rPr>
          <w:lang w:eastAsia="en-NZ"/>
        </w:rPr>
        <w:t xml:space="preserve">xpert </w:t>
      </w:r>
      <w:r>
        <w:rPr>
          <w:lang w:eastAsia="en-NZ"/>
        </w:rPr>
        <w:t>a</w:t>
      </w:r>
      <w:r w:rsidRPr="009807AF">
        <w:rPr>
          <w:lang w:eastAsia="en-NZ"/>
        </w:rPr>
        <w:t xml:space="preserve">dvisory </w:t>
      </w:r>
      <w:r>
        <w:rPr>
          <w:lang w:eastAsia="en-NZ"/>
        </w:rPr>
        <w:t>g</w:t>
      </w:r>
      <w:r w:rsidRPr="009807AF">
        <w:rPr>
          <w:lang w:eastAsia="en-NZ"/>
        </w:rPr>
        <w:t>roup. The group included professional</w:t>
      </w:r>
      <w:r w:rsidRPr="00A40E68">
        <w:rPr>
          <w:lang w:eastAsia="en-NZ"/>
        </w:rPr>
        <w:t xml:space="preserve"> expertise from across </w:t>
      </w:r>
      <w:r>
        <w:rPr>
          <w:lang w:eastAsia="en-NZ"/>
        </w:rPr>
        <w:t>the WCTO programme and the child health sector, including in the following areas:</w:t>
      </w:r>
      <w:bookmarkEnd w:id="23"/>
    </w:p>
    <w:p w:rsidR="00705AB0" w:rsidRPr="00775F68" w:rsidRDefault="00705AB0" w:rsidP="003A7030">
      <w:pPr>
        <w:pStyle w:val="Bullet"/>
      </w:pPr>
      <w:r w:rsidRPr="00775F68">
        <w:t>WCTO service funding and provision</w:t>
      </w:r>
    </w:p>
    <w:p w:rsidR="00705AB0" w:rsidRPr="00775F68" w:rsidRDefault="00705AB0" w:rsidP="003A7030">
      <w:pPr>
        <w:pStyle w:val="Bullet"/>
      </w:pPr>
      <w:r>
        <w:t>k</w:t>
      </w:r>
      <w:r w:rsidRPr="00775F68">
        <w:t>aupapa Māori WCTO policy and service delivery</w:t>
      </w:r>
    </w:p>
    <w:p w:rsidR="001A627D" w:rsidRDefault="00705AB0" w:rsidP="003A7030">
      <w:pPr>
        <w:pStyle w:val="Bullet"/>
      </w:pPr>
      <w:r w:rsidRPr="00775F68">
        <w:t>Pacific WCTO policy and service delivery</w:t>
      </w:r>
    </w:p>
    <w:p w:rsidR="001A627D" w:rsidRDefault="00705AB0" w:rsidP="003A7030">
      <w:pPr>
        <w:pStyle w:val="Bullet"/>
      </w:pPr>
      <w:r>
        <w:t>m</w:t>
      </w:r>
      <w:r w:rsidRPr="00775F68">
        <w:t>idwifery</w:t>
      </w:r>
      <w:r>
        <w:t xml:space="preserve"> and primary maternity care</w:t>
      </w:r>
    </w:p>
    <w:p w:rsidR="001A627D" w:rsidRDefault="00705AB0" w:rsidP="003A7030">
      <w:pPr>
        <w:pStyle w:val="Bullet"/>
      </w:pPr>
      <w:r>
        <w:t>p</w:t>
      </w:r>
      <w:r w:rsidRPr="00775F68">
        <w:t xml:space="preserve">rimary health care and </w:t>
      </w:r>
      <w:r>
        <w:t>general p</w:t>
      </w:r>
      <w:r w:rsidRPr="00775F68">
        <w:t>ractice</w:t>
      </w:r>
    </w:p>
    <w:p w:rsidR="00705AB0" w:rsidRPr="00775F68" w:rsidRDefault="00705AB0" w:rsidP="003A7030">
      <w:pPr>
        <w:pStyle w:val="Bullet"/>
      </w:pPr>
      <w:r>
        <w:t>p</w:t>
      </w:r>
      <w:r w:rsidRPr="00775F68">
        <w:t xml:space="preserve">ublic </w:t>
      </w:r>
      <w:r>
        <w:t>h</w:t>
      </w:r>
      <w:r w:rsidRPr="00775F68">
        <w:t>ealth</w:t>
      </w:r>
    </w:p>
    <w:p w:rsidR="00705AB0" w:rsidRPr="00775F68" w:rsidRDefault="00705AB0" w:rsidP="003A7030">
      <w:pPr>
        <w:pStyle w:val="Bullet"/>
      </w:pPr>
      <w:r>
        <w:t>paediatrics</w:t>
      </w:r>
    </w:p>
    <w:p w:rsidR="00705AB0" w:rsidRPr="00775F68" w:rsidRDefault="00705AB0" w:rsidP="003A7030">
      <w:pPr>
        <w:pStyle w:val="Bullet"/>
      </w:pPr>
      <w:r>
        <w:t>screening and s</w:t>
      </w:r>
      <w:r w:rsidRPr="00775F68">
        <w:t>urveillance</w:t>
      </w:r>
    </w:p>
    <w:p w:rsidR="00705AB0" w:rsidRPr="00775F68" w:rsidRDefault="00705AB0" w:rsidP="003A7030">
      <w:pPr>
        <w:pStyle w:val="Bullet"/>
      </w:pPr>
      <w:r>
        <w:t>quality improvement.</w:t>
      </w:r>
    </w:p>
    <w:p w:rsidR="00705AB0" w:rsidRPr="00A40E68" w:rsidRDefault="00705AB0" w:rsidP="003A7030">
      <w:pPr>
        <w:rPr>
          <w:lang w:eastAsia="en-NZ"/>
        </w:rPr>
      </w:pPr>
    </w:p>
    <w:p w:rsidR="001A627D" w:rsidRDefault="00705AB0" w:rsidP="003A7030">
      <w:pPr>
        <w:pStyle w:val="Heading3"/>
        <w:rPr>
          <w:lang w:eastAsia="en-NZ"/>
        </w:rPr>
      </w:pPr>
      <w:bookmarkStart w:id="24" w:name="_Toc360627061"/>
      <w:r>
        <w:rPr>
          <w:lang w:eastAsia="en-NZ"/>
        </w:rPr>
        <w:t>Scope</w:t>
      </w:r>
      <w:bookmarkEnd w:id="24"/>
    </w:p>
    <w:p w:rsidR="00705AB0" w:rsidRDefault="00705AB0" w:rsidP="003A7030">
      <w:pPr>
        <w:rPr>
          <w:lang w:eastAsia="en-NZ"/>
        </w:rPr>
      </w:pPr>
      <w:r>
        <w:rPr>
          <w:lang w:eastAsia="en-NZ"/>
        </w:rPr>
        <w:t>The Framework is essentially a modified version of the United States</w:t>
      </w:r>
      <w:r w:rsidR="001A627D">
        <w:rPr>
          <w:lang w:eastAsia="en-NZ"/>
        </w:rPr>
        <w:t>’</w:t>
      </w:r>
      <w:r>
        <w:rPr>
          <w:lang w:eastAsia="en-NZ"/>
        </w:rPr>
        <w:t xml:space="preserve"> Institute for Healthcare Improvement </w:t>
      </w:r>
      <w:r w:rsidR="001A627D">
        <w:rPr>
          <w:lang w:eastAsia="en-NZ"/>
        </w:rPr>
        <w:t>‘</w:t>
      </w:r>
      <w:r>
        <w:rPr>
          <w:lang w:eastAsia="en-NZ"/>
        </w:rPr>
        <w:t>Triple Aim</w:t>
      </w:r>
      <w:r w:rsidR="001A627D">
        <w:rPr>
          <w:lang w:eastAsia="en-NZ"/>
        </w:rPr>
        <w:t>’</w:t>
      </w:r>
      <w:r>
        <w:rPr>
          <w:lang w:eastAsia="en-NZ"/>
        </w:rPr>
        <w:t xml:space="preserve"> concept (</w:t>
      </w:r>
      <w:r w:rsidRPr="001A627D">
        <w:rPr>
          <w:lang w:eastAsia="en-US"/>
        </w:rPr>
        <w:t>Australian Commission on Safety and Quality in Health Care 2010;</w:t>
      </w:r>
      <w:r>
        <w:rPr>
          <w:lang w:eastAsia="en-NZ"/>
        </w:rPr>
        <w:t xml:space="preserve"> Institute for Healthcare Improvement 2012; Health Quality and Safety Commission 2012).</w:t>
      </w:r>
    </w:p>
    <w:p w:rsidR="00705AB0" w:rsidRDefault="00705AB0" w:rsidP="003A7030">
      <w:pPr>
        <w:rPr>
          <w:lang w:eastAsia="en-NZ"/>
        </w:rPr>
      </w:pPr>
    </w:p>
    <w:p w:rsidR="001A627D" w:rsidRDefault="00705AB0" w:rsidP="003A7030">
      <w:pPr>
        <w:rPr>
          <w:lang w:eastAsia="en-NZ"/>
        </w:rPr>
      </w:pPr>
      <w:r>
        <w:rPr>
          <w:lang w:eastAsia="en-NZ"/>
        </w:rPr>
        <w:t>The Framework covers all areas of health and wellbeing– including WCTO, public health, primary maternity, primary care and specialist services – and all levels of health care, including policy</w:t>
      </w:r>
      <w:r w:rsidR="00AA222E">
        <w:rPr>
          <w:lang w:eastAsia="en-NZ"/>
        </w:rPr>
        <w:t xml:space="preserve"> </w:t>
      </w:r>
      <w:r>
        <w:rPr>
          <w:lang w:eastAsia="en-NZ"/>
        </w:rPr>
        <w:t>making, service management and clinical care.</w:t>
      </w:r>
    </w:p>
    <w:p w:rsidR="00705AB0" w:rsidRDefault="00705AB0" w:rsidP="003A7030">
      <w:pPr>
        <w:rPr>
          <w:lang w:eastAsia="en-NZ"/>
        </w:rPr>
      </w:pPr>
    </w:p>
    <w:p w:rsidR="00705AB0" w:rsidRPr="009A2500" w:rsidRDefault="00705AB0" w:rsidP="003A7030">
      <w:pPr>
        <w:pStyle w:val="Figure"/>
        <w:rPr>
          <w:lang w:eastAsia="en-NZ"/>
        </w:rPr>
      </w:pPr>
      <w:bookmarkStart w:id="25" w:name="_Toc361597326"/>
      <w:r w:rsidRPr="009A2500">
        <w:rPr>
          <w:lang w:eastAsia="en-NZ"/>
        </w:rPr>
        <w:t>Figure 1: Model for the WCTO Quality Improvement Framework</w:t>
      </w:r>
      <w:bookmarkEnd w:id="25"/>
    </w:p>
    <w:p w:rsidR="00705AB0" w:rsidRDefault="00794E85" w:rsidP="003A7030">
      <w:pPr>
        <w:rPr>
          <w:lang w:eastAsia="en-NZ"/>
        </w:rPr>
      </w:pPr>
      <w:r>
        <w:rPr>
          <w:noProof/>
          <w:lang w:eastAsia="en-NZ"/>
        </w:rPr>
        <w:drawing>
          <wp:inline distT="0" distB="0" distL="0" distR="0">
            <wp:extent cx="4513580" cy="3300095"/>
            <wp:effectExtent l="0" t="0" r="1270" b="0"/>
            <wp:docPr id="3" name="Picture 4" descr="Model for the WCTO Quality Improvement Framework" title="Model for the WCTO Quality Improvemen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3580" cy="3300095"/>
                    </a:xfrm>
                    <a:prstGeom prst="rect">
                      <a:avLst/>
                    </a:prstGeom>
                    <a:noFill/>
                    <a:ln>
                      <a:noFill/>
                    </a:ln>
                  </pic:spPr>
                </pic:pic>
              </a:graphicData>
            </a:graphic>
          </wp:inline>
        </w:drawing>
      </w:r>
    </w:p>
    <w:p w:rsidR="00705AB0" w:rsidRDefault="00705AB0" w:rsidP="003A7030">
      <w:pPr>
        <w:rPr>
          <w:lang w:eastAsia="en-NZ"/>
        </w:rPr>
      </w:pPr>
      <w:bookmarkStart w:id="26" w:name="_Toc335212880"/>
    </w:p>
    <w:p w:rsidR="00705AB0" w:rsidRDefault="00705AB0" w:rsidP="003A7030">
      <w:pPr>
        <w:rPr>
          <w:lang w:eastAsia="en-NZ"/>
        </w:rPr>
      </w:pPr>
      <w:r>
        <w:rPr>
          <w:lang w:eastAsia="en-NZ"/>
        </w:rPr>
        <w:t>The following sections outline the</w:t>
      </w:r>
      <w:r w:rsidRPr="00093B32">
        <w:rPr>
          <w:lang w:eastAsia="en-NZ"/>
        </w:rPr>
        <w:t xml:space="preserve"> </w:t>
      </w:r>
      <w:r>
        <w:rPr>
          <w:lang w:eastAsia="en-NZ"/>
        </w:rPr>
        <w:t xml:space="preserve">three high-level aims and guiding principles of the </w:t>
      </w:r>
      <w:r w:rsidRPr="001A627D">
        <w:rPr>
          <w:lang w:eastAsia="en-NZ"/>
        </w:rPr>
        <w:t>Framework and what these mean for funders, planners and providers).</w:t>
      </w:r>
      <w:bookmarkStart w:id="27" w:name="_Toc360627062"/>
      <w:bookmarkEnd w:id="26"/>
    </w:p>
    <w:p w:rsidR="003A7030" w:rsidRPr="003A7030" w:rsidRDefault="003A7030" w:rsidP="003A7030"/>
    <w:p w:rsidR="00705AB0" w:rsidRPr="00ED0E27" w:rsidRDefault="003A7030" w:rsidP="003A7030">
      <w:pPr>
        <w:pStyle w:val="Heading1"/>
      </w:pPr>
      <w:r>
        <w:rPr>
          <w:lang w:eastAsia="en-NZ"/>
        </w:rPr>
        <w:br w:type="page"/>
      </w:r>
      <w:bookmarkStart w:id="28" w:name="_Toc361597295"/>
      <w:r w:rsidR="00705AB0" w:rsidRPr="00ED0E27">
        <w:rPr>
          <w:lang w:eastAsia="en-NZ"/>
        </w:rPr>
        <w:t>Aim 1: Improved safety and quality experience for the child, family/whānau and community</w:t>
      </w:r>
      <w:bookmarkEnd w:id="27"/>
      <w:bookmarkEnd w:id="28"/>
    </w:p>
    <w:p w:rsidR="00705AB0" w:rsidRPr="009A2500" w:rsidRDefault="00705AB0" w:rsidP="003A7030">
      <w:pPr>
        <w:pStyle w:val="Heading2"/>
        <w:rPr>
          <w:lang w:eastAsia="en-NZ"/>
        </w:rPr>
      </w:pPr>
      <w:bookmarkStart w:id="29" w:name="_Toc361597296"/>
      <w:r>
        <w:rPr>
          <w:lang w:eastAsia="en-NZ"/>
        </w:rPr>
        <w:t>Guiding principles</w:t>
      </w:r>
      <w:bookmarkEnd w:id="29"/>
    </w:p>
    <w:p w:rsidR="001A627D" w:rsidRDefault="00705AB0" w:rsidP="003A7030">
      <w:pPr>
        <w:pStyle w:val="Bullet"/>
        <w:rPr>
          <w:lang w:eastAsia="en-NZ"/>
        </w:rPr>
      </w:pPr>
      <w:r w:rsidRPr="00705AB0">
        <w:rPr>
          <w:lang w:eastAsia="en-NZ"/>
        </w:rPr>
        <w:t>Families/</w:t>
      </w:r>
      <w:r w:rsidRPr="00D161CE">
        <w:rPr>
          <w:rFonts w:cs="Arial"/>
          <w:szCs w:val="24"/>
          <w:lang w:eastAsia="en-NZ"/>
        </w:rPr>
        <w:t>whānau</w:t>
      </w:r>
      <w:r w:rsidRPr="00705AB0">
        <w:rPr>
          <w:lang w:eastAsia="en-NZ"/>
        </w:rPr>
        <w:t xml:space="preserve"> can access WCTO services easily.</w:t>
      </w:r>
    </w:p>
    <w:p w:rsidR="00705AB0" w:rsidRPr="00705AB0" w:rsidRDefault="00705AB0" w:rsidP="003A7030">
      <w:pPr>
        <w:pStyle w:val="Bullet"/>
        <w:rPr>
          <w:lang w:eastAsia="en-NZ"/>
        </w:rPr>
      </w:pPr>
      <w:r w:rsidRPr="00705AB0">
        <w:rPr>
          <w:lang w:eastAsia="en-NZ"/>
        </w:rPr>
        <w:t>Families/</w:t>
      </w:r>
      <w:r w:rsidRPr="006306F7">
        <w:rPr>
          <w:rFonts w:cs="Arial"/>
          <w:szCs w:val="24"/>
          <w:lang w:eastAsia="en-NZ"/>
        </w:rPr>
        <w:t>whānau</w:t>
      </w:r>
      <w:r w:rsidRPr="00705AB0">
        <w:rPr>
          <w:lang w:eastAsia="en-NZ"/>
        </w:rPr>
        <w:t xml:space="preserve"> feel respected by WCTO providers, and services build on a family/</w:t>
      </w:r>
      <w:r w:rsidRPr="006306F7">
        <w:rPr>
          <w:rFonts w:cs="Arial"/>
          <w:szCs w:val="24"/>
          <w:lang w:eastAsia="en-NZ"/>
        </w:rPr>
        <w:t>whānau</w:t>
      </w:r>
      <w:r w:rsidR="001A627D">
        <w:rPr>
          <w:lang w:eastAsia="en-NZ"/>
        </w:rPr>
        <w:t>’</w:t>
      </w:r>
      <w:r w:rsidRPr="00705AB0">
        <w:rPr>
          <w:lang w:eastAsia="en-NZ"/>
        </w:rPr>
        <w:t>s strengths, needs and choices (family/whānau-centred approach).</w:t>
      </w:r>
    </w:p>
    <w:p w:rsidR="00705AB0" w:rsidRPr="00722795" w:rsidRDefault="00705AB0" w:rsidP="003A7030">
      <w:pPr>
        <w:pStyle w:val="Bullet"/>
        <w:rPr>
          <w:lang w:eastAsia="en-NZ"/>
        </w:rPr>
      </w:pPr>
      <w:r w:rsidRPr="00705AB0">
        <w:rPr>
          <w:lang w:eastAsia="en-NZ"/>
        </w:rPr>
        <w:t>Families/</w:t>
      </w:r>
      <w:r w:rsidRPr="00D161CE">
        <w:rPr>
          <w:rFonts w:cs="Arial"/>
          <w:szCs w:val="24"/>
          <w:lang w:eastAsia="en-NZ"/>
        </w:rPr>
        <w:t>whānau</w:t>
      </w:r>
      <w:r w:rsidRPr="00705AB0">
        <w:rPr>
          <w:lang w:eastAsia="en-NZ"/>
        </w:rPr>
        <w:t xml:space="preserve"> have effective relationships with WCTO providers.</w:t>
      </w:r>
    </w:p>
    <w:p w:rsidR="00705AB0" w:rsidRPr="00722795" w:rsidRDefault="00705AB0" w:rsidP="003A7030">
      <w:pPr>
        <w:pStyle w:val="Bullet"/>
        <w:rPr>
          <w:lang w:eastAsia="en-NZ"/>
        </w:rPr>
      </w:pPr>
      <w:r w:rsidRPr="00705AB0">
        <w:rPr>
          <w:lang w:eastAsia="en-NZ"/>
        </w:rPr>
        <w:t>WCTO services are culturally appropriate, respectful and responsive to diversity.</w:t>
      </w:r>
    </w:p>
    <w:p w:rsidR="00705AB0" w:rsidRPr="00156BF3" w:rsidRDefault="00705AB0" w:rsidP="003A7030">
      <w:pPr>
        <w:pStyle w:val="Bullet"/>
        <w:rPr>
          <w:lang w:eastAsia="en-NZ"/>
        </w:rPr>
      </w:pPr>
      <w:r w:rsidRPr="00705AB0">
        <w:rPr>
          <w:lang w:eastAsia="en-NZ"/>
        </w:rPr>
        <w:t>Families/</w:t>
      </w:r>
      <w:r w:rsidRPr="00D161CE">
        <w:rPr>
          <w:rFonts w:cs="Arial"/>
          <w:szCs w:val="24"/>
          <w:lang w:eastAsia="en-NZ"/>
        </w:rPr>
        <w:t>whānau</w:t>
      </w:r>
      <w:r w:rsidRPr="00705AB0">
        <w:rPr>
          <w:lang w:eastAsia="en-NZ"/>
        </w:rPr>
        <w:t xml:space="preserve"> receive WCTO services that </w:t>
      </w:r>
      <w:r>
        <w:rPr>
          <w:lang w:eastAsia="en-NZ"/>
        </w:rPr>
        <w:t>are safe and effective.</w:t>
      </w:r>
    </w:p>
    <w:p w:rsidR="00705AB0" w:rsidRDefault="00705AB0" w:rsidP="003A7030">
      <w:pPr>
        <w:pStyle w:val="Bullet"/>
        <w:rPr>
          <w:lang w:eastAsia="en-NZ"/>
        </w:rPr>
      </w:pPr>
      <w:r>
        <w:rPr>
          <w:lang w:eastAsia="en-NZ"/>
        </w:rPr>
        <w:t>Families/whānau</w:t>
      </w:r>
      <w:r w:rsidRPr="0019514F">
        <w:rPr>
          <w:lang w:eastAsia="en-NZ"/>
        </w:rPr>
        <w:t xml:space="preserve"> who need extra support </w:t>
      </w:r>
      <w:r>
        <w:rPr>
          <w:lang w:eastAsia="en-NZ"/>
        </w:rPr>
        <w:t>receive it promptly.</w:t>
      </w:r>
    </w:p>
    <w:p w:rsidR="00705AB0" w:rsidRDefault="00705AB0" w:rsidP="003A7030">
      <w:pPr>
        <w:rPr>
          <w:lang w:eastAsia="en-NZ"/>
        </w:rPr>
      </w:pPr>
    </w:p>
    <w:p w:rsidR="00705AB0" w:rsidRDefault="00705AB0" w:rsidP="003A7030">
      <w:r>
        <w:rPr>
          <w:lang w:eastAsia="en-NZ"/>
        </w:rPr>
        <w:t>Practically, this will mean:</w:t>
      </w:r>
    </w:p>
    <w:p w:rsidR="00705AB0" w:rsidRPr="00C56365" w:rsidRDefault="003A7030" w:rsidP="003A7030">
      <w:pPr>
        <w:pStyle w:val="Bullet"/>
        <w:rPr>
          <w:lang w:eastAsia="en-NZ"/>
        </w:rPr>
      </w:pPr>
      <w:r>
        <w:rPr>
          <w:rFonts w:cs="Helvetica"/>
          <w:color w:val="000000"/>
          <w:szCs w:val="22"/>
          <w:lang w:eastAsia="en-NZ"/>
        </w:rPr>
        <w:t>f</w:t>
      </w:r>
      <w:r w:rsidR="00705AB0" w:rsidRPr="00705AB0">
        <w:rPr>
          <w:rFonts w:cs="Helvetica"/>
          <w:color w:val="000000"/>
          <w:szCs w:val="22"/>
          <w:lang w:eastAsia="en-NZ"/>
        </w:rPr>
        <w:t>amilies</w:t>
      </w:r>
      <w:r>
        <w:rPr>
          <w:rFonts w:cs="Helvetica"/>
          <w:color w:val="000000"/>
          <w:szCs w:val="22"/>
          <w:lang w:eastAsia="en-NZ"/>
        </w:rPr>
        <w:t>/w</w:t>
      </w:r>
      <w:r w:rsidR="00705AB0" w:rsidRPr="00D161CE">
        <w:rPr>
          <w:lang w:eastAsia="en-NZ"/>
        </w:rPr>
        <w:t>hānau</w:t>
      </w:r>
      <w:r w:rsidR="00705AB0" w:rsidRPr="00705AB0">
        <w:rPr>
          <w:rFonts w:cs="Helvetica"/>
          <w:color w:val="000000"/>
          <w:szCs w:val="22"/>
          <w:lang w:eastAsia="en-NZ"/>
        </w:rPr>
        <w:t xml:space="preserve"> </w:t>
      </w:r>
      <w:r w:rsidR="00705AB0" w:rsidRPr="00C56365">
        <w:rPr>
          <w:lang w:eastAsia="en-NZ"/>
        </w:rPr>
        <w:t>understand</w:t>
      </w:r>
      <w:r w:rsidR="00705AB0">
        <w:rPr>
          <w:lang w:eastAsia="en-NZ"/>
        </w:rPr>
        <w:t xml:space="preserve"> the services available to them</w:t>
      </w:r>
    </w:p>
    <w:p w:rsidR="00705AB0" w:rsidRPr="00C56365" w:rsidRDefault="003A7030" w:rsidP="003A7030">
      <w:pPr>
        <w:pStyle w:val="Bullet"/>
        <w:rPr>
          <w:lang w:eastAsia="en-NZ"/>
        </w:rPr>
      </w:pPr>
      <w:r>
        <w:rPr>
          <w:rFonts w:cs="Helvetica"/>
          <w:color w:val="000000"/>
          <w:szCs w:val="22"/>
          <w:lang w:eastAsia="en-NZ"/>
        </w:rPr>
        <w:t>f</w:t>
      </w:r>
      <w:r w:rsidR="00705AB0" w:rsidRPr="00705AB0">
        <w:rPr>
          <w:rFonts w:cs="Helvetica"/>
          <w:color w:val="000000"/>
          <w:szCs w:val="22"/>
          <w:lang w:eastAsia="en-NZ"/>
        </w:rPr>
        <w:t>amilies/</w:t>
      </w:r>
      <w:r w:rsidR="00705AB0" w:rsidRPr="00D161CE">
        <w:rPr>
          <w:lang w:eastAsia="en-NZ"/>
        </w:rPr>
        <w:t>whānau</w:t>
      </w:r>
      <w:r w:rsidR="00705AB0" w:rsidRPr="00705AB0">
        <w:rPr>
          <w:rFonts w:cs="Helvetica"/>
          <w:color w:val="000000"/>
          <w:szCs w:val="22"/>
          <w:lang w:eastAsia="en-NZ"/>
        </w:rPr>
        <w:t xml:space="preserve"> have</w:t>
      </w:r>
      <w:r w:rsidR="00705AB0" w:rsidRPr="00C56365">
        <w:rPr>
          <w:lang w:eastAsia="en-NZ"/>
        </w:rPr>
        <w:t xml:space="preserve"> 24/7 access </w:t>
      </w:r>
      <w:r w:rsidR="00705AB0">
        <w:rPr>
          <w:lang w:eastAsia="en-NZ"/>
        </w:rPr>
        <w:t xml:space="preserve">to, </w:t>
      </w:r>
      <w:r w:rsidR="00705AB0" w:rsidRPr="00C56365">
        <w:rPr>
          <w:lang w:eastAsia="en-NZ"/>
        </w:rPr>
        <w:t>and knowledge of</w:t>
      </w:r>
      <w:r w:rsidR="00705AB0">
        <w:rPr>
          <w:lang w:eastAsia="en-NZ"/>
        </w:rPr>
        <w:t xml:space="preserve">, appropriate </w:t>
      </w:r>
      <w:r w:rsidR="00705AB0" w:rsidRPr="00C56365">
        <w:rPr>
          <w:lang w:eastAsia="en-NZ"/>
        </w:rPr>
        <w:t>services for when they have concerns about their child</w:t>
      </w:r>
    </w:p>
    <w:p w:rsidR="00705AB0" w:rsidRPr="00C56365" w:rsidRDefault="003A7030" w:rsidP="003A7030">
      <w:pPr>
        <w:pStyle w:val="Bullet"/>
        <w:rPr>
          <w:lang w:eastAsia="en-NZ"/>
        </w:rPr>
      </w:pPr>
      <w:r>
        <w:rPr>
          <w:rFonts w:cs="Helvetica"/>
          <w:color w:val="000000"/>
          <w:szCs w:val="22"/>
          <w:lang w:eastAsia="en-NZ"/>
        </w:rPr>
        <w:t>f</w:t>
      </w:r>
      <w:r w:rsidR="00705AB0" w:rsidRPr="00705AB0">
        <w:rPr>
          <w:rFonts w:cs="Helvetica"/>
          <w:color w:val="000000"/>
          <w:szCs w:val="22"/>
          <w:lang w:eastAsia="en-NZ"/>
        </w:rPr>
        <w:t>amilies/</w:t>
      </w:r>
      <w:r w:rsidR="00705AB0" w:rsidRPr="00D161CE">
        <w:rPr>
          <w:lang w:eastAsia="en-NZ"/>
        </w:rPr>
        <w:t>whānau</w:t>
      </w:r>
      <w:r w:rsidR="00705AB0" w:rsidRPr="00705AB0">
        <w:rPr>
          <w:rFonts w:cs="Helvetica"/>
          <w:color w:val="000000"/>
          <w:szCs w:val="22"/>
          <w:lang w:eastAsia="en-NZ"/>
        </w:rPr>
        <w:t xml:space="preserve"> </w:t>
      </w:r>
      <w:r w:rsidR="00705AB0">
        <w:rPr>
          <w:lang w:eastAsia="en-NZ"/>
        </w:rPr>
        <w:t xml:space="preserve">give informed </w:t>
      </w:r>
      <w:r w:rsidR="00705AB0" w:rsidRPr="00C56365">
        <w:rPr>
          <w:lang w:eastAsia="en-NZ"/>
        </w:rPr>
        <w:t>consent to service</w:t>
      </w:r>
      <w:r w:rsidR="00705AB0">
        <w:rPr>
          <w:lang w:eastAsia="en-NZ"/>
        </w:rPr>
        <w:t xml:space="preserve">s </w:t>
      </w:r>
      <w:r w:rsidR="00705AB0" w:rsidRPr="00C56365">
        <w:rPr>
          <w:lang w:eastAsia="en-NZ"/>
        </w:rPr>
        <w:t xml:space="preserve">and </w:t>
      </w:r>
      <w:r w:rsidR="00705AB0">
        <w:rPr>
          <w:lang w:eastAsia="en-NZ"/>
        </w:rPr>
        <w:t>to their</w:t>
      </w:r>
      <w:r w:rsidR="00705AB0" w:rsidRPr="00C56365">
        <w:rPr>
          <w:lang w:eastAsia="en-NZ"/>
        </w:rPr>
        <w:t xml:space="preserve"> information being shared</w:t>
      </w:r>
      <w:r w:rsidR="00705AB0">
        <w:rPr>
          <w:lang w:eastAsia="en-NZ"/>
        </w:rPr>
        <w:t xml:space="preserve"> with other service providers involved in their care</w:t>
      </w:r>
    </w:p>
    <w:p w:rsidR="00705AB0" w:rsidRPr="00C56365" w:rsidRDefault="003A7030" w:rsidP="003A7030">
      <w:pPr>
        <w:pStyle w:val="Bullet"/>
        <w:rPr>
          <w:lang w:eastAsia="en-NZ"/>
        </w:rPr>
      </w:pPr>
      <w:r>
        <w:rPr>
          <w:rFonts w:cs="Helvetica"/>
          <w:color w:val="000000"/>
          <w:szCs w:val="22"/>
          <w:lang w:eastAsia="en-NZ"/>
        </w:rPr>
        <w:t>f</w:t>
      </w:r>
      <w:r w:rsidR="00705AB0" w:rsidRPr="00705AB0">
        <w:rPr>
          <w:rFonts w:cs="Helvetica"/>
          <w:color w:val="000000"/>
          <w:szCs w:val="22"/>
          <w:lang w:eastAsia="en-NZ"/>
        </w:rPr>
        <w:t>amilies/</w:t>
      </w:r>
      <w:r w:rsidR="00705AB0" w:rsidRPr="00D161CE">
        <w:rPr>
          <w:lang w:eastAsia="en-NZ"/>
        </w:rPr>
        <w:t>whānau</w:t>
      </w:r>
      <w:r w:rsidR="00705AB0" w:rsidRPr="00705AB0">
        <w:rPr>
          <w:rFonts w:cs="Helvetica"/>
          <w:color w:val="000000"/>
          <w:szCs w:val="22"/>
          <w:lang w:eastAsia="en-NZ"/>
        </w:rPr>
        <w:t xml:space="preserve"> receive </w:t>
      </w:r>
      <w:r w:rsidR="00705AB0" w:rsidRPr="00C56365">
        <w:rPr>
          <w:lang w:eastAsia="en-NZ"/>
        </w:rPr>
        <w:t>support, reassurance and affirmation about their parenting strengths</w:t>
      </w:r>
    </w:p>
    <w:p w:rsidR="00705AB0" w:rsidRPr="00C56365" w:rsidRDefault="00705AB0" w:rsidP="003A7030">
      <w:pPr>
        <w:pStyle w:val="Bullet"/>
        <w:rPr>
          <w:lang w:eastAsia="en-NZ"/>
        </w:rPr>
      </w:pPr>
      <w:r>
        <w:rPr>
          <w:lang w:eastAsia="en-NZ"/>
        </w:rPr>
        <w:t>WCTO providers w</w:t>
      </w:r>
      <w:r w:rsidRPr="00C56365">
        <w:rPr>
          <w:lang w:eastAsia="en-NZ"/>
        </w:rPr>
        <w:t>ork in partnership</w:t>
      </w:r>
      <w:r>
        <w:rPr>
          <w:lang w:eastAsia="en-NZ"/>
        </w:rPr>
        <w:t xml:space="preserve"> with </w:t>
      </w:r>
      <w:r w:rsidRPr="00705AB0">
        <w:rPr>
          <w:rFonts w:cs="Helvetica"/>
          <w:color w:val="000000"/>
          <w:szCs w:val="22"/>
          <w:lang w:eastAsia="en-NZ"/>
        </w:rPr>
        <w:t>family/</w:t>
      </w:r>
      <w:r w:rsidRPr="00D161CE">
        <w:rPr>
          <w:lang w:eastAsia="en-NZ"/>
        </w:rPr>
        <w:t>whānau</w:t>
      </w:r>
      <w:r w:rsidRPr="00C56365">
        <w:rPr>
          <w:lang w:eastAsia="en-NZ"/>
        </w:rPr>
        <w:t xml:space="preserve"> to develop </w:t>
      </w:r>
      <w:r>
        <w:rPr>
          <w:lang w:eastAsia="en-NZ"/>
        </w:rPr>
        <w:t>a</w:t>
      </w:r>
      <w:r w:rsidRPr="00C56365">
        <w:rPr>
          <w:lang w:eastAsia="en-NZ"/>
        </w:rPr>
        <w:t xml:space="preserve">nd action </w:t>
      </w:r>
      <w:r>
        <w:rPr>
          <w:lang w:eastAsia="en-NZ"/>
        </w:rPr>
        <w:t>care plans</w:t>
      </w:r>
    </w:p>
    <w:p w:rsidR="00705AB0" w:rsidRDefault="003A7030" w:rsidP="003A7030">
      <w:pPr>
        <w:pStyle w:val="Bullet"/>
        <w:rPr>
          <w:lang w:eastAsia="en-NZ"/>
        </w:rPr>
      </w:pPr>
      <w:r>
        <w:rPr>
          <w:rFonts w:cs="Helvetica"/>
          <w:color w:val="000000"/>
          <w:szCs w:val="22"/>
          <w:lang w:eastAsia="en-NZ"/>
        </w:rPr>
        <w:t>f</w:t>
      </w:r>
      <w:r w:rsidR="00705AB0" w:rsidRPr="00705AB0">
        <w:rPr>
          <w:rFonts w:cs="Helvetica"/>
          <w:color w:val="000000"/>
          <w:szCs w:val="22"/>
          <w:lang w:eastAsia="en-NZ"/>
        </w:rPr>
        <w:t>amilies/</w:t>
      </w:r>
      <w:r w:rsidR="00705AB0" w:rsidRPr="00D161CE">
        <w:rPr>
          <w:lang w:eastAsia="en-NZ"/>
        </w:rPr>
        <w:t>whānau</w:t>
      </w:r>
      <w:r w:rsidR="00705AB0" w:rsidRPr="00705AB0">
        <w:rPr>
          <w:rFonts w:cs="Helvetica"/>
          <w:color w:val="000000"/>
          <w:szCs w:val="22"/>
          <w:lang w:eastAsia="en-NZ"/>
        </w:rPr>
        <w:t xml:space="preserve"> receive </w:t>
      </w:r>
      <w:r w:rsidR="00705AB0" w:rsidRPr="00C56365">
        <w:rPr>
          <w:lang w:eastAsia="en-NZ"/>
        </w:rPr>
        <w:t xml:space="preserve">care </w:t>
      </w:r>
      <w:r w:rsidR="00705AB0">
        <w:rPr>
          <w:lang w:eastAsia="en-NZ"/>
        </w:rPr>
        <w:t xml:space="preserve">that </w:t>
      </w:r>
      <w:r w:rsidR="00705AB0" w:rsidRPr="00C56365">
        <w:rPr>
          <w:lang w:eastAsia="en-NZ"/>
        </w:rPr>
        <w:t xml:space="preserve">is respectful and culturally </w:t>
      </w:r>
      <w:r w:rsidR="00705AB0">
        <w:rPr>
          <w:lang w:eastAsia="en-NZ"/>
        </w:rPr>
        <w:t>responsive</w:t>
      </w:r>
    </w:p>
    <w:p w:rsidR="00705AB0" w:rsidRPr="00D53416" w:rsidRDefault="00705AB0" w:rsidP="003A7030">
      <w:pPr>
        <w:pStyle w:val="Bullet"/>
      </w:pPr>
      <w:r>
        <w:rPr>
          <w:lang w:eastAsia="en-NZ"/>
        </w:rPr>
        <w:t>WCTO providers ac</w:t>
      </w:r>
      <w:r w:rsidRPr="00156BF3">
        <w:rPr>
          <w:lang w:eastAsia="en-NZ"/>
        </w:rPr>
        <w:t xml:space="preserve">tively seek and respond to </w:t>
      </w:r>
      <w:r w:rsidRPr="00705AB0">
        <w:rPr>
          <w:rFonts w:cs="Helvetica"/>
          <w:color w:val="000000"/>
          <w:szCs w:val="22"/>
          <w:lang w:eastAsia="en-NZ"/>
        </w:rPr>
        <w:t>family/</w:t>
      </w:r>
      <w:r w:rsidRPr="00156BF3">
        <w:rPr>
          <w:lang w:eastAsia="en-NZ"/>
        </w:rPr>
        <w:t xml:space="preserve">whānau feedback and </w:t>
      </w:r>
      <w:r>
        <w:rPr>
          <w:lang w:eastAsia="en-NZ"/>
        </w:rPr>
        <w:t xml:space="preserve">maintain </w:t>
      </w:r>
      <w:r w:rsidRPr="00156BF3">
        <w:rPr>
          <w:lang w:eastAsia="en-NZ"/>
        </w:rPr>
        <w:t>systems to deal with concerns promptly</w:t>
      </w:r>
    </w:p>
    <w:p w:rsidR="00705AB0" w:rsidRPr="0019514F" w:rsidRDefault="00705AB0" w:rsidP="003A7030">
      <w:pPr>
        <w:pStyle w:val="Bullet"/>
      </w:pPr>
      <w:r>
        <w:rPr>
          <w:lang w:eastAsia="en-NZ"/>
        </w:rPr>
        <w:t xml:space="preserve">WCTO providers operate within professional boundaries and maintain a safe environment for </w:t>
      </w:r>
      <w:r>
        <w:rPr>
          <w:rFonts w:cs="Helvetica"/>
          <w:szCs w:val="22"/>
          <w:lang w:eastAsia="en-NZ"/>
        </w:rPr>
        <w:t>families/whānau</w:t>
      </w:r>
    </w:p>
    <w:p w:rsidR="001A627D" w:rsidRDefault="003A7030" w:rsidP="003A7030">
      <w:pPr>
        <w:pStyle w:val="Bullet"/>
        <w:rPr>
          <w:lang w:eastAsia="en-NZ"/>
        </w:rPr>
      </w:pPr>
      <w:r>
        <w:rPr>
          <w:rFonts w:cs="Helvetica"/>
          <w:color w:val="000000"/>
          <w:szCs w:val="22"/>
          <w:lang w:eastAsia="en-NZ"/>
        </w:rPr>
        <w:t>f</w:t>
      </w:r>
      <w:r w:rsidR="00705AB0" w:rsidRPr="00705AB0">
        <w:rPr>
          <w:rFonts w:cs="Helvetica"/>
          <w:color w:val="000000"/>
          <w:szCs w:val="22"/>
          <w:lang w:eastAsia="en-NZ"/>
        </w:rPr>
        <w:t>amilies/</w:t>
      </w:r>
      <w:r w:rsidR="00705AB0" w:rsidRPr="00D161CE">
        <w:rPr>
          <w:lang w:eastAsia="en-NZ"/>
        </w:rPr>
        <w:t>whānau</w:t>
      </w:r>
      <w:r w:rsidR="00705AB0" w:rsidRPr="00705AB0">
        <w:rPr>
          <w:rFonts w:cs="Helvetica"/>
          <w:color w:val="000000"/>
          <w:szCs w:val="22"/>
          <w:lang w:eastAsia="en-NZ"/>
        </w:rPr>
        <w:t xml:space="preserve"> receive </w:t>
      </w:r>
      <w:r w:rsidR="00705AB0" w:rsidRPr="00722795">
        <w:rPr>
          <w:lang w:eastAsia="en-NZ"/>
        </w:rPr>
        <w:t>early intervention where need is identified</w:t>
      </w:r>
    </w:p>
    <w:p w:rsidR="001A627D" w:rsidRDefault="003A7030" w:rsidP="003A7030">
      <w:pPr>
        <w:pStyle w:val="Bullet"/>
        <w:rPr>
          <w:lang w:eastAsia="en-NZ"/>
        </w:rPr>
      </w:pPr>
      <w:r>
        <w:rPr>
          <w:lang w:eastAsia="en-NZ"/>
        </w:rPr>
        <w:t>t</w:t>
      </w:r>
      <w:r w:rsidR="00705AB0">
        <w:rPr>
          <w:lang w:eastAsia="en-NZ"/>
        </w:rPr>
        <w:t>here is clear accountability for each part of the r</w:t>
      </w:r>
      <w:r w:rsidR="00705AB0" w:rsidRPr="00722795">
        <w:rPr>
          <w:lang w:eastAsia="en-NZ"/>
        </w:rPr>
        <w:t>eferral pathway</w:t>
      </w:r>
      <w:r w:rsidR="00705AB0">
        <w:rPr>
          <w:lang w:eastAsia="en-NZ"/>
        </w:rPr>
        <w:t>,</w:t>
      </w:r>
      <w:r w:rsidR="00705AB0" w:rsidRPr="00722795">
        <w:rPr>
          <w:lang w:eastAsia="en-NZ"/>
        </w:rPr>
        <w:t xml:space="preserve"> so that </w:t>
      </w:r>
      <w:r w:rsidR="00705AB0">
        <w:rPr>
          <w:lang w:eastAsia="en-NZ"/>
        </w:rPr>
        <w:t>families</w:t>
      </w:r>
      <w:r w:rsidR="00705AB0" w:rsidRPr="00722795">
        <w:rPr>
          <w:lang w:eastAsia="en-NZ"/>
        </w:rPr>
        <w:t>/whānau receive appropriate and timely services.</w:t>
      </w:r>
    </w:p>
    <w:p w:rsidR="003A7030" w:rsidRDefault="003A7030" w:rsidP="003A7030">
      <w:pPr>
        <w:rPr>
          <w:lang w:eastAsia="en-NZ"/>
        </w:rPr>
      </w:pPr>
    </w:p>
    <w:p w:rsidR="00705AB0" w:rsidRPr="00ED0E27" w:rsidRDefault="003A7030" w:rsidP="003A7030">
      <w:pPr>
        <w:pStyle w:val="Heading1"/>
      </w:pPr>
      <w:bookmarkStart w:id="30" w:name="_Toc360627063"/>
      <w:r>
        <w:rPr>
          <w:lang w:eastAsia="en-NZ"/>
        </w:rPr>
        <w:br w:type="page"/>
      </w:r>
      <w:bookmarkStart w:id="31" w:name="_Toc361597297"/>
      <w:r w:rsidR="00705AB0" w:rsidRPr="00ED0E27">
        <w:rPr>
          <w:lang w:eastAsia="en-NZ"/>
        </w:rPr>
        <w:t>Aim 2: Improved health and equity for all populations</w:t>
      </w:r>
      <w:bookmarkEnd w:id="30"/>
      <w:bookmarkEnd w:id="31"/>
    </w:p>
    <w:p w:rsidR="00705AB0" w:rsidRPr="009A2500" w:rsidRDefault="00705AB0" w:rsidP="003A7030">
      <w:pPr>
        <w:pStyle w:val="Heading2"/>
        <w:rPr>
          <w:lang w:eastAsia="en-NZ"/>
        </w:rPr>
      </w:pPr>
      <w:bookmarkStart w:id="32" w:name="_Toc361597298"/>
      <w:r>
        <w:rPr>
          <w:lang w:eastAsia="en-NZ"/>
        </w:rPr>
        <w:t>Guiding principles</w:t>
      </w:r>
      <w:bookmarkEnd w:id="32"/>
    </w:p>
    <w:p w:rsidR="001A627D" w:rsidRDefault="00705AB0" w:rsidP="003A7030">
      <w:pPr>
        <w:pStyle w:val="Bullet"/>
        <w:rPr>
          <w:lang w:eastAsia="en-NZ"/>
        </w:rPr>
      </w:pPr>
      <w:r>
        <w:rPr>
          <w:lang w:eastAsia="en-NZ"/>
        </w:rPr>
        <w:t>S</w:t>
      </w:r>
      <w:r w:rsidRPr="0019514F">
        <w:rPr>
          <w:lang w:eastAsia="en-NZ"/>
        </w:rPr>
        <w:t xml:space="preserve">ystems support </w:t>
      </w:r>
      <w:r>
        <w:rPr>
          <w:lang w:eastAsia="en-NZ"/>
        </w:rPr>
        <w:t>universal access to WCTO services.</w:t>
      </w:r>
    </w:p>
    <w:p w:rsidR="00705AB0" w:rsidRPr="00472D35" w:rsidRDefault="00705AB0" w:rsidP="003A7030">
      <w:pPr>
        <w:pStyle w:val="Bullet"/>
      </w:pPr>
      <w:r>
        <w:rPr>
          <w:lang w:eastAsia="en-NZ"/>
        </w:rPr>
        <w:t>WCTO services focus on prevention and early intervention at every opportunity and actively facilitate referrals to other services as needed.</w:t>
      </w:r>
    </w:p>
    <w:p w:rsidR="00705AB0" w:rsidRPr="00722795" w:rsidRDefault="00705AB0" w:rsidP="003A7030">
      <w:pPr>
        <w:pStyle w:val="Bullet"/>
      </w:pPr>
      <w:r>
        <w:rPr>
          <w:lang w:eastAsia="en-NZ"/>
        </w:rPr>
        <w:t>C</w:t>
      </w:r>
      <w:r w:rsidRPr="0019514F">
        <w:rPr>
          <w:lang w:eastAsia="en-NZ"/>
        </w:rPr>
        <w:t xml:space="preserve">linical governance and review </w:t>
      </w:r>
      <w:r>
        <w:rPr>
          <w:lang w:eastAsia="en-NZ"/>
        </w:rPr>
        <w:t xml:space="preserve">is implemented </w:t>
      </w:r>
      <w:r w:rsidRPr="0019514F">
        <w:rPr>
          <w:lang w:eastAsia="en-NZ"/>
        </w:rPr>
        <w:t xml:space="preserve">at a </w:t>
      </w:r>
      <w:r>
        <w:rPr>
          <w:lang w:eastAsia="en-NZ"/>
        </w:rPr>
        <w:t>local</w:t>
      </w:r>
      <w:r w:rsidRPr="0019514F">
        <w:rPr>
          <w:lang w:eastAsia="en-NZ"/>
        </w:rPr>
        <w:t xml:space="preserve"> and national level</w:t>
      </w:r>
      <w:r>
        <w:rPr>
          <w:lang w:eastAsia="en-NZ"/>
        </w:rPr>
        <w:t>.</w:t>
      </w:r>
    </w:p>
    <w:p w:rsidR="00705AB0" w:rsidRPr="0019514F" w:rsidRDefault="00705AB0" w:rsidP="003A7030">
      <w:pPr>
        <w:pStyle w:val="Bullet"/>
      </w:pPr>
      <w:r>
        <w:rPr>
          <w:lang w:eastAsia="en-NZ"/>
        </w:rPr>
        <w:t>WCTO providers actively work to improve engagement with WCTO and other services by all populations</w:t>
      </w:r>
      <w:r w:rsidRPr="0019514F">
        <w:rPr>
          <w:lang w:eastAsia="en-NZ"/>
        </w:rPr>
        <w:t>.</w:t>
      </w:r>
    </w:p>
    <w:p w:rsidR="00705AB0" w:rsidRDefault="00705AB0" w:rsidP="003A7030"/>
    <w:p w:rsidR="00705AB0" w:rsidRDefault="00705AB0" w:rsidP="003A7030">
      <w:r>
        <w:rPr>
          <w:lang w:eastAsia="en-NZ"/>
        </w:rPr>
        <w:t>Practically, this will mean:</w:t>
      </w:r>
    </w:p>
    <w:p w:rsidR="00705AB0" w:rsidRDefault="003A7030" w:rsidP="003A7030">
      <w:pPr>
        <w:pStyle w:val="Bullet"/>
        <w:rPr>
          <w:lang w:eastAsia="en-NZ"/>
        </w:rPr>
      </w:pPr>
      <w:r>
        <w:rPr>
          <w:lang w:eastAsia="en-NZ"/>
        </w:rPr>
        <w:t>f</w:t>
      </w:r>
      <w:r w:rsidR="00705AB0" w:rsidRPr="00C56365">
        <w:rPr>
          <w:lang w:eastAsia="en-NZ"/>
        </w:rPr>
        <w:t>unding</w:t>
      </w:r>
      <w:r w:rsidR="00705AB0">
        <w:rPr>
          <w:lang w:eastAsia="en-NZ"/>
        </w:rPr>
        <w:t xml:space="preserve"> models</w:t>
      </w:r>
      <w:r w:rsidR="00705AB0" w:rsidRPr="00C56365">
        <w:rPr>
          <w:lang w:eastAsia="en-NZ"/>
        </w:rPr>
        <w:t xml:space="preserve"> and service models support equit</w:t>
      </w:r>
      <w:r w:rsidR="00705AB0">
        <w:rPr>
          <w:lang w:eastAsia="en-NZ"/>
        </w:rPr>
        <w:t>able access to WCTO and referred</w:t>
      </w:r>
      <w:r w:rsidR="00705AB0" w:rsidRPr="00C56365">
        <w:rPr>
          <w:lang w:eastAsia="en-NZ"/>
        </w:rPr>
        <w:t xml:space="preserve"> services</w:t>
      </w:r>
    </w:p>
    <w:p w:rsidR="00705AB0" w:rsidRPr="00C56365" w:rsidRDefault="00705AB0" w:rsidP="003A7030">
      <w:pPr>
        <w:pStyle w:val="Bullet"/>
        <w:rPr>
          <w:lang w:eastAsia="en-NZ"/>
        </w:rPr>
      </w:pPr>
      <w:r>
        <w:rPr>
          <w:lang w:eastAsia="en-NZ"/>
        </w:rPr>
        <w:t>WCTO services are responsive to vulnerable populations</w:t>
      </w:r>
    </w:p>
    <w:p w:rsidR="00705AB0" w:rsidRPr="00C56365" w:rsidRDefault="00705AB0" w:rsidP="003A7030">
      <w:pPr>
        <w:pStyle w:val="Bullet"/>
        <w:rPr>
          <w:lang w:eastAsia="en-NZ"/>
        </w:rPr>
      </w:pPr>
      <w:r>
        <w:rPr>
          <w:lang w:eastAsia="en-NZ"/>
        </w:rPr>
        <w:t xml:space="preserve">WCTO services are evidence-based and </w:t>
      </w:r>
      <w:r w:rsidRPr="00C56365">
        <w:rPr>
          <w:lang w:eastAsia="en-NZ"/>
        </w:rPr>
        <w:t>meet the</w:t>
      </w:r>
      <w:r>
        <w:rPr>
          <w:lang w:eastAsia="en-NZ"/>
        </w:rPr>
        <w:t xml:space="preserve"> diverse and complex</w:t>
      </w:r>
      <w:r w:rsidRPr="00C56365">
        <w:rPr>
          <w:lang w:eastAsia="en-NZ"/>
        </w:rPr>
        <w:t xml:space="preserve"> </w:t>
      </w:r>
      <w:r>
        <w:rPr>
          <w:lang w:eastAsia="en-NZ"/>
        </w:rPr>
        <w:t>needs of children and families/</w:t>
      </w:r>
      <w:r w:rsidRPr="00C56365">
        <w:rPr>
          <w:lang w:eastAsia="en-NZ"/>
        </w:rPr>
        <w:t>whānau</w:t>
      </w:r>
      <w:r>
        <w:rPr>
          <w:lang w:eastAsia="en-NZ"/>
        </w:rPr>
        <w:t>, including those with mental health and addiction issues</w:t>
      </w:r>
    </w:p>
    <w:p w:rsidR="00705AB0" w:rsidRPr="00C56365" w:rsidRDefault="00705AB0" w:rsidP="003A7030">
      <w:pPr>
        <w:pStyle w:val="Bullet"/>
        <w:rPr>
          <w:lang w:eastAsia="en-NZ"/>
        </w:rPr>
      </w:pPr>
      <w:r>
        <w:rPr>
          <w:lang w:eastAsia="en-NZ"/>
        </w:rPr>
        <w:t>WCTO providers a</w:t>
      </w:r>
      <w:r w:rsidRPr="00C56365">
        <w:rPr>
          <w:lang w:eastAsia="en-NZ"/>
        </w:rPr>
        <w:t>ctively engag</w:t>
      </w:r>
      <w:r>
        <w:rPr>
          <w:lang w:eastAsia="en-NZ"/>
        </w:rPr>
        <w:t>e</w:t>
      </w:r>
      <w:r w:rsidRPr="00C56365">
        <w:rPr>
          <w:lang w:eastAsia="en-NZ"/>
        </w:rPr>
        <w:t xml:space="preserve"> other health care and social service providers and shar</w:t>
      </w:r>
      <w:r>
        <w:rPr>
          <w:lang w:eastAsia="en-NZ"/>
        </w:rPr>
        <w:t>e</w:t>
      </w:r>
      <w:r w:rsidRPr="00C56365">
        <w:rPr>
          <w:lang w:eastAsia="en-NZ"/>
        </w:rPr>
        <w:t xml:space="preserve"> information when appropriate</w:t>
      </w:r>
    </w:p>
    <w:p w:rsidR="00705AB0" w:rsidRDefault="00705AB0" w:rsidP="003A7030">
      <w:pPr>
        <w:pStyle w:val="Bullet"/>
        <w:rPr>
          <w:lang w:eastAsia="en-NZ"/>
        </w:rPr>
      </w:pPr>
      <w:r>
        <w:rPr>
          <w:lang w:eastAsia="en-NZ"/>
        </w:rPr>
        <w:t>WCTO providers monit</w:t>
      </w:r>
      <w:r w:rsidRPr="00C56365">
        <w:rPr>
          <w:lang w:eastAsia="en-NZ"/>
        </w:rPr>
        <w:t>or</w:t>
      </w:r>
      <w:r>
        <w:rPr>
          <w:lang w:eastAsia="en-NZ"/>
        </w:rPr>
        <w:t xml:space="preserve"> outcomes</w:t>
      </w:r>
      <w:r w:rsidRPr="00C56365">
        <w:rPr>
          <w:lang w:eastAsia="en-NZ"/>
        </w:rPr>
        <w:t xml:space="preserve"> </w:t>
      </w:r>
      <w:r>
        <w:rPr>
          <w:lang w:eastAsia="en-NZ"/>
        </w:rPr>
        <w:t>to ensure all families/</w:t>
      </w:r>
      <w:r w:rsidRPr="00C56365">
        <w:rPr>
          <w:lang w:eastAsia="en-NZ"/>
        </w:rPr>
        <w:t xml:space="preserve">whānau have equal </w:t>
      </w:r>
      <w:r>
        <w:rPr>
          <w:lang w:eastAsia="en-NZ"/>
        </w:rPr>
        <w:t xml:space="preserve">access to </w:t>
      </w:r>
      <w:r w:rsidR="00C70606">
        <w:rPr>
          <w:lang w:eastAsia="en-NZ"/>
        </w:rPr>
        <w:t xml:space="preserve">universal </w:t>
      </w:r>
      <w:r>
        <w:rPr>
          <w:lang w:eastAsia="en-NZ"/>
        </w:rPr>
        <w:t xml:space="preserve">services, </w:t>
      </w:r>
      <w:r w:rsidRPr="00C56365">
        <w:rPr>
          <w:lang w:eastAsia="en-NZ"/>
        </w:rPr>
        <w:t xml:space="preserve">and </w:t>
      </w:r>
      <w:r>
        <w:rPr>
          <w:lang w:eastAsia="en-NZ"/>
        </w:rPr>
        <w:t>families/</w:t>
      </w:r>
      <w:r w:rsidRPr="00C56365">
        <w:rPr>
          <w:lang w:eastAsia="en-NZ"/>
        </w:rPr>
        <w:t xml:space="preserve">whānau </w:t>
      </w:r>
      <w:r>
        <w:rPr>
          <w:lang w:eastAsia="en-NZ"/>
        </w:rPr>
        <w:t xml:space="preserve">can access </w:t>
      </w:r>
      <w:r w:rsidRPr="00C56365">
        <w:rPr>
          <w:lang w:eastAsia="en-NZ"/>
        </w:rPr>
        <w:t>other services</w:t>
      </w:r>
      <w:r>
        <w:rPr>
          <w:lang w:eastAsia="en-NZ"/>
        </w:rPr>
        <w:t xml:space="preserve"> based on need</w:t>
      </w:r>
    </w:p>
    <w:p w:rsidR="00705AB0" w:rsidRDefault="00705AB0" w:rsidP="003A7030">
      <w:pPr>
        <w:pStyle w:val="Bullet"/>
        <w:rPr>
          <w:lang w:eastAsia="en-NZ"/>
        </w:rPr>
      </w:pPr>
      <w:r>
        <w:rPr>
          <w:lang w:eastAsia="en-NZ"/>
        </w:rPr>
        <w:t>WCTO p</w:t>
      </w:r>
      <w:r w:rsidRPr="00C56365">
        <w:rPr>
          <w:lang w:eastAsia="en-NZ"/>
        </w:rPr>
        <w:t>rovid</w:t>
      </w:r>
      <w:r>
        <w:rPr>
          <w:lang w:eastAsia="en-NZ"/>
        </w:rPr>
        <w:t>ers offer</w:t>
      </w:r>
      <w:r w:rsidRPr="00C56365">
        <w:rPr>
          <w:lang w:eastAsia="en-NZ"/>
        </w:rPr>
        <w:t xml:space="preserve"> consumer-friendly information to support improvement in health literacy</w:t>
      </w:r>
    </w:p>
    <w:p w:rsidR="00705AB0" w:rsidRDefault="00705AB0" w:rsidP="003A7030">
      <w:pPr>
        <w:pStyle w:val="Bullet"/>
        <w:rPr>
          <w:lang w:eastAsia="en-NZ"/>
        </w:rPr>
      </w:pPr>
      <w:r>
        <w:rPr>
          <w:lang w:eastAsia="en-NZ"/>
        </w:rPr>
        <w:t>WCTO s</w:t>
      </w:r>
      <w:r w:rsidRPr="00C56365">
        <w:rPr>
          <w:lang w:eastAsia="en-NZ"/>
        </w:rPr>
        <w:t xml:space="preserve">ervices adapt </w:t>
      </w:r>
      <w:r>
        <w:rPr>
          <w:lang w:eastAsia="en-NZ"/>
        </w:rPr>
        <w:t xml:space="preserve">flexibly </w:t>
      </w:r>
      <w:r w:rsidRPr="00C56365">
        <w:rPr>
          <w:lang w:eastAsia="en-NZ"/>
        </w:rPr>
        <w:t>to local population needs</w:t>
      </w:r>
    </w:p>
    <w:p w:rsidR="00705AB0" w:rsidRPr="004E3AC9" w:rsidRDefault="00705AB0" w:rsidP="003A7030">
      <w:pPr>
        <w:pStyle w:val="Bullet"/>
        <w:rPr>
          <w:lang w:eastAsia="en-NZ"/>
        </w:rPr>
      </w:pPr>
      <w:r>
        <w:rPr>
          <w:lang w:eastAsia="en-NZ"/>
        </w:rPr>
        <w:t>WCTO monitor q</w:t>
      </w:r>
      <w:r w:rsidRPr="004E3AC9">
        <w:rPr>
          <w:lang w:eastAsia="en-NZ"/>
        </w:rPr>
        <w:t xml:space="preserve">uality </w:t>
      </w:r>
      <w:r>
        <w:rPr>
          <w:lang w:eastAsia="en-NZ"/>
        </w:rPr>
        <w:t>i</w:t>
      </w:r>
      <w:r w:rsidRPr="004E3AC9">
        <w:rPr>
          <w:lang w:eastAsia="en-NZ"/>
        </w:rPr>
        <w:t>nd</w:t>
      </w:r>
      <w:r>
        <w:rPr>
          <w:lang w:eastAsia="en-NZ"/>
        </w:rPr>
        <w:t>icators to identify areas for improvement and make service and quality improvements that promote equity.</w:t>
      </w:r>
    </w:p>
    <w:p w:rsidR="00705AB0" w:rsidRPr="00871906" w:rsidRDefault="00705AB0" w:rsidP="003A7030">
      <w:pPr>
        <w:rPr>
          <w:lang w:eastAsia="en-NZ"/>
        </w:rPr>
      </w:pPr>
    </w:p>
    <w:p w:rsidR="00705AB0" w:rsidRPr="00ED0E27" w:rsidRDefault="003A7030" w:rsidP="003A7030">
      <w:pPr>
        <w:pStyle w:val="Heading1"/>
      </w:pPr>
      <w:bookmarkStart w:id="33" w:name="_Toc360627064"/>
      <w:r>
        <w:rPr>
          <w:lang w:eastAsia="en-NZ"/>
        </w:rPr>
        <w:br w:type="page"/>
      </w:r>
      <w:bookmarkStart w:id="34" w:name="_Toc361597299"/>
      <w:r w:rsidR="00705AB0" w:rsidRPr="00ED0E27">
        <w:rPr>
          <w:lang w:eastAsia="en-NZ"/>
        </w:rPr>
        <w:t>Aim 3: Best value for health system resource</w:t>
      </w:r>
      <w:bookmarkEnd w:id="33"/>
      <w:bookmarkEnd w:id="34"/>
    </w:p>
    <w:p w:rsidR="00705AB0" w:rsidRPr="009A2500" w:rsidRDefault="00705AB0" w:rsidP="003A7030">
      <w:pPr>
        <w:pStyle w:val="Heading2"/>
        <w:rPr>
          <w:lang w:eastAsia="en-NZ"/>
        </w:rPr>
      </w:pPr>
      <w:bookmarkStart w:id="35" w:name="_Toc361597300"/>
      <w:r>
        <w:rPr>
          <w:lang w:eastAsia="en-NZ"/>
        </w:rPr>
        <w:t>Guiding principles</w:t>
      </w:r>
      <w:bookmarkEnd w:id="35"/>
    </w:p>
    <w:p w:rsidR="00705AB0" w:rsidRDefault="00705AB0" w:rsidP="003A7030">
      <w:pPr>
        <w:pStyle w:val="Bullet"/>
        <w:rPr>
          <w:lang w:eastAsia="en-NZ"/>
        </w:rPr>
      </w:pPr>
      <w:r>
        <w:rPr>
          <w:lang w:eastAsia="en-NZ"/>
        </w:rPr>
        <w:t>WCTO services are timely, appropriate, safe and efficient, and are evidence-informed.</w:t>
      </w:r>
    </w:p>
    <w:p w:rsidR="001A627D" w:rsidRDefault="00705AB0" w:rsidP="003A7030">
      <w:pPr>
        <w:pStyle w:val="Bullet"/>
        <w:rPr>
          <w:lang w:eastAsia="en-NZ"/>
        </w:rPr>
      </w:pPr>
      <w:r>
        <w:rPr>
          <w:lang w:eastAsia="en-NZ"/>
        </w:rPr>
        <w:t xml:space="preserve">The </w:t>
      </w:r>
      <w:r w:rsidRPr="00472D35">
        <w:rPr>
          <w:lang w:eastAsia="en-NZ"/>
        </w:rPr>
        <w:t>WCTO workforce is c</w:t>
      </w:r>
      <w:r>
        <w:rPr>
          <w:lang w:eastAsia="en-NZ"/>
        </w:rPr>
        <w:t>ompetent, skilled and supported.</w:t>
      </w:r>
    </w:p>
    <w:p w:rsidR="001A627D" w:rsidRDefault="00705AB0" w:rsidP="003A7030">
      <w:pPr>
        <w:pStyle w:val="Bullet"/>
        <w:rPr>
          <w:lang w:eastAsia="en-NZ"/>
        </w:rPr>
      </w:pPr>
      <w:r>
        <w:rPr>
          <w:lang w:eastAsia="en-NZ"/>
        </w:rPr>
        <w:t>The WCTO workforce works collaboratively across service and provider boundaries to address the wider determinants of health</w:t>
      </w:r>
      <w:r w:rsidR="00AA222E">
        <w:rPr>
          <w:lang w:eastAsia="en-NZ"/>
        </w:rPr>
        <w:t>.</w:t>
      </w:r>
    </w:p>
    <w:p w:rsidR="00705AB0" w:rsidRPr="004D4467" w:rsidRDefault="00705AB0" w:rsidP="003A7030">
      <w:pPr>
        <w:pStyle w:val="Bullet"/>
      </w:pPr>
      <w:r>
        <w:rPr>
          <w:lang w:eastAsia="en-NZ"/>
        </w:rPr>
        <w:t>WCTO providers regularly monitor q</w:t>
      </w:r>
      <w:r w:rsidRPr="004D4467">
        <w:rPr>
          <w:lang w:eastAsia="en-NZ"/>
        </w:rPr>
        <w:t>uality and coverage data</w:t>
      </w:r>
      <w:r>
        <w:rPr>
          <w:lang w:eastAsia="en-NZ"/>
        </w:rPr>
        <w:t>, to</w:t>
      </w:r>
      <w:r w:rsidRPr="004D4467">
        <w:rPr>
          <w:lang w:eastAsia="en-NZ"/>
        </w:rPr>
        <w:t xml:space="preserve"> drive improvement and </w:t>
      </w:r>
      <w:r>
        <w:rPr>
          <w:lang w:eastAsia="en-NZ"/>
        </w:rPr>
        <w:t>r</w:t>
      </w:r>
      <w:r w:rsidRPr="004D4467">
        <w:rPr>
          <w:lang w:eastAsia="en-NZ"/>
        </w:rPr>
        <w:t>educ</w:t>
      </w:r>
      <w:r>
        <w:rPr>
          <w:lang w:eastAsia="en-NZ"/>
        </w:rPr>
        <w:t>e</w:t>
      </w:r>
      <w:r w:rsidRPr="004D4467">
        <w:rPr>
          <w:lang w:eastAsia="en-NZ"/>
        </w:rPr>
        <w:t xml:space="preserve"> inappropriate variation</w:t>
      </w:r>
      <w:r>
        <w:rPr>
          <w:lang w:eastAsia="en-NZ"/>
        </w:rPr>
        <w:t>.</w:t>
      </w:r>
    </w:p>
    <w:p w:rsidR="00705AB0" w:rsidRDefault="00705AB0" w:rsidP="003A7030"/>
    <w:p w:rsidR="00705AB0" w:rsidRDefault="00705AB0" w:rsidP="003A7030">
      <w:r>
        <w:rPr>
          <w:lang w:eastAsia="en-NZ"/>
        </w:rPr>
        <w:t>Practically, this will mean:</w:t>
      </w:r>
    </w:p>
    <w:p w:rsidR="00705AB0" w:rsidRPr="00C56365" w:rsidRDefault="00705AB0" w:rsidP="003A7030">
      <w:pPr>
        <w:pStyle w:val="Bullet"/>
        <w:rPr>
          <w:lang w:eastAsia="en-NZ"/>
        </w:rPr>
      </w:pPr>
      <w:r>
        <w:rPr>
          <w:lang w:eastAsia="en-NZ"/>
        </w:rPr>
        <w:t>WCTO providers u</w:t>
      </w:r>
      <w:r w:rsidRPr="00C56365">
        <w:rPr>
          <w:lang w:eastAsia="en-NZ"/>
        </w:rPr>
        <w:t>s</w:t>
      </w:r>
      <w:r>
        <w:rPr>
          <w:lang w:eastAsia="en-NZ"/>
        </w:rPr>
        <w:t>e</w:t>
      </w:r>
      <w:r w:rsidRPr="00C56365">
        <w:rPr>
          <w:lang w:eastAsia="en-NZ"/>
        </w:rPr>
        <w:t xml:space="preserve"> evidence</w:t>
      </w:r>
      <w:r>
        <w:rPr>
          <w:lang w:eastAsia="en-NZ"/>
        </w:rPr>
        <w:t>-</w:t>
      </w:r>
      <w:r w:rsidRPr="00C56365">
        <w:rPr>
          <w:lang w:eastAsia="en-NZ"/>
        </w:rPr>
        <w:t xml:space="preserve">informed </w:t>
      </w:r>
      <w:r>
        <w:rPr>
          <w:lang w:eastAsia="en-NZ"/>
        </w:rPr>
        <w:t xml:space="preserve">needs </w:t>
      </w:r>
      <w:r w:rsidRPr="00C56365">
        <w:rPr>
          <w:lang w:eastAsia="en-NZ"/>
        </w:rPr>
        <w:t xml:space="preserve">assessment tools and </w:t>
      </w:r>
      <w:r>
        <w:rPr>
          <w:lang w:eastAsia="en-NZ"/>
        </w:rPr>
        <w:t xml:space="preserve">national </w:t>
      </w:r>
      <w:r w:rsidRPr="00C56365">
        <w:rPr>
          <w:lang w:eastAsia="en-NZ"/>
        </w:rPr>
        <w:t>guidelines</w:t>
      </w:r>
      <w:r>
        <w:rPr>
          <w:lang w:eastAsia="en-NZ"/>
        </w:rPr>
        <w:t xml:space="preserve">, including the </w:t>
      </w:r>
      <w:r w:rsidRPr="00130F29">
        <w:rPr>
          <w:i/>
          <w:lang w:eastAsia="en-NZ"/>
        </w:rPr>
        <w:t>WCTO Practitioners Handbook</w:t>
      </w:r>
      <w:r>
        <w:rPr>
          <w:lang w:eastAsia="en-NZ"/>
        </w:rPr>
        <w:t xml:space="preserve">, </w:t>
      </w:r>
      <w:r w:rsidRPr="00C56365">
        <w:rPr>
          <w:lang w:eastAsia="en-NZ"/>
        </w:rPr>
        <w:t xml:space="preserve">to reduce </w:t>
      </w:r>
      <w:r>
        <w:rPr>
          <w:lang w:eastAsia="en-NZ"/>
        </w:rPr>
        <w:t xml:space="preserve">inappropriate </w:t>
      </w:r>
      <w:r w:rsidRPr="00C56365">
        <w:rPr>
          <w:lang w:eastAsia="en-NZ"/>
        </w:rPr>
        <w:t xml:space="preserve">variation in </w:t>
      </w:r>
      <w:r>
        <w:rPr>
          <w:lang w:eastAsia="en-NZ"/>
        </w:rPr>
        <w:t xml:space="preserve">service </w:t>
      </w:r>
      <w:r w:rsidRPr="00C56365">
        <w:rPr>
          <w:lang w:eastAsia="en-NZ"/>
        </w:rPr>
        <w:t>delivery</w:t>
      </w:r>
    </w:p>
    <w:p w:rsidR="00705AB0" w:rsidRPr="00C56365" w:rsidRDefault="003A7030" w:rsidP="003A7030">
      <w:pPr>
        <w:pStyle w:val="Bullet"/>
        <w:rPr>
          <w:lang w:eastAsia="en-NZ"/>
        </w:rPr>
      </w:pPr>
      <w:r>
        <w:rPr>
          <w:lang w:eastAsia="en-NZ"/>
        </w:rPr>
        <w:t>t</w:t>
      </w:r>
      <w:r w:rsidR="00705AB0" w:rsidRPr="00C56365">
        <w:rPr>
          <w:lang w:eastAsia="en-NZ"/>
        </w:rPr>
        <w:t xml:space="preserve">he </w:t>
      </w:r>
      <w:r w:rsidR="00705AB0">
        <w:rPr>
          <w:lang w:eastAsia="en-NZ"/>
        </w:rPr>
        <w:t>WCTO</w:t>
      </w:r>
      <w:r w:rsidR="00705AB0" w:rsidRPr="00C56365">
        <w:rPr>
          <w:lang w:eastAsia="en-NZ"/>
        </w:rPr>
        <w:t xml:space="preserve"> workforce </w:t>
      </w:r>
      <w:r w:rsidR="00705AB0">
        <w:rPr>
          <w:lang w:eastAsia="en-NZ"/>
        </w:rPr>
        <w:t>is</w:t>
      </w:r>
      <w:r w:rsidR="00705AB0" w:rsidRPr="00C56365">
        <w:rPr>
          <w:lang w:eastAsia="en-NZ"/>
        </w:rPr>
        <w:t xml:space="preserve"> competent and kept up to date with new knowledge</w:t>
      </w:r>
      <w:r w:rsidR="00705AB0">
        <w:rPr>
          <w:lang w:eastAsia="en-NZ"/>
        </w:rPr>
        <w:t>, including through robust professional development</w:t>
      </w:r>
    </w:p>
    <w:p w:rsidR="001A627D" w:rsidRDefault="00705AB0" w:rsidP="003A7030">
      <w:pPr>
        <w:pStyle w:val="Bullet"/>
        <w:rPr>
          <w:lang w:eastAsia="en-NZ"/>
        </w:rPr>
      </w:pPr>
      <w:r>
        <w:rPr>
          <w:lang w:eastAsia="en-NZ"/>
        </w:rPr>
        <w:t>WCTO providers maintain relationships across service and provider boundaries and</w:t>
      </w:r>
      <w:r w:rsidRPr="004E3AC9">
        <w:rPr>
          <w:lang w:eastAsia="en-NZ"/>
        </w:rPr>
        <w:t xml:space="preserve"> </w:t>
      </w:r>
      <w:r>
        <w:rPr>
          <w:lang w:eastAsia="en-NZ"/>
        </w:rPr>
        <w:t xml:space="preserve">work </w:t>
      </w:r>
      <w:r w:rsidRPr="004E3AC9">
        <w:rPr>
          <w:lang w:eastAsia="en-NZ"/>
        </w:rPr>
        <w:t>together as a sector</w:t>
      </w:r>
    </w:p>
    <w:p w:rsidR="00705AB0" w:rsidRPr="00C56365" w:rsidRDefault="00705AB0" w:rsidP="003A7030">
      <w:pPr>
        <w:pStyle w:val="Bullet"/>
        <w:rPr>
          <w:lang w:eastAsia="en-NZ"/>
        </w:rPr>
      </w:pPr>
      <w:r>
        <w:rPr>
          <w:lang w:eastAsia="en-NZ"/>
        </w:rPr>
        <w:t>WCTO providers seek out and a</w:t>
      </w:r>
      <w:r w:rsidRPr="00C56365">
        <w:rPr>
          <w:lang w:eastAsia="en-NZ"/>
        </w:rPr>
        <w:t xml:space="preserve">pply new </w:t>
      </w:r>
      <w:r>
        <w:rPr>
          <w:lang w:eastAsia="en-NZ"/>
        </w:rPr>
        <w:t>evidence</w:t>
      </w:r>
      <w:r w:rsidRPr="00C56365">
        <w:rPr>
          <w:lang w:eastAsia="en-NZ"/>
        </w:rPr>
        <w:t xml:space="preserve"> </w:t>
      </w:r>
      <w:r>
        <w:rPr>
          <w:lang w:eastAsia="en-NZ"/>
        </w:rPr>
        <w:t xml:space="preserve">to </w:t>
      </w:r>
      <w:r w:rsidRPr="00C56365">
        <w:rPr>
          <w:lang w:eastAsia="en-NZ"/>
        </w:rPr>
        <w:t>improve services</w:t>
      </w:r>
    </w:p>
    <w:p w:rsidR="00705AB0" w:rsidRDefault="00705AB0" w:rsidP="003A7030">
      <w:pPr>
        <w:pStyle w:val="Bullet"/>
        <w:rPr>
          <w:szCs w:val="24"/>
          <w:lang w:eastAsia="en-NZ"/>
        </w:rPr>
      </w:pPr>
      <w:r>
        <w:rPr>
          <w:szCs w:val="24"/>
          <w:lang w:eastAsia="en-NZ"/>
        </w:rPr>
        <w:t>WCTO providers cease to deliver services that are ineffective</w:t>
      </w:r>
    </w:p>
    <w:p w:rsidR="00705AB0" w:rsidRPr="00871906" w:rsidRDefault="00705AB0" w:rsidP="003A7030">
      <w:pPr>
        <w:pStyle w:val="Bullet"/>
        <w:rPr>
          <w:szCs w:val="24"/>
          <w:lang w:eastAsia="en-NZ"/>
        </w:rPr>
      </w:pPr>
      <w:r>
        <w:rPr>
          <w:szCs w:val="24"/>
          <w:lang w:eastAsia="en-NZ"/>
        </w:rPr>
        <w:t>WCTO providers actively c</w:t>
      </w:r>
      <w:r w:rsidRPr="00C56365">
        <w:rPr>
          <w:szCs w:val="24"/>
          <w:lang w:eastAsia="en-NZ"/>
        </w:rPr>
        <w:t xml:space="preserve">ollect, </w:t>
      </w:r>
      <w:r w:rsidRPr="00C56365">
        <w:rPr>
          <w:lang w:eastAsia="en-NZ"/>
        </w:rPr>
        <w:t>monitor and act on quality and outcomes data</w:t>
      </w:r>
      <w:r w:rsidRPr="00C56365">
        <w:rPr>
          <w:szCs w:val="24"/>
          <w:lang w:eastAsia="en-NZ"/>
        </w:rPr>
        <w:t xml:space="preserve"> to improve service delivery </w:t>
      </w:r>
      <w:r>
        <w:rPr>
          <w:szCs w:val="24"/>
          <w:lang w:eastAsia="en-NZ"/>
        </w:rPr>
        <w:t>locally and nationally</w:t>
      </w:r>
    </w:p>
    <w:p w:rsidR="00705AB0" w:rsidRDefault="00705AB0" w:rsidP="003A7030">
      <w:pPr>
        <w:pStyle w:val="Bullet"/>
        <w:rPr>
          <w:lang w:eastAsia="en-NZ"/>
        </w:rPr>
      </w:pPr>
      <w:r>
        <w:rPr>
          <w:lang w:eastAsia="en-NZ"/>
        </w:rPr>
        <w:t xml:space="preserve">WCTO providers have efficient </w:t>
      </w:r>
      <w:r w:rsidRPr="00C56365">
        <w:rPr>
          <w:lang w:eastAsia="en-NZ"/>
        </w:rPr>
        <w:t>systems for sharing information</w:t>
      </w:r>
      <w:r>
        <w:rPr>
          <w:lang w:eastAsia="en-NZ"/>
        </w:rPr>
        <w:t>.</w:t>
      </w:r>
    </w:p>
    <w:p w:rsidR="003A7030" w:rsidRDefault="003A7030" w:rsidP="003A7030">
      <w:pPr>
        <w:rPr>
          <w:lang w:eastAsia="en-NZ"/>
        </w:rPr>
      </w:pPr>
    </w:p>
    <w:p w:rsidR="00705AB0" w:rsidRPr="001A627D" w:rsidRDefault="003A7030" w:rsidP="003A7030">
      <w:pPr>
        <w:pStyle w:val="Heading1"/>
        <w:rPr>
          <w:lang w:eastAsia="en-NZ"/>
        </w:rPr>
      </w:pPr>
      <w:bookmarkStart w:id="36" w:name="_Toc334194103"/>
      <w:bookmarkStart w:id="37" w:name="_Toc360627065"/>
      <w:r>
        <w:rPr>
          <w:lang w:eastAsia="en-NZ"/>
        </w:rPr>
        <w:br w:type="page"/>
      </w:r>
      <w:bookmarkStart w:id="38" w:name="_Toc361597301"/>
      <w:r w:rsidR="00705AB0">
        <w:rPr>
          <w:lang w:eastAsia="en-NZ"/>
        </w:rPr>
        <w:t>Quality I</w:t>
      </w:r>
      <w:r w:rsidR="00705AB0" w:rsidRPr="00093B32">
        <w:rPr>
          <w:lang w:eastAsia="en-NZ"/>
        </w:rPr>
        <w:t>ndicators for the</w:t>
      </w:r>
      <w:r w:rsidR="00705AB0">
        <w:rPr>
          <w:lang w:eastAsia="en-NZ"/>
        </w:rPr>
        <w:t xml:space="preserve"> Well Child/Tamariki Ora</w:t>
      </w:r>
      <w:r w:rsidR="00705AB0" w:rsidRPr="00093B32">
        <w:rPr>
          <w:lang w:eastAsia="en-NZ"/>
        </w:rPr>
        <w:t xml:space="preserve"> </w:t>
      </w:r>
      <w:r w:rsidR="00705AB0">
        <w:rPr>
          <w:lang w:eastAsia="en-NZ"/>
        </w:rPr>
        <w:t>Quality Improvement F</w:t>
      </w:r>
      <w:r w:rsidR="00705AB0" w:rsidRPr="001A627D">
        <w:rPr>
          <w:lang w:eastAsia="en-NZ"/>
        </w:rPr>
        <w:t>ramework</w:t>
      </w:r>
      <w:bookmarkEnd w:id="36"/>
      <w:bookmarkEnd w:id="37"/>
      <w:bookmarkEnd w:id="38"/>
    </w:p>
    <w:p w:rsidR="00705AB0" w:rsidRDefault="00705AB0" w:rsidP="003A7030">
      <w:pPr>
        <w:pStyle w:val="Heading2"/>
        <w:rPr>
          <w:lang w:eastAsia="en-NZ"/>
        </w:rPr>
      </w:pPr>
      <w:bookmarkStart w:id="39" w:name="_Toc360627066"/>
      <w:bookmarkStart w:id="40" w:name="_Toc361597302"/>
      <w:r>
        <w:rPr>
          <w:lang w:eastAsia="en-NZ"/>
        </w:rPr>
        <w:t>Background</w:t>
      </w:r>
      <w:bookmarkEnd w:id="39"/>
      <w:bookmarkEnd w:id="40"/>
    </w:p>
    <w:p w:rsidR="001A627D" w:rsidRDefault="00705AB0" w:rsidP="003A7030">
      <w:pPr>
        <w:rPr>
          <w:lang w:eastAsia="en-NZ"/>
        </w:rPr>
      </w:pPr>
      <w:r>
        <w:rPr>
          <w:lang w:eastAsia="en-NZ"/>
        </w:rPr>
        <w:t xml:space="preserve">Regular monitoring is </w:t>
      </w:r>
      <w:r w:rsidRPr="00093B32">
        <w:rPr>
          <w:lang w:eastAsia="en-NZ"/>
        </w:rPr>
        <w:t xml:space="preserve">an essential component of </w:t>
      </w:r>
      <w:r w:rsidRPr="001A627D">
        <w:rPr>
          <w:lang w:eastAsia="en-NZ"/>
        </w:rPr>
        <w:t>quality improvement.</w:t>
      </w:r>
      <w:r w:rsidRPr="00093B32">
        <w:rPr>
          <w:lang w:eastAsia="en-NZ"/>
        </w:rPr>
        <w:t xml:space="preserve"> </w:t>
      </w:r>
      <w:r>
        <w:rPr>
          <w:lang w:eastAsia="en-NZ"/>
        </w:rPr>
        <w:t xml:space="preserve">The quality </w:t>
      </w:r>
      <w:r w:rsidRPr="00093B32">
        <w:rPr>
          <w:lang w:eastAsia="en-NZ"/>
        </w:rPr>
        <w:t xml:space="preserve">indicators </w:t>
      </w:r>
      <w:r>
        <w:rPr>
          <w:lang w:eastAsia="en-NZ"/>
        </w:rPr>
        <w:t xml:space="preserve">presented here </w:t>
      </w:r>
      <w:r w:rsidRPr="00093B32">
        <w:rPr>
          <w:lang w:eastAsia="en-NZ"/>
        </w:rPr>
        <w:t xml:space="preserve">enable </w:t>
      </w:r>
      <w:r>
        <w:rPr>
          <w:lang w:eastAsia="en-NZ"/>
        </w:rPr>
        <w:t xml:space="preserve">such </w:t>
      </w:r>
      <w:r w:rsidRPr="00093B32">
        <w:rPr>
          <w:lang w:eastAsia="en-NZ"/>
        </w:rPr>
        <w:t>monitoring</w:t>
      </w:r>
      <w:r>
        <w:rPr>
          <w:lang w:eastAsia="en-NZ"/>
        </w:rPr>
        <w:t xml:space="preserve"> for quality improvement across WCTO</w:t>
      </w:r>
      <w:r w:rsidRPr="00093B32">
        <w:rPr>
          <w:lang w:eastAsia="en-NZ"/>
        </w:rPr>
        <w:t>.</w:t>
      </w:r>
    </w:p>
    <w:p w:rsidR="00705AB0" w:rsidRDefault="00705AB0" w:rsidP="003A7030">
      <w:pPr>
        <w:rPr>
          <w:lang w:eastAsia="en-NZ"/>
        </w:rPr>
      </w:pPr>
    </w:p>
    <w:p w:rsidR="001A627D" w:rsidRPr="001A627D" w:rsidRDefault="00705AB0" w:rsidP="003A7030">
      <w:pPr>
        <w:rPr>
          <w:lang w:eastAsia="en-NZ"/>
        </w:rPr>
      </w:pPr>
      <w:r>
        <w:rPr>
          <w:lang w:eastAsia="en-NZ"/>
        </w:rPr>
        <w:t>The F</w:t>
      </w:r>
      <w:r w:rsidRPr="001A627D">
        <w:rPr>
          <w:lang w:eastAsia="en-NZ"/>
        </w:rPr>
        <w:t>ramework aims to monitor and promote quality improvement across WCTO providers without creating an additional reporting burden. Accordingly, its quality indicators are a subset of potential measures drawn from existing data collections and reporting mechanisms.</w:t>
      </w:r>
    </w:p>
    <w:p w:rsidR="00705AB0" w:rsidRDefault="00705AB0" w:rsidP="003A7030">
      <w:pPr>
        <w:rPr>
          <w:lang w:eastAsia="en-NZ"/>
        </w:rPr>
      </w:pPr>
    </w:p>
    <w:p w:rsidR="00705AB0" w:rsidRDefault="00705AB0" w:rsidP="003A7030">
      <w:pPr>
        <w:rPr>
          <w:lang w:eastAsia="en-NZ"/>
        </w:rPr>
      </w:pPr>
      <w:r>
        <w:rPr>
          <w:lang w:eastAsia="en-NZ"/>
        </w:rPr>
        <w:t xml:space="preserve">The </w:t>
      </w:r>
      <w:r w:rsidRPr="001A627D">
        <w:rPr>
          <w:lang w:eastAsia="en-NZ"/>
        </w:rPr>
        <w:t xml:space="preserve">quality indicators are broadly grouped into indicators that reflect the three high-level aims of the Framework: universal </w:t>
      </w:r>
      <w:r>
        <w:rPr>
          <w:lang w:eastAsia="en-NZ"/>
        </w:rPr>
        <w:t>access, equitable outcomes and continuous quality improvement.</w:t>
      </w:r>
    </w:p>
    <w:p w:rsidR="00705AB0" w:rsidRPr="00705AB0" w:rsidRDefault="00705AB0" w:rsidP="003A7030"/>
    <w:p w:rsidR="00705AB0" w:rsidRPr="001A627D" w:rsidRDefault="00705AB0" w:rsidP="003A7030">
      <w:pPr>
        <w:rPr>
          <w:lang w:eastAsia="en-NZ"/>
        </w:rPr>
      </w:pPr>
      <w:r w:rsidRPr="00A16E21">
        <w:rPr>
          <w:lang w:eastAsia="en-NZ"/>
        </w:rPr>
        <w:t xml:space="preserve">All </w:t>
      </w:r>
      <w:r w:rsidRPr="001A627D">
        <w:rPr>
          <w:lang w:eastAsia="en-NZ"/>
        </w:rPr>
        <w:t>quality indicators will be reported on by region, ethnicity and deprivation quintile, and the results will be published six-monthly.</w:t>
      </w:r>
    </w:p>
    <w:p w:rsidR="00705AB0" w:rsidRPr="001A627D" w:rsidRDefault="00705AB0" w:rsidP="003A7030">
      <w:pPr>
        <w:rPr>
          <w:lang w:eastAsia="en-NZ"/>
        </w:rPr>
      </w:pPr>
    </w:p>
    <w:p w:rsidR="001A627D" w:rsidRPr="001A627D" w:rsidRDefault="00705AB0" w:rsidP="003A7030">
      <w:pPr>
        <w:rPr>
          <w:lang w:eastAsia="en-NZ"/>
        </w:rPr>
      </w:pPr>
      <w:r w:rsidRPr="001A627D">
        <w:rPr>
          <w:lang w:eastAsia="en-NZ"/>
        </w:rPr>
        <w:t>As information collection improves, and the WCTO programme evolves, indicators may be added or changed. The Ministry of Health will review the quality indicators</w:t>
      </w:r>
      <w:r w:rsidR="00AA222E">
        <w:rPr>
          <w:lang w:eastAsia="en-NZ"/>
        </w:rPr>
        <w:t xml:space="preserve"> at</w:t>
      </w:r>
      <w:r w:rsidRPr="001A627D">
        <w:rPr>
          <w:lang w:eastAsia="en-NZ"/>
        </w:rPr>
        <w:t xml:space="preserve"> least every three years.</w:t>
      </w:r>
    </w:p>
    <w:p w:rsidR="00705AB0" w:rsidRDefault="00705AB0" w:rsidP="003A7030">
      <w:pPr>
        <w:rPr>
          <w:lang w:eastAsia="en-NZ"/>
        </w:rPr>
      </w:pPr>
    </w:p>
    <w:p w:rsidR="00705AB0" w:rsidRPr="001A627D" w:rsidRDefault="00705AB0" w:rsidP="003A7030">
      <w:pPr>
        <w:pStyle w:val="Heading2"/>
        <w:rPr>
          <w:lang w:eastAsia="en-NZ"/>
        </w:rPr>
      </w:pPr>
      <w:bookmarkStart w:id="41" w:name="_Toc360627067"/>
      <w:bookmarkStart w:id="42" w:name="_Toc361597303"/>
      <w:r>
        <w:rPr>
          <w:lang w:eastAsia="en-NZ"/>
        </w:rPr>
        <w:t xml:space="preserve">Target </w:t>
      </w:r>
      <w:r w:rsidRPr="00C42CE6">
        <w:rPr>
          <w:lang w:eastAsia="en-NZ"/>
        </w:rPr>
        <w:t xml:space="preserve">setting </w:t>
      </w:r>
      <w:r>
        <w:rPr>
          <w:lang w:eastAsia="en-NZ"/>
        </w:rPr>
        <w:t>methodology</w:t>
      </w:r>
      <w:bookmarkEnd w:id="41"/>
      <w:bookmarkEnd w:id="42"/>
    </w:p>
    <w:p w:rsidR="00705AB0" w:rsidRDefault="00705AB0" w:rsidP="003A7030">
      <w:r>
        <w:t xml:space="preserve">Targets for the quality indicators reflect national targets set through other monitoring frameworks and processes, including Health Targets, district health board (DHB) non-financial performance monitoring and </w:t>
      </w:r>
      <w:r w:rsidR="001A627D">
        <w:t>‘</w:t>
      </w:r>
      <w:r>
        <w:t>Better Public Service</w:t>
      </w:r>
      <w:r w:rsidR="001A627D">
        <w:t>’</w:t>
      </w:r>
      <w:r>
        <w:t xml:space="preserve"> key result areas.</w:t>
      </w:r>
    </w:p>
    <w:p w:rsidR="00705AB0" w:rsidRDefault="00705AB0" w:rsidP="003A7030"/>
    <w:p w:rsidR="00705AB0" w:rsidRDefault="00705AB0" w:rsidP="003A7030">
      <w:r>
        <w:t>Where there is no existing target, new three year targets have been agreed by the expert advisory group to best reflect the objectives of the Framework.</w:t>
      </w:r>
      <w:r w:rsidR="001A627D">
        <w:t xml:space="preserve"> </w:t>
      </w:r>
      <w:r>
        <w:t>New targets are staged to reflect that improvements will be realised over time.</w:t>
      </w:r>
      <w:r w:rsidR="001A627D">
        <w:t xml:space="preserve"> </w:t>
      </w:r>
      <w:r>
        <w:t>Interim targets to be achieved by December 2014 are set at 90</w:t>
      </w:r>
      <w:r w:rsidR="00A75FF2">
        <w:t xml:space="preserve"> percent</w:t>
      </w:r>
      <w:r>
        <w:t xml:space="preserve"> of the three year targets.</w:t>
      </w:r>
    </w:p>
    <w:p w:rsidR="00705AB0" w:rsidRDefault="00705AB0" w:rsidP="003A7030"/>
    <w:p w:rsidR="003A7030" w:rsidRDefault="00705AB0" w:rsidP="003A7030">
      <w:r>
        <w:t>WCTO providers must work towards achieving equity. To promote this, the target for each quality indicator is the same across all ethnic groups, deprivation quintiles and DHB region</w:t>
      </w:r>
      <w:r w:rsidR="00AA222E">
        <w:t>s</w:t>
      </w:r>
      <w:r>
        <w:t>.</w:t>
      </w:r>
    </w:p>
    <w:p w:rsidR="003A7030" w:rsidRDefault="003A7030" w:rsidP="003A7030"/>
    <w:p w:rsidR="001A627D" w:rsidRDefault="003A7030" w:rsidP="003A7030">
      <w:pPr>
        <w:pStyle w:val="Heading1"/>
        <w:rPr>
          <w:lang w:eastAsia="en-NZ"/>
        </w:rPr>
      </w:pPr>
      <w:bookmarkStart w:id="43" w:name="_Toc360627068"/>
      <w:r>
        <w:rPr>
          <w:lang w:eastAsia="en-NZ"/>
        </w:rPr>
        <w:br w:type="page"/>
      </w:r>
      <w:bookmarkStart w:id="44" w:name="_Toc361597304"/>
      <w:r w:rsidR="00705AB0" w:rsidRPr="00ED0E27">
        <w:rPr>
          <w:lang w:eastAsia="en-NZ"/>
        </w:rPr>
        <w:t>Quality Indicators 1</w:t>
      </w:r>
      <w:r w:rsidR="007603FA">
        <w:rPr>
          <w:lang w:eastAsia="en-NZ"/>
        </w:rPr>
        <w:t>–</w:t>
      </w:r>
      <w:r w:rsidR="00705AB0" w:rsidRPr="00ED0E27">
        <w:rPr>
          <w:lang w:eastAsia="en-NZ"/>
        </w:rPr>
        <w:t>10: Access</w:t>
      </w:r>
      <w:bookmarkEnd w:id="43"/>
      <w:bookmarkEnd w:id="44"/>
    </w:p>
    <w:p w:rsidR="00705AB0" w:rsidRPr="00ED0E27" w:rsidRDefault="00705AB0" w:rsidP="007603FA">
      <w:pPr>
        <w:pStyle w:val="Heading2"/>
      </w:pPr>
      <w:bookmarkStart w:id="45" w:name="_Toc360627069"/>
      <w:bookmarkStart w:id="46" w:name="_Toc361597305"/>
      <w:r w:rsidRPr="00ED0E27">
        <w:t>Why measure access?</w:t>
      </w:r>
      <w:bookmarkEnd w:id="45"/>
      <w:bookmarkEnd w:id="46"/>
    </w:p>
    <w:p w:rsidR="00705AB0" w:rsidRDefault="00705AB0" w:rsidP="007603FA">
      <w:r>
        <w:t>Universal a</w:t>
      </w:r>
      <w:r w:rsidRPr="00B57DEE">
        <w:t>ccess</w:t>
      </w:r>
      <w:r>
        <w:t xml:space="preserve"> to</w:t>
      </w:r>
      <w:r w:rsidRPr="00B57DEE">
        <w:t xml:space="preserve"> </w:t>
      </w:r>
      <w:r>
        <w:t>services including g</w:t>
      </w:r>
      <w:r w:rsidRPr="00B57DEE">
        <w:t xml:space="preserve">eneral </w:t>
      </w:r>
      <w:r>
        <w:t>p</w:t>
      </w:r>
      <w:r w:rsidRPr="00B57DEE">
        <w:t xml:space="preserve">ractice, </w:t>
      </w:r>
      <w:r>
        <w:t xml:space="preserve">core </w:t>
      </w:r>
      <w:r w:rsidRPr="00B57DEE">
        <w:t>WCTO</w:t>
      </w:r>
      <w:r>
        <w:t xml:space="preserve"> checks</w:t>
      </w:r>
      <w:r w:rsidRPr="00B57DEE">
        <w:t>, child oral health</w:t>
      </w:r>
      <w:r>
        <w:t xml:space="preserve"> services, </w:t>
      </w:r>
      <w:r w:rsidRPr="00B57DEE">
        <w:t xml:space="preserve">immunisation and early childhood education </w:t>
      </w:r>
      <w:r>
        <w:t xml:space="preserve">ensures all children and their </w:t>
      </w:r>
      <w:r>
        <w:rPr>
          <w:rFonts w:cs="Helvetica"/>
          <w:lang w:eastAsia="en-NZ"/>
        </w:rPr>
        <w:t>families/</w:t>
      </w:r>
      <w:r w:rsidR="007603FA">
        <w:rPr>
          <w:rFonts w:cs="Helvetica"/>
          <w:lang w:eastAsia="en-NZ"/>
        </w:rPr>
        <w:t xml:space="preserve"> </w:t>
      </w:r>
      <w:r>
        <w:rPr>
          <w:rFonts w:cs="Helvetica"/>
          <w:lang w:eastAsia="en-NZ"/>
        </w:rPr>
        <w:t>whānau</w:t>
      </w:r>
      <w:r>
        <w:t xml:space="preserve"> have the opportunity to reach their development potential.</w:t>
      </w:r>
    </w:p>
    <w:p w:rsidR="00705AB0" w:rsidRDefault="00705AB0" w:rsidP="007603FA"/>
    <w:p w:rsidR="00705AB0" w:rsidRDefault="00705AB0" w:rsidP="007603FA">
      <w:r>
        <w:t xml:space="preserve">Achieving universal access requires service providers to </w:t>
      </w:r>
      <w:r w:rsidRPr="00705AB0">
        <w:rPr>
          <w:rFonts w:cs="Helvetica"/>
          <w:color w:val="000000"/>
          <w:lang w:eastAsia="en-NZ"/>
        </w:rPr>
        <w:t xml:space="preserve">take a child and family/whānau-centred approach. Planners, funders and providers must </w:t>
      </w:r>
      <w:r>
        <w:t xml:space="preserve">consider cost and other access barriers, ensure services are delivered on time and develop good relationships with other providers to ensure families do not </w:t>
      </w:r>
      <w:r w:rsidR="001A627D">
        <w:t>‘</w:t>
      </w:r>
      <w:r>
        <w:t>fall through the cracks</w:t>
      </w:r>
      <w:r w:rsidR="001A627D">
        <w:t>’</w:t>
      </w:r>
      <w:r>
        <w:t>.</w:t>
      </w:r>
    </w:p>
    <w:p w:rsidR="00705AB0" w:rsidRDefault="00705AB0" w:rsidP="007603FA"/>
    <w:p w:rsidR="001A627D" w:rsidRDefault="00705AB0" w:rsidP="007603FA">
      <w:pPr>
        <w:rPr>
          <w:lang w:eastAsia="en-NZ"/>
        </w:rPr>
      </w:pPr>
      <w:r>
        <w:t>Monitoring access by ethnicity, deprivation and DHB region ensures a focus on equity</w:t>
      </w:r>
      <w:r w:rsidRPr="00705AB0">
        <w:rPr>
          <w:lang w:eastAsia="en-NZ"/>
        </w:rPr>
        <w:t>. To meet indicator targets and ensure equity for all population groups, planners, funders and providers must prioritise the needs of – and address barriers specific to – vulnerable populations.</w:t>
      </w:r>
    </w:p>
    <w:p w:rsidR="00705AB0" w:rsidRPr="00B57DEE" w:rsidRDefault="00705AB0" w:rsidP="007603FA"/>
    <w:p w:rsidR="00705AB0" w:rsidRPr="00ED0E27" w:rsidRDefault="00705AB0" w:rsidP="007603FA">
      <w:pPr>
        <w:pStyle w:val="Heading2"/>
      </w:pPr>
      <w:bookmarkStart w:id="47" w:name="_Toc360627070"/>
      <w:bookmarkStart w:id="48" w:name="_Toc361597306"/>
      <w:r w:rsidRPr="00ED0E27">
        <w:t>Alignment with Aim 1</w:t>
      </w:r>
      <w:bookmarkEnd w:id="47"/>
      <w:bookmarkEnd w:id="48"/>
    </w:p>
    <w:p w:rsidR="00705AB0" w:rsidRDefault="00705AB0" w:rsidP="007603FA">
      <w:r w:rsidRPr="004902C4">
        <w:t>Aim 1</w:t>
      </w:r>
      <w:r>
        <w:t xml:space="preserve"> –</w:t>
      </w:r>
      <w:r w:rsidRPr="004902C4">
        <w:t xml:space="preserve"> </w:t>
      </w:r>
      <w:r w:rsidRPr="007603FA">
        <w:rPr>
          <w:i/>
          <w:lang w:eastAsia="en-NZ"/>
        </w:rPr>
        <w:t>Improved safety and quality experience for the child, family/whānau and community</w:t>
      </w:r>
      <w:r w:rsidRPr="004902C4">
        <w:t xml:space="preserve"> </w:t>
      </w:r>
      <w:r>
        <w:t xml:space="preserve">– </w:t>
      </w:r>
      <w:r w:rsidRPr="004902C4">
        <w:t>seeks</w:t>
      </w:r>
      <w:r>
        <w:t xml:space="preserve"> to ensure families are placed at the centre of the care.</w:t>
      </w:r>
    </w:p>
    <w:p w:rsidR="00705AB0" w:rsidRDefault="00705AB0" w:rsidP="007603FA"/>
    <w:p w:rsidR="001A627D" w:rsidRDefault="00705AB0" w:rsidP="007603FA">
      <w:r>
        <w:t>Measuring access also addresses the quality and safety of services for families</w:t>
      </w:r>
      <w:r w:rsidRPr="00705AB0">
        <w:rPr>
          <w:rFonts w:cs="Helvetica"/>
          <w:color w:val="000000"/>
          <w:lang w:eastAsia="en-NZ"/>
        </w:rPr>
        <w:t>/whānau. A family/whānau</w:t>
      </w:r>
      <w:r w:rsidR="001A627D">
        <w:t>’</w:t>
      </w:r>
      <w:r>
        <w:t>s access of a service reflects their informed choice to participate. In this way, access is an indicator of a family</w:t>
      </w:r>
      <w:r w:rsidRPr="00705AB0">
        <w:rPr>
          <w:rFonts w:cs="Helvetica"/>
          <w:color w:val="000000"/>
          <w:lang w:eastAsia="en-NZ"/>
        </w:rPr>
        <w:t>/whānau</w:t>
      </w:r>
      <w:r w:rsidR="001A627D">
        <w:t>’</w:t>
      </w:r>
      <w:r>
        <w:t>s awareness of a service, and the extent to which they see that service as relevant and appropriate, as well as an indicator of ease of access and the degree of integration between services.</w:t>
      </w:r>
    </w:p>
    <w:p w:rsidR="00705AB0" w:rsidRDefault="00705AB0" w:rsidP="007603FA"/>
    <w:p w:rsidR="00705AB0" w:rsidRPr="00E91C6F" w:rsidRDefault="00705AB0" w:rsidP="007603FA">
      <w:pPr>
        <w:pStyle w:val="Table"/>
      </w:pPr>
      <w:bookmarkStart w:id="49" w:name="_Toc361597327"/>
      <w:r w:rsidRPr="00E91C6F">
        <w:t xml:space="preserve">Table 1: WCTO </w:t>
      </w:r>
      <w:r>
        <w:t>q</w:t>
      </w:r>
      <w:r w:rsidRPr="00E91C6F">
        <w:t xml:space="preserve">uality </w:t>
      </w:r>
      <w:r>
        <w:t>i</w:t>
      </w:r>
      <w:r w:rsidRPr="00E91C6F">
        <w:t>ndicator</w:t>
      </w:r>
      <w:r>
        <w:t>s 1</w:t>
      </w:r>
      <w:r w:rsidR="007603FA">
        <w:t>–</w:t>
      </w:r>
      <w:r>
        <w:t xml:space="preserve">10: </w:t>
      </w:r>
      <w:r w:rsidR="007603FA">
        <w:t>a</w:t>
      </w:r>
      <w:r>
        <w:t>ccess</w:t>
      </w:r>
      <w:bookmarkEnd w:id="49"/>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2"/>
        <w:gridCol w:w="5529"/>
        <w:gridCol w:w="992"/>
        <w:gridCol w:w="992"/>
      </w:tblGrid>
      <w:tr w:rsidR="007D6E1B" w:rsidRPr="00F46526" w:rsidTr="00F46526">
        <w:trPr>
          <w:cantSplit/>
          <w:tblHeader/>
        </w:trPr>
        <w:tc>
          <w:tcPr>
            <w:tcW w:w="985" w:type="pct"/>
            <w:tcBorders>
              <w:top w:val="single" w:sz="4" w:space="0" w:color="auto"/>
              <w:bottom w:val="single" w:sz="4" w:space="0" w:color="auto"/>
            </w:tcBorders>
            <w:shd w:val="clear" w:color="auto" w:fill="auto"/>
          </w:tcPr>
          <w:p w:rsidR="00705AB0" w:rsidRPr="00F46526" w:rsidRDefault="00705AB0" w:rsidP="00F46526">
            <w:pPr>
              <w:pStyle w:val="TableText"/>
              <w:keepNext/>
              <w:rPr>
                <w:b/>
              </w:rPr>
            </w:pPr>
            <w:r w:rsidRPr="00F46526">
              <w:rPr>
                <w:b/>
              </w:rPr>
              <w:t>Standard</w:t>
            </w:r>
          </w:p>
        </w:tc>
        <w:tc>
          <w:tcPr>
            <w:tcW w:w="2955" w:type="pct"/>
            <w:tcBorders>
              <w:top w:val="single" w:sz="4" w:space="0" w:color="auto"/>
              <w:bottom w:val="single" w:sz="4" w:space="0" w:color="auto"/>
            </w:tcBorders>
            <w:shd w:val="clear" w:color="auto" w:fill="auto"/>
          </w:tcPr>
          <w:p w:rsidR="00705AB0" w:rsidRPr="00F46526" w:rsidRDefault="00705AB0" w:rsidP="00F46526">
            <w:pPr>
              <w:pStyle w:val="TableText"/>
              <w:keepNext/>
              <w:rPr>
                <w:b/>
              </w:rPr>
            </w:pPr>
            <w:r w:rsidRPr="00F46526">
              <w:rPr>
                <w:b/>
              </w:rPr>
              <w:t>Measure</w:t>
            </w:r>
          </w:p>
        </w:tc>
        <w:tc>
          <w:tcPr>
            <w:tcW w:w="530" w:type="pct"/>
            <w:tcBorders>
              <w:top w:val="single" w:sz="4" w:space="0" w:color="auto"/>
              <w:bottom w:val="single" w:sz="4" w:space="0" w:color="auto"/>
            </w:tcBorders>
            <w:shd w:val="clear" w:color="auto" w:fill="auto"/>
          </w:tcPr>
          <w:p w:rsidR="00705AB0" w:rsidRPr="00F46526" w:rsidRDefault="00705AB0" w:rsidP="00F46526">
            <w:pPr>
              <w:pStyle w:val="TableText"/>
              <w:jc w:val="center"/>
              <w:rPr>
                <w:b/>
              </w:rPr>
            </w:pPr>
            <w:r w:rsidRPr="00F46526">
              <w:rPr>
                <w:b/>
              </w:rPr>
              <w:t>Dec</w:t>
            </w:r>
            <w:r w:rsidR="007603FA" w:rsidRPr="00F46526">
              <w:rPr>
                <w:b/>
              </w:rPr>
              <w:t>ember</w:t>
            </w:r>
            <w:r w:rsidRPr="00F46526">
              <w:rPr>
                <w:b/>
              </w:rPr>
              <w:t xml:space="preserve"> 2014</w:t>
            </w:r>
            <w:r w:rsidR="007603FA" w:rsidRPr="00F46526">
              <w:rPr>
                <w:b/>
              </w:rPr>
              <w:br/>
              <w:t>t</w:t>
            </w:r>
            <w:r w:rsidRPr="00F46526">
              <w:rPr>
                <w:b/>
              </w:rPr>
              <w:t>arget*</w:t>
            </w:r>
          </w:p>
        </w:tc>
        <w:tc>
          <w:tcPr>
            <w:tcW w:w="530" w:type="pct"/>
            <w:tcBorders>
              <w:top w:val="single" w:sz="4" w:space="0" w:color="auto"/>
              <w:bottom w:val="single" w:sz="4" w:space="0" w:color="auto"/>
            </w:tcBorders>
            <w:shd w:val="clear" w:color="auto" w:fill="auto"/>
          </w:tcPr>
          <w:p w:rsidR="00705AB0" w:rsidRPr="00F46526" w:rsidRDefault="00705AB0" w:rsidP="00F46526">
            <w:pPr>
              <w:pStyle w:val="TableText"/>
              <w:jc w:val="center"/>
              <w:rPr>
                <w:b/>
              </w:rPr>
            </w:pPr>
            <w:r w:rsidRPr="00F46526">
              <w:rPr>
                <w:b/>
              </w:rPr>
              <w:t>June 2016</w:t>
            </w:r>
            <w:r w:rsidR="007603FA" w:rsidRPr="00F46526">
              <w:rPr>
                <w:b/>
              </w:rPr>
              <w:br/>
              <w:t>t</w:t>
            </w:r>
            <w:r w:rsidRPr="00F46526">
              <w:rPr>
                <w:b/>
              </w:rPr>
              <w:t>arget</w:t>
            </w:r>
          </w:p>
        </w:tc>
      </w:tr>
      <w:tr w:rsidR="007D6E1B" w:rsidRPr="00841078" w:rsidTr="00F46526">
        <w:trPr>
          <w:cantSplit/>
        </w:trPr>
        <w:tc>
          <w:tcPr>
            <w:tcW w:w="985" w:type="pct"/>
            <w:vMerge w:val="restart"/>
            <w:tcBorders>
              <w:top w:val="single" w:sz="4" w:space="0" w:color="auto"/>
            </w:tcBorders>
            <w:shd w:val="clear" w:color="auto" w:fill="auto"/>
          </w:tcPr>
          <w:p w:rsidR="00705AB0" w:rsidRPr="00705AB0" w:rsidRDefault="00705AB0" w:rsidP="00F46526">
            <w:pPr>
              <w:pStyle w:val="TableText"/>
              <w:keepNext/>
            </w:pPr>
            <w:r w:rsidRPr="00705AB0">
              <w:t>All children and families/</w:t>
            </w:r>
            <w:r w:rsidRPr="00F46526">
              <w:rPr>
                <w:rFonts w:cs="Helvetica"/>
                <w:color w:val="000000"/>
                <w:lang w:eastAsia="en-NZ"/>
              </w:rPr>
              <w:t>whānau</w:t>
            </w:r>
            <w:r w:rsidRPr="00705AB0">
              <w:t xml:space="preserve"> have access to primary care WCTO services, including the B4SC, and early childhood education</w:t>
            </w:r>
          </w:p>
        </w:tc>
        <w:tc>
          <w:tcPr>
            <w:tcW w:w="2955" w:type="pct"/>
            <w:tcBorders>
              <w:top w:val="single" w:sz="4" w:space="0" w:color="auto"/>
              <w:bottom w:val="nil"/>
            </w:tcBorders>
            <w:shd w:val="clear" w:color="auto" w:fill="F2F2F2"/>
          </w:tcPr>
          <w:p w:rsidR="00705AB0" w:rsidRPr="00705AB0" w:rsidRDefault="00705AB0" w:rsidP="00F46526">
            <w:pPr>
              <w:pStyle w:val="TableText"/>
              <w:keepNext/>
            </w:pPr>
            <w:r w:rsidRPr="00705AB0">
              <w:t>Newborns are enrolled with a general practice by two weeks of age</w:t>
            </w:r>
          </w:p>
        </w:tc>
        <w:tc>
          <w:tcPr>
            <w:tcW w:w="530" w:type="pct"/>
            <w:tcBorders>
              <w:top w:val="single" w:sz="4" w:space="0" w:color="auto"/>
              <w:bottom w:val="nil"/>
            </w:tcBorders>
            <w:shd w:val="clear" w:color="auto" w:fill="F2F2F2"/>
          </w:tcPr>
          <w:p w:rsidR="00705AB0" w:rsidRPr="0092403C" w:rsidRDefault="00705AB0" w:rsidP="00F46526">
            <w:pPr>
              <w:pStyle w:val="TableText"/>
              <w:tabs>
                <w:tab w:val="decimal" w:pos="505"/>
              </w:tabs>
            </w:pPr>
            <w:r w:rsidRPr="0092403C">
              <w:t>88%</w:t>
            </w:r>
          </w:p>
        </w:tc>
        <w:tc>
          <w:tcPr>
            <w:tcW w:w="530" w:type="pct"/>
            <w:tcBorders>
              <w:top w:val="single" w:sz="4" w:space="0" w:color="auto"/>
              <w:bottom w:val="nil"/>
            </w:tcBorders>
            <w:shd w:val="clear" w:color="auto" w:fill="F2F2F2"/>
          </w:tcPr>
          <w:p w:rsidR="00705AB0" w:rsidRPr="009C5F33" w:rsidRDefault="00705AB0" w:rsidP="00F46526">
            <w:pPr>
              <w:pStyle w:val="TableText"/>
              <w:tabs>
                <w:tab w:val="decimal" w:pos="505"/>
              </w:tabs>
            </w:pPr>
            <w:r w:rsidRPr="009C5F33">
              <w:t>98%</w:t>
            </w:r>
          </w:p>
        </w:tc>
      </w:tr>
      <w:tr w:rsidR="007D6E1B" w:rsidRPr="00841078" w:rsidTr="00F46526">
        <w:trPr>
          <w:cantSplit/>
        </w:trPr>
        <w:tc>
          <w:tcPr>
            <w:tcW w:w="985" w:type="pct"/>
            <w:vMerge/>
            <w:shd w:val="clear" w:color="auto" w:fill="auto"/>
          </w:tcPr>
          <w:p w:rsidR="00705AB0" w:rsidRPr="00705AB0" w:rsidRDefault="00705AB0" w:rsidP="00F46526">
            <w:pPr>
              <w:pStyle w:val="TableText"/>
              <w:keepNext/>
            </w:pPr>
          </w:p>
        </w:tc>
        <w:tc>
          <w:tcPr>
            <w:tcW w:w="2955" w:type="pct"/>
            <w:tcBorders>
              <w:top w:val="nil"/>
              <w:bottom w:val="nil"/>
            </w:tcBorders>
            <w:shd w:val="clear" w:color="auto" w:fill="auto"/>
          </w:tcPr>
          <w:p w:rsidR="00705AB0" w:rsidRPr="00705AB0" w:rsidRDefault="00705AB0" w:rsidP="00F46526">
            <w:pPr>
              <w:pStyle w:val="TableText"/>
              <w:keepNext/>
            </w:pPr>
            <w:r w:rsidRPr="00705AB0">
              <w:t>LMCs refer families/</w:t>
            </w:r>
            <w:r w:rsidRPr="00F46526">
              <w:rPr>
                <w:rFonts w:cs="Helvetica"/>
                <w:color w:val="000000"/>
                <w:lang w:eastAsia="en-NZ"/>
              </w:rPr>
              <w:t>whānau</w:t>
            </w:r>
            <w:r w:rsidRPr="00705AB0">
              <w:t xml:space="preserve"> to a WCTO provider</w:t>
            </w:r>
          </w:p>
        </w:tc>
        <w:tc>
          <w:tcPr>
            <w:tcW w:w="530" w:type="pct"/>
            <w:tcBorders>
              <w:top w:val="nil"/>
              <w:bottom w:val="nil"/>
            </w:tcBorders>
            <w:shd w:val="clear" w:color="auto" w:fill="auto"/>
          </w:tcPr>
          <w:p w:rsidR="00705AB0" w:rsidRPr="0092403C" w:rsidRDefault="00705AB0" w:rsidP="00F46526">
            <w:pPr>
              <w:pStyle w:val="TableText"/>
              <w:tabs>
                <w:tab w:val="decimal" w:pos="505"/>
              </w:tabs>
            </w:pPr>
            <w:r w:rsidRPr="0092403C">
              <w:t>88%</w:t>
            </w:r>
          </w:p>
        </w:tc>
        <w:tc>
          <w:tcPr>
            <w:tcW w:w="530" w:type="pct"/>
            <w:tcBorders>
              <w:top w:val="nil"/>
              <w:bottom w:val="nil"/>
            </w:tcBorders>
            <w:shd w:val="clear" w:color="auto" w:fill="auto"/>
          </w:tcPr>
          <w:p w:rsidR="00705AB0" w:rsidRPr="009C5F33" w:rsidRDefault="00705AB0" w:rsidP="00F46526">
            <w:pPr>
              <w:pStyle w:val="TableText"/>
              <w:tabs>
                <w:tab w:val="decimal" w:pos="505"/>
              </w:tabs>
            </w:pPr>
            <w:r w:rsidRPr="009C5F33">
              <w:t>98%</w:t>
            </w:r>
          </w:p>
        </w:tc>
      </w:tr>
      <w:tr w:rsidR="007D6E1B" w:rsidRPr="00841078" w:rsidTr="00F46526">
        <w:trPr>
          <w:cantSplit/>
        </w:trPr>
        <w:tc>
          <w:tcPr>
            <w:tcW w:w="985" w:type="pct"/>
            <w:vMerge/>
            <w:shd w:val="clear" w:color="auto" w:fill="auto"/>
          </w:tcPr>
          <w:p w:rsidR="00705AB0" w:rsidRPr="00705AB0" w:rsidRDefault="00705AB0" w:rsidP="00F46526">
            <w:pPr>
              <w:pStyle w:val="TableText"/>
              <w:keepNext/>
            </w:pPr>
          </w:p>
        </w:tc>
        <w:tc>
          <w:tcPr>
            <w:tcW w:w="2955" w:type="pct"/>
            <w:tcBorders>
              <w:top w:val="nil"/>
              <w:bottom w:val="nil"/>
            </w:tcBorders>
            <w:shd w:val="clear" w:color="auto" w:fill="F2F2F2"/>
          </w:tcPr>
          <w:p w:rsidR="00705AB0" w:rsidRPr="00705AB0" w:rsidRDefault="00705AB0" w:rsidP="00F46526">
            <w:pPr>
              <w:pStyle w:val="TableText"/>
              <w:keepNext/>
            </w:pPr>
            <w:r w:rsidRPr="00705AB0">
              <w:t>Infants receive all WCTO core contacts in their first year of life</w:t>
            </w:r>
          </w:p>
        </w:tc>
        <w:tc>
          <w:tcPr>
            <w:tcW w:w="530" w:type="pct"/>
            <w:tcBorders>
              <w:top w:val="nil"/>
              <w:bottom w:val="nil"/>
            </w:tcBorders>
            <w:shd w:val="clear" w:color="auto" w:fill="F2F2F2"/>
          </w:tcPr>
          <w:p w:rsidR="00705AB0" w:rsidRPr="00705AB0" w:rsidRDefault="00705AB0" w:rsidP="00F46526">
            <w:pPr>
              <w:pStyle w:val="TableText"/>
              <w:tabs>
                <w:tab w:val="decimal" w:pos="505"/>
              </w:tabs>
            </w:pPr>
            <w:r w:rsidRPr="00705AB0">
              <w:t>86%</w:t>
            </w:r>
          </w:p>
        </w:tc>
        <w:tc>
          <w:tcPr>
            <w:tcW w:w="530" w:type="pct"/>
            <w:tcBorders>
              <w:top w:val="nil"/>
              <w:bottom w:val="nil"/>
            </w:tcBorders>
            <w:shd w:val="clear" w:color="auto" w:fill="F2F2F2"/>
          </w:tcPr>
          <w:p w:rsidR="00705AB0" w:rsidRPr="00705AB0" w:rsidRDefault="00705AB0" w:rsidP="00F46526">
            <w:pPr>
              <w:pStyle w:val="TableText"/>
              <w:tabs>
                <w:tab w:val="decimal" w:pos="505"/>
              </w:tabs>
            </w:pPr>
            <w:r w:rsidRPr="00705AB0">
              <w:t>95%</w:t>
            </w:r>
          </w:p>
        </w:tc>
      </w:tr>
      <w:tr w:rsidR="007D6E1B" w:rsidRPr="00841078" w:rsidTr="00F46526">
        <w:trPr>
          <w:cantSplit/>
        </w:trPr>
        <w:tc>
          <w:tcPr>
            <w:tcW w:w="985" w:type="pct"/>
            <w:vMerge/>
            <w:shd w:val="clear" w:color="auto" w:fill="auto"/>
          </w:tcPr>
          <w:p w:rsidR="00705AB0" w:rsidRPr="00705AB0" w:rsidRDefault="00705AB0" w:rsidP="00F46526">
            <w:pPr>
              <w:pStyle w:val="TableText"/>
              <w:keepNext/>
            </w:pPr>
          </w:p>
        </w:tc>
        <w:tc>
          <w:tcPr>
            <w:tcW w:w="2955" w:type="pct"/>
            <w:tcBorders>
              <w:top w:val="nil"/>
              <w:bottom w:val="nil"/>
            </w:tcBorders>
            <w:shd w:val="clear" w:color="auto" w:fill="auto"/>
          </w:tcPr>
          <w:p w:rsidR="00705AB0" w:rsidRPr="00705AB0" w:rsidRDefault="00705AB0" w:rsidP="00F46526">
            <w:pPr>
              <w:pStyle w:val="TableText"/>
              <w:keepNext/>
            </w:pPr>
            <w:r w:rsidRPr="00705AB0">
              <w:t>Four-year-olds receive a B4SC</w:t>
            </w:r>
          </w:p>
        </w:tc>
        <w:tc>
          <w:tcPr>
            <w:tcW w:w="530" w:type="pct"/>
            <w:tcBorders>
              <w:top w:val="nil"/>
              <w:bottom w:val="nil"/>
            </w:tcBorders>
            <w:shd w:val="clear" w:color="auto" w:fill="auto"/>
          </w:tcPr>
          <w:p w:rsidR="00705AB0" w:rsidRPr="00705AB0" w:rsidRDefault="00705AB0" w:rsidP="00F46526">
            <w:pPr>
              <w:pStyle w:val="TableText"/>
              <w:tabs>
                <w:tab w:val="decimal" w:pos="505"/>
              </w:tabs>
            </w:pPr>
            <w:r w:rsidRPr="00705AB0">
              <w:t>90%</w:t>
            </w:r>
          </w:p>
        </w:tc>
        <w:tc>
          <w:tcPr>
            <w:tcW w:w="530" w:type="pct"/>
            <w:tcBorders>
              <w:top w:val="nil"/>
              <w:bottom w:val="nil"/>
            </w:tcBorders>
            <w:shd w:val="clear" w:color="auto" w:fill="auto"/>
          </w:tcPr>
          <w:p w:rsidR="00705AB0" w:rsidRPr="00705AB0" w:rsidRDefault="00705AB0" w:rsidP="00F46526">
            <w:pPr>
              <w:pStyle w:val="TableText"/>
              <w:tabs>
                <w:tab w:val="decimal" w:pos="505"/>
              </w:tabs>
            </w:pPr>
            <w:r w:rsidRPr="00705AB0">
              <w:t>90%</w:t>
            </w:r>
          </w:p>
        </w:tc>
      </w:tr>
      <w:tr w:rsidR="007D6E1B" w:rsidRPr="00841078" w:rsidTr="00F46526">
        <w:trPr>
          <w:cantSplit/>
        </w:trPr>
        <w:tc>
          <w:tcPr>
            <w:tcW w:w="985" w:type="pct"/>
            <w:vMerge/>
            <w:shd w:val="clear" w:color="auto" w:fill="auto"/>
          </w:tcPr>
          <w:p w:rsidR="00705AB0" w:rsidRPr="00705AB0" w:rsidRDefault="00705AB0" w:rsidP="00F46526">
            <w:pPr>
              <w:pStyle w:val="TableText"/>
              <w:keepNext/>
            </w:pPr>
          </w:p>
        </w:tc>
        <w:tc>
          <w:tcPr>
            <w:tcW w:w="2955" w:type="pct"/>
            <w:tcBorders>
              <w:top w:val="nil"/>
              <w:bottom w:val="nil"/>
            </w:tcBorders>
            <w:shd w:val="clear" w:color="auto" w:fill="F2F2F2"/>
          </w:tcPr>
          <w:p w:rsidR="00705AB0" w:rsidRPr="00705AB0" w:rsidRDefault="00705AB0" w:rsidP="00F46526">
            <w:pPr>
              <w:pStyle w:val="TableText"/>
              <w:keepNext/>
            </w:pPr>
            <w:r w:rsidRPr="00705AB0">
              <w:t>Children are enrolled with child oral health services</w:t>
            </w:r>
          </w:p>
        </w:tc>
        <w:tc>
          <w:tcPr>
            <w:tcW w:w="530" w:type="pct"/>
            <w:tcBorders>
              <w:top w:val="nil"/>
              <w:bottom w:val="nil"/>
            </w:tcBorders>
            <w:shd w:val="clear" w:color="auto" w:fill="F2F2F2"/>
          </w:tcPr>
          <w:p w:rsidR="00705AB0" w:rsidRPr="00705AB0" w:rsidRDefault="00705AB0" w:rsidP="00F46526">
            <w:pPr>
              <w:pStyle w:val="TableText"/>
              <w:tabs>
                <w:tab w:val="decimal" w:pos="505"/>
              </w:tabs>
            </w:pPr>
            <w:r w:rsidRPr="00705AB0">
              <w:t>86%</w:t>
            </w:r>
          </w:p>
        </w:tc>
        <w:tc>
          <w:tcPr>
            <w:tcW w:w="530" w:type="pct"/>
            <w:tcBorders>
              <w:top w:val="nil"/>
              <w:bottom w:val="nil"/>
            </w:tcBorders>
            <w:shd w:val="clear" w:color="auto" w:fill="F2F2F2"/>
          </w:tcPr>
          <w:p w:rsidR="00705AB0" w:rsidRPr="00705AB0" w:rsidRDefault="00705AB0" w:rsidP="00F46526">
            <w:pPr>
              <w:pStyle w:val="TableText"/>
              <w:tabs>
                <w:tab w:val="decimal" w:pos="505"/>
              </w:tabs>
            </w:pPr>
            <w:r w:rsidRPr="00705AB0">
              <w:t>95%</w:t>
            </w:r>
          </w:p>
        </w:tc>
      </w:tr>
      <w:tr w:rsidR="007D6E1B" w:rsidRPr="00841078" w:rsidTr="00F46526">
        <w:trPr>
          <w:cantSplit/>
        </w:trPr>
        <w:tc>
          <w:tcPr>
            <w:tcW w:w="985" w:type="pct"/>
            <w:vMerge/>
            <w:shd w:val="clear" w:color="auto" w:fill="auto"/>
          </w:tcPr>
          <w:p w:rsidR="00705AB0" w:rsidRPr="00705AB0" w:rsidRDefault="00705AB0" w:rsidP="00F46526">
            <w:pPr>
              <w:pStyle w:val="TableText"/>
              <w:keepNext/>
            </w:pPr>
          </w:p>
        </w:tc>
        <w:tc>
          <w:tcPr>
            <w:tcW w:w="2955" w:type="pct"/>
            <w:tcBorders>
              <w:top w:val="nil"/>
              <w:bottom w:val="nil"/>
            </w:tcBorders>
            <w:shd w:val="clear" w:color="auto" w:fill="auto"/>
          </w:tcPr>
          <w:p w:rsidR="00705AB0" w:rsidRPr="00705AB0" w:rsidRDefault="00705AB0" w:rsidP="00F46526">
            <w:pPr>
              <w:pStyle w:val="TableText"/>
              <w:keepNext/>
            </w:pPr>
            <w:r w:rsidRPr="00705AB0">
              <w:t>Immunisations are up to date by eight months</w:t>
            </w:r>
          </w:p>
        </w:tc>
        <w:tc>
          <w:tcPr>
            <w:tcW w:w="530" w:type="pct"/>
            <w:tcBorders>
              <w:top w:val="nil"/>
              <w:bottom w:val="nil"/>
            </w:tcBorders>
            <w:shd w:val="clear" w:color="auto" w:fill="auto"/>
          </w:tcPr>
          <w:p w:rsidR="00705AB0" w:rsidRPr="00705AB0" w:rsidRDefault="00705AB0" w:rsidP="00E53BAB">
            <w:pPr>
              <w:pStyle w:val="TableText"/>
              <w:tabs>
                <w:tab w:val="decimal" w:pos="505"/>
              </w:tabs>
            </w:pPr>
            <w:r w:rsidRPr="00705AB0">
              <w:t>9</w:t>
            </w:r>
            <w:r w:rsidR="00E53BAB">
              <w:t>5</w:t>
            </w:r>
            <w:r w:rsidRPr="00705AB0">
              <w:t>%</w:t>
            </w:r>
          </w:p>
        </w:tc>
        <w:tc>
          <w:tcPr>
            <w:tcW w:w="530" w:type="pct"/>
            <w:tcBorders>
              <w:top w:val="nil"/>
              <w:bottom w:val="nil"/>
            </w:tcBorders>
            <w:shd w:val="clear" w:color="auto" w:fill="auto"/>
          </w:tcPr>
          <w:p w:rsidR="00705AB0" w:rsidRPr="00705AB0" w:rsidRDefault="00705AB0" w:rsidP="00F46526">
            <w:pPr>
              <w:pStyle w:val="TableText"/>
              <w:tabs>
                <w:tab w:val="decimal" w:pos="505"/>
              </w:tabs>
            </w:pPr>
            <w:r w:rsidRPr="00705AB0">
              <w:t>95%</w:t>
            </w:r>
          </w:p>
        </w:tc>
      </w:tr>
      <w:tr w:rsidR="007D6E1B" w:rsidRPr="00841078" w:rsidTr="00F46526">
        <w:trPr>
          <w:cantSplit/>
        </w:trPr>
        <w:tc>
          <w:tcPr>
            <w:tcW w:w="985" w:type="pct"/>
            <w:vMerge/>
            <w:shd w:val="clear" w:color="auto" w:fill="auto"/>
          </w:tcPr>
          <w:p w:rsidR="00705AB0" w:rsidRPr="00705AB0" w:rsidRDefault="00705AB0" w:rsidP="00F46526">
            <w:pPr>
              <w:pStyle w:val="TableText"/>
              <w:keepNext/>
            </w:pPr>
          </w:p>
        </w:tc>
        <w:tc>
          <w:tcPr>
            <w:tcW w:w="2955" w:type="pct"/>
            <w:tcBorders>
              <w:top w:val="nil"/>
              <w:bottom w:val="nil"/>
            </w:tcBorders>
            <w:shd w:val="clear" w:color="auto" w:fill="F2F2F2"/>
          </w:tcPr>
          <w:p w:rsidR="00705AB0" w:rsidRPr="00705AB0" w:rsidRDefault="00705AB0" w:rsidP="00F46526">
            <w:pPr>
              <w:pStyle w:val="TableText"/>
              <w:keepNext/>
            </w:pPr>
            <w:r w:rsidRPr="00705AB0">
              <w:t>Children are enrolled in early childhood education</w:t>
            </w:r>
          </w:p>
        </w:tc>
        <w:tc>
          <w:tcPr>
            <w:tcW w:w="530" w:type="pct"/>
            <w:tcBorders>
              <w:top w:val="nil"/>
              <w:bottom w:val="nil"/>
            </w:tcBorders>
            <w:shd w:val="clear" w:color="auto" w:fill="F2F2F2"/>
          </w:tcPr>
          <w:p w:rsidR="00705AB0" w:rsidRPr="00705AB0" w:rsidRDefault="00705AB0" w:rsidP="00F46526">
            <w:pPr>
              <w:pStyle w:val="TableText"/>
              <w:tabs>
                <w:tab w:val="decimal" w:pos="505"/>
              </w:tabs>
            </w:pPr>
            <w:r w:rsidRPr="00705AB0">
              <w:t>98%</w:t>
            </w:r>
          </w:p>
        </w:tc>
        <w:tc>
          <w:tcPr>
            <w:tcW w:w="530" w:type="pct"/>
            <w:tcBorders>
              <w:top w:val="nil"/>
              <w:bottom w:val="nil"/>
            </w:tcBorders>
            <w:shd w:val="clear" w:color="auto" w:fill="F2F2F2"/>
          </w:tcPr>
          <w:p w:rsidR="00705AB0" w:rsidRPr="00705AB0" w:rsidRDefault="00705AB0" w:rsidP="00F46526">
            <w:pPr>
              <w:pStyle w:val="TableText"/>
              <w:tabs>
                <w:tab w:val="decimal" w:pos="505"/>
              </w:tabs>
            </w:pPr>
            <w:r w:rsidRPr="00705AB0">
              <w:t>98%</w:t>
            </w:r>
          </w:p>
        </w:tc>
      </w:tr>
      <w:tr w:rsidR="007D6E1B" w:rsidRPr="00841078" w:rsidTr="00F46526">
        <w:trPr>
          <w:cantSplit/>
        </w:trPr>
        <w:tc>
          <w:tcPr>
            <w:tcW w:w="985" w:type="pct"/>
            <w:vMerge/>
            <w:shd w:val="clear" w:color="auto" w:fill="auto"/>
          </w:tcPr>
          <w:p w:rsidR="00705AB0" w:rsidRPr="00705AB0" w:rsidRDefault="00705AB0" w:rsidP="00F46526">
            <w:pPr>
              <w:pStyle w:val="TableText"/>
              <w:keepNext/>
            </w:pPr>
          </w:p>
        </w:tc>
        <w:tc>
          <w:tcPr>
            <w:tcW w:w="2955" w:type="pct"/>
            <w:tcBorders>
              <w:top w:val="nil"/>
              <w:bottom w:val="nil"/>
            </w:tcBorders>
            <w:shd w:val="clear" w:color="auto" w:fill="auto"/>
          </w:tcPr>
          <w:p w:rsidR="00705AB0" w:rsidRPr="00705AB0" w:rsidRDefault="00705AB0" w:rsidP="00F46526">
            <w:pPr>
              <w:pStyle w:val="TableText"/>
              <w:keepNext/>
            </w:pPr>
            <w:r w:rsidRPr="00705AB0">
              <w:t>Children under six have access to free primary care</w:t>
            </w:r>
          </w:p>
        </w:tc>
        <w:tc>
          <w:tcPr>
            <w:tcW w:w="530" w:type="pct"/>
            <w:tcBorders>
              <w:top w:val="nil"/>
              <w:bottom w:val="nil"/>
            </w:tcBorders>
            <w:shd w:val="clear" w:color="auto" w:fill="auto"/>
          </w:tcPr>
          <w:p w:rsidR="00705AB0" w:rsidRPr="009C5F33" w:rsidRDefault="00705AB0" w:rsidP="00F46526">
            <w:pPr>
              <w:pStyle w:val="TableText"/>
              <w:tabs>
                <w:tab w:val="decimal" w:pos="505"/>
              </w:tabs>
            </w:pPr>
            <w:r w:rsidRPr="009C5F33">
              <w:t>100%</w:t>
            </w:r>
          </w:p>
        </w:tc>
        <w:tc>
          <w:tcPr>
            <w:tcW w:w="530" w:type="pct"/>
            <w:tcBorders>
              <w:top w:val="nil"/>
              <w:bottom w:val="nil"/>
            </w:tcBorders>
            <w:shd w:val="clear" w:color="auto" w:fill="auto"/>
          </w:tcPr>
          <w:p w:rsidR="00705AB0" w:rsidRPr="009C5F33" w:rsidRDefault="00705AB0" w:rsidP="00F46526">
            <w:pPr>
              <w:pStyle w:val="TableText"/>
              <w:tabs>
                <w:tab w:val="decimal" w:pos="505"/>
              </w:tabs>
            </w:pPr>
            <w:r w:rsidRPr="009C5F33">
              <w:t>100%</w:t>
            </w:r>
          </w:p>
        </w:tc>
      </w:tr>
      <w:tr w:rsidR="007D6E1B" w:rsidRPr="00841078" w:rsidTr="00F46526">
        <w:trPr>
          <w:cantSplit/>
        </w:trPr>
        <w:tc>
          <w:tcPr>
            <w:tcW w:w="985" w:type="pct"/>
            <w:vMerge/>
            <w:tcBorders>
              <w:bottom w:val="single" w:sz="4" w:space="0" w:color="A6A6A6"/>
            </w:tcBorders>
            <w:shd w:val="clear" w:color="auto" w:fill="auto"/>
          </w:tcPr>
          <w:p w:rsidR="00705AB0" w:rsidRPr="00705AB0" w:rsidRDefault="00705AB0" w:rsidP="00F46526">
            <w:pPr>
              <w:pStyle w:val="TableText"/>
              <w:keepNext/>
            </w:pPr>
          </w:p>
        </w:tc>
        <w:tc>
          <w:tcPr>
            <w:tcW w:w="2955" w:type="pct"/>
            <w:tcBorders>
              <w:top w:val="nil"/>
              <w:bottom w:val="single" w:sz="4" w:space="0" w:color="A6A6A6"/>
            </w:tcBorders>
            <w:shd w:val="clear" w:color="auto" w:fill="F2F2F2"/>
          </w:tcPr>
          <w:p w:rsidR="00705AB0" w:rsidRPr="00705AB0" w:rsidRDefault="00705AB0" w:rsidP="00F46526">
            <w:pPr>
              <w:pStyle w:val="TableText"/>
              <w:keepNext/>
            </w:pPr>
            <w:r w:rsidRPr="00705AB0">
              <w:t>Children under six have access to free after-hours primary care</w:t>
            </w:r>
          </w:p>
        </w:tc>
        <w:tc>
          <w:tcPr>
            <w:tcW w:w="530" w:type="pct"/>
            <w:tcBorders>
              <w:top w:val="nil"/>
              <w:bottom w:val="single" w:sz="4" w:space="0" w:color="A6A6A6"/>
            </w:tcBorders>
            <w:shd w:val="clear" w:color="auto" w:fill="F2F2F2"/>
          </w:tcPr>
          <w:p w:rsidR="00705AB0" w:rsidRPr="009C5F33" w:rsidRDefault="00705AB0" w:rsidP="00F46526">
            <w:pPr>
              <w:pStyle w:val="TableText"/>
              <w:tabs>
                <w:tab w:val="decimal" w:pos="505"/>
              </w:tabs>
            </w:pPr>
            <w:r w:rsidRPr="009C5F33">
              <w:t>100%</w:t>
            </w:r>
          </w:p>
        </w:tc>
        <w:tc>
          <w:tcPr>
            <w:tcW w:w="530" w:type="pct"/>
            <w:tcBorders>
              <w:top w:val="nil"/>
              <w:bottom w:val="single" w:sz="4" w:space="0" w:color="A6A6A6"/>
            </w:tcBorders>
            <w:shd w:val="clear" w:color="auto" w:fill="F2F2F2"/>
          </w:tcPr>
          <w:p w:rsidR="00705AB0" w:rsidRPr="009C5F33" w:rsidRDefault="00705AB0" w:rsidP="00F46526">
            <w:pPr>
              <w:pStyle w:val="TableText"/>
              <w:tabs>
                <w:tab w:val="decimal" w:pos="505"/>
              </w:tabs>
            </w:pPr>
            <w:r w:rsidRPr="009C5F33">
              <w:t>100%</w:t>
            </w:r>
          </w:p>
        </w:tc>
      </w:tr>
      <w:tr w:rsidR="007D6E1B" w:rsidRPr="00841078" w:rsidTr="00F46526">
        <w:trPr>
          <w:cantSplit/>
        </w:trPr>
        <w:tc>
          <w:tcPr>
            <w:tcW w:w="985" w:type="pct"/>
            <w:tcBorders>
              <w:top w:val="single" w:sz="4" w:space="0" w:color="A6A6A6"/>
              <w:bottom w:val="single" w:sz="4" w:space="0" w:color="auto"/>
            </w:tcBorders>
            <w:shd w:val="clear" w:color="auto" w:fill="auto"/>
          </w:tcPr>
          <w:p w:rsidR="00705AB0" w:rsidRPr="00705AB0" w:rsidRDefault="00705AB0" w:rsidP="00F46526">
            <w:pPr>
              <w:pStyle w:val="TableText"/>
            </w:pPr>
            <w:r w:rsidRPr="00705AB0">
              <w:t>All children and families/</w:t>
            </w:r>
            <w:r w:rsidRPr="00F46526">
              <w:rPr>
                <w:rFonts w:cs="Helvetica"/>
                <w:color w:val="000000"/>
                <w:lang w:eastAsia="en-NZ"/>
              </w:rPr>
              <w:t>whānau</w:t>
            </w:r>
            <w:r w:rsidRPr="00705AB0">
              <w:t xml:space="preserve"> with additional need have access to specialist and referred services in a timely manner</w:t>
            </w:r>
          </w:p>
        </w:tc>
        <w:tc>
          <w:tcPr>
            <w:tcW w:w="2955" w:type="pct"/>
            <w:tcBorders>
              <w:top w:val="single" w:sz="4" w:space="0" w:color="A6A6A6"/>
              <w:bottom w:val="single" w:sz="4" w:space="0" w:color="auto"/>
            </w:tcBorders>
            <w:shd w:val="clear" w:color="auto" w:fill="auto"/>
          </w:tcPr>
          <w:p w:rsidR="00705AB0" w:rsidRPr="00841078" w:rsidRDefault="00705AB0" w:rsidP="00F46526">
            <w:pPr>
              <w:pStyle w:val="TableText"/>
            </w:pPr>
            <w:r w:rsidRPr="00705AB0">
              <w:t xml:space="preserve">Children and families are seen within five months of </w:t>
            </w:r>
            <w:r w:rsidR="007D6E1B">
              <w:t>referral to specialist services</w:t>
            </w:r>
          </w:p>
        </w:tc>
        <w:tc>
          <w:tcPr>
            <w:tcW w:w="530" w:type="pct"/>
            <w:tcBorders>
              <w:top w:val="single" w:sz="4" w:space="0" w:color="A6A6A6"/>
              <w:bottom w:val="single" w:sz="4" w:space="0" w:color="auto"/>
            </w:tcBorders>
            <w:shd w:val="clear" w:color="auto" w:fill="auto"/>
          </w:tcPr>
          <w:p w:rsidR="00705AB0" w:rsidRPr="009C5F33" w:rsidRDefault="00705AB0" w:rsidP="00F46526">
            <w:pPr>
              <w:pStyle w:val="TableText"/>
              <w:jc w:val="center"/>
            </w:pPr>
            <w:r w:rsidRPr="009C5F33">
              <w:t>100% within</w:t>
            </w:r>
            <w:r>
              <w:t xml:space="preserve"> 5</w:t>
            </w:r>
            <w:r w:rsidR="007D6E1B">
              <w:t> </w:t>
            </w:r>
            <w:r w:rsidRPr="009C5F33">
              <w:t>months</w:t>
            </w:r>
          </w:p>
        </w:tc>
        <w:tc>
          <w:tcPr>
            <w:tcW w:w="530" w:type="pct"/>
            <w:tcBorders>
              <w:top w:val="single" w:sz="4" w:space="0" w:color="A6A6A6"/>
              <w:bottom w:val="single" w:sz="4" w:space="0" w:color="auto"/>
            </w:tcBorders>
            <w:shd w:val="clear" w:color="auto" w:fill="auto"/>
          </w:tcPr>
          <w:p w:rsidR="00705AB0" w:rsidRPr="009C5F33" w:rsidRDefault="00705AB0" w:rsidP="00F46526">
            <w:pPr>
              <w:pStyle w:val="TableText"/>
              <w:jc w:val="center"/>
            </w:pPr>
            <w:r w:rsidRPr="009C5F33">
              <w:t xml:space="preserve">100% within </w:t>
            </w:r>
            <w:r>
              <w:t>4</w:t>
            </w:r>
            <w:r w:rsidR="007D6E1B">
              <w:t> </w:t>
            </w:r>
            <w:r w:rsidRPr="009C5F33">
              <w:t>months</w:t>
            </w:r>
          </w:p>
        </w:tc>
      </w:tr>
    </w:tbl>
    <w:p w:rsidR="00705AB0" w:rsidRDefault="00705AB0" w:rsidP="007603FA">
      <w:pPr>
        <w:pStyle w:val="Note"/>
        <w:ind w:right="0"/>
      </w:pPr>
      <w:r>
        <w:t>*</w:t>
      </w:r>
      <w:r w:rsidR="007603FA">
        <w:tab/>
      </w:r>
      <w:r>
        <w:t>Where there is no existing target, interim targets have been set at 90% of the three</w:t>
      </w:r>
      <w:r w:rsidR="007603FA">
        <w:t>-</w:t>
      </w:r>
      <w:r>
        <w:t>year target.</w:t>
      </w:r>
    </w:p>
    <w:p w:rsidR="007603FA" w:rsidRPr="007603FA" w:rsidRDefault="007603FA" w:rsidP="007603FA"/>
    <w:p w:rsidR="001A627D" w:rsidRDefault="007603FA" w:rsidP="007603FA">
      <w:pPr>
        <w:pStyle w:val="Heading1"/>
        <w:rPr>
          <w:lang w:eastAsia="en-NZ"/>
        </w:rPr>
      </w:pPr>
      <w:bookmarkStart w:id="50" w:name="_Toc360627071"/>
      <w:r>
        <w:rPr>
          <w:lang w:eastAsia="en-NZ"/>
        </w:rPr>
        <w:br w:type="page"/>
      </w:r>
      <w:bookmarkStart w:id="51" w:name="_Toc361597307"/>
      <w:r w:rsidR="00705AB0" w:rsidRPr="00681AF5">
        <w:rPr>
          <w:lang w:eastAsia="en-NZ"/>
        </w:rPr>
        <w:t>Quality I</w:t>
      </w:r>
      <w:r w:rsidR="00705AB0">
        <w:rPr>
          <w:lang w:eastAsia="en-NZ"/>
        </w:rPr>
        <w:t>ndicators 11</w:t>
      </w:r>
      <w:r>
        <w:rPr>
          <w:lang w:eastAsia="en-NZ"/>
        </w:rPr>
        <w:t>–</w:t>
      </w:r>
      <w:r w:rsidR="00705AB0">
        <w:rPr>
          <w:lang w:eastAsia="en-NZ"/>
        </w:rPr>
        <w:t>20: Outcomes</w:t>
      </w:r>
      <w:bookmarkEnd w:id="50"/>
      <w:bookmarkEnd w:id="51"/>
    </w:p>
    <w:p w:rsidR="00705AB0" w:rsidRPr="00662365" w:rsidRDefault="00705AB0" w:rsidP="007603FA">
      <w:pPr>
        <w:pStyle w:val="Heading2"/>
      </w:pPr>
      <w:bookmarkStart w:id="52" w:name="_Toc360627072"/>
      <w:bookmarkStart w:id="53" w:name="_Toc361597308"/>
      <w:r w:rsidRPr="00662365">
        <w:t>Why measure outcomes?</w:t>
      </w:r>
      <w:bookmarkEnd w:id="52"/>
      <w:bookmarkEnd w:id="53"/>
    </w:p>
    <w:p w:rsidR="00705AB0" w:rsidRDefault="00705AB0" w:rsidP="007603FA">
      <w:r>
        <w:t>Measuring outcomes reveals the population impact of WCTO and related programmes and services. Setting targets for health outcomes by ethnicity, socioeconomic deprivation and DHB region ensures a focus on equity, and that services work to actively reduce health inequalities.</w:t>
      </w:r>
    </w:p>
    <w:p w:rsidR="00705AB0" w:rsidRDefault="00705AB0" w:rsidP="007603FA"/>
    <w:p w:rsidR="00705AB0" w:rsidRPr="000743DF" w:rsidRDefault="00705AB0" w:rsidP="007603FA">
      <w:pPr>
        <w:rPr>
          <w:sz w:val="20"/>
        </w:rPr>
      </w:pPr>
      <w:r>
        <w:t>Monitoring outcomes is challenging in an environment that is often output-driven. Taken together, these indicators have been designed to reflect service delivery and quality at a system level, rather than an individual service or provider level. Meeting targets for these indicators is dependent on a network of services working well. Improvement in outcomes not only requires a focus on high-quality health services, but also requires services across health and other sectors to be better linked and easier to access, particularly for vulnerable populations.</w:t>
      </w:r>
    </w:p>
    <w:p w:rsidR="00705AB0" w:rsidRDefault="00705AB0" w:rsidP="007603FA"/>
    <w:p w:rsidR="00705AB0" w:rsidRPr="00662365" w:rsidRDefault="00705AB0" w:rsidP="007603FA">
      <w:pPr>
        <w:pStyle w:val="Heading2"/>
      </w:pPr>
      <w:bookmarkStart w:id="54" w:name="_Toc360627073"/>
      <w:bookmarkStart w:id="55" w:name="_Toc361597309"/>
      <w:r w:rsidRPr="00662365">
        <w:t>Alignment with Aim 2</w:t>
      </w:r>
      <w:bookmarkEnd w:id="54"/>
      <w:bookmarkEnd w:id="55"/>
    </w:p>
    <w:p w:rsidR="00705AB0" w:rsidRDefault="00705AB0" w:rsidP="007603FA">
      <w:r w:rsidRPr="004902C4">
        <w:t xml:space="preserve">Aim </w:t>
      </w:r>
      <w:r>
        <w:t>2</w:t>
      </w:r>
      <w:r w:rsidRPr="004902C4">
        <w:rPr>
          <w:i/>
        </w:rPr>
        <w:t xml:space="preserve"> </w:t>
      </w:r>
      <w:r>
        <w:t xml:space="preserve">– </w:t>
      </w:r>
      <w:r w:rsidRPr="004902C4">
        <w:rPr>
          <w:rFonts w:cs="Arial"/>
          <w:i/>
          <w:lang w:eastAsia="en-NZ"/>
        </w:rPr>
        <w:t xml:space="preserve">Improved </w:t>
      </w:r>
      <w:r>
        <w:rPr>
          <w:rFonts w:cs="Arial"/>
          <w:i/>
          <w:lang w:eastAsia="en-NZ"/>
        </w:rPr>
        <w:t xml:space="preserve">health and equity for all populations </w:t>
      </w:r>
      <w:r>
        <w:rPr>
          <w:rFonts w:cs="Arial"/>
          <w:lang w:eastAsia="en-NZ"/>
        </w:rPr>
        <w:t xml:space="preserve">– </w:t>
      </w:r>
      <w:r w:rsidRPr="004902C4">
        <w:t>seeks</w:t>
      </w:r>
      <w:r>
        <w:t xml:space="preserve"> to ensure that WCTO and related programmes maximise population health and wellbeing. Monitoring outcomes, and particularly equity of outcomes, emphasises that equity is an explicit intention of WCTO services. Monitoring outcomes drives services to configure themselves to promote equitable population health gains.</w:t>
      </w:r>
    </w:p>
    <w:p w:rsidR="00705AB0" w:rsidRDefault="00705AB0" w:rsidP="007603FA"/>
    <w:p w:rsidR="00705AB0" w:rsidRPr="007603FA" w:rsidRDefault="00F544C8" w:rsidP="007603FA">
      <w:pPr>
        <w:pStyle w:val="Table"/>
      </w:pPr>
      <w:bookmarkStart w:id="56" w:name="_Toc361597328"/>
      <w:r>
        <w:br w:type="page"/>
      </w:r>
      <w:r w:rsidR="00705AB0" w:rsidRPr="00FA70FB">
        <w:t>Table 2: WCTO quality indicator</w:t>
      </w:r>
      <w:r w:rsidR="00705AB0">
        <w:t>s</w:t>
      </w:r>
      <w:r w:rsidR="00705AB0" w:rsidRPr="00FA70FB">
        <w:t xml:space="preserve"> </w:t>
      </w:r>
      <w:r w:rsidR="00705AB0">
        <w:t>11</w:t>
      </w:r>
      <w:r w:rsidR="007603FA">
        <w:t>–</w:t>
      </w:r>
      <w:r w:rsidR="00705AB0">
        <w:t>20</w:t>
      </w:r>
      <w:r w:rsidR="00705AB0" w:rsidRPr="00FA70FB">
        <w:t xml:space="preserve">: </w:t>
      </w:r>
      <w:r w:rsidR="007603FA">
        <w:t>o</w:t>
      </w:r>
      <w:r w:rsidR="00705AB0" w:rsidRPr="00FA70FB">
        <w:t>utcomes</w:t>
      </w:r>
      <w:bookmarkEnd w:id="56"/>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5243"/>
        <w:gridCol w:w="1136"/>
        <w:gridCol w:w="849"/>
      </w:tblGrid>
      <w:tr w:rsidR="0099613F" w:rsidRPr="00F46526" w:rsidTr="00F46526">
        <w:trPr>
          <w:cantSplit/>
        </w:trPr>
        <w:tc>
          <w:tcPr>
            <w:tcW w:w="1137" w:type="pct"/>
            <w:tcBorders>
              <w:top w:val="single" w:sz="4" w:space="0" w:color="auto"/>
              <w:bottom w:val="single" w:sz="4" w:space="0" w:color="auto"/>
            </w:tcBorders>
            <w:shd w:val="clear" w:color="auto" w:fill="auto"/>
          </w:tcPr>
          <w:p w:rsidR="00705AB0" w:rsidRPr="00F46526" w:rsidRDefault="00705AB0" w:rsidP="00F46526">
            <w:pPr>
              <w:pStyle w:val="TableText"/>
              <w:rPr>
                <w:b/>
              </w:rPr>
            </w:pPr>
            <w:r w:rsidRPr="00F46526">
              <w:rPr>
                <w:b/>
              </w:rPr>
              <w:t>Standard</w:t>
            </w:r>
          </w:p>
        </w:tc>
        <w:tc>
          <w:tcPr>
            <w:tcW w:w="2802" w:type="pct"/>
            <w:tcBorders>
              <w:top w:val="single" w:sz="4" w:space="0" w:color="auto"/>
              <w:bottom w:val="single" w:sz="4" w:space="0" w:color="auto"/>
            </w:tcBorders>
            <w:shd w:val="clear" w:color="auto" w:fill="auto"/>
          </w:tcPr>
          <w:p w:rsidR="00705AB0" w:rsidRPr="00F46526" w:rsidRDefault="00705AB0" w:rsidP="00F46526">
            <w:pPr>
              <w:pStyle w:val="TableText"/>
              <w:rPr>
                <w:b/>
              </w:rPr>
            </w:pPr>
            <w:r w:rsidRPr="00F46526">
              <w:rPr>
                <w:b/>
              </w:rPr>
              <w:t>Measure</w:t>
            </w:r>
          </w:p>
        </w:tc>
        <w:tc>
          <w:tcPr>
            <w:tcW w:w="607" w:type="pct"/>
            <w:tcBorders>
              <w:top w:val="single" w:sz="4" w:space="0" w:color="auto"/>
              <w:bottom w:val="single" w:sz="4" w:space="0" w:color="auto"/>
            </w:tcBorders>
            <w:shd w:val="clear" w:color="auto" w:fill="auto"/>
          </w:tcPr>
          <w:p w:rsidR="00705AB0" w:rsidRPr="00F46526" w:rsidRDefault="00705AB0" w:rsidP="00F46526">
            <w:pPr>
              <w:pStyle w:val="TableText"/>
              <w:jc w:val="center"/>
              <w:rPr>
                <w:b/>
              </w:rPr>
            </w:pPr>
            <w:r w:rsidRPr="00F46526">
              <w:rPr>
                <w:b/>
              </w:rPr>
              <w:t>Dec</w:t>
            </w:r>
            <w:r w:rsidR="007603FA" w:rsidRPr="00F46526">
              <w:rPr>
                <w:b/>
              </w:rPr>
              <w:t>ember</w:t>
            </w:r>
            <w:r w:rsidRPr="00F46526">
              <w:rPr>
                <w:b/>
              </w:rPr>
              <w:t xml:space="preserve"> 2014</w:t>
            </w:r>
            <w:r w:rsidR="007603FA" w:rsidRPr="00F46526">
              <w:rPr>
                <w:b/>
              </w:rPr>
              <w:br/>
              <w:t>t</w:t>
            </w:r>
            <w:r w:rsidRPr="00F46526">
              <w:rPr>
                <w:b/>
              </w:rPr>
              <w:t>arget*</w:t>
            </w:r>
          </w:p>
        </w:tc>
        <w:tc>
          <w:tcPr>
            <w:tcW w:w="454" w:type="pct"/>
            <w:tcBorders>
              <w:top w:val="single" w:sz="4" w:space="0" w:color="auto"/>
              <w:bottom w:val="single" w:sz="4" w:space="0" w:color="auto"/>
            </w:tcBorders>
            <w:shd w:val="clear" w:color="auto" w:fill="auto"/>
          </w:tcPr>
          <w:p w:rsidR="00705AB0" w:rsidRPr="00F46526" w:rsidRDefault="00705AB0" w:rsidP="00F46526">
            <w:pPr>
              <w:pStyle w:val="TableText"/>
              <w:jc w:val="center"/>
              <w:rPr>
                <w:b/>
              </w:rPr>
            </w:pPr>
            <w:r w:rsidRPr="00F46526">
              <w:rPr>
                <w:b/>
              </w:rPr>
              <w:t>June 2016</w:t>
            </w:r>
            <w:r w:rsidR="007603FA" w:rsidRPr="00F46526">
              <w:rPr>
                <w:b/>
              </w:rPr>
              <w:br/>
              <w:t>t</w:t>
            </w:r>
            <w:r w:rsidRPr="00F46526">
              <w:rPr>
                <w:b/>
              </w:rPr>
              <w:t>arget</w:t>
            </w:r>
          </w:p>
        </w:tc>
      </w:tr>
      <w:tr w:rsidR="0099613F" w:rsidRPr="00841078" w:rsidTr="00F46526">
        <w:trPr>
          <w:cantSplit/>
        </w:trPr>
        <w:tc>
          <w:tcPr>
            <w:tcW w:w="1137" w:type="pct"/>
            <w:vMerge w:val="restart"/>
            <w:tcBorders>
              <w:top w:val="single" w:sz="4" w:space="0" w:color="auto"/>
            </w:tcBorders>
            <w:shd w:val="clear" w:color="auto" w:fill="auto"/>
          </w:tcPr>
          <w:p w:rsidR="00705AB0" w:rsidRPr="00705AB0" w:rsidRDefault="00705AB0" w:rsidP="00F46526">
            <w:pPr>
              <w:pStyle w:val="TableText"/>
            </w:pPr>
            <w:r w:rsidRPr="00705AB0">
              <w:t>WCTO providers use evidence-based interventions and education to promote child and fam</w:t>
            </w:r>
            <w:r w:rsidR="0099613F">
              <w:t>ily/whānau health and wellbeing</w:t>
            </w:r>
          </w:p>
        </w:tc>
        <w:tc>
          <w:tcPr>
            <w:tcW w:w="2802" w:type="pct"/>
            <w:tcBorders>
              <w:top w:val="single" w:sz="4" w:space="0" w:color="auto"/>
              <w:bottom w:val="nil"/>
            </w:tcBorders>
            <w:shd w:val="clear" w:color="auto" w:fill="F2F2F2"/>
          </w:tcPr>
          <w:p w:rsidR="00705AB0" w:rsidRPr="00705AB0" w:rsidRDefault="00705AB0" w:rsidP="00F46526">
            <w:pPr>
              <w:pStyle w:val="TableText"/>
            </w:pPr>
            <w:r w:rsidRPr="00705AB0">
              <w:t xml:space="preserve">Infants are exclusively </w:t>
            </w:r>
            <w:r w:rsidR="00B523D9">
              <w:t xml:space="preserve">or fully </w:t>
            </w:r>
            <w:r w:rsidRPr="00705AB0">
              <w:t>breastfed at two weeks</w:t>
            </w:r>
          </w:p>
        </w:tc>
        <w:tc>
          <w:tcPr>
            <w:tcW w:w="607" w:type="pct"/>
            <w:tcBorders>
              <w:top w:val="single" w:sz="4" w:space="0" w:color="auto"/>
              <w:bottom w:val="nil"/>
            </w:tcBorders>
            <w:shd w:val="clear" w:color="auto" w:fill="F2F2F2"/>
          </w:tcPr>
          <w:p w:rsidR="00705AB0" w:rsidRPr="0092403C" w:rsidRDefault="00705AB0" w:rsidP="00F46526">
            <w:pPr>
              <w:pStyle w:val="TableText"/>
              <w:tabs>
                <w:tab w:val="decimal" w:pos="511"/>
              </w:tabs>
            </w:pPr>
            <w:r w:rsidRPr="0092403C">
              <w:t>72%</w:t>
            </w:r>
          </w:p>
        </w:tc>
        <w:tc>
          <w:tcPr>
            <w:tcW w:w="454" w:type="pct"/>
            <w:tcBorders>
              <w:top w:val="single" w:sz="4" w:space="0" w:color="auto"/>
              <w:bottom w:val="nil"/>
            </w:tcBorders>
            <w:shd w:val="clear" w:color="auto" w:fill="F2F2F2"/>
          </w:tcPr>
          <w:p w:rsidR="00705AB0" w:rsidRPr="009C5F33" w:rsidRDefault="00705AB0" w:rsidP="00F46526">
            <w:pPr>
              <w:pStyle w:val="TableText"/>
              <w:tabs>
                <w:tab w:val="decimal" w:pos="425"/>
              </w:tabs>
            </w:pPr>
            <w:r w:rsidRPr="009C5F33">
              <w:t>80%</w:t>
            </w:r>
          </w:p>
        </w:tc>
      </w:tr>
      <w:tr w:rsidR="0099613F" w:rsidRPr="00841078" w:rsidTr="00F46526">
        <w:trPr>
          <w:cantSplit/>
        </w:trPr>
        <w:tc>
          <w:tcPr>
            <w:tcW w:w="1137" w:type="pct"/>
            <w:vMerge/>
            <w:shd w:val="clear" w:color="auto" w:fill="auto"/>
          </w:tcPr>
          <w:p w:rsidR="00705AB0" w:rsidRPr="00705AB0" w:rsidRDefault="00705AB0" w:rsidP="00F46526">
            <w:pPr>
              <w:pStyle w:val="TableText"/>
            </w:pPr>
          </w:p>
        </w:tc>
        <w:tc>
          <w:tcPr>
            <w:tcW w:w="2802" w:type="pct"/>
            <w:tcBorders>
              <w:top w:val="nil"/>
              <w:bottom w:val="nil"/>
            </w:tcBorders>
            <w:shd w:val="clear" w:color="auto" w:fill="auto"/>
          </w:tcPr>
          <w:p w:rsidR="00705AB0" w:rsidRPr="00705AB0" w:rsidRDefault="00705AB0" w:rsidP="00F46526">
            <w:pPr>
              <w:pStyle w:val="TableText"/>
            </w:pPr>
            <w:r w:rsidRPr="00705AB0">
              <w:t xml:space="preserve">Infants are exclusively </w:t>
            </w:r>
            <w:r w:rsidR="00B523D9">
              <w:t xml:space="preserve">or fully </w:t>
            </w:r>
            <w:r w:rsidRPr="00705AB0">
              <w:t>breastfed at six weeks</w:t>
            </w:r>
          </w:p>
        </w:tc>
        <w:tc>
          <w:tcPr>
            <w:tcW w:w="607" w:type="pct"/>
            <w:tcBorders>
              <w:top w:val="nil"/>
              <w:bottom w:val="nil"/>
            </w:tcBorders>
            <w:shd w:val="clear" w:color="auto" w:fill="auto"/>
          </w:tcPr>
          <w:p w:rsidR="00705AB0" w:rsidRPr="0092403C" w:rsidRDefault="00705AB0" w:rsidP="00F46526">
            <w:pPr>
              <w:pStyle w:val="TableText"/>
              <w:tabs>
                <w:tab w:val="decimal" w:pos="511"/>
              </w:tabs>
            </w:pPr>
            <w:r w:rsidRPr="0092403C">
              <w:t>68%</w:t>
            </w:r>
          </w:p>
        </w:tc>
        <w:tc>
          <w:tcPr>
            <w:tcW w:w="454" w:type="pct"/>
            <w:tcBorders>
              <w:top w:val="nil"/>
              <w:bottom w:val="nil"/>
            </w:tcBorders>
            <w:shd w:val="clear" w:color="auto" w:fill="auto"/>
          </w:tcPr>
          <w:p w:rsidR="00705AB0" w:rsidRPr="009C5F33" w:rsidRDefault="00705AB0" w:rsidP="00F46526">
            <w:pPr>
              <w:pStyle w:val="TableText"/>
              <w:tabs>
                <w:tab w:val="decimal" w:pos="425"/>
              </w:tabs>
            </w:pPr>
            <w:r w:rsidRPr="009C5F33">
              <w:t>75%</w:t>
            </w:r>
          </w:p>
        </w:tc>
      </w:tr>
      <w:tr w:rsidR="0099613F" w:rsidRPr="00841078" w:rsidTr="00F46526">
        <w:trPr>
          <w:cantSplit/>
        </w:trPr>
        <w:tc>
          <w:tcPr>
            <w:tcW w:w="1137" w:type="pct"/>
            <w:vMerge/>
            <w:shd w:val="clear" w:color="auto" w:fill="auto"/>
          </w:tcPr>
          <w:p w:rsidR="00705AB0" w:rsidRPr="00705AB0" w:rsidRDefault="00705AB0" w:rsidP="00F46526">
            <w:pPr>
              <w:pStyle w:val="TableText"/>
            </w:pPr>
          </w:p>
        </w:tc>
        <w:tc>
          <w:tcPr>
            <w:tcW w:w="2802" w:type="pct"/>
            <w:tcBorders>
              <w:top w:val="nil"/>
              <w:bottom w:val="nil"/>
            </w:tcBorders>
            <w:shd w:val="clear" w:color="auto" w:fill="F2F2F2"/>
          </w:tcPr>
          <w:p w:rsidR="00705AB0" w:rsidRPr="00705AB0" w:rsidRDefault="00705AB0" w:rsidP="00F46526">
            <w:pPr>
              <w:pStyle w:val="TableText"/>
            </w:pPr>
            <w:r w:rsidRPr="00705AB0">
              <w:t>Infants are exclusively or fully breastfed at three months</w:t>
            </w:r>
          </w:p>
        </w:tc>
        <w:tc>
          <w:tcPr>
            <w:tcW w:w="607" w:type="pct"/>
            <w:tcBorders>
              <w:top w:val="nil"/>
              <w:bottom w:val="nil"/>
            </w:tcBorders>
            <w:shd w:val="clear" w:color="auto" w:fill="F2F2F2"/>
          </w:tcPr>
          <w:p w:rsidR="00705AB0" w:rsidRPr="0092403C" w:rsidRDefault="00705AB0" w:rsidP="00F46526">
            <w:pPr>
              <w:pStyle w:val="TableText"/>
              <w:tabs>
                <w:tab w:val="decimal" w:pos="511"/>
              </w:tabs>
            </w:pPr>
            <w:r w:rsidRPr="0092403C">
              <w:t>54%</w:t>
            </w:r>
          </w:p>
        </w:tc>
        <w:tc>
          <w:tcPr>
            <w:tcW w:w="454" w:type="pct"/>
            <w:tcBorders>
              <w:top w:val="nil"/>
              <w:bottom w:val="nil"/>
            </w:tcBorders>
            <w:shd w:val="clear" w:color="auto" w:fill="F2F2F2"/>
          </w:tcPr>
          <w:p w:rsidR="00705AB0" w:rsidRPr="009C5F33" w:rsidRDefault="00705AB0" w:rsidP="00F46526">
            <w:pPr>
              <w:pStyle w:val="TableText"/>
              <w:tabs>
                <w:tab w:val="decimal" w:pos="425"/>
              </w:tabs>
            </w:pPr>
            <w:r w:rsidRPr="009C5F33">
              <w:t>60%</w:t>
            </w:r>
          </w:p>
        </w:tc>
      </w:tr>
      <w:tr w:rsidR="0099613F" w:rsidRPr="00841078" w:rsidTr="00F46526">
        <w:trPr>
          <w:cantSplit/>
        </w:trPr>
        <w:tc>
          <w:tcPr>
            <w:tcW w:w="1137" w:type="pct"/>
            <w:vMerge/>
            <w:shd w:val="clear" w:color="auto" w:fill="auto"/>
          </w:tcPr>
          <w:p w:rsidR="00705AB0" w:rsidRPr="00705AB0" w:rsidRDefault="00705AB0" w:rsidP="00F46526">
            <w:pPr>
              <w:pStyle w:val="TableText"/>
            </w:pPr>
          </w:p>
        </w:tc>
        <w:tc>
          <w:tcPr>
            <w:tcW w:w="2802" w:type="pct"/>
            <w:tcBorders>
              <w:top w:val="nil"/>
              <w:bottom w:val="nil"/>
            </w:tcBorders>
            <w:shd w:val="clear" w:color="auto" w:fill="auto"/>
          </w:tcPr>
          <w:p w:rsidR="00705AB0" w:rsidRPr="00705AB0" w:rsidRDefault="00705AB0" w:rsidP="00B523D9">
            <w:pPr>
              <w:pStyle w:val="TableText"/>
            </w:pPr>
            <w:r w:rsidRPr="00705AB0">
              <w:t>Infants are being fed breast</w:t>
            </w:r>
            <w:r w:rsidR="00AA222E">
              <w:t xml:space="preserve"> </w:t>
            </w:r>
            <w:r w:rsidRPr="00705AB0">
              <w:t>milk at six months</w:t>
            </w:r>
          </w:p>
        </w:tc>
        <w:tc>
          <w:tcPr>
            <w:tcW w:w="607" w:type="pct"/>
            <w:tcBorders>
              <w:top w:val="nil"/>
              <w:bottom w:val="nil"/>
            </w:tcBorders>
            <w:shd w:val="clear" w:color="auto" w:fill="auto"/>
          </w:tcPr>
          <w:p w:rsidR="00705AB0" w:rsidRPr="0092403C" w:rsidRDefault="00705AB0" w:rsidP="00F46526">
            <w:pPr>
              <w:pStyle w:val="TableText"/>
              <w:tabs>
                <w:tab w:val="decimal" w:pos="511"/>
              </w:tabs>
            </w:pPr>
            <w:r w:rsidRPr="0092403C">
              <w:t>59%</w:t>
            </w:r>
          </w:p>
        </w:tc>
        <w:tc>
          <w:tcPr>
            <w:tcW w:w="454" w:type="pct"/>
            <w:tcBorders>
              <w:top w:val="nil"/>
              <w:bottom w:val="nil"/>
            </w:tcBorders>
            <w:shd w:val="clear" w:color="auto" w:fill="auto"/>
          </w:tcPr>
          <w:p w:rsidR="00705AB0" w:rsidRPr="009C5F33" w:rsidRDefault="00705AB0" w:rsidP="00F46526">
            <w:pPr>
              <w:pStyle w:val="TableText"/>
              <w:tabs>
                <w:tab w:val="decimal" w:pos="425"/>
              </w:tabs>
            </w:pPr>
            <w:r w:rsidRPr="009C5F33">
              <w:t>65%</w:t>
            </w:r>
          </w:p>
        </w:tc>
      </w:tr>
      <w:tr w:rsidR="0099613F" w:rsidRPr="00841078" w:rsidTr="00F46526">
        <w:trPr>
          <w:cantSplit/>
        </w:trPr>
        <w:tc>
          <w:tcPr>
            <w:tcW w:w="1137" w:type="pct"/>
            <w:vMerge/>
            <w:shd w:val="clear" w:color="auto" w:fill="auto"/>
          </w:tcPr>
          <w:p w:rsidR="00705AB0" w:rsidRPr="00705AB0" w:rsidRDefault="00705AB0" w:rsidP="00F46526">
            <w:pPr>
              <w:pStyle w:val="TableText"/>
            </w:pPr>
          </w:p>
        </w:tc>
        <w:tc>
          <w:tcPr>
            <w:tcW w:w="2802" w:type="pct"/>
            <w:tcBorders>
              <w:top w:val="nil"/>
              <w:bottom w:val="nil"/>
            </w:tcBorders>
            <w:shd w:val="clear" w:color="auto" w:fill="F2F2F2"/>
          </w:tcPr>
          <w:p w:rsidR="00705AB0" w:rsidRPr="00705AB0" w:rsidRDefault="00705AB0" w:rsidP="00F46526">
            <w:pPr>
              <w:pStyle w:val="TableText"/>
            </w:pPr>
            <w:r w:rsidRPr="00705AB0">
              <w:t>Children are a healthy weight at four years</w:t>
            </w:r>
          </w:p>
        </w:tc>
        <w:tc>
          <w:tcPr>
            <w:tcW w:w="607" w:type="pct"/>
            <w:tcBorders>
              <w:top w:val="nil"/>
              <w:bottom w:val="nil"/>
            </w:tcBorders>
            <w:shd w:val="clear" w:color="auto" w:fill="F2F2F2"/>
          </w:tcPr>
          <w:p w:rsidR="00705AB0" w:rsidRPr="0092403C" w:rsidRDefault="00705AB0" w:rsidP="00F46526">
            <w:pPr>
              <w:pStyle w:val="TableText"/>
              <w:tabs>
                <w:tab w:val="decimal" w:pos="511"/>
              </w:tabs>
            </w:pPr>
            <w:r w:rsidRPr="0092403C">
              <w:t>68%</w:t>
            </w:r>
          </w:p>
        </w:tc>
        <w:tc>
          <w:tcPr>
            <w:tcW w:w="454" w:type="pct"/>
            <w:tcBorders>
              <w:top w:val="nil"/>
              <w:bottom w:val="nil"/>
            </w:tcBorders>
            <w:shd w:val="clear" w:color="auto" w:fill="F2F2F2"/>
          </w:tcPr>
          <w:p w:rsidR="00705AB0" w:rsidRPr="009C5F33" w:rsidRDefault="00705AB0" w:rsidP="00F46526">
            <w:pPr>
              <w:pStyle w:val="TableText"/>
              <w:tabs>
                <w:tab w:val="decimal" w:pos="425"/>
              </w:tabs>
            </w:pPr>
            <w:r w:rsidRPr="009C5F33">
              <w:t>75%</w:t>
            </w:r>
          </w:p>
        </w:tc>
      </w:tr>
      <w:tr w:rsidR="0099613F" w:rsidRPr="00841078" w:rsidTr="00F46526">
        <w:trPr>
          <w:cantSplit/>
        </w:trPr>
        <w:tc>
          <w:tcPr>
            <w:tcW w:w="1137" w:type="pct"/>
            <w:vMerge/>
            <w:shd w:val="clear" w:color="auto" w:fill="auto"/>
          </w:tcPr>
          <w:p w:rsidR="00705AB0" w:rsidRPr="00705AB0" w:rsidRDefault="00705AB0" w:rsidP="00F46526">
            <w:pPr>
              <w:pStyle w:val="TableText"/>
            </w:pPr>
          </w:p>
        </w:tc>
        <w:tc>
          <w:tcPr>
            <w:tcW w:w="2802" w:type="pct"/>
            <w:tcBorders>
              <w:top w:val="nil"/>
              <w:bottom w:val="nil"/>
            </w:tcBorders>
            <w:shd w:val="clear" w:color="auto" w:fill="auto"/>
          </w:tcPr>
          <w:p w:rsidR="00705AB0" w:rsidRPr="00705AB0" w:rsidRDefault="00705AB0" w:rsidP="00F46526">
            <w:pPr>
              <w:pStyle w:val="TableText"/>
            </w:pPr>
            <w:r w:rsidRPr="00705AB0">
              <w:t>Children are caries-free at five years</w:t>
            </w:r>
          </w:p>
        </w:tc>
        <w:tc>
          <w:tcPr>
            <w:tcW w:w="607" w:type="pct"/>
            <w:tcBorders>
              <w:top w:val="nil"/>
              <w:bottom w:val="nil"/>
            </w:tcBorders>
            <w:shd w:val="clear" w:color="auto" w:fill="auto"/>
          </w:tcPr>
          <w:p w:rsidR="00705AB0" w:rsidRPr="0092403C" w:rsidRDefault="00705AB0" w:rsidP="00F46526">
            <w:pPr>
              <w:pStyle w:val="TableText"/>
              <w:tabs>
                <w:tab w:val="decimal" w:pos="511"/>
              </w:tabs>
            </w:pPr>
            <w:r>
              <w:t>65</w:t>
            </w:r>
            <w:r w:rsidRPr="0092403C">
              <w:t>%</w:t>
            </w:r>
          </w:p>
        </w:tc>
        <w:tc>
          <w:tcPr>
            <w:tcW w:w="454" w:type="pct"/>
            <w:tcBorders>
              <w:top w:val="nil"/>
              <w:bottom w:val="nil"/>
            </w:tcBorders>
            <w:shd w:val="clear" w:color="auto" w:fill="auto"/>
          </w:tcPr>
          <w:p w:rsidR="00705AB0" w:rsidRPr="009C5F33" w:rsidRDefault="00705AB0" w:rsidP="00F46526">
            <w:pPr>
              <w:pStyle w:val="TableText"/>
              <w:tabs>
                <w:tab w:val="decimal" w:pos="425"/>
              </w:tabs>
            </w:pPr>
            <w:r w:rsidRPr="009C5F33">
              <w:t>65%</w:t>
            </w:r>
          </w:p>
        </w:tc>
      </w:tr>
      <w:tr w:rsidR="0099613F" w:rsidRPr="00841078" w:rsidTr="00F46526">
        <w:trPr>
          <w:cantSplit/>
        </w:trPr>
        <w:tc>
          <w:tcPr>
            <w:tcW w:w="1137" w:type="pct"/>
            <w:vMerge/>
            <w:shd w:val="clear" w:color="auto" w:fill="auto"/>
          </w:tcPr>
          <w:p w:rsidR="00705AB0" w:rsidRPr="00705AB0" w:rsidRDefault="00705AB0" w:rsidP="00F46526">
            <w:pPr>
              <w:pStyle w:val="TableText"/>
            </w:pPr>
          </w:p>
        </w:tc>
        <w:tc>
          <w:tcPr>
            <w:tcW w:w="2802" w:type="pct"/>
            <w:tcBorders>
              <w:top w:val="nil"/>
              <w:bottom w:val="nil"/>
            </w:tcBorders>
            <w:shd w:val="clear" w:color="auto" w:fill="F2F2F2"/>
          </w:tcPr>
          <w:p w:rsidR="00705AB0" w:rsidRPr="00705AB0" w:rsidRDefault="00705AB0" w:rsidP="00F46526">
            <w:pPr>
              <w:pStyle w:val="TableText"/>
            </w:pPr>
            <w:r w:rsidRPr="00705AB0">
              <w:t xml:space="preserve">The burden of dental decay among children with one or more four decayed, missing and filled teeth (DMFT) is minimised </w:t>
            </w:r>
          </w:p>
        </w:tc>
        <w:tc>
          <w:tcPr>
            <w:tcW w:w="607" w:type="pct"/>
            <w:tcBorders>
              <w:top w:val="nil"/>
              <w:bottom w:val="nil"/>
            </w:tcBorders>
            <w:shd w:val="clear" w:color="auto" w:fill="F2F2F2"/>
          </w:tcPr>
          <w:p w:rsidR="00705AB0" w:rsidRPr="0092403C" w:rsidRDefault="00705AB0" w:rsidP="00F46526">
            <w:pPr>
              <w:pStyle w:val="TableText"/>
              <w:jc w:val="center"/>
            </w:pPr>
            <w:r w:rsidRPr="0092403C">
              <w:t>4.4 DMFT</w:t>
            </w:r>
          </w:p>
        </w:tc>
        <w:tc>
          <w:tcPr>
            <w:tcW w:w="454" w:type="pct"/>
            <w:tcBorders>
              <w:top w:val="nil"/>
              <w:bottom w:val="nil"/>
            </w:tcBorders>
            <w:shd w:val="clear" w:color="auto" w:fill="F2F2F2"/>
          </w:tcPr>
          <w:p w:rsidR="00705AB0" w:rsidRPr="009C5F33" w:rsidRDefault="00705AB0" w:rsidP="00F46526">
            <w:pPr>
              <w:pStyle w:val="TableText"/>
              <w:jc w:val="center"/>
            </w:pPr>
            <w:r w:rsidRPr="009C5F33">
              <w:t>4 DMFT</w:t>
            </w:r>
          </w:p>
        </w:tc>
      </w:tr>
      <w:tr w:rsidR="0099613F" w:rsidRPr="00841078" w:rsidTr="00F46526">
        <w:trPr>
          <w:cantSplit/>
        </w:trPr>
        <w:tc>
          <w:tcPr>
            <w:tcW w:w="1137" w:type="pct"/>
            <w:vMerge/>
            <w:shd w:val="clear" w:color="auto" w:fill="auto"/>
          </w:tcPr>
          <w:p w:rsidR="00705AB0" w:rsidRPr="00705AB0" w:rsidRDefault="00705AB0" w:rsidP="00F46526">
            <w:pPr>
              <w:pStyle w:val="TableText"/>
            </w:pPr>
          </w:p>
        </w:tc>
        <w:tc>
          <w:tcPr>
            <w:tcW w:w="2802" w:type="pct"/>
            <w:tcBorders>
              <w:top w:val="nil"/>
              <w:bottom w:val="nil"/>
            </w:tcBorders>
            <w:shd w:val="clear" w:color="auto" w:fill="auto"/>
          </w:tcPr>
          <w:p w:rsidR="00705AB0" w:rsidRPr="00705AB0" w:rsidRDefault="00705AB0" w:rsidP="00F46526">
            <w:pPr>
              <w:pStyle w:val="TableText"/>
            </w:pPr>
            <w:r w:rsidRPr="00705AB0">
              <w:t>Child mental health and development is supported (children</w:t>
            </w:r>
            <w:r w:rsidR="001A627D">
              <w:t>’</w:t>
            </w:r>
            <w:r w:rsidRPr="00705AB0">
              <w:t>s Strengths and Difficulties Questionnaire (SDQ)) scores are in the normal range at the B4SC)</w:t>
            </w:r>
          </w:p>
        </w:tc>
        <w:tc>
          <w:tcPr>
            <w:tcW w:w="607" w:type="pct"/>
            <w:tcBorders>
              <w:top w:val="nil"/>
              <w:bottom w:val="nil"/>
            </w:tcBorders>
            <w:shd w:val="clear" w:color="auto" w:fill="auto"/>
          </w:tcPr>
          <w:p w:rsidR="00705AB0" w:rsidRPr="0092403C" w:rsidRDefault="00705AB0" w:rsidP="00F46526">
            <w:pPr>
              <w:pStyle w:val="TableText"/>
              <w:tabs>
                <w:tab w:val="decimal" w:pos="511"/>
              </w:tabs>
            </w:pPr>
            <w:r w:rsidRPr="0092403C">
              <w:t>86%</w:t>
            </w:r>
          </w:p>
        </w:tc>
        <w:tc>
          <w:tcPr>
            <w:tcW w:w="454" w:type="pct"/>
            <w:tcBorders>
              <w:top w:val="nil"/>
              <w:bottom w:val="nil"/>
            </w:tcBorders>
            <w:shd w:val="clear" w:color="auto" w:fill="auto"/>
          </w:tcPr>
          <w:p w:rsidR="00705AB0" w:rsidRPr="009C5F33" w:rsidRDefault="00705AB0" w:rsidP="00F46526">
            <w:pPr>
              <w:pStyle w:val="TableText"/>
              <w:tabs>
                <w:tab w:val="decimal" w:pos="425"/>
              </w:tabs>
            </w:pPr>
            <w:r w:rsidRPr="009C5F33">
              <w:t>95%</w:t>
            </w:r>
          </w:p>
        </w:tc>
      </w:tr>
      <w:tr w:rsidR="0099613F" w:rsidRPr="00841078" w:rsidTr="00F46526">
        <w:trPr>
          <w:cantSplit/>
        </w:trPr>
        <w:tc>
          <w:tcPr>
            <w:tcW w:w="1137" w:type="pct"/>
            <w:vMerge/>
            <w:shd w:val="clear" w:color="auto" w:fill="auto"/>
          </w:tcPr>
          <w:p w:rsidR="00705AB0" w:rsidRPr="00705AB0" w:rsidRDefault="00705AB0" w:rsidP="00F46526">
            <w:pPr>
              <w:pStyle w:val="TableText"/>
            </w:pPr>
          </w:p>
        </w:tc>
        <w:tc>
          <w:tcPr>
            <w:tcW w:w="2802" w:type="pct"/>
            <w:tcBorders>
              <w:top w:val="nil"/>
              <w:bottom w:val="nil"/>
            </w:tcBorders>
            <w:shd w:val="clear" w:color="auto" w:fill="F2F2F2"/>
          </w:tcPr>
          <w:p w:rsidR="00705AB0" w:rsidRPr="00705AB0" w:rsidRDefault="00705AB0" w:rsidP="00F46526">
            <w:pPr>
              <w:pStyle w:val="TableText"/>
            </w:pPr>
            <w:r w:rsidRPr="00705AB0">
              <w:t>Mothers are smokefree at two weeks postnatal</w:t>
            </w:r>
          </w:p>
        </w:tc>
        <w:tc>
          <w:tcPr>
            <w:tcW w:w="607" w:type="pct"/>
            <w:tcBorders>
              <w:top w:val="nil"/>
              <w:bottom w:val="nil"/>
            </w:tcBorders>
            <w:shd w:val="clear" w:color="auto" w:fill="F2F2F2"/>
          </w:tcPr>
          <w:p w:rsidR="00705AB0" w:rsidRPr="0092403C" w:rsidRDefault="00705AB0" w:rsidP="00F46526">
            <w:pPr>
              <w:pStyle w:val="TableText"/>
              <w:tabs>
                <w:tab w:val="decimal" w:pos="511"/>
              </w:tabs>
            </w:pPr>
            <w:r w:rsidRPr="0092403C">
              <w:t>86%</w:t>
            </w:r>
          </w:p>
        </w:tc>
        <w:tc>
          <w:tcPr>
            <w:tcW w:w="454" w:type="pct"/>
            <w:tcBorders>
              <w:top w:val="nil"/>
              <w:bottom w:val="nil"/>
            </w:tcBorders>
            <w:shd w:val="clear" w:color="auto" w:fill="F2F2F2"/>
          </w:tcPr>
          <w:p w:rsidR="00705AB0" w:rsidRPr="009C5F33" w:rsidRDefault="00705AB0" w:rsidP="00F46526">
            <w:pPr>
              <w:pStyle w:val="TableText"/>
              <w:tabs>
                <w:tab w:val="decimal" w:pos="425"/>
              </w:tabs>
            </w:pPr>
            <w:r w:rsidRPr="009C5F33">
              <w:t>95%</w:t>
            </w:r>
          </w:p>
        </w:tc>
      </w:tr>
      <w:tr w:rsidR="0099613F" w:rsidRPr="00841078" w:rsidTr="00F46526">
        <w:trPr>
          <w:cantSplit/>
        </w:trPr>
        <w:tc>
          <w:tcPr>
            <w:tcW w:w="1137" w:type="pct"/>
            <w:vMerge/>
            <w:shd w:val="clear" w:color="auto" w:fill="auto"/>
          </w:tcPr>
          <w:p w:rsidR="00705AB0" w:rsidRPr="00705AB0" w:rsidRDefault="00705AB0" w:rsidP="00F46526">
            <w:pPr>
              <w:pStyle w:val="TableText"/>
            </w:pPr>
          </w:p>
        </w:tc>
        <w:tc>
          <w:tcPr>
            <w:tcW w:w="2802" w:type="pct"/>
            <w:tcBorders>
              <w:top w:val="nil"/>
            </w:tcBorders>
            <w:shd w:val="clear" w:color="auto" w:fill="auto"/>
          </w:tcPr>
          <w:p w:rsidR="00705AB0" w:rsidRPr="00705AB0" w:rsidRDefault="00705AB0" w:rsidP="00F46526">
            <w:pPr>
              <w:pStyle w:val="TableText"/>
            </w:pPr>
            <w:r w:rsidRPr="00705AB0">
              <w:t>Children live in smokefree homes</w:t>
            </w:r>
          </w:p>
        </w:tc>
        <w:tc>
          <w:tcPr>
            <w:tcW w:w="607" w:type="pct"/>
            <w:tcBorders>
              <w:top w:val="nil"/>
            </w:tcBorders>
            <w:shd w:val="clear" w:color="auto" w:fill="auto"/>
          </w:tcPr>
          <w:p w:rsidR="00705AB0" w:rsidRPr="00705AB0" w:rsidRDefault="00705AB0" w:rsidP="00F46526">
            <w:pPr>
              <w:pStyle w:val="TableText"/>
              <w:tabs>
                <w:tab w:val="decimal" w:pos="511"/>
              </w:tabs>
            </w:pPr>
            <w:r w:rsidRPr="00705AB0">
              <w:t>90%</w:t>
            </w:r>
          </w:p>
        </w:tc>
        <w:tc>
          <w:tcPr>
            <w:tcW w:w="454" w:type="pct"/>
            <w:tcBorders>
              <w:top w:val="nil"/>
            </w:tcBorders>
            <w:shd w:val="clear" w:color="auto" w:fill="auto"/>
          </w:tcPr>
          <w:p w:rsidR="00705AB0" w:rsidRPr="00705AB0" w:rsidRDefault="00705AB0" w:rsidP="00F46526">
            <w:pPr>
              <w:pStyle w:val="TableText"/>
              <w:tabs>
                <w:tab w:val="decimal" w:pos="425"/>
              </w:tabs>
            </w:pPr>
            <w:r w:rsidRPr="00705AB0">
              <w:t>100%</w:t>
            </w:r>
          </w:p>
        </w:tc>
      </w:tr>
    </w:tbl>
    <w:p w:rsidR="00705AB0" w:rsidRDefault="00705AB0" w:rsidP="007603FA">
      <w:pPr>
        <w:pStyle w:val="Note"/>
        <w:ind w:right="0"/>
      </w:pPr>
      <w:r>
        <w:t>*</w:t>
      </w:r>
      <w:r w:rsidR="007603FA">
        <w:tab/>
      </w:r>
      <w:r>
        <w:t>Where there is no existing target, interim targets have been set at 90% of the three</w:t>
      </w:r>
      <w:r w:rsidR="007603FA">
        <w:t>-</w:t>
      </w:r>
      <w:r>
        <w:t>year target.</w:t>
      </w:r>
    </w:p>
    <w:p w:rsidR="00705AB0" w:rsidRPr="000B3AAB" w:rsidRDefault="00705AB0" w:rsidP="007603FA">
      <w:pPr>
        <w:rPr>
          <w:lang w:eastAsia="en-NZ"/>
        </w:rPr>
      </w:pPr>
    </w:p>
    <w:p w:rsidR="001A627D" w:rsidRDefault="007603FA" w:rsidP="007603FA">
      <w:pPr>
        <w:pStyle w:val="Heading1"/>
        <w:rPr>
          <w:lang w:eastAsia="en-NZ"/>
        </w:rPr>
      </w:pPr>
      <w:bookmarkStart w:id="57" w:name="_Toc360627074"/>
      <w:r>
        <w:rPr>
          <w:lang w:eastAsia="en-NZ"/>
        </w:rPr>
        <w:br w:type="page"/>
      </w:r>
      <w:bookmarkStart w:id="58" w:name="_Toc361597310"/>
      <w:r w:rsidR="00705AB0">
        <w:rPr>
          <w:lang w:eastAsia="en-NZ"/>
        </w:rPr>
        <w:t xml:space="preserve">Quality </w:t>
      </w:r>
      <w:r w:rsidR="00705AB0" w:rsidRPr="00681AF5">
        <w:rPr>
          <w:lang w:eastAsia="en-NZ"/>
        </w:rPr>
        <w:t>I</w:t>
      </w:r>
      <w:r w:rsidR="00705AB0">
        <w:rPr>
          <w:lang w:eastAsia="en-NZ"/>
        </w:rPr>
        <w:t>ndicators 21</w:t>
      </w:r>
      <w:r>
        <w:rPr>
          <w:lang w:eastAsia="en-NZ"/>
        </w:rPr>
        <w:t>–</w:t>
      </w:r>
      <w:r w:rsidR="00705AB0">
        <w:rPr>
          <w:lang w:eastAsia="en-NZ"/>
        </w:rPr>
        <w:t>27: Quality</w:t>
      </w:r>
      <w:bookmarkEnd w:id="57"/>
      <w:bookmarkEnd w:id="58"/>
    </w:p>
    <w:p w:rsidR="00705AB0" w:rsidRPr="00A76FE2" w:rsidRDefault="00705AB0" w:rsidP="007603FA">
      <w:pPr>
        <w:pStyle w:val="Heading2"/>
      </w:pPr>
      <w:bookmarkStart w:id="59" w:name="_Toc360627075"/>
      <w:bookmarkStart w:id="60" w:name="_Toc361597311"/>
      <w:r w:rsidRPr="00A76FE2">
        <w:t>Why measure quality?</w:t>
      </w:r>
      <w:bookmarkEnd w:id="59"/>
      <w:bookmarkEnd w:id="60"/>
    </w:p>
    <w:p w:rsidR="00705AB0" w:rsidRPr="00A76FE2" w:rsidRDefault="00705AB0" w:rsidP="007603FA">
      <w:r w:rsidRPr="00A76FE2">
        <w:t xml:space="preserve">An explicit focus on quality has been shown to reduce inappropriate variation in service delivery. </w:t>
      </w:r>
      <w:r>
        <w:t xml:space="preserve">For example, robust reporting processes and </w:t>
      </w:r>
      <w:r w:rsidRPr="00A76FE2">
        <w:t xml:space="preserve">feedback </w:t>
      </w:r>
      <w:r>
        <w:t xml:space="preserve">on </w:t>
      </w:r>
      <w:r w:rsidRPr="00A76FE2">
        <w:t>various quality measures</w:t>
      </w:r>
      <w:r>
        <w:t xml:space="preserve"> has recently resulted in s</w:t>
      </w:r>
      <w:r w:rsidRPr="00A76FE2">
        <w:t>ignificant improvement in adherence to best practice in the delivery o</w:t>
      </w:r>
      <w:r>
        <w:t>f screening tools within the B4SC</w:t>
      </w:r>
      <w:r w:rsidRPr="00A76FE2">
        <w:t xml:space="preserve"> programme. </w:t>
      </w:r>
      <w:r>
        <w:t>These q</w:t>
      </w:r>
      <w:r w:rsidRPr="00A76FE2">
        <w:t xml:space="preserve">uality </w:t>
      </w:r>
      <w:r>
        <w:t>i</w:t>
      </w:r>
      <w:r w:rsidRPr="00A76FE2">
        <w:t>ndicator</w:t>
      </w:r>
      <w:r>
        <w:t>s</w:t>
      </w:r>
      <w:r w:rsidRPr="00A76FE2">
        <w:t xml:space="preserve"> seek to create a regular forum for focusing on quality </w:t>
      </w:r>
      <w:r>
        <w:t>in the</w:t>
      </w:r>
      <w:r w:rsidRPr="00A76FE2">
        <w:t xml:space="preserve"> delivery of WCTO services.</w:t>
      </w:r>
    </w:p>
    <w:p w:rsidR="00705AB0" w:rsidRPr="00A76FE2" w:rsidRDefault="00705AB0" w:rsidP="007603FA"/>
    <w:p w:rsidR="00705AB0" w:rsidRPr="00A76FE2" w:rsidRDefault="00705AB0" w:rsidP="007603FA">
      <w:r w:rsidRPr="00A76FE2">
        <w:t xml:space="preserve">The purpose of </w:t>
      </w:r>
      <w:r>
        <w:t>these i</w:t>
      </w:r>
      <w:r w:rsidRPr="00A76FE2">
        <w:t>ndicator</w:t>
      </w:r>
      <w:r>
        <w:t xml:space="preserve">s is </w:t>
      </w:r>
      <w:r w:rsidRPr="00A76FE2">
        <w:t>to ensure services are delivered at the right time,</w:t>
      </w:r>
      <w:r>
        <w:t xml:space="preserve"> </w:t>
      </w:r>
      <w:r w:rsidRPr="00A76FE2">
        <w:t>in accordance with best practice,</w:t>
      </w:r>
      <w:r>
        <w:t xml:space="preserve"> </w:t>
      </w:r>
      <w:r w:rsidRPr="00A76FE2">
        <w:t>consistently across providers and regions.</w:t>
      </w:r>
    </w:p>
    <w:p w:rsidR="00705AB0" w:rsidRDefault="00705AB0" w:rsidP="007603FA"/>
    <w:p w:rsidR="00705AB0" w:rsidRPr="00A76FE2" w:rsidRDefault="00705AB0" w:rsidP="007603FA">
      <w:pPr>
        <w:pStyle w:val="Heading2"/>
      </w:pPr>
      <w:bookmarkStart w:id="61" w:name="_Toc360627076"/>
      <w:bookmarkStart w:id="62" w:name="_Toc361597312"/>
      <w:r w:rsidRPr="00A76FE2">
        <w:t>Alignment with Aim 3</w:t>
      </w:r>
      <w:bookmarkEnd w:id="61"/>
      <w:bookmarkEnd w:id="62"/>
    </w:p>
    <w:p w:rsidR="001A627D" w:rsidRDefault="00705AB0" w:rsidP="007603FA">
      <w:r>
        <w:t>If services are consistently delivered in accordance with evidence-based best practice (quality), funders, providers and families can be confident that they will have the greatest impact on outcomes, and therefore be the most efficient use of resources.</w:t>
      </w:r>
    </w:p>
    <w:p w:rsidR="00705AB0" w:rsidRPr="00385EA5" w:rsidRDefault="00705AB0" w:rsidP="007603FA"/>
    <w:p w:rsidR="00705AB0" w:rsidRDefault="00705AB0" w:rsidP="007603FA">
      <w:r>
        <w:t xml:space="preserve">Monitoring service delivery against best practice supports </w:t>
      </w:r>
      <w:r w:rsidRPr="00FA70FB">
        <w:rPr>
          <w:rFonts w:cs="Arial"/>
          <w:szCs w:val="22"/>
          <w:lang w:eastAsia="en-NZ"/>
        </w:rPr>
        <w:t>Aim 3</w:t>
      </w:r>
      <w:r w:rsidRPr="00385EA5">
        <w:rPr>
          <w:rFonts w:cs="Arial"/>
          <w:i/>
          <w:szCs w:val="22"/>
          <w:lang w:eastAsia="en-NZ"/>
        </w:rPr>
        <w:t xml:space="preserve"> </w:t>
      </w:r>
      <w:r>
        <w:rPr>
          <w:rFonts w:cs="Arial"/>
          <w:szCs w:val="22"/>
          <w:lang w:eastAsia="en-NZ"/>
        </w:rPr>
        <w:t xml:space="preserve">– </w:t>
      </w:r>
      <w:r w:rsidRPr="00385EA5">
        <w:rPr>
          <w:rFonts w:cs="Arial"/>
          <w:i/>
          <w:szCs w:val="22"/>
          <w:lang w:eastAsia="en-NZ"/>
        </w:rPr>
        <w:t>Best value for health system resource</w:t>
      </w:r>
      <w:r>
        <w:rPr>
          <w:rFonts w:cs="Arial"/>
          <w:i/>
          <w:szCs w:val="22"/>
          <w:lang w:eastAsia="en-NZ"/>
        </w:rPr>
        <w:t xml:space="preserve"> </w:t>
      </w:r>
      <w:r>
        <w:rPr>
          <w:rFonts w:cs="Arial"/>
          <w:szCs w:val="22"/>
          <w:lang w:eastAsia="en-NZ"/>
        </w:rPr>
        <w:t xml:space="preserve">– </w:t>
      </w:r>
      <w:r>
        <w:t xml:space="preserve">by reducing waste associated with inappropriate use of tools (for example, rescreening, or the over- or under-identification of concerns). Monitoring referral rates supports </w:t>
      </w:r>
      <w:r w:rsidRPr="00FA70FB">
        <w:rPr>
          <w:rFonts w:cs="Arial"/>
          <w:szCs w:val="22"/>
          <w:lang w:eastAsia="en-NZ"/>
        </w:rPr>
        <w:t>Aim 3</w:t>
      </w:r>
      <w:r>
        <w:rPr>
          <w:rFonts w:cs="Arial"/>
          <w:i/>
          <w:szCs w:val="22"/>
          <w:lang w:eastAsia="en-NZ"/>
        </w:rPr>
        <w:t xml:space="preserve"> </w:t>
      </w:r>
      <w:r>
        <w:t>by reducing waste associated with identifying but not acting on concerns.</w:t>
      </w:r>
    </w:p>
    <w:p w:rsidR="00705AB0" w:rsidRDefault="00705AB0" w:rsidP="007603FA"/>
    <w:p w:rsidR="001A627D" w:rsidRDefault="00705AB0" w:rsidP="007603FA">
      <w:r>
        <w:t>Research shows that identifying and appropriately addressing health or developmental concerns in early childhood is more effective than going through the process later in a patient</w:t>
      </w:r>
      <w:r w:rsidR="001A627D">
        <w:t>’</w:t>
      </w:r>
      <w:r>
        <w:t>s life. It also shows that intervention in early childhood is more cost-effective than later intervention, because disadvantage due to health, social or developmental issues has a cumulative effect on health over time.</w:t>
      </w:r>
    </w:p>
    <w:p w:rsidR="00705AB0" w:rsidRDefault="00705AB0" w:rsidP="007603FA"/>
    <w:p w:rsidR="00705AB0" w:rsidRDefault="00705AB0" w:rsidP="007603FA">
      <w:r>
        <w:t>Identifying and addressing concerns as they develop, and providing support or intervention as early as possible, allows a child to reach their maximum health, educational and developmental potential. This represents best value for the health system resource.</w:t>
      </w:r>
    </w:p>
    <w:p w:rsidR="00705AB0" w:rsidRDefault="00705AB0" w:rsidP="007603FA"/>
    <w:p w:rsidR="00705AB0" w:rsidRPr="002A51EF" w:rsidRDefault="00705AB0" w:rsidP="007603FA">
      <w:pPr>
        <w:pStyle w:val="Table"/>
        <w:rPr>
          <w:rFonts w:cs="Arial"/>
          <w:sz w:val="28"/>
          <w:szCs w:val="28"/>
          <w:lang w:eastAsia="en-NZ"/>
        </w:rPr>
      </w:pPr>
      <w:bookmarkStart w:id="63" w:name="_Toc361597329"/>
      <w:r w:rsidRPr="00FA70FB">
        <w:t xml:space="preserve">Table </w:t>
      </w:r>
      <w:r>
        <w:t>3</w:t>
      </w:r>
      <w:r w:rsidRPr="00FA70FB">
        <w:t>: WCTO quality indicator</w:t>
      </w:r>
      <w:r>
        <w:t>s</w:t>
      </w:r>
      <w:r w:rsidRPr="00FA70FB">
        <w:t xml:space="preserve"> </w:t>
      </w:r>
      <w:r>
        <w:t>21</w:t>
      </w:r>
      <w:r w:rsidR="007603FA">
        <w:t>–</w:t>
      </w:r>
      <w:r>
        <w:t>27</w:t>
      </w:r>
      <w:r w:rsidRPr="00FA70FB">
        <w:t xml:space="preserve">: </w:t>
      </w:r>
      <w:r w:rsidR="007603FA">
        <w:t>q</w:t>
      </w:r>
      <w:r>
        <w:t>uality</w:t>
      </w:r>
      <w:bookmarkEnd w:id="63"/>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10"/>
        <w:gridCol w:w="4960"/>
        <w:gridCol w:w="1136"/>
        <w:gridCol w:w="849"/>
      </w:tblGrid>
      <w:tr w:rsidR="007C3096" w:rsidRPr="00F46526" w:rsidTr="00F46526">
        <w:trPr>
          <w:cantSplit/>
        </w:trPr>
        <w:tc>
          <w:tcPr>
            <w:tcW w:w="1288" w:type="pct"/>
            <w:tcBorders>
              <w:top w:val="single" w:sz="4" w:space="0" w:color="auto"/>
              <w:bottom w:val="single" w:sz="4" w:space="0" w:color="auto"/>
            </w:tcBorders>
            <w:shd w:val="clear" w:color="auto" w:fill="auto"/>
          </w:tcPr>
          <w:p w:rsidR="00705AB0" w:rsidRPr="00F46526" w:rsidRDefault="00705AB0" w:rsidP="00F46526">
            <w:pPr>
              <w:pStyle w:val="TableText"/>
              <w:keepNext/>
              <w:rPr>
                <w:b/>
              </w:rPr>
            </w:pPr>
            <w:r w:rsidRPr="00F46526">
              <w:rPr>
                <w:b/>
              </w:rPr>
              <w:t>Standard</w:t>
            </w:r>
          </w:p>
        </w:tc>
        <w:tc>
          <w:tcPr>
            <w:tcW w:w="2651" w:type="pct"/>
            <w:tcBorders>
              <w:top w:val="single" w:sz="4" w:space="0" w:color="auto"/>
              <w:bottom w:val="single" w:sz="4" w:space="0" w:color="auto"/>
            </w:tcBorders>
            <w:shd w:val="clear" w:color="auto" w:fill="auto"/>
          </w:tcPr>
          <w:p w:rsidR="00705AB0" w:rsidRPr="00F46526" w:rsidRDefault="00705AB0" w:rsidP="00F46526">
            <w:pPr>
              <w:pStyle w:val="TableText"/>
              <w:keepNext/>
              <w:rPr>
                <w:b/>
              </w:rPr>
            </w:pPr>
            <w:r w:rsidRPr="00F46526">
              <w:rPr>
                <w:b/>
              </w:rPr>
              <w:t>Measure</w:t>
            </w:r>
          </w:p>
        </w:tc>
        <w:tc>
          <w:tcPr>
            <w:tcW w:w="607" w:type="pct"/>
            <w:tcBorders>
              <w:top w:val="single" w:sz="4" w:space="0" w:color="auto"/>
              <w:bottom w:val="single" w:sz="4" w:space="0" w:color="auto"/>
            </w:tcBorders>
            <w:shd w:val="clear" w:color="auto" w:fill="auto"/>
          </w:tcPr>
          <w:p w:rsidR="00705AB0" w:rsidRPr="00F46526" w:rsidRDefault="00705AB0" w:rsidP="00F46526">
            <w:pPr>
              <w:pStyle w:val="TableText"/>
              <w:jc w:val="center"/>
              <w:rPr>
                <w:b/>
              </w:rPr>
            </w:pPr>
            <w:r w:rsidRPr="00F46526">
              <w:rPr>
                <w:b/>
              </w:rPr>
              <w:t>Dec</w:t>
            </w:r>
            <w:r w:rsidR="007603FA" w:rsidRPr="00F46526">
              <w:rPr>
                <w:b/>
              </w:rPr>
              <w:t>ember</w:t>
            </w:r>
            <w:r w:rsidRPr="00F46526">
              <w:rPr>
                <w:b/>
              </w:rPr>
              <w:t xml:space="preserve"> 2014</w:t>
            </w:r>
            <w:r w:rsidR="007603FA" w:rsidRPr="00F46526">
              <w:rPr>
                <w:b/>
              </w:rPr>
              <w:br/>
              <w:t>t</w:t>
            </w:r>
            <w:r w:rsidRPr="00F46526">
              <w:rPr>
                <w:b/>
              </w:rPr>
              <w:t>arget*</w:t>
            </w:r>
          </w:p>
        </w:tc>
        <w:tc>
          <w:tcPr>
            <w:tcW w:w="454" w:type="pct"/>
            <w:tcBorders>
              <w:top w:val="single" w:sz="4" w:space="0" w:color="auto"/>
              <w:bottom w:val="single" w:sz="4" w:space="0" w:color="auto"/>
            </w:tcBorders>
            <w:shd w:val="clear" w:color="auto" w:fill="auto"/>
          </w:tcPr>
          <w:p w:rsidR="00705AB0" w:rsidRPr="00F46526" w:rsidRDefault="00705AB0" w:rsidP="00F46526">
            <w:pPr>
              <w:pStyle w:val="TableText"/>
              <w:jc w:val="center"/>
              <w:rPr>
                <w:b/>
              </w:rPr>
            </w:pPr>
            <w:r w:rsidRPr="00F46526">
              <w:rPr>
                <w:b/>
              </w:rPr>
              <w:t>June 2016</w:t>
            </w:r>
            <w:r w:rsidR="007603FA" w:rsidRPr="00F46526">
              <w:rPr>
                <w:b/>
              </w:rPr>
              <w:br/>
              <w:t>t</w:t>
            </w:r>
            <w:r w:rsidRPr="00F46526">
              <w:rPr>
                <w:b/>
              </w:rPr>
              <w:t>arget</w:t>
            </w:r>
          </w:p>
        </w:tc>
      </w:tr>
      <w:tr w:rsidR="007C3096" w:rsidRPr="00841078" w:rsidTr="00F46526">
        <w:trPr>
          <w:cantSplit/>
        </w:trPr>
        <w:tc>
          <w:tcPr>
            <w:tcW w:w="1288" w:type="pct"/>
            <w:tcBorders>
              <w:top w:val="single" w:sz="4" w:space="0" w:color="auto"/>
              <w:bottom w:val="single" w:sz="4" w:space="0" w:color="A6A6A6"/>
            </w:tcBorders>
            <w:shd w:val="clear" w:color="auto" w:fill="auto"/>
          </w:tcPr>
          <w:p w:rsidR="00705AB0" w:rsidRPr="00705AB0" w:rsidRDefault="00705AB0" w:rsidP="00F46526">
            <w:pPr>
              <w:pStyle w:val="TableText"/>
              <w:keepNext/>
            </w:pPr>
            <w:r w:rsidRPr="00705AB0">
              <w:t>WCTO services are delivered at the right time</w:t>
            </w:r>
          </w:p>
        </w:tc>
        <w:tc>
          <w:tcPr>
            <w:tcW w:w="2651" w:type="pct"/>
            <w:tcBorders>
              <w:top w:val="single" w:sz="4" w:space="0" w:color="auto"/>
              <w:bottom w:val="single" w:sz="4" w:space="0" w:color="A6A6A6"/>
            </w:tcBorders>
            <w:shd w:val="clear" w:color="auto" w:fill="F2F2F2"/>
          </w:tcPr>
          <w:p w:rsidR="00705AB0" w:rsidRPr="00705AB0" w:rsidRDefault="00705AB0" w:rsidP="00F46526">
            <w:pPr>
              <w:pStyle w:val="TableText"/>
              <w:keepNext/>
            </w:pPr>
            <w:r w:rsidRPr="00705AB0">
              <w:t>B4SCs are started before age four and a half</w:t>
            </w:r>
          </w:p>
        </w:tc>
        <w:tc>
          <w:tcPr>
            <w:tcW w:w="607" w:type="pct"/>
            <w:tcBorders>
              <w:top w:val="single" w:sz="4" w:space="0" w:color="auto"/>
              <w:bottom w:val="single" w:sz="4" w:space="0" w:color="A6A6A6"/>
            </w:tcBorders>
            <w:shd w:val="clear" w:color="auto" w:fill="F2F2F2"/>
          </w:tcPr>
          <w:p w:rsidR="00705AB0" w:rsidRPr="00705AB0" w:rsidRDefault="00705AB0" w:rsidP="00F46526">
            <w:pPr>
              <w:pStyle w:val="TableText"/>
              <w:jc w:val="center"/>
            </w:pPr>
            <w:r w:rsidRPr="00705AB0">
              <w:t>81%</w:t>
            </w:r>
          </w:p>
        </w:tc>
        <w:tc>
          <w:tcPr>
            <w:tcW w:w="454" w:type="pct"/>
            <w:tcBorders>
              <w:top w:val="single" w:sz="4" w:space="0" w:color="auto"/>
              <w:bottom w:val="single" w:sz="4" w:space="0" w:color="A6A6A6"/>
            </w:tcBorders>
            <w:shd w:val="clear" w:color="auto" w:fill="F2F2F2"/>
          </w:tcPr>
          <w:p w:rsidR="00705AB0" w:rsidRPr="00705AB0" w:rsidRDefault="00705AB0" w:rsidP="00F46526">
            <w:pPr>
              <w:pStyle w:val="TableText"/>
              <w:jc w:val="center"/>
            </w:pPr>
            <w:r w:rsidRPr="00705AB0">
              <w:t>90%</w:t>
            </w:r>
          </w:p>
        </w:tc>
      </w:tr>
      <w:tr w:rsidR="007C3096" w:rsidRPr="00841078" w:rsidTr="00F46526">
        <w:trPr>
          <w:cantSplit/>
        </w:trPr>
        <w:tc>
          <w:tcPr>
            <w:tcW w:w="1288" w:type="pct"/>
            <w:vMerge w:val="restart"/>
            <w:tcBorders>
              <w:top w:val="single" w:sz="4" w:space="0" w:color="A6A6A6"/>
              <w:bottom w:val="nil"/>
            </w:tcBorders>
            <w:shd w:val="clear" w:color="auto" w:fill="auto"/>
          </w:tcPr>
          <w:p w:rsidR="00705AB0" w:rsidRPr="00705AB0" w:rsidRDefault="00705AB0" w:rsidP="00F46526">
            <w:pPr>
              <w:pStyle w:val="TableText"/>
              <w:keepNext/>
            </w:pPr>
            <w:r w:rsidRPr="00705AB0">
              <w:t>WCTO providers deliver services according to best practice (inappropriate variation is reduced)</w:t>
            </w:r>
          </w:p>
        </w:tc>
        <w:tc>
          <w:tcPr>
            <w:tcW w:w="2651" w:type="pct"/>
            <w:tcBorders>
              <w:top w:val="single" w:sz="4" w:space="0" w:color="A6A6A6"/>
              <w:bottom w:val="nil"/>
            </w:tcBorders>
            <w:shd w:val="clear" w:color="auto" w:fill="auto"/>
          </w:tcPr>
          <w:p w:rsidR="00705AB0" w:rsidRPr="00705AB0" w:rsidRDefault="00705AB0" w:rsidP="00F46526">
            <w:pPr>
              <w:pStyle w:val="TableText"/>
              <w:keepNext/>
            </w:pPr>
            <w:r w:rsidRPr="00705AB0">
              <w:t>Children with an abnormal SDQ score at the B4SC are referred to</w:t>
            </w:r>
            <w:r w:rsidR="001A627D">
              <w:t xml:space="preserve"> </w:t>
            </w:r>
            <w:r w:rsidRPr="00705AB0">
              <w:t>specialist services</w:t>
            </w:r>
          </w:p>
        </w:tc>
        <w:tc>
          <w:tcPr>
            <w:tcW w:w="607" w:type="pct"/>
            <w:tcBorders>
              <w:top w:val="single" w:sz="4" w:space="0" w:color="A6A6A6"/>
              <w:bottom w:val="nil"/>
            </w:tcBorders>
            <w:shd w:val="clear" w:color="auto" w:fill="auto"/>
          </w:tcPr>
          <w:p w:rsidR="00705AB0" w:rsidRPr="00705AB0" w:rsidRDefault="00705AB0" w:rsidP="00F46526">
            <w:pPr>
              <w:pStyle w:val="TableText"/>
              <w:jc w:val="center"/>
            </w:pPr>
            <w:r w:rsidRPr="00705AB0">
              <w:t>86%</w:t>
            </w:r>
          </w:p>
        </w:tc>
        <w:tc>
          <w:tcPr>
            <w:tcW w:w="454" w:type="pct"/>
            <w:tcBorders>
              <w:top w:val="single" w:sz="4" w:space="0" w:color="A6A6A6"/>
              <w:bottom w:val="nil"/>
            </w:tcBorders>
            <w:shd w:val="clear" w:color="auto" w:fill="auto"/>
          </w:tcPr>
          <w:p w:rsidR="00705AB0" w:rsidRPr="00705AB0" w:rsidRDefault="00705AB0" w:rsidP="00F46526">
            <w:pPr>
              <w:pStyle w:val="TableText"/>
              <w:jc w:val="center"/>
            </w:pPr>
            <w:r w:rsidRPr="00705AB0">
              <w:t>95%</w:t>
            </w:r>
          </w:p>
        </w:tc>
      </w:tr>
      <w:tr w:rsidR="007C3096" w:rsidRPr="00841078" w:rsidTr="00F46526">
        <w:trPr>
          <w:cantSplit/>
        </w:trPr>
        <w:tc>
          <w:tcPr>
            <w:tcW w:w="1288" w:type="pct"/>
            <w:vMerge/>
            <w:tcBorders>
              <w:top w:val="nil"/>
            </w:tcBorders>
            <w:shd w:val="clear" w:color="auto" w:fill="auto"/>
          </w:tcPr>
          <w:p w:rsidR="00705AB0" w:rsidRPr="00705AB0" w:rsidRDefault="00705AB0" w:rsidP="00F46526">
            <w:pPr>
              <w:pStyle w:val="TableText"/>
              <w:keepNext/>
            </w:pPr>
          </w:p>
        </w:tc>
        <w:tc>
          <w:tcPr>
            <w:tcW w:w="2651" w:type="pct"/>
            <w:tcBorders>
              <w:top w:val="nil"/>
              <w:bottom w:val="nil"/>
            </w:tcBorders>
            <w:shd w:val="clear" w:color="auto" w:fill="F2F2F2"/>
          </w:tcPr>
          <w:p w:rsidR="00705AB0" w:rsidRPr="00705AB0" w:rsidRDefault="00705AB0" w:rsidP="00F46526">
            <w:pPr>
              <w:pStyle w:val="TableText"/>
              <w:keepNext/>
            </w:pPr>
            <w:r w:rsidRPr="00705AB0">
              <w:t xml:space="preserve">Children with a </w:t>
            </w:r>
            <w:r>
              <w:t>Parental E</w:t>
            </w:r>
            <w:r w:rsidRPr="00E96D6C">
              <w:t>v</w:t>
            </w:r>
            <w:r>
              <w:t>aluation of Development S</w:t>
            </w:r>
            <w:r w:rsidRPr="00E96D6C">
              <w:t>tatus</w:t>
            </w:r>
            <w:r w:rsidRPr="00705AB0">
              <w:t xml:space="preserve"> (PEDS) pathway A at the B4SC are referred to specialist services</w:t>
            </w:r>
          </w:p>
        </w:tc>
        <w:tc>
          <w:tcPr>
            <w:tcW w:w="607" w:type="pct"/>
            <w:tcBorders>
              <w:top w:val="nil"/>
              <w:bottom w:val="nil"/>
            </w:tcBorders>
            <w:shd w:val="clear" w:color="auto" w:fill="F2F2F2"/>
          </w:tcPr>
          <w:p w:rsidR="00705AB0" w:rsidRDefault="00705AB0" w:rsidP="00F46526">
            <w:pPr>
              <w:pStyle w:val="TableText"/>
              <w:jc w:val="center"/>
            </w:pPr>
            <w:r w:rsidRPr="00705AB0">
              <w:t>86%</w:t>
            </w:r>
          </w:p>
        </w:tc>
        <w:tc>
          <w:tcPr>
            <w:tcW w:w="454" w:type="pct"/>
            <w:tcBorders>
              <w:top w:val="nil"/>
              <w:bottom w:val="nil"/>
            </w:tcBorders>
            <w:shd w:val="clear" w:color="auto" w:fill="F2F2F2"/>
          </w:tcPr>
          <w:p w:rsidR="00705AB0" w:rsidRPr="009C5F33" w:rsidRDefault="00705AB0" w:rsidP="00F46526">
            <w:pPr>
              <w:pStyle w:val="TableText"/>
              <w:jc w:val="center"/>
            </w:pPr>
            <w:r w:rsidRPr="00705AB0">
              <w:t>95%</w:t>
            </w:r>
          </w:p>
        </w:tc>
      </w:tr>
      <w:tr w:rsidR="007C3096" w:rsidRPr="00841078" w:rsidTr="00F46526">
        <w:trPr>
          <w:cantSplit/>
        </w:trPr>
        <w:tc>
          <w:tcPr>
            <w:tcW w:w="1288" w:type="pct"/>
            <w:vMerge/>
            <w:shd w:val="clear" w:color="auto" w:fill="auto"/>
          </w:tcPr>
          <w:p w:rsidR="00705AB0" w:rsidRPr="00705AB0" w:rsidRDefault="00705AB0" w:rsidP="00F46526">
            <w:pPr>
              <w:pStyle w:val="TableText"/>
            </w:pPr>
          </w:p>
        </w:tc>
        <w:tc>
          <w:tcPr>
            <w:tcW w:w="2651" w:type="pct"/>
            <w:tcBorders>
              <w:top w:val="nil"/>
              <w:bottom w:val="nil"/>
            </w:tcBorders>
            <w:shd w:val="clear" w:color="auto" w:fill="auto"/>
          </w:tcPr>
          <w:p w:rsidR="00705AB0" w:rsidRPr="00705AB0" w:rsidRDefault="00705AB0" w:rsidP="00F46526">
            <w:pPr>
              <w:pStyle w:val="TableText"/>
            </w:pPr>
            <w:r w:rsidRPr="00705AB0">
              <w:t>Children with a lift-the-lip (LTL) score of 2–6 at the B4SC are referred to oral health services</w:t>
            </w:r>
          </w:p>
        </w:tc>
        <w:tc>
          <w:tcPr>
            <w:tcW w:w="607" w:type="pct"/>
            <w:tcBorders>
              <w:top w:val="nil"/>
              <w:bottom w:val="nil"/>
            </w:tcBorders>
            <w:shd w:val="clear" w:color="auto" w:fill="auto"/>
          </w:tcPr>
          <w:p w:rsidR="00705AB0" w:rsidRDefault="00705AB0" w:rsidP="00F46526">
            <w:pPr>
              <w:pStyle w:val="TableText"/>
              <w:jc w:val="center"/>
            </w:pPr>
            <w:r w:rsidRPr="00705AB0">
              <w:t>86%</w:t>
            </w:r>
          </w:p>
        </w:tc>
        <w:tc>
          <w:tcPr>
            <w:tcW w:w="454" w:type="pct"/>
            <w:tcBorders>
              <w:top w:val="nil"/>
              <w:bottom w:val="nil"/>
            </w:tcBorders>
            <w:shd w:val="clear" w:color="auto" w:fill="auto"/>
          </w:tcPr>
          <w:p w:rsidR="00705AB0" w:rsidRPr="009C5F33" w:rsidRDefault="00705AB0" w:rsidP="00F46526">
            <w:pPr>
              <w:pStyle w:val="TableText"/>
              <w:jc w:val="center"/>
            </w:pPr>
            <w:r w:rsidRPr="00705AB0">
              <w:t>95%</w:t>
            </w:r>
          </w:p>
        </w:tc>
      </w:tr>
      <w:tr w:rsidR="007C3096" w:rsidRPr="00841078" w:rsidTr="00F46526">
        <w:trPr>
          <w:cantSplit/>
        </w:trPr>
        <w:tc>
          <w:tcPr>
            <w:tcW w:w="1288" w:type="pct"/>
            <w:vMerge/>
            <w:shd w:val="clear" w:color="auto" w:fill="auto"/>
          </w:tcPr>
          <w:p w:rsidR="00705AB0" w:rsidRPr="00705AB0" w:rsidRDefault="00705AB0" w:rsidP="00F46526">
            <w:pPr>
              <w:pStyle w:val="TableText"/>
            </w:pPr>
          </w:p>
        </w:tc>
        <w:tc>
          <w:tcPr>
            <w:tcW w:w="2651" w:type="pct"/>
            <w:tcBorders>
              <w:top w:val="nil"/>
              <w:bottom w:val="nil"/>
            </w:tcBorders>
            <w:shd w:val="clear" w:color="auto" w:fill="F2F2F2"/>
          </w:tcPr>
          <w:p w:rsidR="00705AB0" w:rsidRPr="00841078" w:rsidRDefault="00705AB0" w:rsidP="00F46526">
            <w:pPr>
              <w:pStyle w:val="TableText"/>
            </w:pPr>
            <w:r w:rsidRPr="00705AB0">
              <w:t>Children with a vision problem at the B4SC are referred to specialist services</w:t>
            </w:r>
          </w:p>
        </w:tc>
        <w:tc>
          <w:tcPr>
            <w:tcW w:w="607" w:type="pct"/>
            <w:tcBorders>
              <w:top w:val="nil"/>
              <w:bottom w:val="nil"/>
            </w:tcBorders>
            <w:shd w:val="clear" w:color="auto" w:fill="F2F2F2"/>
          </w:tcPr>
          <w:p w:rsidR="00705AB0" w:rsidRDefault="00705AB0" w:rsidP="00F46526">
            <w:pPr>
              <w:pStyle w:val="TableText"/>
              <w:jc w:val="center"/>
            </w:pPr>
            <w:r w:rsidRPr="00705AB0">
              <w:t>86%</w:t>
            </w:r>
          </w:p>
        </w:tc>
        <w:tc>
          <w:tcPr>
            <w:tcW w:w="454" w:type="pct"/>
            <w:tcBorders>
              <w:top w:val="nil"/>
              <w:bottom w:val="nil"/>
            </w:tcBorders>
            <w:shd w:val="clear" w:color="auto" w:fill="F2F2F2"/>
          </w:tcPr>
          <w:p w:rsidR="00705AB0" w:rsidRPr="009C5F33" w:rsidRDefault="00705AB0" w:rsidP="00F46526">
            <w:pPr>
              <w:pStyle w:val="TableText"/>
              <w:jc w:val="center"/>
            </w:pPr>
            <w:r w:rsidRPr="00705AB0">
              <w:t>95%</w:t>
            </w:r>
          </w:p>
        </w:tc>
      </w:tr>
      <w:tr w:rsidR="007C3096" w:rsidRPr="00841078" w:rsidTr="00F46526">
        <w:trPr>
          <w:cantSplit/>
        </w:trPr>
        <w:tc>
          <w:tcPr>
            <w:tcW w:w="1288" w:type="pct"/>
            <w:vMerge/>
            <w:shd w:val="clear" w:color="auto" w:fill="auto"/>
          </w:tcPr>
          <w:p w:rsidR="00705AB0" w:rsidRPr="00705AB0" w:rsidRDefault="00705AB0" w:rsidP="00F46526">
            <w:pPr>
              <w:pStyle w:val="TableText"/>
            </w:pPr>
          </w:p>
        </w:tc>
        <w:tc>
          <w:tcPr>
            <w:tcW w:w="2651" w:type="pct"/>
            <w:tcBorders>
              <w:top w:val="nil"/>
              <w:bottom w:val="nil"/>
            </w:tcBorders>
            <w:shd w:val="clear" w:color="auto" w:fill="auto"/>
          </w:tcPr>
          <w:p w:rsidR="00705AB0" w:rsidRPr="00705AB0" w:rsidRDefault="00705AB0" w:rsidP="00F46526">
            <w:pPr>
              <w:pStyle w:val="TableText"/>
            </w:pPr>
            <w:r w:rsidRPr="00705AB0">
              <w:t>Children with a hearing problem at the B4SC are referred to specialist services</w:t>
            </w:r>
          </w:p>
        </w:tc>
        <w:tc>
          <w:tcPr>
            <w:tcW w:w="607" w:type="pct"/>
            <w:tcBorders>
              <w:top w:val="nil"/>
              <w:bottom w:val="nil"/>
            </w:tcBorders>
            <w:shd w:val="clear" w:color="auto" w:fill="auto"/>
          </w:tcPr>
          <w:p w:rsidR="00705AB0" w:rsidRDefault="00705AB0" w:rsidP="00F46526">
            <w:pPr>
              <w:pStyle w:val="TableText"/>
              <w:jc w:val="center"/>
            </w:pPr>
            <w:r w:rsidRPr="00705AB0">
              <w:t>86%</w:t>
            </w:r>
          </w:p>
        </w:tc>
        <w:tc>
          <w:tcPr>
            <w:tcW w:w="454" w:type="pct"/>
            <w:tcBorders>
              <w:top w:val="nil"/>
              <w:bottom w:val="nil"/>
            </w:tcBorders>
            <w:shd w:val="clear" w:color="auto" w:fill="auto"/>
          </w:tcPr>
          <w:p w:rsidR="00705AB0" w:rsidRPr="009C5F33" w:rsidRDefault="00705AB0" w:rsidP="00F46526">
            <w:pPr>
              <w:pStyle w:val="TableText"/>
              <w:jc w:val="center"/>
            </w:pPr>
            <w:r w:rsidRPr="00705AB0">
              <w:t>95%</w:t>
            </w:r>
          </w:p>
        </w:tc>
      </w:tr>
      <w:tr w:rsidR="007C3096" w:rsidRPr="00841078" w:rsidTr="00F46526">
        <w:trPr>
          <w:cantSplit/>
        </w:trPr>
        <w:tc>
          <w:tcPr>
            <w:tcW w:w="1288" w:type="pct"/>
            <w:vMerge/>
            <w:shd w:val="clear" w:color="auto" w:fill="auto"/>
          </w:tcPr>
          <w:p w:rsidR="00705AB0" w:rsidRPr="00705AB0" w:rsidRDefault="00705AB0" w:rsidP="00F46526">
            <w:pPr>
              <w:pStyle w:val="TableText"/>
            </w:pPr>
          </w:p>
        </w:tc>
        <w:tc>
          <w:tcPr>
            <w:tcW w:w="2651" w:type="pct"/>
            <w:tcBorders>
              <w:top w:val="nil"/>
              <w:bottom w:val="single" w:sz="4" w:space="0" w:color="auto"/>
            </w:tcBorders>
            <w:shd w:val="clear" w:color="auto" w:fill="F2F2F2"/>
          </w:tcPr>
          <w:p w:rsidR="00705AB0" w:rsidRPr="00841078" w:rsidRDefault="00705AB0" w:rsidP="00F46526">
            <w:pPr>
              <w:pStyle w:val="TableText"/>
            </w:pPr>
            <w:r w:rsidRPr="00705AB0">
              <w:t>Children with a body mass index (BMI) &gt;21 at the B4SC are referred to a GP or specialist services</w:t>
            </w:r>
          </w:p>
        </w:tc>
        <w:tc>
          <w:tcPr>
            <w:tcW w:w="607" w:type="pct"/>
            <w:tcBorders>
              <w:top w:val="nil"/>
              <w:bottom w:val="single" w:sz="4" w:space="0" w:color="auto"/>
            </w:tcBorders>
            <w:shd w:val="clear" w:color="auto" w:fill="F2F2F2"/>
          </w:tcPr>
          <w:p w:rsidR="00705AB0" w:rsidRDefault="00705AB0" w:rsidP="00F46526">
            <w:pPr>
              <w:pStyle w:val="TableText"/>
              <w:jc w:val="center"/>
            </w:pPr>
            <w:r w:rsidRPr="00705AB0">
              <w:t>86%</w:t>
            </w:r>
          </w:p>
        </w:tc>
        <w:tc>
          <w:tcPr>
            <w:tcW w:w="454" w:type="pct"/>
            <w:tcBorders>
              <w:top w:val="nil"/>
              <w:bottom w:val="single" w:sz="4" w:space="0" w:color="auto"/>
            </w:tcBorders>
            <w:shd w:val="clear" w:color="auto" w:fill="F2F2F2"/>
          </w:tcPr>
          <w:p w:rsidR="00705AB0" w:rsidRPr="009C5F33" w:rsidRDefault="00705AB0" w:rsidP="00F46526">
            <w:pPr>
              <w:pStyle w:val="TableText"/>
              <w:jc w:val="center"/>
            </w:pPr>
            <w:r w:rsidRPr="00705AB0">
              <w:t>95%</w:t>
            </w:r>
          </w:p>
        </w:tc>
      </w:tr>
    </w:tbl>
    <w:p w:rsidR="00705AB0" w:rsidRDefault="00705AB0" w:rsidP="007603FA">
      <w:pPr>
        <w:pStyle w:val="Note"/>
        <w:ind w:right="0"/>
      </w:pPr>
      <w:r>
        <w:t>*</w:t>
      </w:r>
      <w:r w:rsidR="007603FA">
        <w:tab/>
      </w:r>
      <w:r>
        <w:t>Where there is no existing target, interim targets have been set at 90% of the three</w:t>
      </w:r>
      <w:r w:rsidR="007603FA">
        <w:t>-</w:t>
      </w:r>
      <w:r>
        <w:t>year target</w:t>
      </w:r>
      <w:r w:rsidR="007603FA">
        <w:t>.</w:t>
      </w:r>
    </w:p>
    <w:p w:rsidR="007603FA" w:rsidRPr="007603FA" w:rsidRDefault="007603FA" w:rsidP="007603FA"/>
    <w:p w:rsidR="00705AB0" w:rsidRPr="00E04DA3" w:rsidRDefault="007603FA" w:rsidP="007603FA">
      <w:pPr>
        <w:pStyle w:val="Heading1"/>
      </w:pPr>
      <w:bookmarkStart w:id="64" w:name="_Toc360627077"/>
      <w:r>
        <w:br w:type="page"/>
      </w:r>
      <w:bookmarkStart w:id="65" w:name="_Toc361597313"/>
      <w:r w:rsidR="00705AB0">
        <w:t>Appendix 1: G</w:t>
      </w:r>
      <w:r w:rsidR="00705AB0" w:rsidRPr="00C90EA5">
        <w:t>lossary</w:t>
      </w:r>
      <w:r w:rsidR="00705AB0">
        <w:t xml:space="preserve"> and abbreviations</w:t>
      </w:r>
      <w:bookmarkEnd w:id="64"/>
      <w:bookmarkEnd w:id="65"/>
    </w:p>
    <w:p w:rsidR="00705AB0" w:rsidRDefault="00705AB0" w:rsidP="007603FA">
      <w:r>
        <w:t xml:space="preserve">The </w:t>
      </w:r>
      <w:r w:rsidRPr="001F7CB0">
        <w:rPr>
          <w:b/>
        </w:rPr>
        <w:t xml:space="preserve">B4 </w:t>
      </w:r>
      <w:r w:rsidRPr="00F92C2A">
        <w:rPr>
          <w:b/>
        </w:rPr>
        <w:t>School Check</w:t>
      </w:r>
      <w:r w:rsidRPr="00F92C2A">
        <w:t xml:space="preserve"> </w:t>
      </w:r>
      <w:r w:rsidRPr="00FA70FB">
        <w:rPr>
          <w:b/>
        </w:rPr>
        <w:t>(B4SC)</w:t>
      </w:r>
      <w:r>
        <w:t xml:space="preserve"> </w:t>
      </w:r>
      <w:r w:rsidRPr="00F92C2A">
        <w:t>is a nationwide programme offering a free health and development check for four</w:t>
      </w:r>
      <w:r>
        <w:t>-</w:t>
      </w:r>
      <w:r w:rsidRPr="00F92C2A">
        <w:t>year</w:t>
      </w:r>
      <w:r>
        <w:t>-</w:t>
      </w:r>
      <w:r w:rsidRPr="00F92C2A">
        <w:t>olds. It is the eighth core contact of the Well Child</w:t>
      </w:r>
      <w:r>
        <w:t>/</w:t>
      </w:r>
      <w:r w:rsidRPr="00F92C2A">
        <w:t xml:space="preserve">Tamariki Ora </w:t>
      </w:r>
      <w:r>
        <w:t>s</w:t>
      </w:r>
      <w:r w:rsidRPr="00F92C2A">
        <w:t>chedule of services.</w:t>
      </w:r>
    </w:p>
    <w:p w:rsidR="00705AB0" w:rsidRDefault="00705AB0" w:rsidP="007603FA"/>
    <w:p w:rsidR="00705AB0" w:rsidRPr="00F92C2A" w:rsidRDefault="00705AB0" w:rsidP="007603FA">
      <w:r w:rsidRPr="00FA70FB">
        <w:rPr>
          <w:b/>
        </w:rPr>
        <w:t>Body mass index</w:t>
      </w:r>
      <w:r w:rsidRPr="00F92C2A">
        <w:t xml:space="preserve"> </w:t>
      </w:r>
      <w:r w:rsidRPr="00F92C2A">
        <w:rPr>
          <w:b/>
        </w:rPr>
        <w:t>(BMI)</w:t>
      </w:r>
      <w:r>
        <w:t xml:space="preserve"> </w:t>
      </w:r>
      <w:r w:rsidRPr="00F92C2A">
        <w:t>provides a useful population-level indicator of excess body weight. It is a measure of weight adjusted for height</w:t>
      </w:r>
      <w:r>
        <w:t>,</w:t>
      </w:r>
      <w:r w:rsidRPr="00F92C2A">
        <w:t xml:space="preserve"> and is calculated by dividing weight in kilograms by the square of height in metres (kg/m</w:t>
      </w:r>
      <w:r w:rsidRPr="007603FA">
        <w:rPr>
          <w:vertAlign w:val="superscript"/>
        </w:rPr>
        <w:t>2</w:t>
      </w:r>
      <w:r w:rsidRPr="00F92C2A">
        <w:t xml:space="preserve">). BMI is used internationally to classify </w:t>
      </w:r>
      <w:r>
        <w:t xml:space="preserve">people who are </w:t>
      </w:r>
      <w:r w:rsidRPr="00F92C2A">
        <w:t>underweight, overweight and obes</w:t>
      </w:r>
      <w:r>
        <w:t>e</w:t>
      </w:r>
      <w:r w:rsidRPr="00F92C2A">
        <w:t>.</w:t>
      </w:r>
    </w:p>
    <w:p w:rsidR="00705AB0" w:rsidRPr="00F92C2A" w:rsidRDefault="00705AB0" w:rsidP="007603FA"/>
    <w:p w:rsidR="00705AB0" w:rsidRPr="00F92C2A" w:rsidRDefault="00705AB0" w:rsidP="007603FA">
      <w:r w:rsidRPr="00FA70FB">
        <w:rPr>
          <w:b/>
        </w:rPr>
        <w:t>Decayed, missing and filled teeth</w:t>
      </w:r>
      <w:r w:rsidRPr="00F92C2A">
        <w:t xml:space="preserve"> </w:t>
      </w:r>
      <w:r w:rsidRPr="00F92C2A">
        <w:rPr>
          <w:b/>
        </w:rPr>
        <w:t>(DMFT</w:t>
      </w:r>
      <w:r>
        <w:rPr>
          <w:b/>
        </w:rPr>
        <w:t>)</w:t>
      </w:r>
      <w:r w:rsidRPr="00F92C2A">
        <w:t xml:space="preserve"> </w:t>
      </w:r>
      <w:r>
        <w:t xml:space="preserve">is a numerical measure of </w:t>
      </w:r>
      <w:r w:rsidRPr="00F92C2A">
        <w:t xml:space="preserve">the prevalence of dental caries in an individual. </w:t>
      </w:r>
      <w:r>
        <w:t>It is</w:t>
      </w:r>
      <w:r w:rsidRPr="00F92C2A">
        <w:t xml:space="preserve"> obtained by calculating the sum of decayed, missing and filled teeth </w:t>
      </w:r>
      <w:r>
        <w:t xml:space="preserve">(counting </w:t>
      </w:r>
      <w:r w:rsidRPr="00F92C2A">
        <w:t>each tooth only once</w:t>
      </w:r>
      <w:r>
        <w:t>)</w:t>
      </w:r>
      <w:r w:rsidRPr="00F92C2A">
        <w:t>.</w:t>
      </w:r>
    </w:p>
    <w:p w:rsidR="00705AB0" w:rsidRDefault="00705AB0" w:rsidP="007603FA"/>
    <w:p w:rsidR="00705AB0" w:rsidRPr="00166B5A" w:rsidRDefault="00705AB0" w:rsidP="007603FA">
      <w:pPr>
        <w:rPr>
          <w:lang w:eastAsia="en-NZ"/>
        </w:rPr>
      </w:pPr>
      <w:r w:rsidRPr="00166B5A">
        <w:rPr>
          <w:b/>
        </w:rPr>
        <w:t xml:space="preserve">Exclusive </w:t>
      </w:r>
      <w:r>
        <w:rPr>
          <w:b/>
        </w:rPr>
        <w:t>b</w:t>
      </w:r>
      <w:r w:rsidRPr="00166B5A">
        <w:rPr>
          <w:b/>
        </w:rPr>
        <w:t>reastfeeding</w:t>
      </w:r>
      <w:r w:rsidRPr="00166B5A">
        <w:t xml:space="preserve"> </w:t>
      </w:r>
      <w:r>
        <w:t>is breastfeeding where a baby</w:t>
      </w:r>
      <w:r w:rsidRPr="00166B5A">
        <w:rPr>
          <w:lang w:eastAsia="en-NZ"/>
        </w:rPr>
        <w:t xml:space="preserve"> has never to the mother</w:t>
      </w:r>
      <w:r w:rsidR="001A627D">
        <w:rPr>
          <w:lang w:eastAsia="en-NZ"/>
        </w:rPr>
        <w:t>’</w:t>
      </w:r>
      <w:r w:rsidRPr="00166B5A">
        <w:rPr>
          <w:lang w:eastAsia="en-NZ"/>
        </w:rPr>
        <w:t>s knowledge had any water, formula or other liquid or solid food</w:t>
      </w:r>
      <w:r>
        <w:rPr>
          <w:lang w:eastAsia="en-NZ"/>
        </w:rPr>
        <w:t xml:space="preserve"> but o</w:t>
      </w:r>
      <w:r w:rsidRPr="00166B5A">
        <w:rPr>
          <w:lang w:eastAsia="en-NZ"/>
        </w:rPr>
        <w:t>nly breast</w:t>
      </w:r>
      <w:r>
        <w:rPr>
          <w:lang w:eastAsia="en-NZ"/>
        </w:rPr>
        <w:t xml:space="preserve"> </w:t>
      </w:r>
      <w:r w:rsidRPr="00166B5A">
        <w:rPr>
          <w:lang w:eastAsia="en-NZ"/>
        </w:rPr>
        <w:t xml:space="preserve">milk </w:t>
      </w:r>
      <w:r>
        <w:rPr>
          <w:lang w:eastAsia="en-NZ"/>
        </w:rPr>
        <w:t>(</w:t>
      </w:r>
      <w:r w:rsidRPr="00166B5A">
        <w:rPr>
          <w:lang w:eastAsia="en-NZ"/>
        </w:rPr>
        <w:t>from the breast or expressed</w:t>
      </w:r>
      <w:r>
        <w:rPr>
          <w:lang w:eastAsia="en-NZ"/>
        </w:rPr>
        <w:t>)</w:t>
      </w:r>
      <w:r w:rsidRPr="00166B5A">
        <w:rPr>
          <w:lang w:eastAsia="en-NZ"/>
        </w:rPr>
        <w:t xml:space="preserve"> and prescribed medicines</w:t>
      </w:r>
      <w:r>
        <w:rPr>
          <w:lang w:eastAsia="en-NZ"/>
        </w:rPr>
        <w:t xml:space="preserve"> since </w:t>
      </w:r>
      <w:r w:rsidRPr="00166B5A">
        <w:rPr>
          <w:lang w:eastAsia="en-NZ"/>
        </w:rPr>
        <w:t>birth.</w:t>
      </w:r>
    </w:p>
    <w:p w:rsidR="00705AB0" w:rsidRPr="00166B5A" w:rsidRDefault="00705AB0" w:rsidP="007603FA"/>
    <w:p w:rsidR="00705AB0" w:rsidRPr="00166B5A" w:rsidRDefault="00705AB0" w:rsidP="007603FA">
      <w:r w:rsidRPr="00166B5A">
        <w:rPr>
          <w:b/>
        </w:rPr>
        <w:t>Family/</w:t>
      </w:r>
      <w:r>
        <w:rPr>
          <w:b/>
        </w:rPr>
        <w:t>w</w:t>
      </w:r>
      <w:r w:rsidRPr="00166B5A">
        <w:rPr>
          <w:b/>
        </w:rPr>
        <w:t>h</w:t>
      </w:r>
      <w:r w:rsidRPr="0030431D">
        <w:rPr>
          <w:b/>
        </w:rPr>
        <w:t>ā</w:t>
      </w:r>
      <w:r w:rsidRPr="00166B5A">
        <w:rPr>
          <w:b/>
        </w:rPr>
        <w:t>nau</w:t>
      </w:r>
      <w:r>
        <w:t xml:space="preserve"> is an i</w:t>
      </w:r>
      <w:r w:rsidRPr="00166B5A">
        <w:t xml:space="preserve">nclusive term </w:t>
      </w:r>
      <w:r>
        <w:t>used in the context of WCTO services to mean the family, extended family and/or caregivers or guardians who care for a child.</w:t>
      </w:r>
    </w:p>
    <w:p w:rsidR="00705AB0" w:rsidRPr="00166B5A" w:rsidRDefault="00705AB0" w:rsidP="007603FA"/>
    <w:p w:rsidR="00705AB0" w:rsidRPr="00166B5A" w:rsidRDefault="00705AB0" w:rsidP="007603FA">
      <w:r w:rsidRPr="00166B5A">
        <w:rPr>
          <w:b/>
        </w:rPr>
        <w:t xml:space="preserve">Full </w:t>
      </w:r>
      <w:r>
        <w:rPr>
          <w:b/>
        </w:rPr>
        <w:t>b</w:t>
      </w:r>
      <w:r w:rsidRPr="00166B5A">
        <w:rPr>
          <w:b/>
        </w:rPr>
        <w:t>reastfeeding</w:t>
      </w:r>
      <w:r w:rsidRPr="00166B5A">
        <w:t xml:space="preserve"> </w:t>
      </w:r>
      <w:r>
        <w:t>is breastfeeding where a baby</w:t>
      </w:r>
      <w:r w:rsidRPr="00166B5A">
        <w:rPr>
          <w:lang w:eastAsia="en-NZ"/>
        </w:rPr>
        <w:t xml:space="preserve"> has taken breast</w:t>
      </w:r>
      <w:r>
        <w:rPr>
          <w:lang w:eastAsia="en-NZ"/>
        </w:rPr>
        <w:t xml:space="preserve"> </w:t>
      </w:r>
      <w:r w:rsidRPr="00166B5A">
        <w:rPr>
          <w:lang w:eastAsia="en-NZ"/>
        </w:rPr>
        <w:t>milk and a minimal amount of water or prescribed medicines but no other liquids or solids in the past 48 hours.</w:t>
      </w:r>
    </w:p>
    <w:p w:rsidR="00705AB0" w:rsidRDefault="00705AB0" w:rsidP="007603FA"/>
    <w:p w:rsidR="00705AB0" w:rsidRPr="00F92C2A" w:rsidRDefault="00705AB0" w:rsidP="007603FA">
      <w:r w:rsidRPr="00F92C2A">
        <w:t xml:space="preserve">A </w:t>
      </w:r>
      <w:r>
        <w:rPr>
          <w:b/>
        </w:rPr>
        <w:t>l</w:t>
      </w:r>
      <w:r w:rsidRPr="00FA70FB">
        <w:rPr>
          <w:b/>
        </w:rPr>
        <w:t xml:space="preserve">ead </w:t>
      </w:r>
      <w:r>
        <w:rPr>
          <w:b/>
        </w:rPr>
        <w:t>m</w:t>
      </w:r>
      <w:r w:rsidRPr="00FA70FB">
        <w:rPr>
          <w:b/>
        </w:rPr>
        <w:t xml:space="preserve">aternity </w:t>
      </w:r>
      <w:r>
        <w:rPr>
          <w:b/>
        </w:rPr>
        <w:t>c</w:t>
      </w:r>
      <w:r w:rsidRPr="00FA70FB">
        <w:rPr>
          <w:b/>
        </w:rPr>
        <w:t>arer</w:t>
      </w:r>
      <w:r w:rsidRPr="00F92C2A">
        <w:t xml:space="preserve"> </w:t>
      </w:r>
      <w:r w:rsidRPr="00F92C2A">
        <w:rPr>
          <w:b/>
        </w:rPr>
        <w:t>(LMC)</w:t>
      </w:r>
      <w:r w:rsidRPr="00F92C2A">
        <w:t xml:space="preserve"> provides primary maternity care and support through pregnancy, labour and the first weeks of a child</w:t>
      </w:r>
      <w:r w:rsidR="001A627D">
        <w:t>’</w:t>
      </w:r>
      <w:r w:rsidRPr="00F92C2A">
        <w:t xml:space="preserve">s life. </w:t>
      </w:r>
      <w:r>
        <w:t>M</w:t>
      </w:r>
      <w:r w:rsidRPr="00F92C2A">
        <w:t xml:space="preserve">ost LMCs are midwives, though some doctors and obstetricians also carry out the role. An LMC may provide all </w:t>
      </w:r>
      <w:r>
        <w:t>of a woman</w:t>
      </w:r>
      <w:r w:rsidR="001A627D">
        <w:t>’</w:t>
      </w:r>
      <w:r>
        <w:t>s</w:t>
      </w:r>
      <w:r w:rsidRPr="00F92C2A">
        <w:t xml:space="preserve"> maternity care or may share it with other health practitioners.</w:t>
      </w:r>
    </w:p>
    <w:p w:rsidR="00705AB0" w:rsidRDefault="00705AB0" w:rsidP="007603FA"/>
    <w:p w:rsidR="00705AB0" w:rsidRPr="000711B4" w:rsidRDefault="00705AB0" w:rsidP="007603FA">
      <w:r w:rsidRPr="00FA70FB">
        <w:rPr>
          <w:b/>
        </w:rPr>
        <w:t>Lift the lip</w:t>
      </w:r>
      <w:r w:rsidRPr="000711B4">
        <w:t xml:space="preserve"> </w:t>
      </w:r>
      <w:r w:rsidRPr="000711B4">
        <w:rPr>
          <w:b/>
        </w:rPr>
        <w:t>(LTL)</w:t>
      </w:r>
      <w:r w:rsidRPr="000711B4">
        <w:t xml:space="preserve"> is a quick and easy technique used </w:t>
      </w:r>
      <w:r>
        <w:t xml:space="preserve">in WCTO services </w:t>
      </w:r>
      <w:r w:rsidRPr="000711B4">
        <w:t>for screening infants</w:t>
      </w:r>
      <w:r w:rsidR="001A627D">
        <w:t>’</w:t>
      </w:r>
      <w:r w:rsidRPr="000711B4">
        <w:t xml:space="preserve"> and </w:t>
      </w:r>
      <w:r>
        <w:t>children</w:t>
      </w:r>
      <w:r w:rsidR="001A627D">
        <w:t>’</w:t>
      </w:r>
      <w:r>
        <w:t>s</w:t>
      </w:r>
      <w:r w:rsidRPr="000711B4">
        <w:t xml:space="preserve"> teeth for dental caries and early dental changes.</w:t>
      </w:r>
    </w:p>
    <w:p w:rsidR="00705AB0" w:rsidRDefault="00705AB0" w:rsidP="007603FA"/>
    <w:p w:rsidR="00705AB0" w:rsidRDefault="00705AB0" w:rsidP="007603FA">
      <w:r w:rsidRPr="001F7CB0">
        <w:rPr>
          <w:b/>
        </w:rPr>
        <w:t>Overweight and obese</w:t>
      </w:r>
      <w:r>
        <w:t xml:space="preserve"> are defined as an excess of body fat. Of the candidate indicators of obesity, the </w:t>
      </w:r>
      <w:r w:rsidRPr="00FA70FB">
        <w:rPr>
          <w:b/>
        </w:rPr>
        <w:t>BMI</w:t>
      </w:r>
      <w:r>
        <w:t xml:space="preserve"> seems to be the best available. Although not a perfect measure, the BMI is a reasonable indicator of body adiposity or fatness. In the </w:t>
      </w:r>
      <w:r w:rsidRPr="00FA70FB">
        <w:rPr>
          <w:b/>
        </w:rPr>
        <w:t>B4SC</w:t>
      </w:r>
      <w:r>
        <w:t>, a BMI of &gt;21 is defined as extremely overweight; in this case, referral to a GP or to specialist services is expected.</w:t>
      </w:r>
    </w:p>
    <w:p w:rsidR="00705AB0" w:rsidRDefault="00705AB0" w:rsidP="007603FA"/>
    <w:p w:rsidR="00705AB0" w:rsidRDefault="00705AB0" w:rsidP="007603FA">
      <w:r w:rsidRPr="00E96D6C">
        <w:t xml:space="preserve">The </w:t>
      </w:r>
      <w:r w:rsidRPr="00FA70FB">
        <w:rPr>
          <w:b/>
        </w:rPr>
        <w:t>Parental Evaluation of Development Status</w:t>
      </w:r>
      <w:r w:rsidRPr="00E96D6C">
        <w:t xml:space="preserve"> </w:t>
      </w:r>
      <w:r w:rsidRPr="00E96D6C">
        <w:rPr>
          <w:b/>
        </w:rPr>
        <w:t>(PEDS)</w:t>
      </w:r>
      <w:r w:rsidRPr="00E96D6C">
        <w:t xml:space="preserve"> is a questionnaire for parents to detect developmental and behavioural problems in children from birth to eight years. The PEDS has 10 general questions about behaviour, development, speech and language, </w:t>
      </w:r>
      <w:r>
        <w:t xml:space="preserve">and </w:t>
      </w:r>
      <w:r w:rsidRPr="00E96D6C">
        <w:t>fine and gross motor skills.</w:t>
      </w:r>
    </w:p>
    <w:p w:rsidR="00705AB0" w:rsidRDefault="00705AB0" w:rsidP="007603FA"/>
    <w:p w:rsidR="00705AB0" w:rsidRPr="00D54C51" w:rsidRDefault="00705AB0" w:rsidP="007603FA">
      <w:pPr>
        <w:keepLines/>
        <w:rPr>
          <w:szCs w:val="22"/>
        </w:rPr>
      </w:pPr>
      <w:r>
        <w:t xml:space="preserve">The </w:t>
      </w:r>
      <w:r w:rsidRPr="00FA70FB">
        <w:rPr>
          <w:b/>
        </w:rPr>
        <w:t>Strengths and Difficulties Questionnaire</w:t>
      </w:r>
      <w:r w:rsidRPr="00E96D6C">
        <w:rPr>
          <w:b/>
        </w:rPr>
        <w:t xml:space="preserve"> </w:t>
      </w:r>
      <w:r>
        <w:rPr>
          <w:b/>
        </w:rPr>
        <w:t>(</w:t>
      </w:r>
      <w:r w:rsidRPr="001F7CB0">
        <w:rPr>
          <w:b/>
        </w:rPr>
        <w:t>SDQ</w:t>
      </w:r>
      <w:r>
        <w:rPr>
          <w:b/>
        </w:rPr>
        <w:t>)</w:t>
      </w:r>
      <w:r>
        <w:t xml:space="preserve"> is a screening tool to evaluate children</w:t>
      </w:r>
      <w:r w:rsidR="001A627D">
        <w:t>’</w:t>
      </w:r>
      <w:r>
        <w:t>s emotional and behavioural development. The SDQ asks about a child</w:t>
      </w:r>
      <w:r w:rsidR="001A627D">
        <w:t>’</w:t>
      </w:r>
      <w:r>
        <w:t xml:space="preserve">s psychosocial attributes (positive and negative behaviours): emotional attributes, </w:t>
      </w:r>
      <w:r w:rsidRPr="00D54C51">
        <w:rPr>
          <w:szCs w:val="22"/>
        </w:rPr>
        <w:t>conduct, hyperactivity, peer relations and prosocial behaviour. It also asks about how the child</w:t>
      </w:r>
      <w:r w:rsidR="001A627D">
        <w:rPr>
          <w:szCs w:val="22"/>
        </w:rPr>
        <w:t>’</w:t>
      </w:r>
      <w:r w:rsidRPr="00D54C51">
        <w:rPr>
          <w:szCs w:val="22"/>
        </w:rPr>
        <w:t>s behavioural difficulties affect the child</w:t>
      </w:r>
      <w:r w:rsidR="001A627D">
        <w:rPr>
          <w:szCs w:val="22"/>
        </w:rPr>
        <w:t>’</w:t>
      </w:r>
      <w:r w:rsidRPr="00D54C51">
        <w:rPr>
          <w:szCs w:val="22"/>
        </w:rPr>
        <w:t>s life.</w:t>
      </w:r>
    </w:p>
    <w:p w:rsidR="00705AB0" w:rsidRPr="00D54C51" w:rsidRDefault="00705AB0" w:rsidP="007603FA"/>
    <w:p w:rsidR="00705AB0" w:rsidRPr="00D54C51" w:rsidRDefault="00705AB0" w:rsidP="007603FA">
      <w:r>
        <w:t xml:space="preserve">The </w:t>
      </w:r>
      <w:r w:rsidRPr="00FA70FB">
        <w:rPr>
          <w:b/>
        </w:rPr>
        <w:t>Well Child/Tamariki Ora</w:t>
      </w:r>
      <w:r w:rsidRPr="00D54C51">
        <w:t xml:space="preserve"> </w:t>
      </w:r>
      <w:r w:rsidRPr="00D54C51">
        <w:rPr>
          <w:b/>
        </w:rPr>
        <w:t>(WCTO)</w:t>
      </w:r>
      <w:r w:rsidRPr="00D54C51">
        <w:rPr>
          <w:lang w:eastAsia="en-NZ"/>
        </w:rPr>
        <w:t xml:space="preserve"> </w:t>
      </w:r>
      <w:r>
        <w:rPr>
          <w:lang w:eastAsia="en-NZ"/>
        </w:rPr>
        <w:t xml:space="preserve">programme </w:t>
      </w:r>
      <w:r w:rsidRPr="00D54C51">
        <w:rPr>
          <w:lang w:eastAsia="en-NZ"/>
        </w:rPr>
        <w:t xml:space="preserve">is a free </w:t>
      </w:r>
      <w:r>
        <w:rPr>
          <w:lang w:eastAsia="en-NZ"/>
        </w:rPr>
        <w:t xml:space="preserve">programme of </w:t>
      </w:r>
      <w:r w:rsidRPr="00D54C51">
        <w:rPr>
          <w:lang w:eastAsia="en-NZ"/>
        </w:rPr>
        <w:t>screening, education and support service</w:t>
      </w:r>
      <w:r>
        <w:rPr>
          <w:lang w:eastAsia="en-NZ"/>
        </w:rPr>
        <w:t>s</w:t>
      </w:r>
      <w:r w:rsidRPr="00D54C51">
        <w:rPr>
          <w:lang w:eastAsia="en-NZ"/>
        </w:rPr>
        <w:t xml:space="preserve"> offered to all New Zealand children and their famil</w:t>
      </w:r>
      <w:r>
        <w:rPr>
          <w:lang w:eastAsia="en-NZ"/>
        </w:rPr>
        <w:t>ies/</w:t>
      </w:r>
      <w:r w:rsidRPr="00D54C51">
        <w:rPr>
          <w:lang w:eastAsia="en-NZ"/>
        </w:rPr>
        <w:t>wh</w:t>
      </w:r>
      <w:r w:rsidRPr="0030431D">
        <w:rPr>
          <w:lang w:eastAsia="en-NZ"/>
        </w:rPr>
        <w:t>ā</w:t>
      </w:r>
      <w:r w:rsidRPr="00D54C51">
        <w:rPr>
          <w:lang w:eastAsia="en-NZ"/>
        </w:rPr>
        <w:t>nau from birth to five years. It assists families and wh</w:t>
      </w:r>
      <w:r w:rsidRPr="0030431D">
        <w:rPr>
          <w:lang w:eastAsia="en-NZ"/>
        </w:rPr>
        <w:t>ā</w:t>
      </w:r>
      <w:r w:rsidRPr="00D54C51">
        <w:rPr>
          <w:lang w:eastAsia="en-NZ"/>
        </w:rPr>
        <w:t>nau to improve and protect their children</w:t>
      </w:r>
      <w:r w:rsidR="001A627D">
        <w:rPr>
          <w:lang w:eastAsia="en-NZ"/>
        </w:rPr>
        <w:t>’</w:t>
      </w:r>
      <w:r w:rsidRPr="00D54C51">
        <w:rPr>
          <w:lang w:eastAsia="en-NZ"/>
        </w:rPr>
        <w:t>s health.</w:t>
      </w:r>
    </w:p>
    <w:p w:rsidR="00705AB0" w:rsidRPr="00D54C51" w:rsidRDefault="00705AB0" w:rsidP="007603FA"/>
    <w:p w:rsidR="00705AB0" w:rsidRPr="00D54C51" w:rsidRDefault="00705AB0" w:rsidP="007603FA">
      <w:pPr>
        <w:rPr>
          <w:lang w:eastAsia="en-NZ"/>
        </w:rPr>
      </w:pPr>
      <w:r w:rsidRPr="00D54C51">
        <w:rPr>
          <w:b/>
        </w:rPr>
        <w:t xml:space="preserve">WCTO </w:t>
      </w:r>
      <w:r>
        <w:rPr>
          <w:b/>
        </w:rPr>
        <w:t>c</w:t>
      </w:r>
      <w:r w:rsidRPr="00D54C51">
        <w:rPr>
          <w:b/>
        </w:rPr>
        <w:t xml:space="preserve">ore </w:t>
      </w:r>
      <w:r>
        <w:rPr>
          <w:b/>
        </w:rPr>
        <w:t>c</w:t>
      </w:r>
      <w:r w:rsidRPr="00D54C51">
        <w:rPr>
          <w:b/>
        </w:rPr>
        <w:t>ontacts</w:t>
      </w:r>
      <w:r w:rsidRPr="00D54C51">
        <w:t xml:space="preserve"> are the universal </w:t>
      </w:r>
      <w:r>
        <w:t xml:space="preserve">health and wellbeing </w:t>
      </w:r>
      <w:r w:rsidRPr="00D54C51">
        <w:t>c</w:t>
      </w:r>
      <w:r w:rsidRPr="00D54C51">
        <w:rPr>
          <w:lang w:eastAsia="en-NZ"/>
        </w:rPr>
        <w:t xml:space="preserve">hecks </w:t>
      </w:r>
      <w:r>
        <w:rPr>
          <w:lang w:eastAsia="en-NZ"/>
        </w:rPr>
        <w:t xml:space="preserve">children are entitled to under the WCTO programme </w:t>
      </w:r>
      <w:r w:rsidRPr="00D54C51">
        <w:rPr>
          <w:lang w:eastAsia="en-NZ"/>
        </w:rPr>
        <w:t xml:space="preserve">from birth to </w:t>
      </w:r>
      <w:r>
        <w:rPr>
          <w:lang w:eastAsia="en-NZ"/>
        </w:rPr>
        <w:t xml:space="preserve">five </w:t>
      </w:r>
      <w:r w:rsidRPr="00D54C51">
        <w:rPr>
          <w:lang w:eastAsia="en-NZ"/>
        </w:rPr>
        <w:t xml:space="preserve">years of age. From birth to </w:t>
      </w:r>
      <w:r>
        <w:rPr>
          <w:lang w:eastAsia="en-NZ"/>
        </w:rPr>
        <w:t>six</w:t>
      </w:r>
      <w:r w:rsidRPr="00D54C51">
        <w:rPr>
          <w:lang w:eastAsia="en-NZ"/>
        </w:rPr>
        <w:t xml:space="preserve"> weeks, </w:t>
      </w:r>
      <w:r>
        <w:rPr>
          <w:lang w:eastAsia="en-NZ"/>
        </w:rPr>
        <w:t xml:space="preserve">four WCTO core contacts </w:t>
      </w:r>
      <w:r w:rsidRPr="00D54C51">
        <w:rPr>
          <w:lang w:eastAsia="en-NZ"/>
        </w:rPr>
        <w:t xml:space="preserve">are provided by </w:t>
      </w:r>
      <w:r>
        <w:rPr>
          <w:lang w:eastAsia="en-NZ"/>
        </w:rPr>
        <w:t>the LMC, and one is provided by the family</w:t>
      </w:r>
      <w:r w:rsidR="001A627D">
        <w:rPr>
          <w:lang w:eastAsia="en-NZ"/>
        </w:rPr>
        <w:t>’</w:t>
      </w:r>
      <w:r>
        <w:rPr>
          <w:lang w:eastAsia="en-NZ"/>
        </w:rPr>
        <w:t xml:space="preserve">s general practitioner. </w:t>
      </w:r>
      <w:r w:rsidRPr="00D54C51">
        <w:rPr>
          <w:lang w:eastAsia="en-NZ"/>
        </w:rPr>
        <w:t xml:space="preserve">From four weeks to three years, </w:t>
      </w:r>
      <w:r>
        <w:rPr>
          <w:lang w:eastAsia="en-NZ"/>
        </w:rPr>
        <w:t xml:space="preserve">a WCTO provider performs </w:t>
      </w:r>
      <w:r w:rsidRPr="00D54C51">
        <w:rPr>
          <w:lang w:eastAsia="en-NZ"/>
        </w:rPr>
        <w:t xml:space="preserve">seven core </w:t>
      </w:r>
      <w:r>
        <w:rPr>
          <w:lang w:eastAsia="en-NZ"/>
        </w:rPr>
        <w:t>WCTO</w:t>
      </w:r>
      <w:r w:rsidRPr="00D54C51">
        <w:rPr>
          <w:lang w:eastAsia="en-NZ"/>
        </w:rPr>
        <w:t xml:space="preserve"> checks</w:t>
      </w:r>
      <w:r>
        <w:rPr>
          <w:lang w:eastAsia="en-NZ"/>
        </w:rPr>
        <w:t>,</w:t>
      </w:r>
      <w:r w:rsidRPr="00D54C51">
        <w:rPr>
          <w:lang w:eastAsia="en-NZ"/>
        </w:rPr>
        <w:t xml:space="preserve"> timed at important stages in the child</w:t>
      </w:r>
      <w:r w:rsidR="001A627D">
        <w:rPr>
          <w:lang w:eastAsia="en-NZ"/>
        </w:rPr>
        <w:t>’</w:t>
      </w:r>
      <w:r w:rsidRPr="00D54C51">
        <w:rPr>
          <w:lang w:eastAsia="en-NZ"/>
        </w:rPr>
        <w:t xml:space="preserve">s life. The </w:t>
      </w:r>
      <w:r w:rsidRPr="00FA70FB">
        <w:rPr>
          <w:b/>
          <w:lang w:eastAsia="en-NZ"/>
        </w:rPr>
        <w:t>B4SC</w:t>
      </w:r>
      <w:r w:rsidRPr="00D54C51">
        <w:rPr>
          <w:lang w:eastAsia="en-NZ"/>
        </w:rPr>
        <w:t xml:space="preserve"> is the final </w:t>
      </w:r>
      <w:r>
        <w:rPr>
          <w:lang w:eastAsia="en-NZ"/>
        </w:rPr>
        <w:t>WCTO core contact; it</w:t>
      </w:r>
      <w:r w:rsidRPr="00D54C51">
        <w:rPr>
          <w:lang w:eastAsia="en-NZ"/>
        </w:rPr>
        <w:t xml:space="preserve"> takes place when a child is four years old.</w:t>
      </w:r>
    </w:p>
    <w:p w:rsidR="00705AB0" w:rsidRPr="00D54C51" w:rsidRDefault="00705AB0" w:rsidP="007603FA">
      <w:pPr>
        <w:rPr>
          <w:lang w:eastAsia="en-NZ"/>
        </w:rPr>
      </w:pPr>
    </w:p>
    <w:p w:rsidR="001A627D" w:rsidRDefault="00705AB0" w:rsidP="007603FA">
      <w:pPr>
        <w:rPr>
          <w:lang w:eastAsia="en-NZ"/>
        </w:rPr>
      </w:pPr>
      <w:r w:rsidRPr="00D54C51">
        <w:rPr>
          <w:rFonts w:cs="Lucida Sans Unicode"/>
          <w:b/>
          <w:lang w:eastAsia="en-NZ"/>
        </w:rPr>
        <w:t xml:space="preserve">WCTO </w:t>
      </w:r>
      <w:r>
        <w:rPr>
          <w:rFonts w:cs="Lucida Sans Unicode"/>
          <w:b/>
          <w:lang w:eastAsia="en-NZ"/>
        </w:rPr>
        <w:t>a</w:t>
      </w:r>
      <w:r w:rsidRPr="00D54C51">
        <w:rPr>
          <w:rFonts w:cs="Lucida Sans Unicode"/>
          <w:b/>
          <w:lang w:eastAsia="en-NZ"/>
        </w:rPr>
        <w:t xml:space="preserve">dditional </w:t>
      </w:r>
      <w:r>
        <w:rPr>
          <w:rFonts w:cs="Lucida Sans Unicode"/>
          <w:b/>
          <w:lang w:eastAsia="en-NZ"/>
        </w:rPr>
        <w:t>c</w:t>
      </w:r>
      <w:r w:rsidRPr="00D54C51">
        <w:rPr>
          <w:rFonts w:cs="Lucida Sans Unicode"/>
          <w:b/>
          <w:lang w:eastAsia="en-NZ"/>
        </w:rPr>
        <w:t>ontacts</w:t>
      </w:r>
      <w:r w:rsidRPr="00D54C51">
        <w:rPr>
          <w:rFonts w:cs="Lucida Sans Unicode"/>
          <w:lang w:eastAsia="en-NZ"/>
        </w:rPr>
        <w:t xml:space="preserve"> are</w:t>
      </w:r>
      <w:r w:rsidRPr="00D54C51">
        <w:rPr>
          <w:lang w:eastAsia="en-NZ"/>
        </w:rPr>
        <w:t xml:space="preserve"> </w:t>
      </w:r>
      <w:r>
        <w:rPr>
          <w:lang w:eastAsia="en-NZ"/>
        </w:rPr>
        <w:t>available to children and their families/</w:t>
      </w:r>
      <w:r w:rsidRPr="00D54C51">
        <w:rPr>
          <w:lang w:eastAsia="en-NZ"/>
        </w:rPr>
        <w:t>wh</w:t>
      </w:r>
      <w:r w:rsidRPr="0030431D">
        <w:rPr>
          <w:lang w:eastAsia="en-NZ"/>
        </w:rPr>
        <w:t>ā</w:t>
      </w:r>
      <w:r w:rsidRPr="00D54C51">
        <w:rPr>
          <w:lang w:eastAsia="en-NZ"/>
        </w:rPr>
        <w:t xml:space="preserve">nau when there is an assessed need for further support, best met by </w:t>
      </w:r>
      <w:r>
        <w:rPr>
          <w:lang w:eastAsia="en-NZ"/>
        </w:rPr>
        <w:t>a</w:t>
      </w:r>
      <w:r w:rsidRPr="00D54C51">
        <w:rPr>
          <w:lang w:eastAsia="en-NZ"/>
        </w:rPr>
        <w:t xml:space="preserve"> WCTO provider.</w:t>
      </w:r>
    </w:p>
    <w:p w:rsidR="00705AB0" w:rsidRPr="00D54C51" w:rsidRDefault="00705AB0" w:rsidP="007603FA"/>
    <w:p w:rsidR="001A627D" w:rsidRDefault="00705AB0" w:rsidP="007603FA">
      <w:r w:rsidRPr="00D54C51">
        <w:t xml:space="preserve">The </w:t>
      </w:r>
      <w:r>
        <w:rPr>
          <w:b/>
        </w:rPr>
        <w:t>WCTO</w:t>
      </w:r>
      <w:r w:rsidRPr="00D54C51">
        <w:rPr>
          <w:b/>
        </w:rPr>
        <w:t xml:space="preserve"> National Schedule</w:t>
      </w:r>
      <w:r w:rsidRPr="00D54C51">
        <w:t xml:space="preserve"> is a service delivery schedule that describes the assessment, prevention and early intervention activities </w:t>
      </w:r>
      <w:r>
        <w:t>provided under the WCTO programme</w:t>
      </w:r>
      <w:r w:rsidRPr="00D54C51">
        <w:t>. The schedule incorporates the key public health concepts of supportive environments, disease prevention and health promotion.</w:t>
      </w:r>
    </w:p>
    <w:p w:rsidR="00705AB0" w:rsidRPr="000424B4" w:rsidRDefault="00705AB0" w:rsidP="007603FA"/>
    <w:p w:rsidR="00705AB0" w:rsidRDefault="007603FA" w:rsidP="007603FA">
      <w:pPr>
        <w:pStyle w:val="Heading1"/>
      </w:pPr>
      <w:bookmarkStart w:id="66" w:name="_Toc360627078"/>
      <w:r>
        <w:br w:type="page"/>
      </w:r>
      <w:bookmarkStart w:id="67" w:name="_Toc361597314"/>
      <w:r w:rsidR="00705AB0">
        <w:t>Appendix 2: Measures and data sources for the quality indicators</w:t>
      </w:r>
      <w:bookmarkEnd w:id="66"/>
      <w:bookmarkEnd w:id="67"/>
    </w:p>
    <w:tbl>
      <w:tblPr>
        <w:tblW w:w="4970" w:type="pct"/>
        <w:tblInd w:w="57" w:type="dxa"/>
        <w:tblBorders>
          <w:top w:val="single" w:sz="4" w:space="0" w:color="auto"/>
          <w:bottom w:val="single" w:sz="4" w:space="0" w:color="auto"/>
        </w:tblBorders>
        <w:shd w:val="clear" w:color="auto" w:fill="FFFFFF"/>
        <w:tblLayout w:type="fixed"/>
        <w:tblCellMar>
          <w:left w:w="57" w:type="dxa"/>
          <w:right w:w="57" w:type="dxa"/>
        </w:tblCellMar>
        <w:tblLook w:val="04A0" w:firstRow="1" w:lastRow="0" w:firstColumn="1" w:lastColumn="0" w:noHBand="0" w:noVBand="1"/>
      </w:tblPr>
      <w:tblGrid>
        <w:gridCol w:w="425"/>
        <w:gridCol w:w="2995"/>
        <w:gridCol w:w="2995"/>
        <w:gridCol w:w="2997"/>
      </w:tblGrid>
      <w:tr w:rsidR="00B523D9" w:rsidRPr="00F46526" w:rsidTr="00B523D9">
        <w:trPr>
          <w:cantSplit/>
          <w:tblHeader/>
        </w:trPr>
        <w:tc>
          <w:tcPr>
            <w:tcW w:w="226" w:type="pct"/>
            <w:tcBorders>
              <w:top w:val="single" w:sz="4" w:space="0" w:color="auto"/>
              <w:bottom w:val="single" w:sz="4" w:space="0" w:color="auto"/>
              <w:right w:val="single" w:sz="4" w:space="0" w:color="A6A6A6"/>
            </w:tcBorders>
            <w:shd w:val="clear" w:color="auto" w:fill="FFFFFF"/>
          </w:tcPr>
          <w:p w:rsidR="00B523D9" w:rsidRPr="00F46526" w:rsidRDefault="00B523D9" w:rsidP="00F46526">
            <w:pPr>
              <w:pStyle w:val="TableText"/>
              <w:rPr>
                <w:b/>
              </w:rPr>
            </w:pPr>
            <w:r>
              <w:rPr>
                <w:b/>
              </w:rPr>
              <w:t>No.</w:t>
            </w:r>
          </w:p>
        </w:tc>
        <w:tc>
          <w:tcPr>
            <w:tcW w:w="1591" w:type="pct"/>
            <w:tcBorders>
              <w:top w:val="single" w:sz="4" w:space="0" w:color="auto"/>
              <w:bottom w:val="single" w:sz="4" w:space="0" w:color="auto"/>
              <w:right w:val="single" w:sz="4" w:space="0" w:color="A6A6A6"/>
            </w:tcBorders>
            <w:shd w:val="clear" w:color="auto" w:fill="FFFFFF"/>
          </w:tcPr>
          <w:p w:rsidR="00B523D9" w:rsidRPr="00F46526" w:rsidRDefault="00B523D9" w:rsidP="00F46526">
            <w:pPr>
              <w:pStyle w:val="TableText"/>
              <w:rPr>
                <w:b/>
              </w:rPr>
            </w:pPr>
            <w:r w:rsidRPr="00F46526">
              <w:rPr>
                <w:b/>
              </w:rPr>
              <w:t>Measure</w:t>
            </w:r>
          </w:p>
        </w:tc>
        <w:tc>
          <w:tcPr>
            <w:tcW w:w="1591" w:type="pct"/>
            <w:tcBorders>
              <w:top w:val="single" w:sz="4" w:space="0" w:color="auto"/>
              <w:left w:val="single" w:sz="4" w:space="0" w:color="A6A6A6"/>
              <w:bottom w:val="single" w:sz="4" w:space="0" w:color="auto"/>
              <w:right w:val="single" w:sz="4" w:space="0" w:color="A6A6A6"/>
            </w:tcBorders>
            <w:shd w:val="clear" w:color="auto" w:fill="FFFFFF"/>
          </w:tcPr>
          <w:p w:rsidR="00B523D9" w:rsidRPr="00F46526" w:rsidRDefault="00B523D9" w:rsidP="00F46526">
            <w:pPr>
              <w:pStyle w:val="TableText"/>
              <w:jc w:val="center"/>
              <w:rPr>
                <w:b/>
              </w:rPr>
            </w:pPr>
            <w:r w:rsidRPr="00F46526">
              <w:rPr>
                <w:b/>
              </w:rPr>
              <w:t>Numerator (source)</w:t>
            </w:r>
          </w:p>
        </w:tc>
        <w:tc>
          <w:tcPr>
            <w:tcW w:w="1592" w:type="pct"/>
            <w:tcBorders>
              <w:top w:val="single" w:sz="4" w:space="0" w:color="auto"/>
              <w:left w:val="single" w:sz="4" w:space="0" w:color="A6A6A6"/>
              <w:bottom w:val="single" w:sz="4" w:space="0" w:color="auto"/>
            </w:tcBorders>
            <w:shd w:val="clear" w:color="auto" w:fill="FFFFFF"/>
          </w:tcPr>
          <w:p w:rsidR="00B523D9" w:rsidRPr="00F46526" w:rsidRDefault="00B523D9" w:rsidP="00F46526">
            <w:pPr>
              <w:pStyle w:val="TableText"/>
              <w:jc w:val="center"/>
              <w:rPr>
                <w:b/>
              </w:rPr>
            </w:pPr>
            <w:r w:rsidRPr="00F46526">
              <w:rPr>
                <w:b/>
              </w:rPr>
              <w:t>Denominator (source)</w:t>
            </w:r>
          </w:p>
        </w:tc>
      </w:tr>
      <w:tr w:rsidR="00B523D9" w:rsidRPr="00C658B3" w:rsidTr="00B523D9">
        <w:trPr>
          <w:cantSplit/>
        </w:trPr>
        <w:tc>
          <w:tcPr>
            <w:tcW w:w="226" w:type="pct"/>
            <w:tcBorders>
              <w:top w:val="single" w:sz="4" w:space="0" w:color="auto"/>
              <w:bottom w:val="nil"/>
              <w:right w:val="single" w:sz="4" w:space="0" w:color="A6A6A6"/>
            </w:tcBorders>
            <w:shd w:val="clear" w:color="auto" w:fill="F2F2F2"/>
          </w:tcPr>
          <w:p w:rsidR="00B523D9" w:rsidRPr="00705AB0" w:rsidRDefault="00B523D9" w:rsidP="00F46526">
            <w:pPr>
              <w:pStyle w:val="TableText"/>
            </w:pPr>
            <w:r>
              <w:t>1</w:t>
            </w:r>
          </w:p>
        </w:tc>
        <w:tc>
          <w:tcPr>
            <w:tcW w:w="1591" w:type="pct"/>
            <w:tcBorders>
              <w:top w:val="single" w:sz="4" w:space="0" w:color="auto"/>
              <w:bottom w:val="nil"/>
              <w:right w:val="single" w:sz="4" w:space="0" w:color="A6A6A6"/>
            </w:tcBorders>
            <w:shd w:val="clear" w:color="auto" w:fill="F2F2F2"/>
          </w:tcPr>
          <w:p w:rsidR="00B523D9" w:rsidRPr="00705AB0" w:rsidRDefault="00B523D9" w:rsidP="00F46526">
            <w:pPr>
              <w:pStyle w:val="TableText"/>
            </w:pPr>
            <w:r w:rsidRPr="00705AB0">
              <w:t>Newborns are enrolled with a general practice by two weeks of age</w:t>
            </w:r>
          </w:p>
        </w:tc>
        <w:tc>
          <w:tcPr>
            <w:tcW w:w="1591" w:type="pct"/>
            <w:tcBorders>
              <w:top w:val="single" w:sz="4" w:space="0" w:color="auto"/>
              <w:left w:val="single" w:sz="4" w:space="0" w:color="A6A6A6"/>
              <w:bottom w:val="nil"/>
              <w:right w:val="single" w:sz="4" w:space="0" w:color="A6A6A6"/>
            </w:tcBorders>
            <w:shd w:val="clear" w:color="auto" w:fill="F2F2F2"/>
          </w:tcPr>
          <w:p w:rsidR="00B523D9" w:rsidRPr="00705AB0" w:rsidRDefault="00B523D9" w:rsidP="00F46526">
            <w:pPr>
              <w:pStyle w:val="TableText"/>
            </w:pPr>
            <w:r w:rsidRPr="00705AB0">
              <w:t>Number of newborns enrolled with a primary health organisation (PHO) by two weeks of age (PHO)</w:t>
            </w:r>
          </w:p>
        </w:tc>
        <w:tc>
          <w:tcPr>
            <w:tcW w:w="1592" w:type="pct"/>
            <w:tcBorders>
              <w:top w:val="single" w:sz="4" w:space="0" w:color="auto"/>
              <w:left w:val="single" w:sz="4" w:space="0" w:color="A6A6A6"/>
              <w:bottom w:val="nil"/>
            </w:tcBorders>
            <w:shd w:val="clear" w:color="auto" w:fill="F2F2F2"/>
          </w:tcPr>
          <w:p w:rsidR="00B523D9" w:rsidRPr="00705AB0" w:rsidRDefault="00B523D9" w:rsidP="00F46526">
            <w:pPr>
              <w:pStyle w:val="TableText"/>
            </w:pPr>
            <w:r w:rsidRPr="00705AB0">
              <w:t>Number of newborns (National Immunisation Register (NIR))</w:t>
            </w:r>
          </w:p>
        </w:tc>
      </w:tr>
      <w:tr w:rsidR="00B523D9" w:rsidRPr="00C658B3" w:rsidTr="00B523D9">
        <w:trPr>
          <w:cantSplit/>
        </w:trPr>
        <w:tc>
          <w:tcPr>
            <w:tcW w:w="226" w:type="pct"/>
            <w:tcBorders>
              <w:top w:val="nil"/>
              <w:bottom w:val="nil"/>
              <w:right w:val="single" w:sz="4" w:space="0" w:color="A6A6A6"/>
            </w:tcBorders>
            <w:shd w:val="clear" w:color="auto" w:fill="FFFFFF"/>
          </w:tcPr>
          <w:p w:rsidR="00B523D9" w:rsidRPr="00705AB0" w:rsidRDefault="00B523D9" w:rsidP="00F46526">
            <w:pPr>
              <w:pStyle w:val="TableText"/>
            </w:pPr>
            <w:r>
              <w:t>2</w:t>
            </w:r>
          </w:p>
        </w:tc>
        <w:tc>
          <w:tcPr>
            <w:tcW w:w="1591" w:type="pct"/>
            <w:tcBorders>
              <w:top w:val="nil"/>
              <w:bottom w:val="nil"/>
              <w:right w:val="single" w:sz="4" w:space="0" w:color="A6A6A6"/>
            </w:tcBorders>
            <w:shd w:val="clear" w:color="auto" w:fill="FFFFFF"/>
          </w:tcPr>
          <w:p w:rsidR="00B523D9" w:rsidRPr="00705AB0" w:rsidRDefault="00B523D9" w:rsidP="00F46526">
            <w:pPr>
              <w:pStyle w:val="TableText"/>
            </w:pPr>
            <w:r w:rsidRPr="00705AB0">
              <w:t>LMCs refer families/whānau to a WCTO provider</w:t>
            </w:r>
          </w:p>
        </w:tc>
        <w:tc>
          <w:tcPr>
            <w:tcW w:w="1591" w:type="pct"/>
            <w:tcBorders>
              <w:top w:val="nil"/>
              <w:left w:val="single" w:sz="4" w:space="0" w:color="A6A6A6"/>
              <w:bottom w:val="nil"/>
              <w:right w:val="single" w:sz="4" w:space="0" w:color="A6A6A6"/>
            </w:tcBorders>
            <w:shd w:val="clear" w:color="auto" w:fill="FFFFFF"/>
          </w:tcPr>
          <w:p w:rsidR="00B523D9" w:rsidRPr="00705AB0" w:rsidRDefault="00B523D9" w:rsidP="00F46526">
            <w:pPr>
              <w:pStyle w:val="TableText"/>
            </w:pPr>
            <w:r w:rsidRPr="00705AB0">
              <w:t>Number of newborns referred to WCTO by LMC (National Maternity Collection (MAT))</w:t>
            </w:r>
          </w:p>
        </w:tc>
        <w:tc>
          <w:tcPr>
            <w:tcW w:w="1592" w:type="pct"/>
            <w:tcBorders>
              <w:top w:val="nil"/>
              <w:left w:val="single" w:sz="4" w:space="0" w:color="A6A6A6"/>
              <w:bottom w:val="nil"/>
            </w:tcBorders>
            <w:shd w:val="clear" w:color="auto" w:fill="FFFFFF"/>
          </w:tcPr>
          <w:p w:rsidR="00B523D9" w:rsidRPr="00705AB0" w:rsidRDefault="00B523D9" w:rsidP="00F46526">
            <w:pPr>
              <w:pStyle w:val="TableText"/>
            </w:pPr>
            <w:r w:rsidRPr="00705AB0">
              <w:t>Number of newborns receiving LMC services (MAT)</w:t>
            </w:r>
          </w:p>
        </w:tc>
      </w:tr>
      <w:tr w:rsidR="00B523D9" w:rsidRPr="00C658B3" w:rsidTr="00B523D9">
        <w:trPr>
          <w:cantSplit/>
        </w:trPr>
        <w:tc>
          <w:tcPr>
            <w:tcW w:w="226" w:type="pct"/>
            <w:tcBorders>
              <w:top w:val="nil"/>
              <w:bottom w:val="nil"/>
              <w:right w:val="single" w:sz="4" w:space="0" w:color="A6A6A6"/>
            </w:tcBorders>
            <w:shd w:val="clear" w:color="auto" w:fill="F2F2F2"/>
          </w:tcPr>
          <w:p w:rsidR="00B523D9" w:rsidRPr="00705AB0" w:rsidRDefault="00B523D9" w:rsidP="00F46526">
            <w:pPr>
              <w:pStyle w:val="TableText"/>
            </w:pPr>
            <w:r>
              <w:t>3</w:t>
            </w:r>
          </w:p>
        </w:tc>
        <w:tc>
          <w:tcPr>
            <w:tcW w:w="1591" w:type="pct"/>
            <w:tcBorders>
              <w:top w:val="nil"/>
              <w:bottom w:val="nil"/>
              <w:right w:val="single" w:sz="4" w:space="0" w:color="A6A6A6"/>
            </w:tcBorders>
            <w:shd w:val="clear" w:color="auto" w:fill="F2F2F2"/>
          </w:tcPr>
          <w:p w:rsidR="00B523D9" w:rsidRPr="00705AB0" w:rsidRDefault="00B523D9" w:rsidP="00F46526">
            <w:pPr>
              <w:pStyle w:val="TableText"/>
            </w:pPr>
            <w:r w:rsidRPr="00705AB0">
              <w:t>Infants (0–12 months) receive all WCTO core contacts in their first year of life</w:t>
            </w:r>
          </w:p>
        </w:tc>
        <w:tc>
          <w:tcPr>
            <w:tcW w:w="1591" w:type="pct"/>
            <w:tcBorders>
              <w:top w:val="nil"/>
              <w:left w:val="single" w:sz="4" w:space="0" w:color="A6A6A6"/>
              <w:bottom w:val="nil"/>
              <w:right w:val="single" w:sz="4" w:space="0" w:color="A6A6A6"/>
            </w:tcBorders>
            <w:shd w:val="clear" w:color="auto" w:fill="F2F2F2"/>
          </w:tcPr>
          <w:p w:rsidR="00B523D9" w:rsidRPr="00705AB0" w:rsidRDefault="00B523D9" w:rsidP="00F46526">
            <w:pPr>
              <w:pStyle w:val="TableText"/>
            </w:pPr>
            <w:r w:rsidRPr="00705AB0">
              <w:t>Number of infants who have received WCTO core contacts in their first year of life (WCTO)</w:t>
            </w:r>
          </w:p>
        </w:tc>
        <w:tc>
          <w:tcPr>
            <w:tcW w:w="1592" w:type="pct"/>
            <w:tcBorders>
              <w:top w:val="nil"/>
              <w:left w:val="single" w:sz="4" w:space="0" w:color="A6A6A6"/>
              <w:bottom w:val="nil"/>
            </w:tcBorders>
            <w:shd w:val="clear" w:color="auto" w:fill="F2F2F2"/>
          </w:tcPr>
          <w:p w:rsidR="00B523D9" w:rsidRPr="00705AB0" w:rsidRDefault="00B523D9" w:rsidP="00B523D9">
            <w:pPr>
              <w:pStyle w:val="TableText"/>
            </w:pPr>
            <w:r w:rsidRPr="00705AB0">
              <w:t xml:space="preserve">Number of infants </w:t>
            </w:r>
            <w:r>
              <w:t>enrolled with WCTO (WCTO)</w:t>
            </w:r>
          </w:p>
        </w:tc>
      </w:tr>
      <w:tr w:rsidR="00B523D9" w:rsidRPr="00C658B3" w:rsidTr="00B523D9">
        <w:trPr>
          <w:cantSplit/>
        </w:trPr>
        <w:tc>
          <w:tcPr>
            <w:tcW w:w="226" w:type="pct"/>
            <w:tcBorders>
              <w:top w:val="nil"/>
              <w:bottom w:val="nil"/>
              <w:right w:val="single" w:sz="4" w:space="0" w:color="A6A6A6"/>
            </w:tcBorders>
            <w:shd w:val="clear" w:color="auto" w:fill="FFFFFF"/>
          </w:tcPr>
          <w:p w:rsidR="00B523D9" w:rsidRPr="00705AB0" w:rsidRDefault="00B523D9" w:rsidP="00F46526">
            <w:pPr>
              <w:pStyle w:val="TableText"/>
            </w:pPr>
            <w:r>
              <w:t>4</w:t>
            </w:r>
          </w:p>
        </w:tc>
        <w:tc>
          <w:tcPr>
            <w:tcW w:w="1591" w:type="pct"/>
            <w:tcBorders>
              <w:top w:val="nil"/>
              <w:bottom w:val="nil"/>
              <w:right w:val="single" w:sz="4" w:space="0" w:color="A6A6A6"/>
            </w:tcBorders>
            <w:shd w:val="clear" w:color="auto" w:fill="FFFFFF"/>
          </w:tcPr>
          <w:p w:rsidR="00B523D9" w:rsidRPr="00705AB0" w:rsidRDefault="00B523D9" w:rsidP="00F46526">
            <w:pPr>
              <w:pStyle w:val="TableText"/>
            </w:pPr>
            <w:r w:rsidRPr="00705AB0">
              <w:t>Four-year-olds receive a B4SC</w:t>
            </w:r>
          </w:p>
        </w:tc>
        <w:tc>
          <w:tcPr>
            <w:tcW w:w="1591" w:type="pct"/>
            <w:tcBorders>
              <w:top w:val="nil"/>
              <w:left w:val="single" w:sz="4" w:space="0" w:color="A6A6A6"/>
              <w:bottom w:val="nil"/>
              <w:right w:val="single" w:sz="4" w:space="0" w:color="A6A6A6"/>
            </w:tcBorders>
            <w:shd w:val="clear" w:color="auto" w:fill="FFFFFF"/>
          </w:tcPr>
          <w:p w:rsidR="00B523D9" w:rsidRPr="00705AB0" w:rsidRDefault="00B523D9" w:rsidP="00F46526">
            <w:pPr>
              <w:pStyle w:val="TableText"/>
            </w:pPr>
            <w:r w:rsidRPr="00705AB0">
              <w:t>Number of children with a completed B4SC (B4SC)</w:t>
            </w:r>
          </w:p>
        </w:tc>
        <w:tc>
          <w:tcPr>
            <w:tcW w:w="1592" w:type="pct"/>
            <w:tcBorders>
              <w:top w:val="nil"/>
              <w:left w:val="single" w:sz="4" w:space="0" w:color="A6A6A6"/>
              <w:bottom w:val="nil"/>
            </w:tcBorders>
            <w:shd w:val="clear" w:color="auto" w:fill="FFFFFF"/>
          </w:tcPr>
          <w:p w:rsidR="00B523D9" w:rsidRPr="00705AB0" w:rsidRDefault="00B523D9" w:rsidP="00F46526">
            <w:pPr>
              <w:pStyle w:val="TableText"/>
            </w:pPr>
            <w:r w:rsidRPr="00705AB0">
              <w:t>Number of four-year-olds (B4SC)</w:t>
            </w:r>
          </w:p>
        </w:tc>
      </w:tr>
      <w:tr w:rsidR="00B523D9" w:rsidRPr="00C658B3" w:rsidTr="00B523D9">
        <w:trPr>
          <w:cantSplit/>
        </w:trPr>
        <w:tc>
          <w:tcPr>
            <w:tcW w:w="226" w:type="pct"/>
            <w:tcBorders>
              <w:top w:val="nil"/>
              <w:bottom w:val="nil"/>
              <w:right w:val="single" w:sz="4" w:space="0" w:color="A6A6A6"/>
            </w:tcBorders>
            <w:shd w:val="clear" w:color="auto" w:fill="F2F2F2"/>
          </w:tcPr>
          <w:p w:rsidR="00B523D9" w:rsidRPr="00705AB0" w:rsidRDefault="00B523D9" w:rsidP="00F46526">
            <w:pPr>
              <w:pStyle w:val="TableText"/>
            </w:pPr>
            <w:r>
              <w:t>5</w:t>
            </w:r>
          </w:p>
        </w:tc>
        <w:tc>
          <w:tcPr>
            <w:tcW w:w="1591" w:type="pct"/>
            <w:tcBorders>
              <w:top w:val="nil"/>
              <w:bottom w:val="nil"/>
              <w:right w:val="single" w:sz="4" w:space="0" w:color="A6A6A6"/>
            </w:tcBorders>
            <w:shd w:val="clear" w:color="auto" w:fill="F2F2F2"/>
          </w:tcPr>
          <w:p w:rsidR="00B523D9" w:rsidRPr="00705AB0" w:rsidRDefault="00B523D9" w:rsidP="00F46526">
            <w:pPr>
              <w:pStyle w:val="TableText"/>
            </w:pPr>
            <w:r w:rsidRPr="00705AB0">
              <w:t>Children aged 0–4 are enrolled with child oral health services</w:t>
            </w:r>
          </w:p>
        </w:tc>
        <w:tc>
          <w:tcPr>
            <w:tcW w:w="1591" w:type="pct"/>
            <w:tcBorders>
              <w:top w:val="nil"/>
              <w:left w:val="single" w:sz="4" w:space="0" w:color="A6A6A6"/>
              <w:bottom w:val="nil"/>
              <w:right w:val="single" w:sz="4" w:space="0" w:color="A6A6A6"/>
            </w:tcBorders>
            <w:shd w:val="clear" w:color="auto" w:fill="F2F2F2"/>
          </w:tcPr>
          <w:p w:rsidR="00B523D9" w:rsidRPr="00705AB0" w:rsidRDefault="00B523D9" w:rsidP="00F46526">
            <w:pPr>
              <w:pStyle w:val="TableText"/>
            </w:pPr>
            <w:r w:rsidRPr="00705AB0">
              <w:t>Number of children aged 0–4 enrolled with child oral health services (Community Oral Health Services)</w:t>
            </w:r>
          </w:p>
        </w:tc>
        <w:tc>
          <w:tcPr>
            <w:tcW w:w="1592" w:type="pct"/>
            <w:tcBorders>
              <w:top w:val="nil"/>
              <w:left w:val="single" w:sz="4" w:space="0" w:color="A6A6A6"/>
              <w:bottom w:val="nil"/>
            </w:tcBorders>
            <w:shd w:val="clear" w:color="auto" w:fill="F2F2F2"/>
          </w:tcPr>
          <w:p w:rsidR="00B523D9" w:rsidRPr="00705AB0" w:rsidRDefault="00B523D9" w:rsidP="00F46526">
            <w:pPr>
              <w:pStyle w:val="TableText"/>
            </w:pPr>
            <w:r w:rsidRPr="00705AB0">
              <w:t>Number of children aged 0–4 (PHO)</w:t>
            </w:r>
          </w:p>
        </w:tc>
      </w:tr>
      <w:tr w:rsidR="00B523D9" w:rsidRPr="00C658B3" w:rsidTr="00B523D9">
        <w:trPr>
          <w:cantSplit/>
        </w:trPr>
        <w:tc>
          <w:tcPr>
            <w:tcW w:w="226" w:type="pct"/>
            <w:tcBorders>
              <w:top w:val="nil"/>
              <w:bottom w:val="nil"/>
              <w:right w:val="single" w:sz="4" w:space="0" w:color="A6A6A6"/>
            </w:tcBorders>
            <w:shd w:val="clear" w:color="auto" w:fill="FFFFFF"/>
          </w:tcPr>
          <w:p w:rsidR="00B523D9" w:rsidRPr="00705AB0" w:rsidRDefault="00B523D9" w:rsidP="00F46526">
            <w:pPr>
              <w:pStyle w:val="TableText"/>
            </w:pPr>
            <w:r>
              <w:t>6</w:t>
            </w:r>
          </w:p>
        </w:tc>
        <w:tc>
          <w:tcPr>
            <w:tcW w:w="1591" w:type="pct"/>
            <w:tcBorders>
              <w:top w:val="nil"/>
              <w:bottom w:val="nil"/>
              <w:right w:val="single" w:sz="4" w:space="0" w:color="A6A6A6"/>
            </w:tcBorders>
            <w:shd w:val="clear" w:color="auto" w:fill="FFFFFF"/>
          </w:tcPr>
          <w:p w:rsidR="00B523D9" w:rsidRPr="00705AB0" w:rsidRDefault="00B523D9" w:rsidP="00F46526">
            <w:pPr>
              <w:pStyle w:val="TableText"/>
            </w:pPr>
            <w:r w:rsidRPr="00705AB0">
              <w:t>Immunisations are up to date by eight months</w:t>
            </w:r>
          </w:p>
        </w:tc>
        <w:tc>
          <w:tcPr>
            <w:tcW w:w="1591" w:type="pct"/>
            <w:tcBorders>
              <w:top w:val="nil"/>
              <w:left w:val="single" w:sz="4" w:space="0" w:color="A6A6A6"/>
              <w:bottom w:val="nil"/>
              <w:right w:val="single" w:sz="4" w:space="0" w:color="A6A6A6"/>
            </w:tcBorders>
            <w:shd w:val="clear" w:color="auto" w:fill="FFFFFF"/>
          </w:tcPr>
          <w:p w:rsidR="00B523D9" w:rsidRPr="00705AB0" w:rsidRDefault="00B523D9" w:rsidP="00F46526">
            <w:pPr>
              <w:pStyle w:val="TableText"/>
            </w:pPr>
            <w:r w:rsidRPr="00705AB0">
              <w:t>Number of children whose immunisations are up to date at eight months (NIR)</w:t>
            </w:r>
          </w:p>
        </w:tc>
        <w:tc>
          <w:tcPr>
            <w:tcW w:w="1592" w:type="pct"/>
            <w:tcBorders>
              <w:top w:val="nil"/>
              <w:left w:val="single" w:sz="4" w:space="0" w:color="A6A6A6"/>
              <w:bottom w:val="nil"/>
            </w:tcBorders>
            <w:shd w:val="clear" w:color="auto" w:fill="FFFFFF"/>
          </w:tcPr>
          <w:p w:rsidR="00B523D9" w:rsidRPr="00705AB0" w:rsidRDefault="00B523D9" w:rsidP="00F46526">
            <w:pPr>
              <w:pStyle w:val="TableText"/>
            </w:pPr>
            <w:r w:rsidRPr="00705AB0">
              <w:t>Number of eight-month-olds (NIR)</w:t>
            </w:r>
          </w:p>
        </w:tc>
      </w:tr>
      <w:tr w:rsidR="00B523D9" w:rsidRPr="00C658B3" w:rsidTr="00B523D9">
        <w:trPr>
          <w:cantSplit/>
        </w:trPr>
        <w:tc>
          <w:tcPr>
            <w:tcW w:w="226" w:type="pct"/>
            <w:tcBorders>
              <w:top w:val="nil"/>
              <w:bottom w:val="nil"/>
              <w:right w:val="single" w:sz="4" w:space="0" w:color="A6A6A6"/>
            </w:tcBorders>
            <w:shd w:val="clear" w:color="auto" w:fill="F2F2F2"/>
          </w:tcPr>
          <w:p w:rsidR="00B523D9" w:rsidRPr="00705AB0" w:rsidRDefault="00B523D9" w:rsidP="00F46526">
            <w:pPr>
              <w:pStyle w:val="TableText"/>
            </w:pPr>
            <w:r>
              <w:t>7</w:t>
            </w:r>
          </w:p>
        </w:tc>
        <w:tc>
          <w:tcPr>
            <w:tcW w:w="1591" w:type="pct"/>
            <w:tcBorders>
              <w:top w:val="nil"/>
              <w:bottom w:val="nil"/>
              <w:right w:val="single" w:sz="4" w:space="0" w:color="A6A6A6"/>
            </w:tcBorders>
            <w:shd w:val="clear" w:color="auto" w:fill="F2F2F2"/>
          </w:tcPr>
          <w:p w:rsidR="00B523D9" w:rsidRPr="00705AB0" w:rsidRDefault="00B523D9" w:rsidP="00F46526">
            <w:pPr>
              <w:pStyle w:val="TableText"/>
            </w:pPr>
            <w:r w:rsidRPr="00705AB0">
              <w:t>Children are enrolled in early childhood education</w:t>
            </w:r>
          </w:p>
        </w:tc>
        <w:tc>
          <w:tcPr>
            <w:tcW w:w="1591" w:type="pct"/>
            <w:tcBorders>
              <w:top w:val="nil"/>
              <w:left w:val="single" w:sz="4" w:space="0" w:color="A6A6A6"/>
              <w:bottom w:val="nil"/>
              <w:right w:val="single" w:sz="4" w:space="0" w:color="A6A6A6"/>
            </w:tcBorders>
            <w:shd w:val="clear" w:color="auto" w:fill="F2F2F2"/>
          </w:tcPr>
          <w:p w:rsidR="00B523D9" w:rsidRPr="00705AB0" w:rsidRDefault="00B523D9" w:rsidP="00F46526">
            <w:pPr>
              <w:pStyle w:val="TableText"/>
            </w:pPr>
            <w:r w:rsidRPr="00705AB0">
              <w:t>Number of children enrolled in early childhood education (Ministry of Education)</w:t>
            </w:r>
          </w:p>
        </w:tc>
        <w:tc>
          <w:tcPr>
            <w:tcW w:w="1592" w:type="pct"/>
            <w:tcBorders>
              <w:top w:val="nil"/>
              <w:left w:val="single" w:sz="4" w:space="0" w:color="A6A6A6"/>
              <w:bottom w:val="nil"/>
            </w:tcBorders>
            <w:shd w:val="clear" w:color="auto" w:fill="F2F2F2"/>
          </w:tcPr>
          <w:p w:rsidR="00B523D9" w:rsidRPr="00705AB0" w:rsidRDefault="00B523D9" w:rsidP="00F46526">
            <w:pPr>
              <w:pStyle w:val="TableText"/>
            </w:pPr>
            <w:r w:rsidRPr="00705AB0">
              <w:t>Number of preschool children (Ministry of Education)</w:t>
            </w:r>
          </w:p>
        </w:tc>
      </w:tr>
      <w:tr w:rsidR="00B523D9" w:rsidRPr="00C658B3" w:rsidTr="00B523D9">
        <w:trPr>
          <w:cantSplit/>
        </w:trPr>
        <w:tc>
          <w:tcPr>
            <w:tcW w:w="226" w:type="pct"/>
            <w:tcBorders>
              <w:top w:val="nil"/>
              <w:bottom w:val="nil"/>
              <w:right w:val="single" w:sz="4" w:space="0" w:color="A6A6A6"/>
            </w:tcBorders>
            <w:shd w:val="clear" w:color="auto" w:fill="FFFFFF"/>
          </w:tcPr>
          <w:p w:rsidR="00B523D9" w:rsidRPr="00705AB0" w:rsidRDefault="00B523D9" w:rsidP="00F46526">
            <w:pPr>
              <w:pStyle w:val="TableText"/>
            </w:pPr>
            <w:r>
              <w:t>8</w:t>
            </w:r>
          </w:p>
        </w:tc>
        <w:tc>
          <w:tcPr>
            <w:tcW w:w="1591" w:type="pct"/>
            <w:tcBorders>
              <w:top w:val="nil"/>
              <w:bottom w:val="nil"/>
              <w:right w:val="single" w:sz="4" w:space="0" w:color="A6A6A6"/>
            </w:tcBorders>
            <w:shd w:val="clear" w:color="auto" w:fill="FFFFFF"/>
          </w:tcPr>
          <w:p w:rsidR="00B523D9" w:rsidRPr="00705AB0" w:rsidRDefault="00B523D9" w:rsidP="00F46526">
            <w:pPr>
              <w:pStyle w:val="TableText"/>
            </w:pPr>
            <w:r w:rsidRPr="00705AB0">
              <w:t>Children under six have access to free primary care</w:t>
            </w:r>
          </w:p>
        </w:tc>
        <w:tc>
          <w:tcPr>
            <w:tcW w:w="1591" w:type="pct"/>
            <w:tcBorders>
              <w:top w:val="nil"/>
              <w:left w:val="single" w:sz="4" w:space="0" w:color="A6A6A6"/>
              <w:bottom w:val="nil"/>
              <w:right w:val="single" w:sz="4" w:space="0" w:color="A6A6A6"/>
            </w:tcBorders>
            <w:shd w:val="clear" w:color="auto" w:fill="FFFFFF"/>
          </w:tcPr>
          <w:p w:rsidR="00B523D9" w:rsidRPr="00705AB0" w:rsidRDefault="00B523D9" w:rsidP="00F46526">
            <w:pPr>
              <w:pStyle w:val="TableText"/>
            </w:pPr>
            <w:r w:rsidRPr="00705AB0">
              <w:t>Number of children under six enrolled with a general practice offering free daytime services (DHB quarterly reporting)</w:t>
            </w:r>
          </w:p>
        </w:tc>
        <w:tc>
          <w:tcPr>
            <w:tcW w:w="1592" w:type="pct"/>
            <w:tcBorders>
              <w:top w:val="nil"/>
              <w:left w:val="single" w:sz="4" w:space="0" w:color="A6A6A6"/>
              <w:bottom w:val="nil"/>
            </w:tcBorders>
            <w:shd w:val="clear" w:color="auto" w:fill="FFFFFF"/>
          </w:tcPr>
          <w:p w:rsidR="00B523D9" w:rsidRPr="00705AB0" w:rsidRDefault="00B523D9" w:rsidP="00F46526">
            <w:pPr>
              <w:pStyle w:val="TableText"/>
            </w:pPr>
            <w:r w:rsidRPr="00705AB0">
              <w:t>Number of children under six enrolled with a PHO (PHO)</w:t>
            </w:r>
          </w:p>
        </w:tc>
      </w:tr>
      <w:tr w:rsidR="00B523D9" w:rsidRPr="00C658B3" w:rsidTr="00B523D9">
        <w:trPr>
          <w:cantSplit/>
        </w:trPr>
        <w:tc>
          <w:tcPr>
            <w:tcW w:w="226" w:type="pct"/>
            <w:tcBorders>
              <w:top w:val="nil"/>
              <w:bottom w:val="nil"/>
              <w:right w:val="single" w:sz="4" w:space="0" w:color="A6A6A6"/>
            </w:tcBorders>
            <w:shd w:val="clear" w:color="auto" w:fill="F2F2F2"/>
          </w:tcPr>
          <w:p w:rsidR="00B523D9" w:rsidRPr="00705AB0" w:rsidRDefault="00B523D9" w:rsidP="00F46526">
            <w:pPr>
              <w:pStyle w:val="TableText"/>
            </w:pPr>
            <w:r>
              <w:t>9</w:t>
            </w:r>
          </w:p>
        </w:tc>
        <w:tc>
          <w:tcPr>
            <w:tcW w:w="1591" w:type="pct"/>
            <w:tcBorders>
              <w:top w:val="nil"/>
              <w:bottom w:val="nil"/>
              <w:right w:val="single" w:sz="4" w:space="0" w:color="A6A6A6"/>
            </w:tcBorders>
            <w:shd w:val="clear" w:color="auto" w:fill="F2F2F2"/>
          </w:tcPr>
          <w:p w:rsidR="00B523D9" w:rsidRPr="00705AB0" w:rsidRDefault="00B523D9" w:rsidP="00F46526">
            <w:pPr>
              <w:pStyle w:val="TableText"/>
            </w:pPr>
            <w:r w:rsidRPr="00705AB0">
              <w:t xml:space="preserve">Children under six have access to free after-hours primary care </w:t>
            </w:r>
          </w:p>
        </w:tc>
        <w:tc>
          <w:tcPr>
            <w:tcW w:w="1591" w:type="pct"/>
            <w:tcBorders>
              <w:top w:val="nil"/>
              <w:left w:val="single" w:sz="4" w:space="0" w:color="A6A6A6"/>
              <w:bottom w:val="nil"/>
              <w:right w:val="single" w:sz="4" w:space="0" w:color="A6A6A6"/>
            </w:tcBorders>
            <w:shd w:val="clear" w:color="auto" w:fill="F2F2F2"/>
          </w:tcPr>
          <w:p w:rsidR="00B523D9" w:rsidRPr="00705AB0" w:rsidRDefault="00B523D9" w:rsidP="00F46526">
            <w:pPr>
              <w:pStyle w:val="TableText"/>
            </w:pPr>
            <w:r w:rsidRPr="00705AB0">
              <w:t>Number of children under six who have access to free after-hours primary care (DHB quarterly reporting)</w:t>
            </w:r>
          </w:p>
        </w:tc>
        <w:tc>
          <w:tcPr>
            <w:tcW w:w="1592" w:type="pct"/>
            <w:tcBorders>
              <w:top w:val="nil"/>
              <w:left w:val="single" w:sz="4" w:space="0" w:color="A6A6A6"/>
              <w:bottom w:val="nil"/>
            </w:tcBorders>
            <w:shd w:val="clear" w:color="auto" w:fill="F2F2F2"/>
          </w:tcPr>
          <w:p w:rsidR="00B523D9" w:rsidRPr="00705AB0" w:rsidRDefault="00B523D9" w:rsidP="00F46526">
            <w:pPr>
              <w:pStyle w:val="TableText"/>
            </w:pPr>
            <w:r w:rsidRPr="00705AB0">
              <w:t>Number of children under six enrolled with a PHO (PHO)</w:t>
            </w:r>
          </w:p>
        </w:tc>
      </w:tr>
      <w:tr w:rsidR="00B523D9" w:rsidRPr="00C658B3" w:rsidTr="00B523D9">
        <w:trPr>
          <w:cantSplit/>
        </w:trPr>
        <w:tc>
          <w:tcPr>
            <w:tcW w:w="226" w:type="pct"/>
            <w:tcBorders>
              <w:top w:val="nil"/>
              <w:bottom w:val="nil"/>
              <w:right w:val="single" w:sz="4" w:space="0" w:color="A6A6A6"/>
            </w:tcBorders>
            <w:shd w:val="clear" w:color="auto" w:fill="FFFFFF"/>
          </w:tcPr>
          <w:p w:rsidR="00B523D9" w:rsidRPr="00705AB0" w:rsidRDefault="00B523D9" w:rsidP="00F46526">
            <w:pPr>
              <w:pStyle w:val="TableText"/>
            </w:pPr>
            <w:r>
              <w:t>10</w:t>
            </w:r>
          </w:p>
        </w:tc>
        <w:tc>
          <w:tcPr>
            <w:tcW w:w="1591" w:type="pct"/>
            <w:tcBorders>
              <w:top w:val="nil"/>
              <w:bottom w:val="nil"/>
              <w:right w:val="single" w:sz="4" w:space="0" w:color="A6A6A6"/>
            </w:tcBorders>
            <w:shd w:val="clear" w:color="auto" w:fill="FFFFFF"/>
          </w:tcPr>
          <w:p w:rsidR="00B523D9" w:rsidRPr="00C658B3" w:rsidRDefault="00B523D9" w:rsidP="00F46526">
            <w:pPr>
              <w:pStyle w:val="TableText"/>
            </w:pPr>
            <w:r w:rsidRPr="00705AB0">
              <w:t>Children and families are seen within five months of referral to specialist services</w:t>
            </w:r>
          </w:p>
        </w:tc>
        <w:tc>
          <w:tcPr>
            <w:tcW w:w="1591" w:type="pct"/>
            <w:tcBorders>
              <w:top w:val="nil"/>
              <w:left w:val="single" w:sz="4" w:space="0" w:color="A6A6A6"/>
              <w:bottom w:val="nil"/>
              <w:right w:val="single" w:sz="4" w:space="0" w:color="A6A6A6"/>
            </w:tcBorders>
            <w:shd w:val="clear" w:color="auto" w:fill="FFFFFF"/>
          </w:tcPr>
          <w:p w:rsidR="00B523D9" w:rsidRPr="00705AB0" w:rsidRDefault="00B523D9" w:rsidP="00F46526">
            <w:pPr>
              <w:pStyle w:val="TableText"/>
            </w:pPr>
            <w:r w:rsidRPr="00705AB0">
              <w:t>Number of patients waiting more than five months for first specialist appointment at end of month (Paediatric Medicine ESPI 2)</w:t>
            </w:r>
          </w:p>
        </w:tc>
        <w:tc>
          <w:tcPr>
            <w:tcW w:w="1592" w:type="pct"/>
            <w:tcBorders>
              <w:top w:val="nil"/>
              <w:left w:val="single" w:sz="4" w:space="0" w:color="A6A6A6"/>
              <w:bottom w:val="nil"/>
            </w:tcBorders>
            <w:shd w:val="clear" w:color="auto" w:fill="FFFFFF"/>
          </w:tcPr>
          <w:p w:rsidR="00B523D9" w:rsidRPr="00705AB0" w:rsidRDefault="00B523D9" w:rsidP="00F46526">
            <w:pPr>
              <w:pStyle w:val="TableText"/>
            </w:pPr>
            <w:r w:rsidRPr="00705AB0">
              <w:t>Number of patients waiting for first specialist appointment at end of month (Paediatric Medicine ESPI 2)</w:t>
            </w:r>
          </w:p>
        </w:tc>
      </w:tr>
      <w:tr w:rsidR="00B523D9" w:rsidRPr="00C658B3" w:rsidTr="00B523D9">
        <w:trPr>
          <w:cantSplit/>
        </w:trPr>
        <w:tc>
          <w:tcPr>
            <w:tcW w:w="226" w:type="pct"/>
            <w:tcBorders>
              <w:top w:val="nil"/>
              <w:bottom w:val="nil"/>
              <w:right w:val="single" w:sz="4" w:space="0" w:color="A6A6A6"/>
            </w:tcBorders>
            <w:shd w:val="clear" w:color="auto" w:fill="F2F2F2"/>
          </w:tcPr>
          <w:p w:rsidR="00B523D9" w:rsidRPr="00705AB0" w:rsidRDefault="00B523D9" w:rsidP="00F46526">
            <w:pPr>
              <w:pStyle w:val="TableText"/>
            </w:pPr>
            <w:r>
              <w:t>11</w:t>
            </w:r>
          </w:p>
        </w:tc>
        <w:tc>
          <w:tcPr>
            <w:tcW w:w="1591" w:type="pct"/>
            <w:tcBorders>
              <w:top w:val="nil"/>
              <w:bottom w:val="nil"/>
              <w:right w:val="single" w:sz="4" w:space="0" w:color="A6A6A6"/>
            </w:tcBorders>
            <w:shd w:val="clear" w:color="auto" w:fill="F2F2F2"/>
          </w:tcPr>
          <w:p w:rsidR="00B523D9" w:rsidRPr="00705AB0" w:rsidRDefault="00B523D9" w:rsidP="00F46526">
            <w:pPr>
              <w:pStyle w:val="TableText"/>
            </w:pPr>
            <w:r w:rsidRPr="00705AB0">
              <w:t>Infants are exclusively or fully breastfed at two weeks</w:t>
            </w:r>
          </w:p>
        </w:tc>
        <w:tc>
          <w:tcPr>
            <w:tcW w:w="1591" w:type="pct"/>
            <w:tcBorders>
              <w:top w:val="nil"/>
              <w:left w:val="single" w:sz="4" w:space="0" w:color="A6A6A6"/>
              <w:bottom w:val="nil"/>
              <w:right w:val="single" w:sz="4" w:space="0" w:color="A6A6A6"/>
            </w:tcBorders>
            <w:shd w:val="clear" w:color="auto" w:fill="F2F2F2"/>
          </w:tcPr>
          <w:p w:rsidR="00B523D9" w:rsidRPr="00705AB0" w:rsidRDefault="00B523D9" w:rsidP="00F46526">
            <w:pPr>
              <w:pStyle w:val="TableText"/>
            </w:pPr>
            <w:r w:rsidRPr="00705AB0">
              <w:t>Number of infants exclusively or fully breastfed at two weeks (MAT)</w:t>
            </w:r>
          </w:p>
        </w:tc>
        <w:tc>
          <w:tcPr>
            <w:tcW w:w="1592" w:type="pct"/>
            <w:tcBorders>
              <w:top w:val="nil"/>
              <w:left w:val="single" w:sz="4" w:space="0" w:color="A6A6A6"/>
              <w:bottom w:val="nil"/>
            </w:tcBorders>
            <w:shd w:val="clear" w:color="auto" w:fill="F2F2F2"/>
          </w:tcPr>
          <w:p w:rsidR="00B523D9" w:rsidRPr="00705AB0" w:rsidRDefault="00B523D9" w:rsidP="00F46526">
            <w:pPr>
              <w:pStyle w:val="TableText"/>
            </w:pPr>
            <w:r w:rsidRPr="00705AB0">
              <w:t>Number of infants receiving LMC services (MAT)</w:t>
            </w:r>
          </w:p>
        </w:tc>
      </w:tr>
      <w:tr w:rsidR="00B523D9" w:rsidRPr="00C658B3" w:rsidTr="00B523D9">
        <w:trPr>
          <w:cantSplit/>
        </w:trPr>
        <w:tc>
          <w:tcPr>
            <w:tcW w:w="226" w:type="pct"/>
            <w:tcBorders>
              <w:top w:val="nil"/>
              <w:bottom w:val="nil"/>
              <w:right w:val="single" w:sz="4" w:space="0" w:color="A6A6A6"/>
            </w:tcBorders>
            <w:shd w:val="clear" w:color="auto" w:fill="FFFFFF"/>
          </w:tcPr>
          <w:p w:rsidR="00B523D9" w:rsidRPr="00705AB0" w:rsidRDefault="00B523D9" w:rsidP="00F46526">
            <w:pPr>
              <w:pStyle w:val="TableText"/>
            </w:pPr>
            <w:r>
              <w:t>12</w:t>
            </w:r>
          </w:p>
        </w:tc>
        <w:tc>
          <w:tcPr>
            <w:tcW w:w="1591" w:type="pct"/>
            <w:tcBorders>
              <w:top w:val="nil"/>
              <w:bottom w:val="nil"/>
              <w:right w:val="single" w:sz="4" w:space="0" w:color="A6A6A6"/>
            </w:tcBorders>
            <w:shd w:val="clear" w:color="auto" w:fill="FFFFFF"/>
          </w:tcPr>
          <w:p w:rsidR="00B523D9" w:rsidRPr="00705AB0" w:rsidRDefault="00B523D9" w:rsidP="00F46526">
            <w:pPr>
              <w:pStyle w:val="TableText"/>
            </w:pPr>
            <w:r w:rsidRPr="00705AB0">
              <w:t>Infants are exclusively or fully breastfed at six weeks</w:t>
            </w:r>
          </w:p>
        </w:tc>
        <w:tc>
          <w:tcPr>
            <w:tcW w:w="1591" w:type="pct"/>
            <w:tcBorders>
              <w:top w:val="nil"/>
              <w:left w:val="single" w:sz="4" w:space="0" w:color="A6A6A6"/>
              <w:bottom w:val="nil"/>
              <w:right w:val="single" w:sz="4" w:space="0" w:color="A6A6A6"/>
            </w:tcBorders>
            <w:shd w:val="clear" w:color="auto" w:fill="FFFFFF"/>
          </w:tcPr>
          <w:p w:rsidR="00B523D9" w:rsidRPr="00705AB0" w:rsidRDefault="00B523D9" w:rsidP="00F46526">
            <w:pPr>
              <w:pStyle w:val="TableText"/>
            </w:pPr>
            <w:r w:rsidRPr="00705AB0">
              <w:t>Number of infants exclusively or fully breastfed at six weeks (MAT)</w:t>
            </w:r>
          </w:p>
        </w:tc>
        <w:tc>
          <w:tcPr>
            <w:tcW w:w="1592" w:type="pct"/>
            <w:tcBorders>
              <w:top w:val="nil"/>
              <w:left w:val="single" w:sz="4" w:space="0" w:color="A6A6A6"/>
              <w:bottom w:val="nil"/>
            </w:tcBorders>
            <w:shd w:val="clear" w:color="auto" w:fill="FFFFFF"/>
          </w:tcPr>
          <w:p w:rsidR="00B523D9" w:rsidRPr="00705AB0" w:rsidRDefault="00B523D9" w:rsidP="00F46526">
            <w:pPr>
              <w:pStyle w:val="TableText"/>
            </w:pPr>
            <w:r w:rsidRPr="00705AB0">
              <w:t>Number of infants receiving LMC services (MAT)</w:t>
            </w:r>
          </w:p>
        </w:tc>
      </w:tr>
      <w:tr w:rsidR="00B523D9" w:rsidRPr="00C658B3" w:rsidTr="00B523D9">
        <w:trPr>
          <w:cantSplit/>
        </w:trPr>
        <w:tc>
          <w:tcPr>
            <w:tcW w:w="226" w:type="pct"/>
            <w:tcBorders>
              <w:top w:val="nil"/>
              <w:bottom w:val="nil"/>
              <w:right w:val="single" w:sz="4" w:space="0" w:color="A6A6A6"/>
            </w:tcBorders>
            <w:shd w:val="clear" w:color="auto" w:fill="F2F2F2"/>
          </w:tcPr>
          <w:p w:rsidR="00B523D9" w:rsidRPr="00705AB0" w:rsidRDefault="00B523D9" w:rsidP="00F46526">
            <w:pPr>
              <w:pStyle w:val="TableText"/>
            </w:pPr>
            <w:r>
              <w:t>13</w:t>
            </w:r>
          </w:p>
        </w:tc>
        <w:tc>
          <w:tcPr>
            <w:tcW w:w="1591" w:type="pct"/>
            <w:tcBorders>
              <w:top w:val="nil"/>
              <w:bottom w:val="nil"/>
              <w:right w:val="single" w:sz="4" w:space="0" w:color="A6A6A6"/>
            </w:tcBorders>
            <w:shd w:val="clear" w:color="auto" w:fill="F2F2F2"/>
          </w:tcPr>
          <w:p w:rsidR="00B523D9" w:rsidRPr="00705AB0" w:rsidRDefault="00B523D9" w:rsidP="00F46526">
            <w:pPr>
              <w:pStyle w:val="TableText"/>
            </w:pPr>
            <w:r w:rsidRPr="00705AB0">
              <w:t>Infants are exclusively or fully breastfed at three months</w:t>
            </w:r>
          </w:p>
        </w:tc>
        <w:tc>
          <w:tcPr>
            <w:tcW w:w="1591" w:type="pct"/>
            <w:tcBorders>
              <w:top w:val="nil"/>
              <w:left w:val="single" w:sz="4" w:space="0" w:color="A6A6A6"/>
              <w:bottom w:val="nil"/>
              <w:right w:val="single" w:sz="4" w:space="0" w:color="A6A6A6"/>
            </w:tcBorders>
            <w:shd w:val="clear" w:color="auto" w:fill="F2F2F2"/>
          </w:tcPr>
          <w:p w:rsidR="00B523D9" w:rsidRPr="00705AB0" w:rsidRDefault="00B523D9" w:rsidP="00F46526">
            <w:pPr>
              <w:pStyle w:val="TableText"/>
            </w:pPr>
            <w:r w:rsidRPr="00705AB0">
              <w:t>Number of infants exclusively or fully breastfed at three months (WCTO)</w:t>
            </w:r>
          </w:p>
        </w:tc>
        <w:tc>
          <w:tcPr>
            <w:tcW w:w="1592" w:type="pct"/>
            <w:tcBorders>
              <w:top w:val="nil"/>
              <w:left w:val="single" w:sz="4" w:space="0" w:color="A6A6A6"/>
              <w:bottom w:val="nil"/>
            </w:tcBorders>
            <w:shd w:val="clear" w:color="auto" w:fill="F2F2F2"/>
          </w:tcPr>
          <w:p w:rsidR="00B523D9" w:rsidRPr="00705AB0" w:rsidRDefault="00B523D9" w:rsidP="00F46526">
            <w:pPr>
              <w:pStyle w:val="TableText"/>
            </w:pPr>
            <w:r w:rsidRPr="00705AB0">
              <w:t>Number of three-month-olds enrolled with WCTO (WCTO)</w:t>
            </w:r>
          </w:p>
        </w:tc>
      </w:tr>
      <w:tr w:rsidR="00B523D9" w:rsidRPr="00C658B3" w:rsidTr="00B523D9">
        <w:trPr>
          <w:cantSplit/>
        </w:trPr>
        <w:tc>
          <w:tcPr>
            <w:tcW w:w="226" w:type="pct"/>
            <w:tcBorders>
              <w:top w:val="nil"/>
              <w:bottom w:val="single" w:sz="4" w:space="0" w:color="auto"/>
              <w:right w:val="single" w:sz="4" w:space="0" w:color="A6A6A6"/>
            </w:tcBorders>
            <w:shd w:val="clear" w:color="auto" w:fill="FFFFFF"/>
          </w:tcPr>
          <w:p w:rsidR="00B523D9" w:rsidRPr="00705AB0" w:rsidRDefault="00B523D9" w:rsidP="00B523D9">
            <w:pPr>
              <w:pStyle w:val="TableText"/>
            </w:pPr>
            <w:r>
              <w:t>14</w:t>
            </w:r>
          </w:p>
        </w:tc>
        <w:tc>
          <w:tcPr>
            <w:tcW w:w="1591" w:type="pct"/>
            <w:tcBorders>
              <w:top w:val="nil"/>
              <w:bottom w:val="single" w:sz="4" w:space="0" w:color="auto"/>
              <w:right w:val="single" w:sz="4" w:space="0" w:color="A6A6A6"/>
            </w:tcBorders>
            <w:shd w:val="clear" w:color="auto" w:fill="FFFFFF"/>
          </w:tcPr>
          <w:p w:rsidR="00B523D9" w:rsidRPr="00705AB0" w:rsidRDefault="00B523D9" w:rsidP="00B523D9">
            <w:pPr>
              <w:pStyle w:val="TableText"/>
            </w:pPr>
            <w:r w:rsidRPr="00705AB0">
              <w:t xml:space="preserve">Infants are </w:t>
            </w:r>
            <w:r>
              <w:t xml:space="preserve">being fed breast milk at </w:t>
            </w:r>
            <w:r w:rsidRPr="00705AB0">
              <w:t>six months</w:t>
            </w:r>
          </w:p>
        </w:tc>
        <w:tc>
          <w:tcPr>
            <w:tcW w:w="1591" w:type="pct"/>
            <w:tcBorders>
              <w:top w:val="nil"/>
              <w:left w:val="single" w:sz="4" w:space="0" w:color="A6A6A6"/>
              <w:bottom w:val="single" w:sz="4" w:space="0" w:color="auto"/>
              <w:right w:val="single" w:sz="4" w:space="0" w:color="A6A6A6"/>
            </w:tcBorders>
            <w:shd w:val="clear" w:color="auto" w:fill="FFFFFF"/>
          </w:tcPr>
          <w:p w:rsidR="00B523D9" w:rsidRPr="00705AB0" w:rsidRDefault="00B523D9" w:rsidP="00B523D9">
            <w:pPr>
              <w:pStyle w:val="TableText"/>
            </w:pPr>
            <w:r w:rsidRPr="00705AB0">
              <w:t>Number of infants exclusively</w:t>
            </w:r>
            <w:r>
              <w:t>,</w:t>
            </w:r>
            <w:r w:rsidRPr="00705AB0">
              <w:t xml:space="preserve"> fully</w:t>
            </w:r>
            <w:r>
              <w:t xml:space="preserve"> or partially</w:t>
            </w:r>
            <w:r w:rsidRPr="00705AB0">
              <w:t xml:space="preserve"> breastfed at six months (WCTO)</w:t>
            </w:r>
          </w:p>
        </w:tc>
        <w:tc>
          <w:tcPr>
            <w:tcW w:w="1592" w:type="pct"/>
            <w:tcBorders>
              <w:top w:val="nil"/>
              <w:left w:val="single" w:sz="4" w:space="0" w:color="A6A6A6"/>
              <w:bottom w:val="single" w:sz="4" w:space="0" w:color="auto"/>
            </w:tcBorders>
            <w:shd w:val="clear" w:color="auto" w:fill="FFFFFF"/>
          </w:tcPr>
          <w:p w:rsidR="00B523D9" w:rsidRPr="00705AB0" w:rsidRDefault="00B523D9" w:rsidP="00F46526">
            <w:pPr>
              <w:pStyle w:val="TableText"/>
            </w:pPr>
            <w:r w:rsidRPr="00705AB0">
              <w:t>Number of six-month-olds enrolled with WCTO (WCTO)</w:t>
            </w:r>
          </w:p>
        </w:tc>
      </w:tr>
      <w:tr w:rsidR="00B523D9" w:rsidRPr="00C658B3" w:rsidTr="00B523D9">
        <w:trPr>
          <w:cantSplit/>
        </w:trPr>
        <w:tc>
          <w:tcPr>
            <w:tcW w:w="226" w:type="pct"/>
            <w:tcBorders>
              <w:top w:val="single" w:sz="4" w:space="0" w:color="auto"/>
              <w:bottom w:val="nil"/>
              <w:right w:val="single" w:sz="4" w:space="0" w:color="A6A6A6"/>
            </w:tcBorders>
            <w:shd w:val="clear" w:color="auto" w:fill="F2F2F2"/>
          </w:tcPr>
          <w:p w:rsidR="00B523D9" w:rsidRPr="00705AB0" w:rsidRDefault="00B523D9" w:rsidP="00F46526">
            <w:pPr>
              <w:pStyle w:val="TableText"/>
            </w:pPr>
            <w:r>
              <w:t>15</w:t>
            </w:r>
          </w:p>
        </w:tc>
        <w:tc>
          <w:tcPr>
            <w:tcW w:w="1591" w:type="pct"/>
            <w:tcBorders>
              <w:top w:val="single" w:sz="4" w:space="0" w:color="auto"/>
              <w:bottom w:val="nil"/>
              <w:right w:val="single" w:sz="4" w:space="0" w:color="A6A6A6"/>
            </w:tcBorders>
            <w:shd w:val="clear" w:color="auto" w:fill="F2F2F2"/>
          </w:tcPr>
          <w:p w:rsidR="00B523D9" w:rsidRPr="00705AB0" w:rsidRDefault="00B523D9" w:rsidP="00F46526">
            <w:pPr>
              <w:pStyle w:val="TableText"/>
            </w:pPr>
            <w:r w:rsidRPr="00705AB0">
              <w:t>Children are a healthy weight at four years</w:t>
            </w:r>
          </w:p>
        </w:tc>
        <w:tc>
          <w:tcPr>
            <w:tcW w:w="1591" w:type="pct"/>
            <w:tcBorders>
              <w:top w:val="single" w:sz="4" w:space="0" w:color="auto"/>
              <w:left w:val="single" w:sz="4" w:space="0" w:color="A6A6A6"/>
              <w:bottom w:val="nil"/>
              <w:right w:val="single" w:sz="4" w:space="0" w:color="A6A6A6"/>
            </w:tcBorders>
            <w:shd w:val="clear" w:color="auto" w:fill="F2F2F2"/>
          </w:tcPr>
          <w:p w:rsidR="00B523D9" w:rsidRPr="00705AB0" w:rsidRDefault="00B523D9" w:rsidP="00F46526">
            <w:pPr>
              <w:pStyle w:val="TableText"/>
            </w:pPr>
            <w:r w:rsidRPr="00705AB0">
              <w:t>Number of children with a BMI between the 3rd and 85th percentile at B4SC (B4SC) (WHO 2006 standards)</w:t>
            </w:r>
          </w:p>
        </w:tc>
        <w:tc>
          <w:tcPr>
            <w:tcW w:w="1592" w:type="pct"/>
            <w:tcBorders>
              <w:top w:val="single" w:sz="4" w:space="0" w:color="auto"/>
              <w:left w:val="single" w:sz="4" w:space="0" w:color="A6A6A6"/>
              <w:bottom w:val="nil"/>
            </w:tcBorders>
            <w:shd w:val="clear" w:color="auto" w:fill="F2F2F2"/>
          </w:tcPr>
          <w:p w:rsidR="00B523D9" w:rsidRPr="00705AB0" w:rsidRDefault="00B523D9" w:rsidP="00F46526">
            <w:pPr>
              <w:pStyle w:val="TableText"/>
            </w:pPr>
            <w:r w:rsidRPr="00705AB0">
              <w:t>Number of children with completed BMI (B4SC)</w:t>
            </w:r>
          </w:p>
        </w:tc>
      </w:tr>
      <w:tr w:rsidR="00B523D9" w:rsidRPr="00C658B3" w:rsidTr="00B523D9">
        <w:trPr>
          <w:cantSplit/>
        </w:trPr>
        <w:tc>
          <w:tcPr>
            <w:tcW w:w="226" w:type="pct"/>
            <w:tcBorders>
              <w:top w:val="nil"/>
              <w:bottom w:val="nil"/>
              <w:right w:val="single" w:sz="4" w:space="0" w:color="A6A6A6"/>
            </w:tcBorders>
            <w:shd w:val="clear" w:color="auto" w:fill="FFFFFF"/>
          </w:tcPr>
          <w:p w:rsidR="00B523D9" w:rsidRPr="00705AB0" w:rsidRDefault="00B523D9" w:rsidP="00F46526">
            <w:pPr>
              <w:pStyle w:val="TableText"/>
            </w:pPr>
            <w:r>
              <w:t>16</w:t>
            </w:r>
          </w:p>
        </w:tc>
        <w:tc>
          <w:tcPr>
            <w:tcW w:w="1591" w:type="pct"/>
            <w:tcBorders>
              <w:top w:val="nil"/>
              <w:bottom w:val="nil"/>
              <w:right w:val="single" w:sz="4" w:space="0" w:color="A6A6A6"/>
            </w:tcBorders>
            <w:shd w:val="clear" w:color="auto" w:fill="FFFFFF"/>
          </w:tcPr>
          <w:p w:rsidR="00B523D9" w:rsidRPr="00705AB0" w:rsidRDefault="00B523D9" w:rsidP="00F46526">
            <w:pPr>
              <w:pStyle w:val="TableText"/>
            </w:pPr>
            <w:r w:rsidRPr="00705AB0">
              <w:t>Children are caries-free at five years</w:t>
            </w:r>
          </w:p>
        </w:tc>
        <w:tc>
          <w:tcPr>
            <w:tcW w:w="1591" w:type="pct"/>
            <w:tcBorders>
              <w:top w:val="nil"/>
              <w:left w:val="single" w:sz="4" w:space="0" w:color="A6A6A6"/>
              <w:bottom w:val="nil"/>
              <w:right w:val="single" w:sz="4" w:space="0" w:color="A6A6A6"/>
            </w:tcBorders>
            <w:shd w:val="clear" w:color="auto" w:fill="FFFFFF"/>
          </w:tcPr>
          <w:p w:rsidR="00B523D9" w:rsidRPr="00705AB0" w:rsidRDefault="00B523D9" w:rsidP="00F46526">
            <w:pPr>
              <w:pStyle w:val="TableText"/>
            </w:pPr>
            <w:r w:rsidRPr="00705AB0">
              <w:t>Number of children caries-free at five years (Community Oral Health Services)</w:t>
            </w:r>
          </w:p>
        </w:tc>
        <w:tc>
          <w:tcPr>
            <w:tcW w:w="1592" w:type="pct"/>
            <w:tcBorders>
              <w:top w:val="nil"/>
              <w:left w:val="single" w:sz="4" w:space="0" w:color="A6A6A6"/>
              <w:bottom w:val="nil"/>
            </w:tcBorders>
            <w:shd w:val="clear" w:color="auto" w:fill="FFFFFF"/>
          </w:tcPr>
          <w:p w:rsidR="00B523D9" w:rsidRPr="00705AB0" w:rsidRDefault="00B523D9" w:rsidP="00F46526">
            <w:pPr>
              <w:pStyle w:val="TableText"/>
            </w:pPr>
            <w:r w:rsidRPr="00705AB0">
              <w:t>Number of children with reported oral health status (Community Oral Health Services)</w:t>
            </w:r>
          </w:p>
        </w:tc>
      </w:tr>
      <w:tr w:rsidR="00B523D9" w:rsidRPr="00C658B3" w:rsidTr="00B523D9">
        <w:trPr>
          <w:cantSplit/>
        </w:trPr>
        <w:tc>
          <w:tcPr>
            <w:tcW w:w="226" w:type="pct"/>
            <w:tcBorders>
              <w:top w:val="nil"/>
              <w:bottom w:val="nil"/>
              <w:right w:val="single" w:sz="4" w:space="0" w:color="A6A6A6"/>
            </w:tcBorders>
            <w:shd w:val="clear" w:color="auto" w:fill="F2F2F2"/>
          </w:tcPr>
          <w:p w:rsidR="00B523D9" w:rsidRPr="00705AB0" w:rsidRDefault="00B523D9" w:rsidP="00F46526">
            <w:pPr>
              <w:pStyle w:val="TableText"/>
            </w:pPr>
            <w:r>
              <w:t>17</w:t>
            </w:r>
          </w:p>
        </w:tc>
        <w:tc>
          <w:tcPr>
            <w:tcW w:w="1591" w:type="pct"/>
            <w:tcBorders>
              <w:top w:val="nil"/>
              <w:bottom w:val="nil"/>
              <w:right w:val="single" w:sz="4" w:space="0" w:color="A6A6A6"/>
            </w:tcBorders>
            <w:shd w:val="clear" w:color="auto" w:fill="F2F2F2"/>
          </w:tcPr>
          <w:p w:rsidR="00B523D9" w:rsidRPr="00705AB0" w:rsidRDefault="00B523D9" w:rsidP="00F46526">
            <w:pPr>
              <w:pStyle w:val="TableText"/>
            </w:pPr>
            <w:r w:rsidRPr="00705AB0">
              <w:t>The burden of dental decay is minimised</w:t>
            </w:r>
          </w:p>
        </w:tc>
        <w:tc>
          <w:tcPr>
            <w:tcW w:w="1591" w:type="pct"/>
            <w:tcBorders>
              <w:top w:val="nil"/>
              <w:left w:val="single" w:sz="4" w:space="0" w:color="A6A6A6"/>
              <w:bottom w:val="nil"/>
              <w:right w:val="single" w:sz="4" w:space="0" w:color="A6A6A6"/>
            </w:tcBorders>
            <w:shd w:val="clear" w:color="auto" w:fill="F2F2F2"/>
          </w:tcPr>
          <w:p w:rsidR="00B523D9" w:rsidRPr="00705AB0" w:rsidRDefault="00B523D9" w:rsidP="00F46526">
            <w:pPr>
              <w:pStyle w:val="TableText"/>
            </w:pPr>
            <w:r w:rsidRPr="00705AB0">
              <w:t>Number of children with DMFT with a sum DMFT score &gt;= 1</w:t>
            </w:r>
            <w:r>
              <w:t xml:space="preserve"> </w:t>
            </w:r>
            <w:r w:rsidRPr="00705AB0">
              <w:t>(Community Oral Health Services)</w:t>
            </w:r>
          </w:p>
        </w:tc>
        <w:tc>
          <w:tcPr>
            <w:tcW w:w="1592" w:type="pct"/>
            <w:tcBorders>
              <w:top w:val="nil"/>
              <w:left w:val="single" w:sz="4" w:space="0" w:color="A6A6A6"/>
              <w:bottom w:val="nil"/>
            </w:tcBorders>
            <w:shd w:val="clear" w:color="auto" w:fill="F2F2F2"/>
          </w:tcPr>
          <w:p w:rsidR="00B523D9" w:rsidRPr="00705AB0" w:rsidRDefault="00B523D9" w:rsidP="00F46526">
            <w:pPr>
              <w:pStyle w:val="TableText"/>
            </w:pPr>
            <w:r w:rsidRPr="00705AB0">
              <w:t xml:space="preserve">Number of children with DMFT </w:t>
            </w:r>
            <w:r w:rsidRPr="00F46526">
              <w:sym w:font="Symbol" w:char="F0B3"/>
            </w:r>
            <w:r w:rsidRPr="00705AB0">
              <w:t>1 (Community Oral Health Services)</w:t>
            </w:r>
          </w:p>
        </w:tc>
      </w:tr>
      <w:tr w:rsidR="00B523D9" w:rsidRPr="00C658B3" w:rsidTr="00B523D9">
        <w:trPr>
          <w:cantSplit/>
        </w:trPr>
        <w:tc>
          <w:tcPr>
            <w:tcW w:w="226" w:type="pct"/>
            <w:tcBorders>
              <w:top w:val="nil"/>
              <w:bottom w:val="nil"/>
              <w:right w:val="single" w:sz="4" w:space="0" w:color="A6A6A6"/>
            </w:tcBorders>
            <w:shd w:val="clear" w:color="auto" w:fill="FFFFFF"/>
          </w:tcPr>
          <w:p w:rsidR="00B523D9" w:rsidRPr="00705AB0" w:rsidRDefault="00B523D9" w:rsidP="00F46526">
            <w:pPr>
              <w:pStyle w:val="TableText"/>
            </w:pPr>
            <w:r>
              <w:t>18</w:t>
            </w:r>
          </w:p>
        </w:tc>
        <w:tc>
          <w:tcPr>
            <w:tcW w:w="1591" w:type="pct"/>
            <w:tcBorders>
              <w:top w:val="nil"/>
              <w:bottom w:val="nil"/>
              <w:right w:val="single" w:sz="4" w:space="0" w:color="A6A6A6"/>
            </w:tcBorders>
            <w:shd w:val="clear" w:color="auto" w:fill="FFFFFF"/>
          </w:tcPr>
          <w:p w:rsidR="00B523D9" w:rsidRPr="00705AB0" w:rsidRDefault="00B523D9" w:rsidP="00F46526">
            <w:pPr>
              <w:pStyle w:val="TableText"/>
            </w:pPr>
            <w:r w:rsidRPr="00705AB0">
              <w:t>Child mental health and development is supported</w:t>
            </w:r>
          </w:p>
        </w:tc>
        <w:tc>
          <w:tcPr>
            <w:tcW w:w="1591" w:type="pct"/>
            <w:tcBorders>
              <w:top w:val="nil"/>
              <w:left w:val="single" w:sz="4" w:space="0" w:color="A6A6A6"/>
              <w:bottom w:val="nil"/>
              <w:right w:val="single" w:sz="4" w:space="0" w:color="A6A6A6"/>
            </w:tcBorders>
            <w:shd w:val="clear" w:color="auto" w:fill="FFFFFF"/>
          </w:tcPr>
          <w:p w:rsidR="00B523D9" w:rsidRPr="00705AB0" w:rsidRDefault="00B523D9" w:rsidP="00F46526">
            <w:pPr>
              <w:pStyle w:val="TableText"/>
            </w:pPr>
            <w:r w:rsidRPr="00705AB0">
              <w:t>Number of children whose SDQ scores are in the normal range at the B4SC (B4SC)</w:t>
            </w:r>
          </w:p>
        </w:tc>
        <w:tc>
          <w:tcPr>
            <w:tcW w:w="1592" w:type="pct"/>
            <w:tcBorders>
              <w:top w:val="nil"/>
              <w:left w:val="single" w:sz="4" w:space="0" w:color="A6A6A6"/>
              <w:bottom w:val="nil"/>
            </w:tcBorders>
            <w:shd w:val="clear" w:color="auto" w:fill="FFFFFF"/>
          </w:tcPr>
          <w:p w:rsidR="00B523D9" w:rsidRPr="00705AB0" w:rsidRDefault="00B523D9" w:rsidP="00F46526">
            <w:pPr>
              <w:pStyle w:val="TableText"/>
            </w:pPr>
            <w:r w:rsidRPr="00705AB0">
              <w:t>Number of children for whom the SDQ has been completed at the B4SC (B4SC)</w:t>
            </w:r>
          </w:p>
        </w:tc>
      </w:tr>
      <w:tr w:rsidR="00B523D9" w:rsidRPr="00C658B3" w:rsidTr="00B523D9">
        <w:trPr>
          <w:cantSplit/>
        </w:trPr>
        <w:tc>
          <w:tcPr>
            <w:tcW w:w="226" w:type="pct"/>
            <w:tcBorders>
              <w:top w:val="nil"/>
              <w:bottom w:val="nil"/>
              <w:right w:val="single" w:sz="4" w:space="0" w:color="A6A6A6"/>
            </w:tcBorders>
            <w:shd w:val="clear" w:color="auto" w:fill="F2F2F2"/>
          </w:tcPr>
          <w:p w:rsidR="00B523D9" w:rsidRPr="00705AB0" w:rsidRDefault="00B523D9" w:rsidP="00F46526">
            <w:pPr>
              <w:pStyle w:val="TableText"/>
            </w:pPr>
            <w:r>
              <w:t>19</w:t>
            </w:r>
          </w:p>
        </w:tc>
        <w:tc>
          <w:tcPr>
            <w:tcW w:w="1591" w:type="pct"/>
            <w:tcBorders>
              <w:top w:val="nil"/>
              <w:bottom w:val="nil"/>
              <w:right w:val="single" w:sz="4" w:space="0" w:color="A6A6A6"/>
            </w:tcBorders>
            <w:shd w:val="clear" w:color="auto" w:fill="F2F2F2"/>
          </w:tcPr>
          <w:p w:rsidR="00B523D9" w:rsidRPr="00705AB0" w:rsidRDefault="00B523D9" w:rsidP="00F46526">
            <w:pPr>
              <w:pStyle w:val="TableText"/>
            </w:pPr>
            <w:r w:rsidRPr="00705AB0">
              <w:t>Mothers are smokefree at two weeks postnatal</w:t>
            </w:r>
          </w:p>
        </w:tc>
        <w:tc>
          <w:tcPr>
            <w:tcW w:w="1591" w:type="pct"/>
            <w:tcBorders>
              <w:top w:val="nil"/>
              <w:left w:val="single" w:sz="4" w:space="0" w:color="A6A6A6"/>
              <w:bottom w:val="nil"/>
              <w:right w:val="single" w:sz="4" w:space="0" w:color="A6A6A6"/>
            </w:tcBorders>
            <w:shd w:val="clear" w:color="auto" w:fill="F2F2F2"/>
          </w:tcPr>
          <w:p w:rsidR="00B523D9" w:rsidRPr="00705AB0" w:rsidRDefault="00B523D9" w:rsidP="00F46526">
            <w:pPr>
              <w:pStyle w:val="TableText"/>
            </w:pPr>
            <w:r w:rsidRPr="00705AB0">
              <w:t>Number of mothers who are smokefree at two weeks postnatal (MAT)</w:t>
            </w:r>
          </w:p>
        </w:tc>
        <w:tc>
          <w:tcPr>
            <w:tcW w:w="1592" w:type="pct"/>
            <w:tcBorders>
              <w:top w:val="nil"/>
              <w:left w:val="single" w:sz="4" w:space="0" w:color="A6A6A6"/>
              <w:bottom w:val="nil"/>
            </w:tcBorders>
            <w:shd w:val="clear" w:color="auto" w:fill="F2F2F2"/>
          </w:tcPr>
          <w:p w:rsidR="00B523D9" w:rsidRPr="00705AB0" w:rsidRDefault="00B523D9" w:rsidP="00F46526">
            <w:pPr>
              <w:pStyle w:val="TableText"/>
            </w:pPr>
            <w:r w:rsidRPr="00705AB0">
              <w:t>Number of mothers receiving LMC services (MAT)</w:t>
            </w:r>
          </w:p>
        </w:tc>
      </w:tr>
      <w:tr w:rsidR="00B523D9" w:rsidRPr="00C658B3" w:rsidTr="00B523D9">
        <w:trPr>
          <w:cantSplit/>
        </w:trPr>
        <w:tc>
          <w:tcPr>
            <w:tcW w:w="226" w:type="pct"/>
            <w:tcBorders>
              <w:top w:val="nil"/>
              <w:bottom w:val="nil"/>
              <w:right w:val="single" w:sz="4" w:space="0" w:color="A6A6A6"/>
            </w:tcBorders>
            <w:shd w:val="clear" w:color="auto" w:fill="FFFFFF"/>
          </w:tcPr>
          <w:p w:rsidR="00B523D9" w:rsidRPr="00705AB0" w:rsidRDefault="00B523D9" w:rsidP="00F46526">
            <w:pPr>
              <w:pStyle w:val="TableText"/>
            </w:pPr>
            <w:r>
              <w:t>20</w:t>
            </w:r>
          </w:p>
        </w:tc>
        <w:tc>
          <w:tcPr>
            <w:tcW w:w="1591" w:type="pct"/>
            <w:tcBorders>
              <w:top w:val="nil"/>
              <w:bottom w:val="nil"/>
              <w:right w:val="single" w:sz="4" w:space="0" w:color="A6A6A6"/>
            </w:tcBorders>
            <w:shd w:val="clear" w:color="auto" w:fill="FFFFFF"/>
          </w:tcPr>
          <w:p w:rsidR="00B523D9" w:rsidRPr="00705AB0" w:rsidRDefault="00B523D9" w:rsidP="00F46526">
            <w:pPr>
              <w:pStyle w:val="TableText"/>
            </w:pPr>
            <w:r w:rsidRPr="00705AB0">
              <w:t>Children live in smokefree homes</w:t>
            </w:r>
          </w:p>
        </w:tc>
        <w:tc>
          <w:tcPr>
            <w:tcW w:w="1591" w:type="pct"/>
            <w:tcBorders>
              <w:top w:val="nil"/>
              <w:left w:val="single" w:sz="4" w:space="0" w:color="A6A6A6"/>
              <w:bottom w:val="nil"/>
              <w:right w:val="single" w:sz="4" w:space="0" w:color="A6A6A6"/>
            </w:tcBorders>
            <w:shd w:val="clear" w:color="auto" w:fill="FFFFFF"/>
          </w:tcPr>
          <w:p w:rsidR="00B523D9" w:rsidRPr="00705AB0" w:rsidRDefault="00B523D9" w:rsidP="00F46526">
            <w:pPr>
              <w:pStyle w:val="TableText"/>
            </w:pPr>
            <w:r w:rsidRPr="00705AB0">
              <w:t>Number of children living in a smokefree home at B4SC (B4SC)</w:t>
            </w:r>
          </w:p>
        </w:tc>
        <w:tc>
          <w:tcPr>
            <w:tcW w:w="1592" w:type="pct"/>
            <w:tcBorders>
              <w:top w:val="nil"/>
              <w:left w:val="single" w:sz="4" w:space="0" w:color="A6A6A6"/>
              <w:bottom w:val="nil"/>
            </w:tcBorders>
            <w:shd w:val="clear" w:color="auto" w:fill="FFFFFF"/>
          </w:tcPr>
          <w:p w:rsidR="00B523D9" w:rsidRPr="00705AB0" w:rsidRDefault="00B523D9" w:rsidP="00F46526">
            <w:pPr>
              <w:pStyle w:val="TableText"/>
            </w:pPr>
            <w:r w:rsidRPr="00705AB0">
              <w:t>Number of children with smokefree home status completed at B4SC (B4SC)</w:t>
            </w:r>
          </w:p>
        </w:tc>
      </w:tr>
      <w:tr w:rsidR="00B523D9" w:rsidRPr="00C658B3" w:rsidTr="00B523D9">
        <w:trPr>
          <w:cantSplit/>
        </w:trPr>
        <w:tc>
          <w:tcPr>
            <w:tcW w:w="226" w:type="pct"/>
            <w:tcBorders>
              <w:top w:val="nil"/>
              <w:bottom w:val="nil"/>
              <w:right w:val="single" w:sz="4" w:space="0" w:color="A6A6A6"/>
            </w:tcBorders>
            <w:shd w:val="clear" w:color="auto" w:fill="F2F2F2"/>
          </w:tcPr>
          <w:p w:rsidR="00B523D9" w:rsidRPr="00705AB0" w:rsidRDefault="00B523D9" w:rsidP="00F46526">
            <w:pPr>
              <w:pStyle w:val="TableText"/>
            </w:pPr>
            <w:r>
              <w:t>21</w:t>
            </w:r>
          </w:p>
        </w:tc>
        <w:tc>
          <w:tcPr>
            <w:tcW w:w="1591" w:type="pct"/>
            <w:tcBorders>
              <w:top w:val="nil"/>
              <w:bottom w:val="nil"/>
              <w:right w:val="single" w:sz="4" w:space="0" w:color="A6A6A6"/>
            </w:tcBorders>
            <w:shd w:val="clear" w:color="auto" w:fill="F2F2F2"/>
          </w:tcPr>
          <w:p w:rsidR="00B523D9" w:rsidRPr="00705AB0" w:rsidRDefault="00B523D9" w:rsidP="00F46526">
            <w:pPr>
              <w:pStyle w:val="TableText"/>
            </w:pPr>
            <w:r w:rsidRPr="00705AB0">
              <w:t>B4SCs are started before age four and a half</w:t>
            </w:r>
          </w:p>
        </w:tc>
        <w:tc>
          <w:tcPr>
            <w:tcW w:w="1591" w:type="pct"/>
            <w:tcBorders>
              <w:top w:val="nil"/>
              <w:left w:val="single" w:sz="4" w:space="0" w:color="A6A6A6"/>
              <w:bottom w:val="nil"/>
              <w:right w:val="single" w:sz="4" w:space="0" w:color="A6A6A6"/>
            </w:tcBorders>
            <w:shd w:val="clear" w:color="auto" w:fill="F2F2F2"/>
          </w:tcPr>
          <w:p w:rsidR="00B523D9" w:rsidRPr="00705AB0" w:rsidRDefault="00B523D9" w:rsidP="00F46526">
            <w:pPr>
              <w:pStyle w:val="TableText"/>
            </w:pPr>
            <w:r w:rsidRPr="00705AB0">
              <w:t>Number of children for whom B4SCs are started before age four and a half (B4SC)</w:t>
            </w:r>
          </w:p>
        </w:tc>
        <w:tc>
          <w:tcPr>
            <w:tcW w:w="1592" w:type="pct"/>
            <w:tcBorders>
              <w:top w:val="nil"/>
              <w:left w:val="single" w:sz="4" w:space="0" w:color="A6A6A6"/>
              <w:bottom w:val="nil"/>
            </w:tcBorders>
            <w:shd w:val="clear" w:color="auto" w:fill="F2F2F2"/>
          </w:tcPr>
          <w:p w:rsidR="00B523D9" w:rsidRPr="00705AB0" w:rsidRDefault="00B523D9" w:rsidP="00F46526">
            <w:pPr>
              <w:pStyle w:val="TableText"/>
            </w:pPr>
            <w:r w:rsidRPr="00705AB0">
              <w:t>Number of children with completed B4SC (B4SC)</w:t>
            </w:r>
          </w:p>
        </w:tc>
      </w:tr>
      <w:tr w:rsidR="00B523D9" w:rsidRPr="00C658B3" w:rsidTr="00B523D9">
        <w:trPr>
          <w:cantSplit/>
        </w:trPr>
        <w:tc>
          <w:tcPr>
            <w:tcW w:w="226" w:type="pct"/>
            <w:tcBorders>
              <w:top w:val="nil"/>
              <w:bottom w:val="nil"/>
              <w:right w:val="single" w:sz="4" w:space="0" w:color="A6A6A6"/>
            </w:tcBorders>
            <w:shd w:val="clear" w:color="auto" w:fill="FFFFFF"/>
          </w:tcPr>
          <w:p w:rsidR="00B523D9" w:rsidRPr="00705AB0" w:rsidRDefault="00B523D9" w:rsidP="00F46526">
            <w:pPr>
              <w:pStyle w:val="TableText"/>
            </w:pPr>
            <w:r>
              <w:t>22</w:t>
            </w:r>
          </w:p>
        </w:tc>
        <w:tc>
          <w:tcPr>
            <w:tcW w:w="1591" w:type="pct"/>
            <w:tcBorders>
              <w:top w:val="nil"/>
              <w:bottom w:val="nil"/>
              <w:right w:val="single" w:sz="4" w:space="0" w:color="A6A6A6"/>
            </w:tcBorders>
            <w:shd w:val="clear" w:color="auto" w:fill="FFFFFF"/>
          </w:tcPr>
          <w:p w:rsidR="00B523D9" w:rsidRPr="00705AB0" w:rsidRDefault="00B523D9" w:rsidP="00F46526">
            <w:pPr>
              <w:pStyle w:val="TableText"/>
            </w:pPr>
            <w:r w:rsidRPr="00705AB0">
              <w:t>Children with an abnormal SDQ score at the B4SC are referred to specialist services</w:t>
            </w:r>
          </w:p>
        </w:tc>
        <w:tc>
          <w:tcPr>
            <w:tcW w:w="1591" w:type="pct"/>
            <w:tcBorders>
              <w:top w:val="nil"/>
              <w:left w:val="single" w:sz="4" w:space="0" w:color="A6A6A6"/>
              <w:bottom w:val="nil"/>
              <w:right w:val="single" w:sz="4" w:space="0" w:color="A6A6A6"/>
            </w:tcBorders>
            <w:shd w:val="clear" w:color="auto" w:fill="FFFFFF"/>
          </w:tcPr>
          <w:p w:rsidR="00B523D9" w:rsidRPr="00705AB0" w:rsidRDefault="00B523D9" w:rsidP="00F46526">
            <w:pPr>
              <w:pStyle w:val="TableText"/>
            </w:pPr>
            <w:r w:rsidRPr="00705AB0">
              <w:t>Number of children with an abnormal SDQ score at the B4SC referred (B4SC)</w:t>
            </w:r>
          </w:p>
        </w:tc>
        <w:tc>
          <w:tcPr>
            <w:tcW w:w="1592" w:type="pct"/>
            <w:tcBorders>
              <w:top w:val="nil"/>
              <w:left w:val="single" w:sz="4" w:space="0" w:color="A6A6A6"/>
              <w:bottom w:val="nil"/>
            </w:tcBorders>
            <w:shd w:val="clear" w:color="auto" w:fill="FFFFFF"/>
          </w:tcPr>
          <w:p w:rsidR="00B523D9" w:rsidRPr="00705AB0" w:rsidRDefault="00B523D9" w:rsidP="00F46526">
            <w:pPr>
              <w:pStyle w:val="TableText"/>
            </w:pPr>
            <w:r w:rsidRPr="00705AB0">
              <w:t>Number of children with an abnormal SDQ score at the B4SC (B4SC)</w:t>
            </w:r>
          </w:p>
        </w:tc>
      </w:tr>
      <w:tr w:rsidR="00B523D9" w:rsidRPr="00C658B3" w:rsidTr="00B523D9">
        <w:trPr>
          <w:cantSplit/>
        </w:trPr>
        <w:tc>
          <w:tcPr>
            <w:tcW w:w="226" w:type="pct"/>
            <w:tcBorders>
              <w:top w:val="nil"/>
              <w:bottom w:val="nil"/>
              <w:right w:val="single" w:sz="4" w:space="0" w:color="A6A6A6"/>
            </w:tcBorders>
            <w:shd w:val="clear" w:color="auto" w:fill="F2F2F2"/>
          </w:tcPr>
          <w:p w:rsidR="00B523D9" w:rsidRPr="00705AB0" w:rsidRDefault="00B523D9" w:rsidP="00F46526">
            <w:pPr>
              <w:pStyle w:val="TableText"/>
            </w:pPr>
            <w:r>
              <w:t>23</w:t>
            </w:r>
          </w:p>
        </w:tc>
        <w:tc>
          <w:tcPr>
            <w:tcW w:w="1591" w:type="pct"/>
            <w:tcBorders>
              <w:top w:val="nil"/>
              <w:bottom w:val="nil"/>
              <w:right w:val="single" w:sz="4" w:space="0" w:color="A6A6A6"/>
            </w:tcBorders>
            <w:shd w:val="clear" w:color="auto" w:fill="F2F2F2"/>
          </w:tcPr>
          <w:p w:rsidR="00B523D9" w:rsidRPr="00705AB0" w:rsidRDefault="00B523D9" w:rsidP="00F46526">
            <w:pPr>
              <w:pStyle w:val="TableText"/>
            </w:pPr>
            <w:r w:rsidRPr="00705AB0">
              <w:t>Children with a PEDS pathway A at the B4SC are referred to specialist services</w:t>
            </w:r>
          </w:p>
        </w:tc>
        <w:tc>
          <w:tcPr>
            <w:tcW w:w="1591" w:type="pct"/>
            <w:tcBorders>
              <w:top w:val="nil"/>
              <w:left w:val="single" w:sz="4" w:space="0" w:color="A6A6A6"/>
              <w:bottom w:val="nil"/>
              <w:right w:val="single" w:sz="4" w:space="0" w:color="A6A6A6"/>
            </w:tcBorders>
            <w:shd w:val="clear" w:color="auto" w:fill="F2F2F2"/>
          </w:tcPr>
          <w:p w:rsidR="00B523D9" w:rsidRPr="00705AB0" w:rsidRDefault="00B523D9" w:rsidP="00F46526">
            <w:pPr>
              <w:pStyle w:val="TableText"/>
            </w:pPr>
            <w:r w:rsidRPr="00705AB0">
              <w:t>Number of children with a PEDS pathway A at the B4SC referred (B4SC)</w:t>
            </w:r>
          </w:p>
        </w:tc>
        <w:tc>
          <w:tcPr>
            <w:tcW w:w="1592" w:type="pct"/>
            <w:tcBorders>
              <w:top w:val="nil"/>
              <w:left w:val="single" w:sz="4" w:space="0" w:color="A6A6A6"/>
              <w:bottom w:val="nil"/>
            </w:tcBorders>
            <w:shd w:val="clear" w:color="auto" w:fill="F2F2F2"/>
          </w:tcPr>
          <w:p w:rsidR="00B523D9" w:rsidRPr="00705AB0" w:rsidRDefault="00B523D9" w:rsidP="00F46526">
            <w:pPr>
              <w:pStyle w:val="TableText"/>
            </w:pPr>
            <w:r w:rsidRPr="00705AB0">
              <w:t>Number of children with PEDS pathway A at the B4SC (B4SC)</w:t>
            </w:r>
          </w:p>
        </w:tc>
      </w:tr>
      <w:tr w:rsidR="00B523D9" w:rsidRPr="00C658B3" w:rsidTr="00B523D9">
        <w:trPr>
          <w:cantSplit/>
        </w:trPr>
        <w:tc>
          <w:tcPr>
            <w:tcW w:w="226" w:type="pct"/>
            <w:tcBorders>
              <w:top w:val="nil"/>
              <w:bottom w:val="nil"/>
              <w:right w:val="single" w:sz="4" w:space="0" w:color="A6A6A6"/>
            </w:tcBorders>
            <w:shd w:val="clear" w:color="auto" w:fill="FFFFFF"/>
          </w:tcPr>
          <w:p w:rsidR="00B523D9" w:rsidRPr="00705AB0" w:rsidRDefault="00B523D9" w:rsidP="00F46526">
            <w:pPr>
              <w:pStyle w:val="TableText"/>
            </w:pPr>
            <w:r>
              <w:t>24</w:t>
            </w:r>
          </w:p>
        </w:tc>
        <w:tc>
          <w:tcPr>
            <w:tcW w:w="1591" w:type="pct"/>
            <w:tcBorders>
              <w:top w:val="nil"/>
              <w:bottom w:val="nil"/>
              <w:right w:val="single" w:sz="4" w:space="0" w:color="A6A6A6"/>
            </w:tcBorders>
            <w:shd w:val="clear" w:color="auto" w:fill="FFFFFF"/>
          </w:tcPr>
          <w:p w:rsidR="00B523D9" w:rsidRPr="00705AB0" w:rsidRDefault="00B523D9" w:rsidP="00F46526">
            <w:pPr>
              <w:pStyle w:val="TableText"/>
            </w:pPr>
            <w:r w:rsidRPr="00705AB0">
              <w:t>Children with an LTL score of</w:t>
            </w:r>
            <w:r>
              <w:br/>
            </w:r>
            <w:r w:rsidRPr="00705AB0">
              <w:t>2–6 at the B4SC are referred to oral health services</w:t>
            </w:r>
          </w:p>
        </w:tc>
        <w:tc>
          <w:tcPr>
            <w:tcW w:w="1591" w:type="pct"/>
            <w:tcBorders>
              <w:top w:val="nil"/>
              <w:left w:val="single" w:sz="4" w:space="0" w:color="A6A6A6"/>
              <w:bottom w:val="nil"/>
              <w:right w:val="single" w:sz="4" w:space="0" w:color="A6A6A6"/>
            </w:tcBorders>
            <w:shd w:val="clear" w:color="auto" w:fill="FFFFFF"/>
          </w:tcPr>
          <w:p w:rsidR="00B523D9" w:rsidRPr="00705AB0" w:rsidRDefault="00B523D9" w:rsidP="00F46526">
            <w:pPr>
              <w:pStyle w:val="TableText"/>
            </w:pPr>
            <w:r w:rsidRPr="00705AB0">
              <w:t>Number of children with an LTL score of 2–6 referred (B4SC)</w:t>
            </w:r>
          </w:p>
        </w:tc>
        <w:tc>
          <w:tcPr>
            <w:tcW w:w="1592" w:type="pct"/>
            <w:tcBorders>
              <w:top w:val="nil"/>
              <w:left w:val="single" w:sz="4" w:space="0" w:color="A6A6A6"/>
              <w:bottom w:val="nil"/>
            </w:tcBorders>
            <w:shd w:val="clear" w:color="auto" w:fill="FFFFFF"/>
          </w:tcPr>
          <w:p w:rsidR="00B523D9" w:rsidRPr="00705AB0" w:rsidRDefault="00B523D9" w:rsidP="00F46526">
            <w:pPr>
              <w:pStyle w:val="TableText"/>
            </w:pPr>
            <w:r w:rsidRPr="00705AB0">
              <w:t>Number of children with an LTL score of 2–6 (B4SC)</w:t>
            </w:r>
          </w:p>
        </w:tc>
      </w:tr>
      <w:tr w:rsidR="00B523D9" w:rsidRPr="00C658B3" w:rsidTr="00B523D9">
        <w:trPr>
          <w:cantSplit/>
        </w:trPr>
        <w:tc>
          <w:tcPr>
            <w:tcW w:w="226" w:type="pct"/>
            <w:tcBorders>
              <w:top w:val="nil"/>
              <w:bottom w:val="nil"/>
              <w:right w:val="single" w:sz="4" w:space="0" w:color="A6A6A6"/>
            </w:tcBorders>
            <w:shd w:val="clear" w:color="auto" w:fill="F2F2F2"/>
          </w:tcPr>
          <w:p w:rsidR="00B523D9" w:rsidRPr="00705AB0" w:rsidRDefault="00B523D9" w:rsidP="00F46526">
            <w:pPr>
              <w:pStyle w:val="TableText"/>
            </w:pPr>
            <w:r>
              <w:t>25</w:t>
            </w:r>
          </w:p>
        </w:tc>
        <w:tc>
          <w:tcPr>
            <w:tcW w:w="1591" w:type="pct"/>
            <w:tcBorders>
              <w:top w:val="nil"/>
              <w:bottom w:val="nil"/>
              <w:right w:val="single" w:sz="4" w:space="0" w:color="A6A6A6"/>
            </w:tcBorders>
            <w:shd w:val="clear" w:color="auto" w:fill="F2F2F2"/>
          </w:tcPr>
          <w:p w:rsidR="00B523D9" w:rsidRPr="00705AB0" w:rsidRDefault="00B523D9" w:rsidP="00F46526">
            <w:pPr>
              <w:pStyle w:val="TableText"/>
            </w:pPr>
            <w:r w:rsidRPr="00705AB0">
              <w:t>Children with a vision problem at the B4SC are referred to specialist services</w:t>
            </w:r>
          </w:p>
        </w:tc>
        <w:tc>
          <w:tcPr>
            <w:tcW w:w="1591" w:type="pct"/>
            <w:tcBorders>
              <w:top w:val="nil"/>
              <w:left w:val="single" w:sz="4" w:space="0" w:color="A6A6A6"/>
              <w:bottom w:val="nil"/>
              <w:right w:val="single" w:sz="4" w:space="0" w:color="A6A6A6"/>
            </w:tcBorders>
            <w:shd w:val="clear" w:color="auto" w:fill="F2F2F2"/>
          </w:tcPr>
          <w:p w:rsidR="00B523D9" w:rsidRPr="00705AB0" w:rsidRDefault="00B523D9" w:rsidP="00F46526">
            <w:pPr>
              <w:pStyle w:val="TableText"/>
            </w:pPr>
            <w:r w:rsidRPr="00705AB0">
              <w:t>Number of children with a vision problem at the B4SC referred (B4SC)</w:t>
            </w:r>
          </w:p>
        </w:tc>
        <w:tc>
          <w:tcPr>
            <w:tcW w:w="1592" w:type="pct"/>
            <w:tcBorders>
              <w:top w:val="nil"/>
              <w:left w:val="single" w:sz="4" w:space="0" w:color="A6A6A6"/>
              <w:bottom w:val="nil"/>
            </w:tcBorders>
            <w:shd w:val="clear" w:color="auto" w:fill="F2F2F2"/>
          </w:tcPr>
          <w:p w:rsidR="00B523D9" w:rsidRPr="00705AB0" w:rsidRDefault="00B523D9" w:rsidP="00F46526">
            <w:pPr>
              <w:pStyle w:val="TableText"/>
            </w:pPr>
            <w:r w:rsidRPr="00705AB0">
              <w:t>Number of children with a vision problem (B4SC)</w:t>
            </w:r>
          </w:p>
        </w:tc>
      </w:tr>
      <w:tr w:rsidR="00B523D9" w:rsidRPr="00C658B3" w:rsidTr="00B523D9">
        <w:trPr>
          <w:cantSplit/>
        </w:trPr>
        <w:tc>
          <w:tcPr>
            <w:tcW w:w="226" w:type="pct"/>
            <w:tcBorders>
              <w:top w:val="nil"/>
              <w:bottom w:val="nil"/>
              <w:right w:val="single" w:sz="4" w:space="0" w:color="A6A6A6"/>
            </w:tcBorders>
            <w:shd w:val="clear" w:color="auto" w:fill="FFFFFF"/>
          </w:tcPr>
          <w:p w:rsidR="00B523D9" w:rsidRPr="00705AB0" w:rsidRDefault="00B523D9" w:rsidP="00F46526">
            <w:pPr>
              <w:pStyle w:val="TableText"/>
            </w:pPr>
            <w:r>
              <w:t>26</w:t>
            </w:r>
          </w:p>
        </w:tc>
        <w:tc>
          <w:tcPr>
            <w:tcW w:w="1591" w:type="pct"/>
            <w:tcBorders>
              <w:top w:val="nil"/>
              <w:bottom w:val="nil"/>
              <w:right w:val="single" w:sz="4" w:space="0" w:color="A6A6A6"/>
            </w:tcBorders>
            <w:shd w:val="clear" w:color="auto" w:fill="FFFFFF"/>
          </w:tcPr>
          <w:p w:rsidR="00B523D9" w:rsidRPr="00705AB0" w:rsidRDefault="00B523D9" w:rsidP="00F46526">
            <w:pPr>
              <w:pStyle w:val="TableText"/>
            </w:pPr>
            <w:r w:rsidRPr="00705AB0">
              <w:t>Children with a hearing problem at the B4SC are referred to specialist services</w:t>
            </w:r>
          </w:p>
        </w:tc>
        <w:tc>
          <w:tcPr>
            <w:tcW w:w="1591" w:type="pct"/>
            <w:tcBorders>
              <w:top w:val="nil"/>
              <w:left w:val="single" w:sz="4" w:space="0" w:color="A6A6A6"/>
              <w:bottom w:val="nil"/>
              <w:right w:val="single" w:sz="4" w:space="0" w:color="A6A6A6"/>
            </w:tcBorders>
            <w:shd w:val="clear" w:color="auto" w:fill="FFFFFF"/>
          </w:tcPr>
          <w:p w:rsidR="00B523D9" w:rsidRPr="00705AB0" w:rsidRDefault="00B523D9" w:rsidP="00F46526">
            <w:pPr>
              <w:pStyle w:val="TableText"/>
            </w:pPr>
            <w:r w:rsidRPr="00705AB0">
              <w:t>Number of children with a hearing problem at the B4SC referred (B4SC)</w:t>
            </w:r>
          </w:p>
        </w:tc>
        <w:tc>
          <w:tcPr>
            <w:tcW w:w="1592" w:type="pct"/>
            <w:tcBorders>
              <w:top w:val="nil"/>
              <w:left w:val="single" w:sz="4" w:space="0" w:color="A6A6A6"/>
              <w:bottom w:val="nil"/>
            </w:tcBorders>
            <w:shd w:val="clear" w:color="auto" w:fill="FFFFFF"/>
          </w:tcPr>
          <w:p w:rsidR="00B523D9" w:rsidRPr="00705AB0" w:rsidRDefault="00B523D9" w:rsidP="00F46526">
            <w:pPr>
              <w:pStyle w:val="TableText"/>
            </w:pPr>
            <w:r w:rsidRPr="00705AB0">
              <w:t>Number of children with a hearing problem (B4SC)</w:t>
            </w:r>
          </w:p>
        </w:tc>
      </w:tr>
      <w:tr w:rsidR="00B523D9" w:rsidRPr="00C658B3" w:rsidTr="00B523D9">
        <w:trPr>
          <w:cantSplit/>
        </w:trPr>
        <w:tc>
          <w:tcPr>
            <w:tcW w:w="226" w:type="pct"/>
            <w:tcBorders>
              <w:top w:val="nil"/>
              <w:bottom w:val="single" w:sz="4" w:space="0" w:color="auto"/>
              <w:right w:val="single" w:sz="4" w:space="0" w:color="A6A6A6"/>
            </w:tcBorders>
            <w:shd w:val="clear" w:color="auto" w:fill="F2F2F2"/>
          </w:tcPr>
          <w:p w:rsidR="00B523D9" w:rsidRPr="00705AB0" w:rsidRDefault="00B523D9" w:rsidP="00F46526">
            <w:pPr>
              <w:pStyle w:val="TableText"/>
            </w:pPr>
            <w:r>
              <w:t>27</w:t>
            </w:r>
          </w:p>
        </w:tc>
        <w:tc>
          <w:tcPr>
            <w:tcW w:w="1591" w:type="pct"/>
            <w:tcBorders>
              <w:top w:val="nil"/>
              <w:bottom w:val="single" w:sz="4" w:space="0" w:color="auto"/>
              <w:right w:val="single" w:sz="4" w:space="0" w:color="A6A6A6"/>
            </w:tcBorders>
            <w:shd w:val="clear" w:color="auto" w:fill="F2F2F2"/>
          </w:tcPr>
          <w:p w:rsidR="00B523D9" w:rsidRPr="00705AB0" w:rsidRDefault="00B523D9" w:rsidP="00F46526">
            <w:pPr>
              <w:pStyle w:val="TableText"/>
            </w:pPr>
            <w:r w:rsidRPr="00705AB0">
              <w:t>Children with a BMI &gt;21 at the B4SC are referred to a GP or specialist services</w:t>
            </w:r>
          </w:p>
        </w:tc>
        <w:tc>
          <w:tcPr>
            <w:tcW w:w="1591" w:type="pct"/>
            <w:tcBorders>
              <w:top w:val="nil"/>
              <w:left w:val="single" w:sz="4" w:space="0" w:color="A6A6A6"/>
              <w:bottom w:val="single" w:sz="4" w:space="0" w:color="auto"/>
              <w:right w:val="single" w:sz="4" w:space="0" w:color="A6A6A6"/>
            </w:tcBorders>
            <w:shd w:val="clear" w:color="auto" w:fill="F2F2F2"/>
          </w:tcPr>
          <w:p w:rsidR="00B523D9" w:rsidRPr="00705AB0" w:rsidRDefault="00B523D9" w:rsidP="00F46526">
            <w:pPr>
              <w:pStyle w:val="TableText"/>
            </w:pPr>
            <w:r w:rsidRPr="00705AB0">
              <w:t>Number of children with a BMI &gt;21 at the B4SC referred (B4SC)</w:t>
            </w:r>
          </w:p>
        </w:tc>
        <w:tc>
          <w:tcPr>
            <w:tcW w:w="1592" w:type="pct"/>
            <w:tcBorders>
              <w:top w:val="nil"/>
              <w:left w:val="single" w:sz="4" w:space="0" w:color="A6A6A6"/>
              <w:bottom w:val="single" w:sz="4" w:space="0" w:color="auto"/>
            </w:tcBorders>
            <w:shd w:val="clear" w:color="auto" w:fill="F2F2F2"/>
          </w:tcPr>
          <w:p w:rsidR="00B523D9" w:rsidRPr="00705AB0" w:rsidRDefault="00B523D9" w:rsidP="00F46526">
            <w:pPr>
              <w:pStyle w:val="TableText"/>
            </w:pPr>
            <w:r w:rsidRPr="00705AB0">
              <w:t>Number of children with a BMI &gt;21 at the B4SC (B4SC)</w:t>
            </w:r>
          </w:p>
        </w:tc>
      </w:tr>
    </w:tbl>
    <w:p w:rsidR="00705AB0" w:rsidRDefault="00705AB0" w:rsidP="007603FA"/>
    <w:p w:rsidR="00705AB0" w:rsidRDefault="007603FA" w:rsidP="007603FA">
      <w:pPr>
        <w:pStyle w:val="Heading1"/>
      </w:pPr>
      <w:bookmarkStart w:id="68" w:name="_Toc360627079"/>
      <w:r>
        <w:br w:type="page"/>
      </w:r>
      <w:bookmarkStart w:id="69" w:name="_Toc361597315"/>
      <w:r w:rsidR="00705AB0">
        <w:t>Appendix 3: Data sources for the quality indicators</w:t>
      </w:r>
      <w:bookmarkEnd w:id="68"/>
      <w:bookmarkEnd w:id="69"/>
    </w:p>
    <w:p w:rsidR="001A627D" w:rsidRDefault="00705AB0" w:rsidP="007603FA">
      <w:pPr>
        <w:pStyle w:val="Heading2"/>
      </w:pPr>
      <w:bookmarkStart w:id="70" w:name="_Toc361597316"/>
      <w:r>
        <w:t xml:space="preserve">The </w:t>
      </w:r>
      <w:r w:rsidRPr="00C376B6">
        <w:t xml:space="preserve">B4SC </w:t>
      </w:r>
      <w:r w:rsidR="007603FA">
        <w:t>i</w:t>
      </w:r>
      <w:r w:rsidRPr="00C376B6">
        <w:t xml:space="preserve">nformation </w:t>
      </w:r>
      <w:r w:rsidR="007603FA">
        <w:t>s</w:t>
      </w:r>
      <w:r w:rsidRPr="00C376B6">
        <w:t>ystem</w:t>
      </w:r>
      <w:bookmarkEnd w:id="70"/>
    </w:p>
    <w:p w:rsidR="001A627D" w:rsidRDefault="00705AB0" w:rsidP="007603FA">
      <w:r w:rsidRPr="00C376B6">
        <w:t xml:space="preserve">The B4SC </w:t>
      </w:r>
      <w:r w:rsidR="007603FA">
        <w:t>i</w:t>
      </w:r>
      <w:r w:rsidRPr="00C376B6">
        <w:t xml:space="preserve">nformation </w:t>
      </w:r>
      <w:r w:rsidR="007603FA">
        <w:t>s</w:t>
      </w:r>
      <w:r w:rsidRPr="00C376B6">
        <w:t xml:space="preserve">ystem collects demographic, clinical and </w:t>
      </w:r>
      <w:r w:rsidR="00DD5939" w:rsidRPr="00C376B6">
        <w:t>service</w:t>
      </w:r>
      <w:r w:rsidR="00DD5939">
        <w:t>-</w:t>
      </w:r>
      <w:r w:rsidRPr="00C376B6">
        <w:t>use information</w:t>
      </w:r>
      <w:r>
        <w:t xml:space="preserve"> for all children receiving a B4SC</w:t>
      </w:r>
      <w:r w:rsidRPr="00C376B6">
        <w:t xml:space="preserve"> to support allocation and coverage, referral and follow-up and performance monitoring. The system </w:t>
      </w:r>
      <w:r>
        <w:t>creates</w:t>
      </w:r>
      <w:r w:rsidRPr="00C376B6">
        <w:t xml:space="preserve"> a nationally available, unit-level database of non-identifiable information for research, service development and planning purposes.</w:t>
      </w:r>
    </w:p>
    <w:p w:rsidR="00705AB0" w:rsidRDefault="00705AB0" w:rsidP="007603FA"/>
    <w:p w:rsidR="00705AB0" w:rsidRPr="000424B4" w:rsidRDefault="00705AB0" w:rsidP="007603FA">
      <w:pPr>
        <w:pStyle w:val="Heading2"/>
        <w:rPr>
          <w:szCs w:val="22"/>
        </w:rPr>
      </w:pPr>
      <w:bookmarkStart w:id="71" w:name="_Toc361597317"/>
      <w:r w:rsidRPr="00D253EF">
        <w:t>Co</w:t>
      </w:r>
      <w:r w:rsidRPr="00002835">
        <w:t>mm</w:t>
      </w:r>
      <w:r w:rsidRPr="00D253EF">
        <w:t xml:space="preserve">unity </w:t>
      </w:r>
      <w:r>
        <w:t>o</w:t>
      </w:r>
      <w:r w:rsidRPr="00D253EF">
        <w:t xml:space="preserve">ral </w:t>
      </w:r>
      <w:r>
        <w:t>h</w:t>
      </w:r>
      <w:r w:rsidRPr="00D253EF">
        <w:t xml:space="preserve">ealth </w:t>
      </w:r>
      <w:r>
        <w:t>s</w:t>
      </w:r>
      <w:r w:rsidRPr="00D253EF">
        <w:t>ervices</w:t>
      </w:r>
      <w:bookmarkEnd w:id="71"/>
    </w:p>
    <w:p w:rsidR="00705AB0" w:rsidRDefault="00705AB0" w:rsidP="007603FA">
      <w:r w:rsidRPr="000424B4">
        <w:t xml:space="preserve">School </w:t>
      </w:r>
      <w:r>
        <w:t>d</w:t>
      </w:r>
      <w:r w:rsidRPr="000424B4">
        <w:t xml:space="preserve">ental </w:t>
      </w:r>
      <w:r>
        <w:t>s</w:t>
      </w:r>
      <w:r w:rsidRPr="000424B4">
        <w:t>ervices</w:t>
      </w:r>
      <w:r>
        <w:t xml:space="preserve"> </w:t>
      </w:r>
      <w:r w:rsidRPr="000424B4">
        <w:t>provide</w:t>
      </w:r>
      <w:r>
        <w:t xml:space="preserve"> </w:t>
      </w:r>
      <w:r w:rsidRPr="000424B4">
        <w:t xml:space="preserve">statistics on the percentage of </w:t>
      </w:r>
      <w:r>
        <w:t>c</w:t>
      </w:r>
      <w:r w:rsidRPr="000424B4">
        <w:t xml:space="preserve">aries-free </w:t>
      </w:r>
      <w:r>
        <w:t xml:space="preserve">children and the incidence </w:t>
      </w:r>
      <w:r w:rsidRPr="000424B4">
        <w:t xml:space="preserve">of DMFT </w:t>
      </w:r>
      <w:r>
        <w:t xml:space="preserve">for 97 percent of </w:t>
      </w:r>
      <w:r w:rsidRPr="000424B4">
        <w:t>five</w:t>
      </w:r>
      <w:r>
        <w:t>-</w:t>
      </w:r>
      <w:r w:rsidRPr="000424B4">
        <w:t>year</w:t>
      </w:r>
      <w:r>
        <w:t>-</w:t>
      </w:r>
      <w:r w:rsidRPr="000424B4">
        <w:t>old children</w:t>
      </w:r>
      <w:r>
        <w:t xml:space="preserve">. </w:t>
      </w:r>
      <w:r w:rsidRPr="000424B4">
        <w:t>Data is organised by region, ethnicity and fluoridation status.</w:t>
      </w:r>
    </w:p>
    <w:p w:rsidR="00705AB0" w:rsidRDefault="00705AB0" w:rsidP="007603FA"/>
    <w:p w:rsidR="00705AB0" w:rsidRDefault="00705AB0" w:rsidP="007603FA">
      <w:pPr>
        <w:pStyle w:val="Heading2"/>
      </w:pPr>
      <w:bookmarkStart w:id="72" w:name="_Toc361597318"/>
      <w:r w:rsidRPr="000424B4">
        <w:t xml:space="preserve">Early </w:t>
      </w:r>
      <w:r w:rsidR="007603FA">
        <w:t>c</w:t>
      </w:r>
      <w:r w:rsidRPr="000424B4">
        <w:t xml:space="preserve">hildhood </w:t>
      </w:r>
      <w:r w:rsidR="007603FA">
        <w:t>e</w:t>
      </w:r>
      <w:r w:rsidRPr="000424B4">
        <w:t xml:space="preserve">ducation </w:t>
      </w:r>
      <w:r>
        <w:t>information</w:t>
      </w:r>
      <w:bookmarkEnd w:id="72"/>
    </w:p>
    <w:p w:rsidR="001A627D" w:rsidRDefault="00705AB0" w:rsidP="007603FA">
      <w:r>
        <w:t>The Ministry of Education collects data on the percentage of c</w:t>
      </w:r>
      <w:r w:rsidRPr="00406F20">
        <w:t xml:space="preserve">hildren starting school who have participated in quality </w:t>
      </w:r>
      <w:r>
        <w:t>e</w:t>
      </w:r>
      <w:r w:rsidRPr="00406F20">
        <w:t xml:space="preserve">arly </w:t>
      </w:r>
      <w:r>
        <w:t>c</w:t>
      </w:r>
      <w:r w:rsidRPr="00406F20">
        <w:t xml:space="preserve">hildhood </w:t>
      </w:r>
      <w:r>
        <w:t>e</w:t>
      </w:r>
      <w:r w:rsidRPr="00406F20">
        <w:t>ducation</w:t>
      </w:r>
      <w:r>
        <w:t>,</w:t>
      </w:r>
      <w:r w:rsidRPr="00406F20">
        <w:t xml:space="preserve"> as per </w:t>
      </w:r>
      <w:r>
        <w:t xml:space="preserve">the </w:t>
      </w:r>
      <w:r w:rsidR="001A627D">
        <w:t>‘</w:t>
      </w:r>
      <w:r w:rsidRPr="00406F20">
        <w:t>B</w:t>
      </w:r>
      <w:r>
        <w:t xml:space="preserve">etter </w:t>
      </w:r>
      <w:r w:rsidRPr="00406F20">
        <w:t>P</w:t>
      </w:r>
      <w:r>
        <w:t xml:space="preserve">ublic </w:t>
      </w:r>
      <w:r w:rsidRPr="00406F20">
        <w:t>S</w:t>
      </w:r>
      <w:r>
        <w:t>ervices</w:t>
      </w:r>
      <w:r w:rsidR="001A627D">
        <w:t>’</w:t>
      </w:r>
      <w:r w:rsidRPr="00406F20">
        <w:t xml:space="preserve"> target </w:t>
      </w:r>
      <w:r>
        <w:t xml:space="preserve">(see </w:t>
      </w:r>
      <w:hyperlink r:id="rId18" w:history="1">
        <w:r w:rsidRPr="00674C1C">
          <w:rPr>
            <w:rStyle w:val="Hyperlink"/>
            <w:szCs w:val="22"/>
          </w:rPr>
          <w:t>www.ssc.govt.nz/bps-supporting-vulnerable-children</w:t>
        </w:r>
      </w:hyperlink>
      <w:r>
        <w:rPr>
          <w:rStyle w:val="Hyperlink"/>
          <w:szCs w:val="22"/>
        </w:rPr>
        <w:t>)</w:t>
      </w:r>
      <w:r>
        <w:t>.</w:t>
      </w:r>
    </w:p>
    <w:p w:rsidR="00705AB0" w:rsidRDefault="00705AB0" w:rsidP="007603FA"/>
    <w:p w:rsidR="001A627D" w:rsidRDefault="00705AB0" w:rsidP="007603FA">
      <w:pPr>
        <w:pStyle w:val="Heading2"/>
      </w:pPr>
      <w:bookmarkStart w:id="73" w:name="_Toc361597319"/>
      <w:r w:rsidRPr="00ED48BD">
        <w:t xml:space="preserve">Preschool </w:t>
      </w:r>
      <w:r w:rsidR="007603FA">
        <w:t>o</w:t>
      </w:r>
      <w:r w:rsidRPr="00ED48BD">
        <w:t xml:space="preserve">ral </w:t>
      </w:r>
      <w:r w:rsidR="007603FA">
        <w:t>h</w:t>
      </w:r>
      <w:r w:rsidRPr="00ED48BD">
        <w:t xml:space="preserve">ealth </w:t>
      </w:r>
      <w:r w:rsidR="007603FA">
        <w:t>e</w:t>
      </w:r>
      <w:r w:rsidRPr="00ED48BD">
        <w:t>nrolment</w:t>
      </w:r>
      <w:bookmarkEnd w:id="73"/>
    </w:p>
    <w:p w:rsidR="00705AB0" w:rsidRPr="000424B4" w:rsidRDefault="00705AB0" w:rsidP="007603FA">
      <w:r>
        <w:rPr>
          <w:szCs w:val="22"/>
        </w:rPr>
        <w:t xml:space="preserve">The Ministry of Health collects data on the </w:t>
      </w:r>
      <w:r>
        <w:t xml:space="preserve">number of enrolments in oral health services by age at enrolment. District </w:t>
      </w:r>
      <w:r w:rsidR="007603FA">
        <w:t>h</w:t>
      </w:r>
      <w:r>
        <w:t xml:space="preserve">ealth </w:t>
      </w:r>
      <w:r w:rsidR="007603FA">
        <w:t>b</w:t>
      </w:r>
      <w:r>
        <w:t>oards report this information annually to the Ministry</w:t>
      </w:r>
      <w:r w:rsidR="00DD5939">
        <w:t xml:space="preserve"> of Health</w:t>
      </w:r>
      <w:r>
        <w:t>, by DHB region and ethnic group.</w:t>
      </w:r>
    </w:p>
    <w:p w:rsidR="00705AB0" w:rsidRDefault="00705AB0" w:rsidP="007603FA"/>
    <w:p w:rsidR="00705AB0" w:rsidRPr="00C376B6" w:rsidRDefault="00705AB0" w:rsidP="007603FA">
      <w:pPr>
        <w:pStyle w:val="Heading2"/>
      </w:pPr>
      <w:bookmarkStart w:id="74" w:name="_Toc361597320"/>
      <w:r w:rsidRPr="00C376B6">
        <w:t>National Immunisation Register (NIR</w:t>
      </w:r>
      <w:r>
        <w:t>)</w:t>
      </w:r>
      <w:bookmarkEnd w:id="74"/>
    </w:p>
    <w:p w:rsidR="00705AB0" w:rsidRPr="00C376B6" w:rsidRDefault="00705AB0" w:rsidP="007603FA">
      <w:r w:rsidRPr="00C376B6">
        <w:t xml:space="preserve">The </w:t>
      </w:r>
      <w:r>
        <w:t>NIR, administered by the Ministry of Health,</w:t>
      </w:r>
      <w:r w:rsidRPr="00C376B6">
        <w:t xml:space="preserve"> contains all registered immunisation enrolments and events </w:t>
      </w:r>
      <w:r>
        <w:t>for</w:t>
      </w:r>
      <w:r w:rsidRPr="00C376B6">
        <w:t xml:space="preserve"> children born since 2005</w:t>
      </w:r>
      <w:r>
        <w:t>.</w:t>
      </w:r>
    </w:p>
    <w:p w:rsidR="00705AB0" w:rsidRDefault="00705AB0" w:rsidP="007603FA"/>
    <w:p w:rsidR="00705AB0" w:rsidRPr="00C376B6" w:rsidRDefault="00705AB0" w:rsidP="007603FA">
      <w:pPr>
        <w:pStyle w:val="Heading2"/>
      </w:pPr>
      <w:bookmarkStart w:id="75" w:name="_Toc361597321"/>
      <w:r w:rsidRPr="00C376B6">
        <w:t xml:space="preserve">National </w:t>
      </w:r>
      <w:r w:rsidR="007603FA">
        <w:t>m</w:t>
      </w:r>
      <w:r w:rsidRPr="00C376B6">
        <w:t xml:space="preserve">aternity </w:t>
      </w:r>
      <w:r w:rsidR="007603FA">
        <w:t>c</w:t>
      </w:r>
      <w:r w:rsidRPr="00C376B6">
        <w:t>ollection (MAT</w:t>
      </w:r>
      <w:r>
        <w:t>)</w:t>
      </w:r>
      <w:bookmarkEnd w:id="75"/>
    </w:p>
    <w:p w:rsidR="00705AB0" w:rsidRPr="00C376B6" w:rsidRDefault="00705AB0" w:rsidP="007603FA">
      <w:r>
        <w:t>MAT, administered by the Ministry of Health,</w:t>
      </w:r>
      <w:r w:rsidRPr="00C376B6">
        <w:t xml:space="preserve"> provides statistical, demographic and clinical information about selected publicly funded maternity services up to nine months before and three months after a birth.</w:t>
      </w:r>
      <w:r>
        <w:t xml:space="preserve"> The collection </w:t>
      </w:r>
      <w:r w:rsidRPr="00C376B6">
        <w:t xml:space="preserve">contains data on primary maternity services provided under Section 88 of the New Zealand Public Health and Disability Act 2000. </w:t>
      </w:r>
      <w:r>
        <w:t xml:space="preserve">It </w:t>
      </w:r>
      <w:r w:rsidRPr="00C376B6">
        <w:t xml:space="preserve">also contains inpatient and day-patient health event data </w:t>
      </w:r>
      <w:r>
        <w:t xml:space="preserve">on </w:t>
      </w:r>
      <w:r w:rsidRPr="00C376B6">
        <w:t xml:space="preserve">pregnancy, birth and the postnatal period for mother and baby, sourced from </w:t>
      </w:r>
      <w:r>
        <w:t>the National Minimum Dataset (</w:t>
      </w:r>
      <w:hyperlink r:id="rId19" w:history="1">
        <w:r w:rsidRPr="00C376B6">
          <w:rPr>
            <w:rStyle w:val="Hyperlink"/>
          </w:rPr>
          <w:t>NMDS</w:t>
        </w:r>
      </w:hyperlink>
      <w:r>
        <w:rPr>
          <w:rStyle w:val="Hyperlink"/>
        </w:rPr>
        <w:t>)</w:t>
      </w:r>
      <w:r w:rsidRPr="00C376B6">
        <w:t>.</w:t>
      </w:r>
    </w:p>
    <w:p w:rsidR="00705AB0" w:rsidRPr="00C376B6" w:rsidRDefault="00705AB0" w:rsidP="007603FA"/>
    <w:p w:rsidR="00705AB0" w:rsidRPr="00C376B6" w:rsidRDefault="00705AB0" w:rsidP="007603FA">
      <w:pPr>
        <w:pStyle w:val="Heading2"/>
      </w:pPr>
      <w:bookmarkStart w:id="76" w:name="_Toc361597322"/>
      <w:r w:rsidRPr="00C376B6">
        <w:t xml:space="preserve">National </w:t>
      </w:r>
      <w:r w:rsidR="00DD5939">
        <w:t>M</w:t>
      </w:r>
      <w:r w:rsidR="00DD5939" w:rsidRPr="00C376B6">
        <w:t xml:space="preserve">inimum </w:t>
      </w:r>
      <w:r w:rsidR="00DD5939">
        <w:t>D</w:t>
      </w:r>
      <w:r w:rsidR="00DD5939" w:rsidRPr="00C376B6">
        <w:t xml:space="preserve">ataset </w:t>
      </w:r>
      <w:r w:rsidRPr="00C376B6">
        <w:t>(NMDS)</w:t>
      </w:r>
      <w:bookmarkEnd w:id="76"/>
    </w:p>
    <w:p w:rsidR="00705AB0" w:rsidRPr="00C376B6" w:rsidRDefault="00705AB0" w:rsidP="007603FA">
      <w:r>
        <w:t>NMDS, administered by the Ministry of Health,</w:t>
      </w:r>
      <w:r w:rsidRPr="00C376B6">
        <w:t xml:space="preserve"> is a national collection of public and private hospital discharge information, including coded clinical data </w:t>
      </w:r>
      <w:r>
        <w:t>on</w:t>
      </w:r>
      <w:r w:rsidRPr="00C376B6">
        <w:t xml:space="preserve"> inpatients and day</w:t>
      </w:r>
      <w:r w:rsidR="00DD5939">
        <w:t xml:space="preserve"> </w:t>
      </w:r>
      <w:r w:rsidRPr="00C376B6">
        <w:t>patients.</w:t>
      </w:r>
    </w:p>
    <w:p w:rsidR="00705AB0" w:rsidRDefault="00705AB0" w:rsidP="007603FA"/>
    <w:p w:rsidR="001A627D" w:rsidRDefault="00705AB0" w:rsidP="007603FA">
      <w:pPr>
        <w:pStyle w:val="Heading2"/>
      </w:pPr>
      <w:bookmarkStart w:id="77" w:name="_Toc361597323"/>
      <w:r>
        <w:t xml:space="preserve">PHO </w:t>
      </w:r>
      <w:r w:rsidR="007603FA">
        <w:t>e</w:t>
      </w:r>
      <w:r w:rsidRPr="00C376B6">
        <w:t>n</w:t>
      </w:r>
      <w:r w:rsidR="007603FA">
        <w:t>r</w:t>
      </w:r>
      <w:r w:rsidRPr="00C376B6">
        <w:t xml:space="preserve">olment </w:t>
      </w:r>
      <w:r w:rsidR="007603FA">
        <w:t>c</w:t>
      </w:r>
      <w:r w:rsidRPr="00C376B6">
        <w:t>ollection</w:t>
      </w:r>
      <w:bookmarkEnd w:id="77"/>
    </w:p>
    <w:p w:rsidR="00705AB0" w:rsidRPr="00C376B6" w:rsidRDefault="00705AB0" w:rsidP="007603FA">
      <w:r w:rsidRPr="00C376B6">
        <w:t xml:space="preserve">The </w:t>
      </w:r>
      <w:r>
        <w:t xml:space="preserve">national </w:t>
      </w:r>
      <w:r w:rsidRPr="00C376B6">
        <w:t xml:space="preserve">PHO </w:t>
      </w:r>
      <w:r w:rsidR="007603FA">
        <w:t>e</w:t>
      </w:r>
      <w:r w:rsidRPr="00C376B6">
        <w:t xml:space="preserve">nrolment </w:t>
      </w:r>
      <w:r w:rsidR="007603FA">
        <w:t>c</w:t>
      </w:r>
      <w:r w:rsidRPr="00C376B6">
        <w:t xml:space="preserve">ollection holds </w:t>
      </w:r>
      <w:r>
        <w:t>p</w:t>
      </w:r>
      <w:r w:rsidRPr="00C376B6">
        <w:t xml:space="preserve">rimary </w:t>
      </w:r>
      <w:r>
        <w:t>h</w:t>
      </w:r>
      <w:r w:rsidRPr="00C376B6">
        <w:t>ealth</w:t>
      </w:r>
      <w:r>
        <w:t xml:space="preserve"> </w:t>
      </w:r>
      <w:r w:rsidRPr="00C376B6">
        <w:t xml:space="preserve">care </w:t>
      </w:r>
      <w:r>
        <w:t>s</w:t>
      </w:r>
      <w:r w:rsidRPr="00C376B6">
        <w:t>ystem patient enrolment data</w:t>
      </w:r>
      <w:r>
        <w:t>.</w:t>
      </w:r>
    </w:p>
    <w:p w:rsidR="00705AB0" w:rsidRPr="00C376B6" w:rsidRDefault="00705AB0" w:rsidP="007603FA"/>
    <w:p w:rsidR="00705AB0" w:rsidRPr="000424B4" w:rsidRDefault="00705AB0" w:rsidP="007603FA">
      <w:pPr>
        <w:pStyle w:val="Heading2"/>
      </w:pPr>
      <w:bookmarkStart w:id="78" w:name="_Toc361597324"/>
      <w:r>
        <w:t xml:space="preserve">WCTO </w:t>
      </w:r>
      <w:r w:rsidRPr="000424B4">
        <w:t xml:space="preserve">providers </w:t>
      </w:r>
      <w:r>
        <w:t>and</w:t>
      </w:r>
      <w:r w:rsidRPr="000424B4">
        <w:t xml:space="preserve"> Plunket</w:t>
      </w:r>
      <w:bookmarkEnd w:id="78"/>
    </w:p>
    <w:p w:rsidR="001A627D" w:rsidRDefault="00705AB0" w:rsidP="007603FA">
      <w:r>
        <w:t>All WCTO providers submit service coverage and event-level data to the Ministry of Health, according to contractual requirements in the n</w:t>
      </w:r>
      <w:r w:rsidRPr="00002835">
        <w:t xml:space="preserve">ational WCTO </w:t>
      </w:r>
      <w:r w:rsidR="007603FA">
        <w:t>t</w:t>
      </w:r>
      <w:r w:rsidRPr="00002835">
        <w:t xml:space="preserve">ier </w:t>
      </w:r>
      <w:r w:rsidR="007603FA">
        <w:t>t</w:t>
      </w:r>
      <w:r w:rsidRPr="00002835">
        <w:t>wo</w:t>
      </w:r>
      <w:r>
        <w:t xml:space="preserve"> </w:t>
      </w:r>
      <w:r w:rsidR="007603FA">
        <w:t>s</w:t>
      </w:r>
      <w:r>
        <w:t xml:space="preserve">ervice </w:t>
      </w:r>
      <w:r w:rsidR="007603FA">
        <w:t>s</w:t>
      </w:r>
      <w:r>
        <w:t>pecification.</w:t>
      </w:r>
      <w:r w:rsidRPr="007603FA">
        <w:rPr>
          <w:rStyle w:val="FootnoteReference"/>
        </w:rPr>
        <w:footnoteReference w:id="1"/>
      </w:r>
    </w:p>
    <w:p w:rsidR="00705AB0" w:rsidRDefault="00705AB0" w:rsidP="007603FA"/>
    <w:p w:rsidR="00705AB0" w:rsidRDefault="007603FA" w:rsidP="007603FA">
      <w:pPr>
        <w:pStyle w:val="Heading1"/>
      </w:pPr>
      <w:r>
        <w:br w:type="page"/>
      </w:r>
      <w:bookmarkStart w:id="79" w:name="_Toc361597325"/>
      <w:r w:rsidR="00705AB0" w:rsidRPr="00002835">
        <w:t>Append</w:t>
      </w:r>
      <w:r w:rsidR="00705AB0">
        <w:t xml:space="preserve">ix 4: </w:t>
      </w:r>
      <w:r w:rsidR="00705AB0" w:rsidRPr="00C90EA5">
        <w:t>References</w:t>
      </w:r>
      <w:bookmarkEnd w:id="79"/>
    </w:p>
    <w:p w:rsidR="00705AB0" w:rsidRPr="001A627D" w:rsidRDefault="00705AB0" w:rsidP="007603FA">
      <w:pPr>
        <w:pStyle w:val="References"/>
        <w:rPr>
          <w:lang w:eastAsia="en-US"/>
        </w:rPr>
      </w:pPr>
      <w:r w:rsidRPr="001A627D">
        <w:rPr>
          <w:lang w:eastAsia="en-US"/>
        </w:rPr>
        <w:t xml:space="preserve">Australian Commission on Safety and Quality in Health Care. 2010. </w:t>
      </w:r>
      <w:r w:rsidRPr="001A627D">
        <w:rPr>
          <w:i/>
          <w:lang w:eastAsia="en-US"/>
        </w:rPr>
        <w:t>Australian Safety and Quality Framework for Health Care</w:t>
      </w:r>
      <w:r w:rsidRPr="001A627D">
        <w:rPr>
          <w:lang w:eastAsia="en-US"/>
        </w:rPr>
        <w:t xml:space="preserve">. </w:t>
      </w:r>
      <w:r w:rsidRPr="00B54A97">
        <w:t xml:space="preserve">URL: </w:t>
      </w:r>
      <w:hyperlink r:id="rId20" w:history="1">
        <w:r w:rsidR="007603FA" w:rsidRPr="00C36034">
          <w:rPr>
            <w:rStyle w:val="Hyperlink"/>
            <w:rFonts w:cs="Arial"/>
            <w:szCs w:val="24"/>
            <w:lang w:eastAsia="en-US"/>
          </w:rPr>
          <w:t>www.safetyandquality.gov.au/wp-content/uploads/2012/04/ Australian-SandQ-Framework1.pdf</w:t>
        </w:r>
      </w:hyperlink>
      <w:r w:rsidRPr="001A627D">
        <w:rPr>
          <w:rFonts w:cs="Arial"/>
          <w:szCs w:val="24"/>
          <w:lang w:eastAsia="en-US"/>
        </w:rPr>
        <w:t xml:space="preserve"> (accessed 26 June 2013).</w:t>
      </w:r>
    </w:p>
    <w:p w:rsidR="00705AB0" w:rsidRPr="001A627D" w:rsidRDefault="00705AB0" w:rsidP="007603FA">
      <w:pPr>
        <w:pStyle w:val="References"/>
        <w:rPr>
          <w:lang w:eastAsia="en-US"/>
        </w:rPr>
      </w:pPr>
      <w:r w:rsidRPr="001A627D">
        <w:rPr>
          <w:lang w:eastAsia="en-US"/>
        </w:rPr>
        <w:t xml:space="preserve">Health Quality and Safety Commission. 2012. </w:t>
      </w:r>
      <w:r w:rsidRPr="00C70606">
        <w:rPr>
          <w:i/>
          <w:lang w:eastAsia="en-US"/>
        </w:rPr>
        <w:t>The Triple Aim. 12 December 2011</w:t>
      </w:r>
      <w:r w:rsidRPr="001A627D">
        <w:rPr>
          <w:lang w:eastAsia="en-US"/>
        </w:rPr>
        <w:t>. URL: www.hqsc.govt.nz/news-and-events/news/126</w:t>
      </w:r>
      <w:r w:rsidR="001A627D" w:rsidRPr="001A627D">
        <w:rPr>
          <w:lang w:eastAsia="en-US"/>
        </w:rPr>
        <w:t xml:space="preserve"> </w:t>
      </w:r>
      <w:r w:rsidRPr="001A627D">
        <w:rPr>
          <w:rFonts w:cs="Arial"/>
          <w:szCs w:val="24"/>
          <w:lang w:eastAsia="en-US"/>
        </w:rPr>
        <w:t>(accessed 26 June 2013).</w:t>
      </w:r>
    </w:p>
    <w:p w:rsidR="00705AB0" w:rsidRPr="001A627D" w:rsidRDefault="00705AB0" w:rsidP="007603FA">
      <w:pPr>
        <w:pStyle w:val="References"/>
        <w:rPr>
          <w:lang w:eastAsia="en-US"/>
        </w:rPr>
      </w:pPr>
      <w:r w:rsidRPr="001A627D">
        <w:rPr>
          <w:lang w:eastAsia="en-US"/>
        </w:rPr>
        <w:t xml:space="preserve">Institute for Healthcare Improvement. 2012. </w:t>
      </w:r>
      <w:r w:rsidRPr="00C70606">
        <w:rPr>
          <w:i/>
          <w:lang w:eastAsia="en-US"/>
        </w:rPr>
        <w:t>Better Care for Individuals, Better Health for Populations, and Lower Per Capita Costs: IHI Triple Aim Initiative</w:t>
      </w:r>
      <w:r w:rsidRPr="001A627D">
        <w:rPr>
          <w:lang w:eastAsia="en-US"/>
        </w:rPr>
        <w:t xml:space="preserve">. </w:t>
      </w:r>
      <w:hyperlink r:id="rId21" w:history="1">
        <w:r w:rsidRPr="001A627D">
          <w:rPr>
            <w:rStyle w:val="Hyperlink"/>
            <w:rFonts w:cs="Arial"/>
            <w:szCs w:val="24"/>
            <w:lang w:eastAsia="en-US"/>
          </w:rPr>
          <w:t>URL: www.ihi.org/offerings/Initiatives/TripleAim/Pages/Approach.aspx</w:t>
        </w:r>
      </w:hyperlink>
      <w:r w:rsidRPr="001A627D">
        <w:rPr>
          <w:rFonts w:cs="Arial"/>
          <w:szCs w:val="24"/>
          <w:lang w:eastAsia="en-US"/>
        </w:rPr>
        <w:t xml:space="preserve"> (accessed 26 June 2013).</w:t>
      </w:r>
    </w:p>
    <w:p w:rsidR="00AA222E" w:rsidRPr="001A627D" w:rsidRDefault="00AA222E" w:rsidP="00AA222E">
      <w:pPr>
        <w:pStyle w:val="References"/>
      </w:pPr>
      <w:r w:rsidRPr="001A627D">
        <w:rPr>
          <w:rFonts w:cs="Arial"/>
          <w:szCs w:val="24"/>
          <w:lang w:eastAsia="en-US"/>
        </w:rPr>
        <w:t>Litmus</w:t>
      </w:r>
      <w:r w:rsidRPr="001A627D">
        <w:t>. 2012</w:t>
      </w:r>
      <w:r>
        <w:t>a</w:t>
      </w:r>
      <w:r w:rsidRPr="001A627D">
        <w:t xml:space="preserve">. </w:t>
      </w:r>
      <w:r w:rsidRPr="001A627D">
        <w:rPr>
          <w:i/>
        </w:rPr>
        <w:t>Draft Quality Improvement Framework for the Well Child/Tamariki Ora Programme</w:t>
      </w:r>
      <w:r w:rsidRPr="001A627D">
        <w:t>.</w:t>
      </w:r>
      <w:r w:rsidRPr="001A627D">
        <w:rPr>
          <w:i/>
        </w:rPr>
        <w:t xml:space="preserve"> </w:t>
      </w:r>
      <w:r w:rsidRPr="001A627D">
        <w:t>Wellington: Litmus.</w:t>
      </w:r>
    </w:p>
    <w:p w:rsidR="001A627D" w:rsidRPr="001A627D" w:rsidRDefault="00705AB0" w:rsidP="007603FA">
      <w:pPr>
        <w:pStyle w:val="References"/>
      </w:pPr>
      <w:r w:rsidRPr="001A627D">
        <w:rPr>
          <w:rFonts w:cs="Arial"/>
          <w:szCs w:val="24"/>
          <w:lang w:eastAsia="en-US"/>
        </w:rPr>
        <w:t>Litmus</w:t>
      </w:r>
      <w:r w:rsidRPr="001A627D">
        <w:t xml:space="preserve">. </w:t>
      </w:r>
      <w:r w:rsidR="00AA222E" w:rsidRPr="001A627D">
        <w:t>2012</w:t>
      </w:r>
      <w:r w:rsidR="00AA222E">
        <w:t>b</w:t>
      </w:r>
      <w:r w:rsidRPr="001A627D">
        <w:t xml:space="preserve">. </w:t>
      </w:r>
      <w:r w:rsidRPr="001A627D">
        <w:rPr>
          <w:i/>
        </w:rPr>
        <w:t xml:space="preserve">Quality </w:t>
      </w:r>
      <w:r w:rsidR="00E72078">
        <w:rPr>
          <w:i/>
        </w:rPr>
        <w:t>R</w:t>
      </w:r>
      <w:r w:rsidRPr="001A627D">
        <w:rPr>
          <w:i/>
        </w:rPr>
        <w:t>eview of the B4SC</w:t>
      </w:r>
      <w:r w:rsidRPr="001A627D">
        <w:t>.</w:t>
      </w:r>
      <w:r w:rsidRPr="001A627D">
        <w:rPr>
          <w:i/>
        </w:rPr>
        <w:t xml:space="preserve"> </w:t>
      </w:r>
      <w:r w:rsidRPr="001A627D">
        <w:t>Wellington: Litmus.</w:t>
      </w:r>
    </w:p>
    <w:p w:rsidR="001A627D" w:rsidRPr="001A627D" w:rsidRDefault="00705AB0" w:rsidP="007603FA">
      <w:pPr>
        <w:pStyle w:val="References"/>
      </w:pPr>
      <w:r w:rsidRPr="001A627D">
        <w:rPr>
          <w:rFonts w:cs="Arial"/>
          <w:szCs w:val="24"/>
          <w:lang w:eastAsia="en-US"/>
        </w:rPr>
        <w:t>Litmus</w:t>
      </w:r>
      <w:r w:rsidRPr="001A627D">
        <w:t xml:space="preserve">. </w:t>
      </w:r>
      <w:r w:rsidR="00AA222E" w:rsidRPr="001A627D">
        <w:t>2012</w:t>
      </w:r>
      <w:r w:rsidR="00AA222E">
        <w:t>c</w:t>
      </w:r>
      <w:r w:rsidRPr="001A627D">
        <w:t xml:space="preserve">. </w:t>
      </w:r>
      <w:r w:rsidRPr="001A627D">
        <w:rPr>
          <w:i/>
        </w:rPr>
        <w:t xml:space="preserve">Quality </w:t>
      </w:r>
      <w:r w:rsidR="00E72078">
        <w:rPr>
          <w:i/>
        </w:rPr>
        <w:t>R</w:t>
      </w:r>
      <w:r w:rsidRPr="001A627D">
        <w:rPr>
          <w:i/>
        </w:rPr>
        <w:t xml:space="preserve">eview of the </w:t>
      </w:r>
      <w:r w:rsidR="00E72078">
        <w:rPr>
          <w:i/>
        </w:rPr>
        <w:t>T</w:t>
      </w:r>
      <w:r w:rsidRPr="001A627D">
        <w:rPr>
          <w:i/>
        </w:rPr>
        <w:t xml:space="preserve">hree </w:t>
      </w:r>
      <w:r w:rsidR="00E72078">
        <w:rPr>
          <w:i/>
        </w:rPr>
        <w:t>N</w:t>
      </w:r>
      <w:r w:rsidRPr="001A627D">
        <w:rPr>
          <w:i/>
        </w:rPr>
        <w:t xml:space="preserve">ew </w:t>
      </w:r>
      <w:r w:rsidR="00E72078">
        <w:rPr>
          <w:i/>
        </w:rPr>
        <w:t>A</w:t>
      </w:r>
      <w:r w:rsidRPr="001A627D">
        <w:rPr>
          <w:i/>
        </w:rPr>
        <w:t xml:space="preserve">ssessment </w:t>
      </w:r>
      <w:r w:rsidR="00E72078">
        <w:rPr>
          <w:i/>
        </w:rPr>
        <w:t>T</w:t>
      </w:r>
      <w:r w:rsidRPr="001A627D">
        <w:rPr>
          <w:i/>
        </w:rPr>
        <w:t>ools</w:t>
      </w:r>
      <w:r w:rsidRPr="001A627D">
        <w:t>.</w:t>
      </w:r>
      <w:r w:rsidRPr="001A627D">
        <w:rPr>
          <w:i/>
        </w:rPr>
        <w:t xml:space="preserve"> </w:t>
      </w:r>
      <w:r w:rsidRPr="001A627D">
        <w:t>Wellington: Litmus.</w:t>
      </w:r>
    </w:p>
    <w:p w:rsidR="001A627D" w:rsidRPr="001A627D" w:rsidRDefault="00705AB0" w:rsidP="007603FA">
      <w:pPr>
        <w:pStyle w:val="References"/>
      </w:pPr>
      <w:r w:rsidRPr="001A627D">
        <w:t xml:space="preserve">Litmus. </w:t>
      </w:r>
      <w:r w:rsidR="00AA222E" w:rsidRPr="001A627D">
        <w:t>2012</w:t>
      </w:r>
      <w:r w:rsidR="00AA222E">
        <w:t>d</w:t>
      </w:r>
      <w:r w:rsidRPr="001A627D">
        <w:t xml:space="preserve">. </w:t>
      </w:r>
      <w:r w:rsidRPr="001A627D">
        <w:rPr>
          <w:i/>
        </w:rPr>
        <w:t xml:space="preserve">Quality </w:t>
      </w:r>
      <w:r w:rsidR="00E72078">
        <w:rPr>
          <w:i/>
        </w:rPr>
        <w:t>R</w:t>
      </w:r>
      <w:r w:rsidRPr="001A627D">
        <w:rPr>
          <w:i/>
        </w:rPr>
        <w:t xml:space="preserve">eview of the 4–6 </w:t>
      </w:r>
      <w:r w:rsidR="00E72078">
        <w:rPr>
          <w:i/>
        </w:rPr>
        <w:t>W</w:t>
      </w:r>
      <w:r w:rsidRPr="001A627D">
        <w:rPr>
          <w:i/>
        </w:rPr>
        <w:t xml:space="preserve">eek </w:t>
      </w:r>
      <w:r w:rsidR="00E72078">
        <w:rPr>
          <w:i/>
        </w:rPr>
        <w:t>C</w:t>
      </w:r>
      <w:r w:rsidRPr="001A627D">
        <w:rPr>
          <w:i/>
        </w:rPr>
        <w:t>heck</w:t>
      </w:r>
      <w:r w:rsidRPr="001A627D">
        <w:t>.</w:t>
      </w:r>
      <w:r w:rsidRPr="001A627D">
        <w:rPr>
          <w:i/>
        </w:rPr>
        <w:t xml:space="preserve"> </w:t>
      </w:r>
      <w:r w:rsidRPr="001A627D">
        <w:t>Wellington: Litmus.</w:t>
      </w:r>
    </w:p>
    <w:p w:rsidR="00705AB0" w:rsidRDefault="00705AB0" w:rsidP="007603FA">
      <w:pPr>
        <w:pStyle w:val="References"/>
      </w:pPr>
      <w:r w:rsidRPr="00305BD9">
        <w:t>Ministry of Health. 2010</w:t>
      </w:r>
      <w:r>
        <w:t>a</w:t>
      </w:r>
      <w:r w:rsidRPr="00305BD9">
        <w:rPr>
          <w:i/>
        </w:rPr>
        <w:t>. Changes to the Well Child/Tamariki Ora Framework</w:t>
      </w:r>
      <w:r w:rsidRPr="00B54A97">
        <w:t>.</w:t>
      </w:r>
      <w:r w:rsidRPr="00305BD9">
        <w:t xml:space="preserve"> Wellington: Ministry of Health.</w:t>
      </w:r>
    </w:p>
    <w:p w:rsidR="00705AB0" w:rsidRPr="00C0571F" w:rsidRDefault="00705AB0" w:rsidP="007603FA">
      <w:pPr>
        <w:pStyle w:val="References"/>
      </w:pPr>
      <w:r w:rsidRPr="00C0571F">
        <w:t>Ministry of Health. 2010</w:t>
      </w:r>
      <w:r>
        <w:t>b</w:t>
      </w:r>
      <w:r w:rsidRPr="00C0571F">
        <w:t>.</w:t>
      </w:r>
      <w:r>
        <w:rPr>
          <w:i/>
        </w:rPr>
        <w:t xml:space="preserve"> Supporting Evidence for C</w:t>
      </w:r>
      <w:r w:rsidRPr="00C0571F">
        <w:rPr>
          <w:i/>
        </w:rPr>
        <w:t xml:space="preserve">hanges to the </w:t>
      </w:r>
      <w:r>
        <w:rPr>
          <w:i/>
        </w:rPr>
        <w:t>Content of the Well Child/</w:t>
      </w:r>
      <w:r w:rsidR="003D3F31">
        <w:rPr>
          <w:i/>
        </w:rPr>
        <w:t xml:space="preserve"> </w:t>
      </w:r>
      <w:r w:rsidRPr="00C0571F">
        <w:rPr>
          <w:i/>
        </w:rPr>
        <w:t xml:space="preserve">Tamariki Ora </w:t>
      </w:r>
      <w:r>
        <w:rPr>
          <w:i/>
        </w:rPr>
        <w:t>F</w:t>
      </w:r>
      <w:r w:rsidRPr="00C0571F">
        <w:rPr>
          <w:i/>
        </w:rPr>
        <w:t>ramework: Background Paper 2007</w:t>
      </w:r>
      <w:r w:rsidRPr="00B54A97">
        <w:t>.</w:t>
      </w:r>
      <w:r w:rsidRPr="003B09ED">
        <w:t xml:space="preserve"> </w:t>
      </w:r>
      <w:r w:rsidRPr="00C0571F">
        <w:t>Wellington: Ministry of Health.</w:t>
      </w:r>
    </w:p>
    <w:p w:rsidR="00705AB0" w:rsidRPr="00C0571F" w:rsidRDefault="00705AB0" w:rsidP="007603FA">
      <w:pPr>
        <w:pStyle w:val="References"/>
      </w:pPr>
      <w:r w:rsidRPr="00C0571F">
        <w:t>Ministry of Health. 2010</w:t>
      </w:r>
      <w:r>
        <w:t>c</w:t>
      </w:r>
      <w:r w:rsidRPr="00C0571F">
        <w:t>.</w:t>
      </w:r>
      <w:r w:rsidRPr="00C0571F">
        <w:rPr>
          <w:i/>
        </w:rPr>
        <w:t xml:space="preserve"> Well Child</w:t>
      </w:r>
      <w:r>
        <w:rPr>
          <w:i/>
        </w:rPr>
        <w:t>/Tamariki Ora</w:t>
      </w:r>
      <w:r w:rsidRPr="00C0571F">
        <w:rPr>
          <w:i/>
        </w:rPr>
        <w:t xml:space="preserve"> National Schedule </w:t>
      </w:r>
      <w:r>
        <w:rPr>
          <w:i/>
        </w:rPr>
        <w:t>–</w:t>
      </w:r>
      <w:r w:rsidRPr="00C0571F">
        <w:rPr>
          <w:i/>
        </w:rPr>
        <w:t xml:space="preserve"> Birth to four to six weeks</w:t>
      </w:r>
      <w:r w:rsidRPr="00B54A97">
        <w:t>.</w:t>
      </w:r>
      <w:r w:rsidRPr="00C0571F">
        <w:t xml:space="preserve"> Wellington: Ministry of Health.</w:t>
      </w:r>
    </w:p>
    <w:p w:rsidR="00705AB0" w:rsidRDefault="00705AB0" w:rsidP="007603FA">
      <w:pPr>
        <w:pStyle w:val="References"/>
      </w:pPr>
      <w:r w:rsidRPr="00C0571F">
        <w:t>Ministry of Health. 2010</w:t>
      </w:r>
      <w:r>
        <w:t>d</w:t>
      </w:r>
      <w:r w:rsidRPr="00C0571F">
        <w:t>.</w:t>
      </w:r>
      <w:r w:rsidRPr="00C0571F">
        <w:rPr>
          <w:i/>
        </w:rPr>
        <w:t xml:space="preserve"> Well Child</w:t>
      </w:r>
      <w:r>
        <w:rPr>
          <w:i/>
        </w:rPr>
        <w:t>/Tamariki Ora</w:t>
      </w:r>
      <w:r w:rsidRPr="00C0571F">
        <w:rPr>
          <w:i/>
        </w:rPr>
        <w:t xml:space="preserve"> National Schedule </w:t>
      </w:r>
      <w:r>
        <w:rPr>
          <w:i/>
        </w:rPr>
        <w:t>–</w:t>
      </w:r>
      <w:r w:rsidRPr="00C0571F">
        <w:rPr>
          <w:i/>
        </w:rPr>
        <w:t xml:space="preserve"> Four to six weeks, to five years</w:t>
      </w:r>
      <w:r w:rsidRPr="00B54A97">
        <w:t>.</w:t>
      </w:r>
      <w:r w:rsidRPr="00C0571F">
        <w:t xml:space="preserve"> Wellington: Ministry of Health.</w:t>
      </w:r>
    </w:p>
    <w:p w:rsidR="001A627D" w:rsidRDefault="00705AB0" w:rsidP="007603FA">
      <w:pPr>
        <w:pStyle w:val="References"/>
      </w:pPr>
      <w:r>
        <w:t>Ministry of Health. 2010e</w:t>
      </w:r>
      <w:r w:rsidRPr="00C0571F">
        <w:t>.</w:t>
      </w:r>
      <w:r w:rsidRPr="00C0571F">
        <w:rPr>
          <w:i/>
        </w:rPr>
        <w:t xml:space="preserve"> Well Child</w:t>
      </w:r>
      <w:r>
        <w:rPr>
          <w:i/>
        </w:rPr>
        <w:t>/</w:t>
      </w:r>
      <w:r w:rsidRPr="00C0571F">
        <w:rPr>
          <w:i/>
        </w:rPr>
        <w:t>Tamariki Ora</w:t>
      </w:r>
      <w:r>
        <w:rPr>
          <w:i/>
        </w:rPr>
        <w:t xml:space="preserve"> Services Tier Two</w:t>
      </w:r>
      <w:r w:rsidRPr="00C0571F">
        <w:rPr>
          <w:i/>
        </w:rPr>
        <w:t xml:space="preserve"> </w:t>
      </w:r>
      <w:r>
        <w:rPr>
          <w:i/>
        </w:rPr>
        <w:t>Service Specification</w:t>
      </w:r>
      <w:r w:rsidRPr="00B54A97">
        <w:t>.</w:t>
      </w:r>
      <w:r w:rsidRPr="00C0571F">
        <w:t xml:space="preserve"> Wellington: Ministry of Health.</w:t>
      </w:r>
    </w:p>
    <w:bookmarkEnd w:id="7"/>
    <w:bookmarkEnd w:id="8"/>
    <w:p w:rsidR="008C2973" w:rsidRPr="008C2973" w:rsidRDefault="008C2973" w:rsidP="008C2973"/>
    <w:sectPr w:rsidR="008C2973" w:rsidRPr="008C2973" w:rsidSect="009D5125">
      <w:headerReference w:type="default" r:id="rId22"/>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C8" w:rsidRDefault="009D72C8">
      <w:pPr>
        <w:spacing w:line="240" w:lineRule="auto"/>
      </w:pPr>
      <w:r>
        <w:separator/>
      </w:r>
    </w:p>
  </w:endnote>
  <w:endnote w:type="continuationSeparator" w:id="0">
    <w:p w:rsidR="009D72C8" w:rsidRDefault="009D7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C8" w:rsidRPr="003648EF" w:rsidRDefault="009D72C8"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C8" w:rsidRDefault="009D72C8"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C8" w:rsidRDefault="009D72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C8" w:rsidRPr="00275D08" w:rsidRDefault="009D72C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B0EBF">
      <w:rPr>
        <w:rStyle w:val="PageNumber"/>
        <w:noProof/>
      </w:rPr>
      <w:t>iv</w:t>
    </w:r>
    <w:r w:rsidRPr="00FC46E7">
      <w:rPr>
        <w:rStyle w:val="PageNumber"/>
      </w:rPr>
      <w:fldChar w:fldCharType="end"/>
    </w:r>
    <w:r>
      <w:tab/>
      <w:t>The Well Child / Tamariki Ora Quality Improvement Framework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C8" w:rsidRDefault="009D72C8" w:rsidP="00533B90">
    <w:pPr>
      <w:pStyle w:val="RectoFooter"/>
    </w:pPr>
    <w:r>
      <w:tab/>
      <w:t>The Well Child / Tamariki Ora Quality Improvement Framework 2012</w:t>
    </w:r>
    <w:r>
      <w:tab/>
    </w:r>
    <w:r>
      <w:rPr>
        <w:rStyle w:val="PageNumber"/>
      </w:rPr>
      <w:fldChar w:fldCharType="begin"/>
    </w:r>
    <w:r>
      <w:rPr>
        <w:rStyle w:val="PageNumber"/>
      </w:rPr>
      <w:instrText xml:space="preserve"> PAGE </w:instrText>
    </w:r>
    <w:r>
      <w:rPr>
        <w:rStyle w:val="PageNumber"/>
      </w:rPr>
      <w:fldChar w:fldCharType="separate"/>
    </w:r>
    <w:r w:rsidR="001B0EBF">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C8" w:rsidRPr="00E460B6" w:rsidRDefault="009D72C8" w:rsidP="00E460B6">
      <w:pPr>
        <w:pBdr>
          <w:top w:val="single" w:sz="4" w:space="1" w:color="auto"/>
        </w:pBdr>
        <w:spacing w:line="240" w:lineRule="auto"/>
        <w:ind w:right="4820"/>
        <w:rPr>
          <w:color w:val="D9D9D9"/>
          <w:sz w:val="6"/>
          <w:szCs w:val="6"/>
        </w:rPr>
      </w:pPr>
    </w:p>
  </w:footnote>
  <w:footnote w:type="continuationSeparator" w:id="0">
    <w:p w:rsidR="009D72C8" w:rsidRDefault="009D72C8">
      <w:pPr>
        <w:spacing w:line="240" w:lineRule="auto"/>
      </w:pPr>
      <w:r>
        <w:continuationSeparator/>
      </w:r>
    </w:p>
  </w:footnote>
  <w:footnote w:id="1">
    <w:p w:rsidR="009D72C8" w:rsidRDefault="009D72C8" w:rsidP="007603FA">
      <w:pPr>
        <w:pStyle w:val="FootnoteText"/>
      </w:pPr>
      <w:r w:rsidRPr="007603FA">
        <w:rPr>
          <w:rStyle w:val="FootnoteReference"/>
        </w:rPr>
        <w:footnoteRef/>
      </w:r>
      <w:r>
        <w:tab/>
        <w:t>Note: Event-level data collection from Well Child/Tamariki Ora providers is a new requirement for 2012, and, as such, the quality and completeness of these data vary but are expected to improve over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C8" w:rsidRDefault="009D72C8" w:rsidP="00D25FFE">
    <w:pPr>
      <w:pStyle w:val="Header"/>
      <w:ind w:left="-1559"/>
    </w:pPr>
    <w:r>
      <w:rPr>
        <w:noProof/>
        <w:lang w:eastAsia="en-NZ"/>
      </w:rPr>
      <w:drawing>
        <wp:inline distT="0" distB="0" distL="0" distR="0">
          <wp:extent cx="6409055" cy="607060"/>
          <wp:effectExtent l="0" t="0" r="0" b="2540"/>
          <wp:docPr id="2" name="Picture 2" descr="MOH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C8" w:rsidRDefault="009D72C8"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C8" w:rsidRDefault="009D72C8"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C8" w:rsidRDefault="009D72C8"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6228D"/>
    <w:rsid w:val="00072BD6"/>
    <w:rsid w:val="00075B78"/>
    <w:rsid w:val="00076D89"/>
    <w:rsid w:val="00082CD6"/>
    <w:rsid w:val="00085AFE"/>
    <w:rsid w:val="000B0730"/>
    <w:rsid w:val="000F2AE2"/>
    <w:rsid w:val="00102063"/>
    <w:rsid w:val="0010541C"/>
    <w:rsid w:val="00106F93"/>
    <w:rsid w:val="00111D50"/>
    <w:rsid w:val="00113B8E"/>
    <w:rsid w:val="0013585C"/>
    <w:rsid w:val="00142954"/>
    <w:rsid w:val="001460E0"/>
    <w:rsid w:val="00147F71"/>
    <w:rsid w:val="00150A6E"/>
    <w:rsid w:val="0016468A"/>
    <w:rsid w:val="001A0E5A"/>
    <w:rsid w:val="001A5CF5"/>
    <w:rsid w:val="001A627D"/>
    <w:rsid w:val="001B0EBF"/>
    <w:rsid w:val="001B39D2"/>
    <w:rsid w:val="001C4326"/>
    <w:rsid w:val="001D243F"/>
    <w:rsid w:val="001D3541"/>
    <w:rsid w:val="00201A01"/>
    <w:rsid w:val="002104D3"/>
    <w:rsid w:val="00213A33"/>
    <w:rsid w:val="00223530"/>
    <w:rsid w:val="00246DB1"/>
    <w:rsid w:val="00253ECF"/>
    <w:rsid w:val="002546A1"/>
    <w:rsid w:val="00275D08"/>
    <w:rsid w:val="002858E3"/>
    <w:rsid w:val="0029190A"/>
    <w:rsid w:val="00292C5A"/>
    <w:rsid w:val="002B047D"/>
    <w:rsid w:val="002B732B"/>
    <w:rsid w:val="002C2219"/>
    <w:rsid w:val="002D0DF2"/>
    <w:rsid w:val="002D23BD"/>
    <w:rsid w:val="002E0B47"/>
    <w:rsid w:val="002F7213"/>
    <w:rsid w:val="00303281"/>
    <w:rsid w:val="0030382F"/>
    <w:rsid w:val="003060E4"/>
    <w:rsid w:val="003160E7"/>
    <w:rsid w:val="0031739E"/>
    <w:rsid w:val="003325AB"/>
    <w:rsid w:val="0033412B"/>
    <w:rsid w:val="00343365"/>
    <w:rsid w:val="00353501"/>
    <w:rsid w:val="003606F8"/>
    <w:rsid w:val="003648EF"/>
    <w:rsid w:val="003673E6"/>
    <w:rsid w:val="00377264"/>
    <w:rsid w:val="003A26A5"/>
    <w:rsid w:val="003A3761"/>
    <w:rsid w:val="003A5FEA"/>
    <w:rsid w:val="003A7030"/>
    <w:rsid w:val="003B1D10"/>
    <w:rsid w:val="003C76D4"/>
    <w:rsid w:val="003D3F31"/>
    <w:rsid w:val="003E7C46"/>
    <w:rsid w:val="003F52A7"/>
    <w:rsid w:val="003F5C66"/>
    <w:rsid w:val="0040240C"/>
    <w:rsid w:val="00413021"/>
    <w:rsid w:val="00435699"/>
    <w:rsid w:val="00440BE0"/>
    <w:rsid w:val="0044584B"/>
    <w:rsid w:val="00447CB7"/>
    <w:rsid w:val="00460826"/>
    <w:rsid w:val="00460EA7"/>
    <w:rsid w:val="0046195B"/>
    <w:rsid w:val="0046596D"/>
    <w:rsid w:val="00487C04"/>
    <w:rsid w:val="004A035B"/>
    <w:rsid w:val="004A778C"/>
    <w:rsid w:val="004C2E6A"/>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7B58"/>
    <w:rsid w:val="005763E0"/>
    <w:rsid w:val="005A43BD"/>
    <w:rsid w:val="005E226E"/>
    <w:rsid w:val="006015D7"/>
    <w:rsid w:val="00601B21"/>
    <w:rsid w:val="00624D18"/>
    <w:rsid w:val="00626CF8"/>
    <w:rsid w:val="006402A1"/>
    <w:rsid w:val="00642868"/>
    <w:rsid w:val="006512BC"/>
    <w:rsid w:val="00653A5A"/>
    <w:rsid w:val="006575F4"/>
    <w:rsid w:val="006579E6"/>
    <w:rsid w:val="00663EDC"/>
    <w:rsid w:val="00680A04"/>
    <w:rsid w:val="00686D80"/>
    <w:rsid w:val="00694895"/>
    <w:rsid w:val="00697E2E"/>
    <w:rsid w:val="006B0E73"/>
    <w:rsid w:val="006B4A4D"/>
    <w:rsid w:val="006B5695"/>
    <w:rsid w:val="006C78EB"/>
    <w:rsid w:val="006D1660"/>
    <w:rsid w:val="006F1B67"/>
    <w:rsid w:val="0070091D"/>
    <w:rsid w:val="00702854"/>
    <w:rsid w:val="00705AB0"/>
    <w:rsid w:val="0071741C"/>
    <w:rsid w:val="00742B90"/>
    <w:rsid w:val="0074434D"/>
    <w:rsid w:val="007603FA"/>
    <w:rsid w:val="0076420C"/>
    <w:rsid w:val="00771B1E"/>
    <w:rsid w:val="00773C95"/>
    <w:rsid w:val="0078171E"/>
    <w:rsid w:val="00793914"/>
    <w:rsid w:val="00794E85"/>
    <w:rsid w:val="00795B34"/>
    <w:rsid w:val="007B1770"/>
    <w:rsid w:val="007B7C70"/>
    <w:rsid w:val="007C3096"/>
    <w:rsid w:val="007D2151"/>
    <w:rsid w:val="007D42CC"/>
    <w:rsid w:val="007D5DE4"/>
    <w:rsid w:val="007D6E1B"/>
    <w:rsid w:val="007E1341"/>
    <w:rsid w:val="007E1B41"/>
    <w:rsid w:val="007E30B9"/>
    <w:rsid w:val="007F0F0C"/>
    <w:rsid w:val="007F1288"/>
    <w:rsid w:val="00800A8A"/>
    <w:rsid w:val="0080155C"/>
    <w:rsid w:val="008052E1"/>
    <w:rsid w:val="00822F2C"/>
    <w:rsid w:val="008305E8"/>
    <w:rsid w:val="008535DE"/>
    <w:rsid w:val="00860E21"/>
    <w:rsid w:val="008642E5"/>
    <w:rsid w:val="00872D93"/>
    <w:rsid w:val="00880470"/>
    <w:rsid w:val="00880D7D"/>
    <w:rsid w:val="00880D94"/>
    <w:rsid w:val="0089662C"/>
    <w:rsid w:val="008A3755"/>
    <w:rsid w:val="008B264F"/>
    <w:rsid w:val="008B5A2A"/>
    <w:rsid w:val="008B6F83"/>
    <w:rsid w:val="008C2973"/>
    <w:rsid w:val="008D74D5"/>
    <w:rsid w:val="008F29BE"/>
    <w:rsid w:val="008F51EB"/>
    <w:rsid w:val="00900197"/>
    <w:rsid w:val="00902F55"/>
    <w:rsid w:val="0090582B"/>
    <w:rsid w:val="009060C0"/>
    <w:rsid w:val="009133F5"/>
    <w:rsid w:val="00920A27"/>
    <w:rsid w:val="00921216"/>
    <w:rsid w:val="00932D69"/>
    <w:rsid w:val="00944647"/>
    <w:rsid w:val="00977B8A"/>
    <w:rsid w:val="00982971"/>
    <w:rsid w:val="009845AD"/>
    <w:rsid w:val="0099613F"/>
    <w:rsid w:val="009A418B"/>
    <w:rsid w:val="009A4473"/>
    <w:rsid w:val="009C151C"/>
    <w:rsid w:val="009D5125"/>
    <w:rsid w:val="009D60B8"/>
    <w:rsid w:val="009D72C8"/>
    <w:rsid w:val="009D7D4B"/>
    <w:rsid w:val="009E36ED"/>
    <w:rsid w:val="009F460A"/>
    <w:rsid w:val="00A043FB"/>
    <w:rsid w:val="00A0729C"/>
    <w:rsid w:val="00A07779"/>
    <w:rsid w:val="00A20B2E"/>
    <w:rsid w:val="00A3145B"/>
    <w:rsid w:val="00A339D0"/>
    <w:rsid w:val="00A4201A"/>
    <w:rsid w:val="00A51D30"/>
    <w:rsid w:val="00A553CE"/>
    <w:rsid w:val="00A5677A"/>
    <w:rsid w:val="00A6490D"/>
    <w:rsid w:val="00A75FF2"/>
    <w:rsid w:val="00A80363"/>
    <w:rsid w:val="00A9169D"/>
    <w:rsid w:val="00AA222E"/>
    <w:rsid w:val="00AD4CF1"/>
    <w:rsid w:val="00AD5988"/>
    <w:rsid w:val="00AD78F8"/>
    <w:rsid w:val="00AF7800"/>
    <w:rsid w:val="00B072E0"/>
    <w:rsid w:val="00B253F6"/>
    <w:rsid w:val="00B332F8"/>
    <w:rsid w:val="00B3492B"/>
    <w:rsid w:val="00B4646F"/>
    <w:rsid w:val="00B523D9"/>
    <w:rsid w:val="00B55C7D"/>
    <w:rsid w:val="00B63038"/>
    <w:rsid w:val="00B64BD8"/>
    <w:rsid w:val="00B701D1"/>
    <w:rsid w:val="00B73AF2"/>
    <w:rsid w:val="00B7551A"/>
    <w:rsid w:val="00B7773C"/>
    <w:rsid w:val="00BB0B6D"/>
    <w:rsid w:val="00BC59F1"/>
    <w:rsid w:val="00BF3DE1"/>
    <w:rsid w:val="00BF4843"/>
    <w:rsid w:val="00BF5205"/>
    <w:rsid w:val="00C12508"/>
    <w:rsid w:val="00C45AA2"/>
    <w:rsid w:val="00C70606"/>
    <w:rsid w:val="00C77282"/>
    <w:rsid w:val="00C84DE5"/>
    <w:rsid w:val="00C85CDB"/>
    <w:rsid w:val="00C86248"/>
    <w:rsid w:val="00CA4C33"/>
    <w:rsid w:val="00CD2119"/>
    <w:rsid w:val="00CD36AC"/>
    <w:rsid w:val="00CF1747"/>
    <w:rsid w:val="00D2392A"/>
    <w:rsid w:val="00D25FFE"/>
    <w:rsid w:val="00D4476F"/>
    <w:rsid w:val="00D54D50"/>
    <w:rsid w:val="00D66797"/>
    <w:rsid w:val="00D7087C"/>
    <w:rsid w:val="00D70C3C"/>
    <w:rsid w:val="00D72BE5"/>
    <w:rsid w:val="00D82F26"/>
    <w:rsid w:val="00D863D0"/>
    <w:rsid w:val="00D87C87"/>
    <w:rsid w:val="00DB0CB4"/>
    <w:rsid w:val="00DB0FDA"/>
    <w:rsid w:val="00DB39CF"/>
    <w:rsid w:val="00DD447A"/>
    <w:rsid w:val="00DD5939"/>
    <w:rsid w:val="00DE6C94"/>
    <w:rsid w:val="00DE6FD7"/>
    <w:rsid w:val="00E23271"/>
    <w:rsid w:val="00E24F80"/>
    <w:rsid w:val="00E4486C"/>
    <w:rsid w:val="00E460B6"/>
    <w:rsid w:val="00E511D5"/>
    <w:rsid w:val="00E53BAB"/>
    <w:rsid w:val="00E56FEE"/>
    <w:rsid w:val="00E65269"/>
    <w:rsid w:val="00E72078"/>
    <w:rsid w:val="00E92BD5"/>
    <w:rsid w:val="00EB1856"/>
    <w:rsid w:val="00EC50CE"/>
    <w:rsid w:val="00EC5B34"/>
    <w:rsid w:val="00EE4ADE"/>
    <w:rsid w:val="00EE5CB7"/>
    <w:rsid w:val="00F024FE"/>
    <w:rsid w:val="00F05AD4"/>
    <w:rsid w:val="00F4584B"/>
    <w:rsid w:val="00F46526"/>
    <w:rsid w:val="00F540C4"/>
    <w:rsid w:val="00F544C8"/>
    <w:rsid w:val="00F67496"/>
    <w:rsid w:val="00F801BA"/>
    <w:rsid w:val="00F946C9"/>
    <w:rsid w:val="00FA74EE"/>
    <w:rsid w:val="00FC46E7"/>
    <w:rsid w:val="00FC5D25"/>
    <w:rsid w:val="00FD0D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33547699-1C45-4531-B5C7-A773FF94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qFormat/>
    <w:rsid w:val="00F024FE"/>
    <w:pPr>
      <w:pBdr>
        <w:top w:val="single" w:sz="48" w:space="16" w:color="auto"/>
      </w:pBdr>
      <w:spacing w:after="360"/>
      <w:outlineLvl w:val="0"/>
    </w:pPr>
    <w:rPr>
      <w:b/>
      <w:sz w:val="60"/>
    </w:rPr>
  </w:style>
  <w:style w:type="paragraph" w:styleId="Heading2">
    <w:name w:val="heading 2"/>
    <w:basedOn w:val="Normal"/>
    <w:next w:val="Normal"/>
    <w:qFormat/>
    <w:rsid w:val="00D2392A"/>
    <w:pPr>
      <w:keepNext/>
      <w:spacing w:before="120" w:after="120"/>
      <w:outlineLvl w:val="1"/>
    </w:pPr>
    <w:rPr>
      <w:b/>
      <w:sz w:val="40"/>
    </w:rPr>
  </w:style>
  <w:style w:type="paragraph" w:styleId="Heading3">
    <w:name w:val="heading 3"/>
    <w:basedOn w:val="Normal"/>
    <w:next w:val="Normal"/>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33412B"/>
    <w:pPr>
      <w:numPr>
        <w:numId w:val="1"/>
      </w:numPr>
      <w:spacing w:before="90"/>
    </w:pPr>
  </w:style>
  <w:style w:type="character" w:customStyle="1" w:styleId="BulletChar">
    <w:name w:val="Bullet Char"/>
    <w:link w:val="Bullet"/>
    <w:locked/>
    <w:rsid w:val="00705AB0"/>
    <w:rPr>
      <w:rFonts w:ascii="Georgia" w:hAnsi="Georgia"/>
      <w:sz w:val="22"/>
      <w:lang w:eastAsia="en-GB"/>
    </w:r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character" w:customStyle="1" w:styleId="FootnoteTextChar">
    <w:name w:val="Footnote Text Char"/>
    <w:link w:val="FootnoteText"/>
    <w:semiHidden/>
    <w:rsid w:val="003060E4"/>
    <w:rPr>
      <w:rFonts w:ascii="Georgia" w:hAnsi="Georgia"/>
      <w:sz w:val="18"/>
      <w:lang w:eastAsia="en-GB"/>
    </w:rPr>
  </w:style>
  <w:style w:type="paragraph" w:styleId="Header">
    <w:name w:val="header"/>
    <w:basedOn w:val="Normal"/>
    <w:qFormat/>
    <w:rsid w:val="00D25FFE"/>
  </w:style>
  <w:style w:type="paragraph" w:styleId="Title">
    <w:name w:val="Title"/>
    <w:basedOn w:val="Normal"/>
    <w:next w:val="Normal"/>
    <w:qFormat/>
    <w:rsid w:val="00F544C8"/>
    <w:pPr>
      <w:pBdr>
        <w:bottom w:val="single" w:sz="48" w:space="1"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semiHidden/>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93914"/>
    <w:rPr>
      <w:sz w:val="16"/>
      <w:szCs w:val="16"/>
    </w:rPr>
  </w:style>
  <w:style w:type="paragraph" w:styleId="CommentText">
    <w:name w:val="annotation text"/>
    <w:basedOn w:val="Normal"/>
    <w:link w:val="CommentTextChar"/>
    <w:uiPriority w:val="99"/>
    <w:semiHidden/>
    <w:unhideWhenUsed/>
    <w:rsid w:val="00793914"/>
    <w:rPr>
      <w:sz w:val="20"/>
    </w:rPr>
  </w:style>
  <w:style w:type="character" w:customStyle="1" w:styleId="CommentTextChar">
    <w:name w:val="Comment Text Char"/>
    <w:link w:val="CommentText"/>
    <w:uiPriority w:val="99"/>
    <w:semiHidden/>
    <w:rsid w:val="00793914"/>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793914"/>
    <w:rPr>
      <w:b/>
      <w:bCs/>
    </w:rPr>
  </w:style>
  <w:style w:type="character" w:customStyle="1" w:styleId="CommentSubjectChar">
    <w:name w:val="Comment Subject Char"/>
    <w:link w:val="CommentSubject"/>
    <w:uiPriority w:val="99"/>
    <w:semiHidden/>
    <w:rsid w:val="00793914"/>
    <w:rPr>
      <w:rFonts w:ascii="Georgia" w:hAnsi="Georgia"/>
      <w:b/>
      <w:bCs/>
      <w:lang w:eastAsia="en-GB"/>
    </w:rPr>
  </w:style>
  <w:style w:type="paragraph" w:styleId="BalloonText">
    <w:name w:val="Balloon Text"/>
    <w:basedOn w:val="Normal"/>
    <w:link w:val="BalloonTextChar"/>
    <w:uiPriority w:val="99"/>
    <w:semiHidden/>
    <w:unhideWhenUsed/>
    <w:rsid w:val="0079391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3914"/>
    <w:rPr>
      <w:rFonts w:ascii="Tahoma" w:hAnsi="Tahoma" w:cs="Tahoma"/>
      <w:sz w:val="16"/>
      <w:szCs w:val="16"/>
      <w:lang w:eastAsia="en-GB"/>
    </w:rPr>
  </w:style>
  <w:style w:type="paragraph" w:styleId="Revision">
    <w:name w:val="Revision"/>
    <w:hidden/>
    <w:uiPriority w:val="99"/>
    <w:semiHidden/>
    <w:rsid w:val="008535DE"/>
    <w:rPr>
      <w:rFonts w:ascii="Georgia" w:hAnsi="Georgia"/>
      <w:sz w:val="22"/>
      <w:lang w:eastAsia="en-GB"/>
    </w:rPr>
  </w:style>
  <w:style w:type="character" w:customStyle="1" w:styleId="A4">
    <w:name w:val="A4"/>
    <w:uiPriority w:val="99"/>
    <w:rsid w:val="001B0EBF"/>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www.ssc.govt.nz/bps-supporting-vulnerable-children" TargetMode="External"/><Relationship Id="rId3" Type="http://schemas.openxmlformats.org/officeDocument/2006/relationships/settings" Target="settings.xml"/><Relationship Id="rId21" Type="http://schemas.openxmlformats.org/officeDocument/2006/relationships/hyperlink" Target="file:///C:\Users\lneilson\AppData\Local\Temp\notesA269D7\www.ihi.org\offerings\Initiatives\TripleAim\Pages\Approach.aspx"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safetyandquality.gov.au/wp-content/uploads/2012/04/%20Australian-SandQ-Framework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health.govt.nz/nz-health-statistics/national-collections-and-surveys/collections/national-minimum-dataset-hospital-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1</TotalTime>
  <Pages>26</Pages>
  <Words>4559</Words>
  <Characters>34335</Characters>
  <Application>Microsoft Office Word</Application>
  <DocSecurity>4</DocSecurity>
  <Lines>880</Lines>
  <Paragraphs>437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38457</CharactersWithSpaces>
  <SharedDoc>false</SharedDoc>
  <HLinks>
    <vt:vector size="24" baseType="variant">
      <vt:variant>
        <vt:i4>7733361</vt:i4>
      </vt:variant>
      <vt:variant>
        <vt:i4>111</vt:i4>
      </vt:variant>
      <vt:variant>
        <vt:i4>0</vt:i4>
      </vt:variant>
      <vt:variant>
        <vt:i4>5</vt:i4>
      </vt:variant>
      <vt:variant>
        <vt:lpwstr>C:\Users\lneilson\AppData\Local\Temp\notesA269D7\www.ihi.org\offerings\Initiatives\TripleAim\Pages\Approach.aspx</vt:lpwstr>
      </vt:variant>
      <vt:variant>
        <vt:lpwstr/>
      </vt:variant>
      <vt:variant>
        <vt:i4>2359396</vt:i4>
      </vt:variant>
      <vt:variant>
        <vt:i4>108</vt:i4>
      </vt:variant>
      <vt:variant>
        <vt:i4>0</vt:i4>
      </vt:variant>
      <vt:variant>
        <vt:i4>5</vt:i4>
      </vt:variant>
      <vt:variant>
        <vt:lpwstr>http://www.safetyandquality.gov.au/wp-content/uploads/2012/04/ Australian-SandQ-Framework1.pdf</vt:lpwstr>
      </vt:variant>
      <vt:variant>
        <vt:lpwstr/>
      </vt:variant>
      <vt:variant>
        <vt:i4>458839</vt:i4>
      </vt:variant>
      <vt:variant>
        <vt:i4>105</vt:i4>
      </vt:variant>
      <vt:variant>
        <vt:i4>0</vt:i4>
      </vt:variant>
      <vt:variant>
        <vt:i4>5</vt:i4>
      </vt:variant>
      <vt:variant>
        <vt:lpwstr>http://www.health.govt.nz/nz-health-statistics/national-collections-and-surveys/collections/national-minimum-dataset-hospital-events</vt:lpwstr>
      </vt:variant>
      <vt:variant>
        <vt:lpwstr/>
      </vt:variant>
      <vt:variant>
        <vt:i4>5308506</vt:i4>
      </vt:variant>
      <vt:variant>
        <vt:i4>102</vt:i4>
      </vt:variant>
      <vt:variant>
        <vt:i4>0</vt:i4>
      </vt:variant>
      <vt:variant>
        <vt:i4>5</vt:i4>
      </vt:variant>
      <vt:variant>
        <vt:lpwstr>http://www.ssc.govt.nz/bps-supporting-vulnerable-children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Logan Smith</cp:lastModifiedBy>
  <cp:revision>2</cp:revision>
  <cp:lastPrinted>2013-05-22T23:47:00Z</cp:lastPrinted>
  <dcterms:created xsi:type="dcterms:W3CDTF">2015-08-18T04:30:00Z</dcterms:created>
  <dcterms:modified xsi:type="dcterms:W3CDTF">2015-08-18T04:30:00Z</dcterms:modified>
</cp:coreProperties>
</file>