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F33E" w14:textId="02FF9F9A" w:rsidR="00C86248" w:rsidRPr="00B47C82" w:rsidRDefault="00086A05" w:rsidP="007979D9">
      <w:pPr>
        <w:pStyle w:val="Title"/>
        <w:spacing w:line="240" w:lineRule="auto"/>
        <w:ind w:right="2835"/>
      </w:pPr>
      <w:r>
        <w:t>Update on Polyp surveillance guidelines</w:t>
      </w:r>
    </w:p>
    <w:p w14:paraId="014069B8" w14:textId="77777777" w:rsidR="00D27922" w:rsidRPr="00B47C82" w:rsidRDefault="00086A05" w:rsidP="00D27922">
      <w:pPr>
        <w:pStyle w:val="Subhead"/>
      </w:pPr>
      <w:r>
        <w:t>2020</w:t>
      </w:r>
    </w:p>
    <w:p w14:paraId="1F24634E" w14:textId="77777777" w:rsidR="00C05132" w:rsidRPr="00B47C82" w:rsidRDefault="00C05132" w:rsidP="00A06BE4"/>
    <w:p w14:paraId="5202684D"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41682375" w14:textId="77777777" w:rsidR="00A80363" w:rsidRPr="00B47C82" w:rsidRDefault="00A80363" w:rsidP="00A63DFF">
      <w:pPr>
        <w:pStyle w:val="Imprint"/>
        <w:spacing w:before="1200"/>
        <w:rPr>
          <w:rFonts w:cs="Segoe UI"/>
        </w:rPr>
      </w:pPr>
      <w:r w:rsidRPr="00B47C82">
        <w:rPr>
          <w:rFonts w:cs="Segoe UI"/>
        </w:rPr>
        <w:lastRenderedPageBreak/>
        <w:t xml:space="preserve">Citation: </w:t>
      </w:r>
      <w:r w:rsidR="00086A05">
        <w:rPr>
          <w:rFonts w:cs="Segoe UI"/>
        </w:rPr>
        <w:t>Te Aho O Te Kahu</w:t>
      </w:r>
      <w:r w:rsidR="00442C1C" w:rsidRPr="00B47C82">
        <w:rPr>
          <w:rFonts w:cs="Segoe UI"/>
        </w:rPr>
        <w:t xml:space="preserve">. </w:t>
      </w:r>
      <w:r w:rsidR="00086A05">
        <w:rPr>
          <w:rFonts w:cs="Segoe UI"/>
        </w:rPr>
        <w:t>2020</w:t>
      </w:r>
      <w:r w:rsidR="00442C1C" w:rsidRPr="00B47C82">
        <w:rPr>
          <w:rFonts w:cs="Segoe UI"/>
        </w:rPr>
        <w:t xml:space="preserve">. </w:t>
      </w:r>
      <w:r w:rsidR="00086A05">
        <w:rPr>
          <w:rFonts w:cs="Segoe UI"/>
          <w:i/>
        </w:rPr>
        <w:t>Update on Polyp Surveillance Guidelines</w:t>
      </w:r>
      <w:r w:rsidR="00442C1C" w:rsidRPr="00B47C82">
        <w:rPr>
          <w:rFonts w:cs="Segoe UI"/>
        </w:rPr>
        <w:t xml:space="preserve">. Wellington: </w:t>
      </w:r>
      <w:r w:rsidR="00086A05">
        <w:rPr>
          <w:rFonts w:cs="Segoe UI"/>
        </w:rPr>
        <w:t>Te Aho o Te Kahu</w:t>
      </w:r>
      <w:r w:rsidR="00442C1C" w:rsidRPr="00B47C82">
        <w:rPr>
          <w:rFonts w:cs="Segoe UI"/>
        </w:rPr>
        <w:t>.</w:t>
      </w:r>
    </w:p>
    <w:p w14:paraId="53251A9E" w14:textId="77777777" w:rsidR="00C86248" w:rsidRPr="00B47C82" w:rsidRDefault="00C86248">
      <w:pPr>
        <w:pStyle w:val="Imprint"/>
      </w:pPr>
      <w:r w:rsidRPr="00B47C82">
        <w:t xml:space="preserve">Published in </w:t>
      </w:r>
      <w:r w:rsidR="00086A05">
        <w:t xml:space="preserve">December </w:t>
      </w:r>
      <w:r w:rsidR="003235C6" w:rsidRPr="00B47C82">
        <w:t>20</w:t>
      </w:r>
      <w:r w:rsidR="00FB0A5B" w:rsidRPr="00B47C82">
        <w:t>20</w:t>
      </w:r>
      <w:r w:rsidR="00A63DFF" w:rsidRPr="00B47C82">
        <w:t xml:space="preserve"> </w:t>
      </w:r>
      <w:r w:rsidRPr="00B47C82">
        <w:t xml:space="preserve">by </w:t>
      </w:r>
      <w:r w:rsidR="00086A05">
        <w:t xml:space="preserve">Te Aho o Te Kahu in partnership with the Ministry of Health, </w:t>
      </w:r>
      <w:r w:rsidRPr="00B47C82">
        <w:t>PO Box 5013, Wellington</w:t>
      </w:r>
      <w:r w:rsidR="00A80363" w:rsidRPr="00B47C82">
        <w:t xml:space="preserve"> 614</w:t>
      </w:r>
      <w:r w:rsidR="006041F0" w:rsidRPr="00B47C82">
        <w:t>0</w:t>
      </w:r>
      <w:r w:rsidRPr="00B47C82">
        <w:t xml:space="preserve">, </w:t>
      </w:r>
      <w:r w:rsidR="00571223" w:rsidRPr="00B47C82">
        <w:t>New Zealand</w:t>
      </w:r>
    </w:p>
    <w:p w14:paraId="517AF471" w14:textId="0F5F9A7C" w:rsidR="00082CD6" w:rsidRPr="00B47C82" w:rsidRDefault="00D863D0" w:rsidP="00082CD6">
      <w:pPr>
        <w:pStyle w:val="Imprint"/>
      </w:pPr>
      <w:r w:rsidRPr="00B47C82">
        <w:t>ISBN</w:t>
      </w:r>
      <w:r w:rsidR="00442C1C" w:rsidRPr="00B47C82">
        <w:t xml:space="preserve"> </w:t>
      </w:r>
      <w:r w:rsidR="005F076D" w:rsidRPr="005F076D">
        <w:t>978-1-99-002973-8</w:t>
      </w:r>
      <w:r w:rsidR="005F076D" w:rsidRPr="00B47C82">
        <w:t xml:space="preserve"> </w:t>
      </w:r>
      <w:r w:rsidRPr="00B47C82">
        <w:t>(</w:t>
      </w:r>
      <w:r w:rsidR="00442C1C" w:rsidRPr="00B47C82">
        <w:t>online</w:t>
      </w:r>
      <w:r w:rsidRPr="00B47C82">
        <w:t>)</w:t>
      </w:r>
      <w:r w:rsidR="00082CD6" w:rsidRPr="00B47C82">
        <w:br/>
        <w:t xml:space="preserve">HP </w:t>
      </w:r>
      <w:r w:rsidR="005F076D">
        <w:t>7539</w:t>
      </w:r>
    </w:p>
    <w:p w14:paraId="7500731B" w14:textId="77777777" w:rsidR="005718A6" w:rsidRPr="00B47C82" w:rsidRDefault="005718A6" w:rsidP="00D27922">
      <w:pPr>
        <w:spacing w:before="360"/>
      </w:pPr>
      <w:r w:rsidRPr="00B47C82">
        <w:rPr>
          <w:noProof/>
          <w:lang w:eastAsia="en-NZ"/>
        </w:rPr>
        <w:drawing>
          <wp:inline distT="0" distB="0" distL="0" distR="0" wp14:anchorId="1E77B2C1" wp14:editId="093B5737">
            <wp:extent cx="1396538" cy="650613"/>
            <wp:effectExtent l="0" t="0" r="0" b="0"/>
            <wp:docPr id="7" name="Picture 7"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2D4CCDC4" w14:textId="77777777" w:rsidR="00A63DFF" w:rsidRPr="00B47C82" w:rsidRDefault="00A63DFF" w:rsidP="00A63DFF">
      <w:pPr>
        <w:pStyle w:val="Imprint"/>
        <w:spacing w:before="240" w:after="480"/>
      </w:pPr>
      <w:r w:rsidRPr="00B47C82">
        <w:t xml:space="preserve">This document is available at </w:t>
      </w:r>
      <w:hyperlink r:id="rId14" w:history="1">
        <w:r w:rsidR="00086A05" w:rsidRPr="00086A05">
          <w:rPr>
            <w:rStyle w:val="Hyperlink"/>
          </w:rPr>
          <w:t>teaho.govt.nz</w:t>
        </w:r>
      </w:hyperlink>
      <w:r w:rsidR="00086A05">
        <w:t xml:space="preserve"> and </w:t>
      </w:r>
      <w:hyperlink r:id="rId15" w:history="1">
        <w:r w:rsidR="00200906" w:rsidRPr="00414B6D">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54692E5B" w14:textId="77777777" w:rsidTr="00A63DFF">
        <w:trPr>
          <w:cantSplit/>
        </w:trPr>
        <w:tc>
          <w:tcPr>
            <w:tcW w:w="1526" w:type="dxa"/>
          </w:tcPr>
          <w:p w14:paraId="767EB4E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3EF07B26" wp14:editId="2AB13AA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EE5CC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 xml:space="preserve">You must give appropriate credit, provide a link to the </w:t>
            </w:r>
            <w:proofErr w:type="gramStart"/>
            <w:r w:rsidRPr="00B47C82">
              <w:rPr>
                <w:rFonts w:cs="Segoe UI"/>
                <w:bCs/>
                <w:sz w:val="15"/>
                <w:szCs w:val="15"/>
              </w:rPr>
              <w:t>licence</w:t>
            </w:r>
            <w:proofErr w:type="gramEnd"/>
            <w:r w:rsidRPr="00B47C82">
              <w:rPr>
                <w:rFonts w:cs="Segoe UI"/>
                <w:bCs/>
                <w:sz w:val="15"/>
                <w:szCs w:val="15"/>
              </w:rPr>
              <w:t xml:space="preserve"> and indicate if changes were made.</w:t>
            </w:r>
          </w:p>
        </w:tc>
      </w:tr>
    </w:tbl>
    <w:p w14:paraId="62243598" w14:textId="77777777" w:rsidR="007E74F1" w:rsidRPr="00B47C82" w:rsidRDefault="007E74F1" w:rsidP="006E2886">
      <w:pPr>
        <w:pStyle w:val="Imprint"/>
      </w:pPr>
    </w:p>
    <w:p w14:paraId="2228EE93" w14:textId="77777777" w:rsidR="00C86248" w:rsidRPr="00B47C82" w:rsidRDefault="00C86248">
      <w:pPr>
        <w:jc w:val="center"/>
        <w:sectPr w:rsidR="00C86248" w:rsidRPr="00B47C82" w:rsidSect="003D59BB">
          <w:footerReference w:type="even" r:id="rId17"/>
          <w:footerReference w:type="default" r:id="rId18"/>
          <w:pgSz w:w="11907" w:h="16834" w:code="9"/>
          <w:pgMar w:top="1701" w:right="2268" w:bottom="1134" w:left="2268" w:header="425" w:footer="284" w:gutter="0"/>
          <w:cols w:space="720"/>
          <w:vAlign w:val="bottom"/>
        </w:sectPr>
      </w:pPr>
    </w:p>
    <w:p w14:paraId="17553587"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25349EC" w14:textId="5CE21ABB" w:rsidR="00432FAA" w:rsidRDefault="00432FAA">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58238229" w:history="1">
        <w:r w:rsidRPr="004A4BD1">
          <w:rPr>
            <w:rStyle w:val="Hyperlink"/>
            <w:noProof/>
          </w:rPr>
          <w:t>Introduction</w:t>
        </w:r>
        <w:r>
          <w:rPr>
            <w:noProof/>
            <w:webHidden/>
          </w:rPr>
          <w:tab/>
        </w:r>
        <w:r>
          <w:rPr>
            <w:noProof/>
            <w:webHidden/>
          </w:rPr>
          <w:fldChar w:fldCharType="begin"/>
        </w:r>
        <w:r>
          <w:rPr>
            <w:noProof/>
            <w:webHidden/>
          </w:rPr>
          <w:instrText xml:space="preserve"> PAGEREF _Toc58238229 \h </w:instrText>
        </w:r>
        <w:r>
          <w:rPr>
            <w:noProof/>
            <w:webHidden/>
          </w:rPr>
        </w:r>
        <w:r>
          <w:rPr>
            <w:noProof/>
            <w:webHidden/>
          </w:rPr>
          <w:fldChar w:fldCharType="separate"/>
        </w:r>
        <w:r w:rsidR="00B606DD">
          <w:rPr>
            <w:noProof/>
            <w:webHidden/>
          </w:rPr>
          <w:t>1</w:t>
        </w:r>
        <w:r>
          <w:rPr>
            <w:noProof/>
            <w:webHidden/>
          </w:rPr>
          <w:fldChar w:fldCharType="end"/>
        </w:r>
      </w:hyperlink>
    </w:p>
    <w:p w14:paraId="1047B562" w14:textId="4FEA1CEF" w:rsidR="00432FAA" w:rsidRDefault="00D4048E">
      <w:pPr>
        <w:pStyle w:val="TOC1"/>
        <w:rPr>
          <w:rFonts w:asciiTheme="minorHAnsi" w:eastAsiaTheme="minorEastAsia" w:hAnsiTheme="minorHAnsi" w:cstheme="minorBidi"/>
          <w:noProof/>
          <w:sz w:val="22"/>
          <w:szCs w:val="22"/>
          <w:lang w:eastAsia="en-NZ"/>
        </w:rPr>
      </w:pPr>
      <w:hyperlink w:anchor="_Toc58238230" w:history="1">
        <w:r w:rsidR="00432FAA" w:rsidRPr="004A4BD1">
          <w:rPr>
            <w:rStyle w:val="Hyperlink"/>
            <w:noProof/>
          </w:rPr>
          <w:t>Purpose of this advice</w:t>
        </w:r>
        <w:r w:rsidR="00432FAA">
          <w:rPr>
            <w:noProof/>
            <w:webHidden/>
          </w:rPr>
          <w:tab/>
        </w:r>
        <w:r w:rsidR="00432FAA">
          <w:rPr>
            <w:noProof/>
            <w:webHidden/>
          </w:rPr>
          <w:fldChar w:fldCharType="begin"/>
        </w:r>
        <w:r w:rsidR="00432FAA">
          <w:rPr>
            <w:noProof/>
            <w:webHidden/>
          </w:rPr>
          <w:instrText xml:space="preserve"> PAGEREF _Toc58238230 \h </w:instrText>
        </w:r>
        <w:r w:rsidR="00432FAA">
          <w:rPr>
            <w:noProof/>
            <w:webHidden/>
          </w:rPr>
        </w:r>
        <w:r w:rsidR="00432FAA">
          <w:rPr>
            <w:noProof/>
            <w:webHidden/>
          </w:rPr>
          <w:fldChar w:fldCharType="separate"/>
        </w:r>
        <w:r w:rsidR="00B606DD">
          <w:rPr>
            <w:noProof/>
            <w:webHidden/>
          </w:rPr>
          <w:t>3</w:t>
        </w:r>
        <w:r w:rsidR="00432FAA">
          <w:rPr>
            <w:noProof/>
            <w:webHidden/>
          </w:rPr>
          <w:fldChar w:fldCharType="end"/>
        </w:r>
      </w:hyperlink>
    </w:p>
    <w:p w14:paraId="2A06317E" w14:textId="30BF7015" w:rsidR="00432FAA" w:rsidRDefault="00D4048E">
      <w:pPr>
        <w:pStyle w:val="TOC1"/>
        <w:rPr>
          <w:rFonts w:asciiTheme="minorHAnsi" w:eastAsiaTheme="minorEastAsia" w:hAnsiTheme="minorHAnsi" w:cstheme="minorBidi"/>
          <w:noProof/>
          <w:sz w:val="22"/>
          <w:szCs w:val="22"/>
          <w:lang w:eastAsia="en-NZ"/>
        </w:rPr>
      </w:pPr>
      <w:hyperlink w:anchor="_Toc58238231" w:history="1">
        <w:r w:rsidR="00432FAA" w:rsidRPr="004A4BD1">
          <w:rPr>
            <w:rStyle w:val="Hyperlink"/>
            <w:noProof/>
          </w:rPr>
          <w:t>Audience for these guidelines</w:t>
        </w:r>
        <w:r w:rsidR="00432FAA">
          <w:rPr>
            <w:noProof/>
            <w:webHidden/>
          </w:rPr>
          <w:tab/>
        </w:r>
        <w:r w:rsidR="00432FAA">
          <w:rPr>
            <w:noProof/>
            <w:webHidden/>
          </w:rPr>
          <w:fldChar w:fldCharType="begin"/>
        </w:r>
        <w:r w:rsidR="00432FAA">
          <w:rPr>
            <w:noProof/>
            <w:webHidden/>
          </w:rPr>
          <w:instrText xml:space="preserve"> PAGEREF _Toc58238231 \h </w:instrText>
        </w:r>
        <w:r w:rsidR="00432FAA">
          <w:rPr>
            <w:noProof/>
            <w:webHidden/>
          </w:rPr>
        </w:r>
        <w:r w:rsidR="00432FAA">
          <w:rPr>
            <w:noProof/>
            <w:webHidden/>
          </w:rPr>
          <w:fldChar w:fldCharType="separate"/>
        </w:r>
        <w:r w:rsidR="00B606DD">
          <w:rPr>
            <w:noProof/>
            <w:webHidden/>
          </w:rPr>
          <w:t>3</w:t>
        </w:r>
        <w:r w:rsidR="00432FAA">
          <w:rPr>
            <w:noProof/>
            <w:webHidden/>
          </w:rPr>
          <w:fldChar w:fldCharType="end"/>
        </w:r>
      </w:hyperlink>
    </w:p>
    <w:p w14:paraId="4AA56DCA" w14:textId="7B65A4A9" w:rsidR="00432FAA" w:rsidRDefault="00D4048E">
      <w:pPr>
        <w:pStyle w:val="TOC1"/>
        <w:rPr>
          <w:rFonts w:asciiTheme="minorHAnsi" w:eastAsiaTheme="minorEastAsia" w:hAnsiTheme="minorHAnsi" w:cstheme="minorBidi"/>
          <w:noProof/>
          <w:sz w:val="22"/>
          <w:szCs w:val="22"/>
          <w:lang w:eastAsia="en-NZ"/>
        </w:rPr>
      </w:pPr>
      <w:hyperlink w:anchor="_Toc58238232" w:history="1">
        <w:r w:rsidR="00432FAA" w:rsidRPr="004A4BD1">
          <w:rPr>
            <w:rStyle w:val="Hyperlink"/>
            <w:noProof/>
          </w:rPr>
          <w:t>Associated documents</w:t>
        </w:r>
        <w:r w:rsidR="00432FAA">
          <w:rPr>
            <w:noProof/>
            <w:webHidden/>
          </w:rPr>
          <w:tab/>
        </w:r>
        <w:r w:rsidR="00432FAA">
          <w:rPr>
            <w:noProof/>
            <w:webHidden/>
          </w:rPr>
          <w:fldChar w:fldCharType="begin"/>
        </w:r>
        <w:r w:rsidR="00432FAA">
          <w:rPr>
            <w:noProof/>
            <w:webHidden/>
          </w:rPr>
          <w:instrText xml:space="preserve"> PAGEREF _Toc58238232 \h </w:instrText>
        </w:r>
        <w:r w:rsidR="00432FAA">
          <w:rPr>
            <w:noProof/>
            <w:webHidden/>
          </w:rPr>
        </w:r>
        <w:r w:rsidR="00432FAA">
          <w:rPr>
            <w:noProof/>
            <w:webHidden/>
          </w:rPr>
          <w:fldChar w:fldCharType="separate"/>
        </w:r>
        <w:r w:rsidR="00B606DD">
          <w:rPr>
            <w:noProof/>
            <w:webHidden/>
          </w:rPr>
          <w:t>4</w:t>
        </w:r>
        <w:r w:rsidR="00432FAA">
          <w:rPr>
            <w:noProof/>
            <w:webHidden/>
          </w:rPr>
          <w:fldChar w:fldCharType="end"/>
        </w:r>
      </w:hyperlink>
    </w:p>
    <w:p w14:paraId="4771AF01" w14:textId="6F32C21F" w:rsidR="00432FAA" w:rsidRDefault="00D4048E">
      <w:pPr>
        <w:pStyle w:val="TOC1"/>
        <w:rPr>
          <w:rFonts w:asciiTheme="minorHAnsi" w:eastAsiaTheme="minorEastAsia" w:hAnsiTheme="minorHAnsi" w:cstheme="minorBidi"/>
          <w:noProof/>
          <w:sz w:val="22"/>
          <w:szCs w:val="22"/>
          <w:lang w:eastAsia="en-NZ"/>
        </w:rPr>
      </w:pPr>
      <w:hyperlink w:anchor="_Toc58238233" w:history="1">
        <w:r w:rsidR="00432FAA" w:rsidRPr="004A4BD1">
          <w:rPr>
            <w:rStyle w:val="Hyperlink"/>
            <w:noProof/>
          </w:rPr>
          <w:t>Equity</w:t>
        </w:r>
        <w:r w:rsidR="00432FAA">
          <w:rPr>
            <w:noProof/>
            <w:webHidden/>
          </w:rPr>
          <w:tab/>
        </w:r>
        <w:r w:rsidR="00432FAA">
          <w:rPr>
            <w:noProof/>
            <w:webHidden/>
          </w:rPr>
          <w:fldChar w:fldCharType="begin"/>
        </w:r>
        <w:r w:rsidR="00432FAA">
          <w:rPr>
            <w:noProof/>
            <w:webHidden/>
          </w:rPr>
          <w:instrText xml:space="preserve"> PAGEREF _Toc58238233 \h </w:instrText>
        </w:r>
        <w:r w:rsidR="00432FAA">
          <w:rPr>
            <w:noProof/>
            <w:webHidden/>
          </w:rPr>
        </w:r>
        <w:r w:rsidR="00432FAA">
          <w:rPr>
            <w:noProof/>
            <w:webHidden/>
          </w:rPr>
          <w:fldChar w:fldCharType="separate"/>
        </w:r>
        <w:r w:rsidR="00B606DD">
          <w:rPr>
            <w:noProof/>
            <w:webHidden/>
          </w:rPr>
          <w:t>4</w:t>
        </w:r>
        <w:r w:rsidR="00432FAA">
          <w:rPr>
            <w:noProof/>
            <w:webHidden/>
          </w:rPr>
          <w:fldChar w:fldCharType="end"/>
        </w:r>
      </w:hyperlink>
    </w:p>
    <w:p w14:paraId="6F53A449" w14:textId="14BB0E53" w:rsidR="00432FAA" w:rsidRDefault="00D4048E">
      <w:pPr>
        <w:pStyle w:val="TOC1"/>
        <w:rPr>
          <w:rFonts w:asciiTheme="minorHAnsi" w:eastAsiaTheme="minorEastAsia" w:hAnsiTheme="minorHAnsi" w:cstheme="minorBidi"/>
          <w:noProof/>
          <w:sz w:val="22"/>
          <w:szCs w:val="22"/>
          <w:lang w:eastAsia="en-NZ"/>
        </w:rPr>
      </w:pPr>
      <w:hyperlink w:anchor="_Toc58238234" w:history="1">
        <w:r w:rsidR="00432FAA" w:rsidRPr="004A4BD1">
          <w:rPr>
            <w:rStyle w:val="Hyperlink"/>
            <w:noProof/>
          </w:rPr>
          <w:t>Notes on clinical context</w:t>
        </w:r>
        <w:r w:rsidR="00432FAA">
          <w:rPr>
            <w:noProof/>
            <w:webHidden/>
          </w:rPr>
          <w:tab/>
        </w:r>
        <w:r w:rsidR="00432FAA">
          <w:rPr>
            <w:noProof/>
            <w:webHidden/>
          </w:rPr>
          <w:fldChar w:fldCharType="begin"/>
        </w:r>
        <w:r w:rsidR="00432FAA">
          <w:rPr>
            <w:noProof/>
            <w:webHidden/>
          </w:rPr>
          <w:instrText xml:space="preserve"> PAGEREF _Toc58238234 \h </w:instrText>
        </w:r>
        <w:r w:rsidR="00432FAA">
          <w:rPr>
            <w:noProof/>
            <w:webHidden/>
          </w:rPr>
        </w:r>
        <w:r w:rsidR="00432FAA">
          <w:rPr>
            <w:noProof/>
            <w:webHidden/>
          </w:rPr>
          <w:fldChar w:fldCharType="separate"/>
        </w:r>
        <w:r w:rsidR="00B606DD">
          <w:rPr>
            <w:noProof/>
            <w:webHidden/>
          </w:rPr>
          <w:t>5</w:t>
        </w:r>
        <w:r w:rsidR="00432FAA">
          <w:rPr>
            <w:noProof/>
            <w:webHidden/>
          </w:rPr>
          <w:fldChar w:fldCharType="end"/>
        </w:r>
      </w:hyperlink>
    </w:p>
    <w:p w14:paraId="76D26613" w14:textId="00144E05" w:rsidR="00432FAA" w:rsidRDefault="00D4048E">
      <w:pPr>
        <w:pStyle w:val="TOC1"/>
        <w:rPr>
          <w:rFonts w:asciiTheme="minorHAnsi" w:eastAsiaTheme="minorEastAsia" w:hAnsiTheme="minorHAnsi" w:cstheme="minorBidi"/>
          <w:noProof/>
          <w:sz w:val="22"/>
          <w:szCs w:val="22"/>
          <w:lang w:eastAsia="en-NZ"/>
        </w:rPr>
      </w:pPr>
      <w:hyperlink w:anchor="_Toc58238235" w:history="1">
        <w:r w:rsidR="00432FAA" w:rsidRPr="004A4BD1">
          <w:rPr>
            <w:rStyle w:val="Hyperlink"/>
            <w:noProof/>
          </w:rPr>
          <w:t>Polyp risk categories</w:t>
        </w:r>
        <w:r w:rsidR="00432FAA">
          <w:rPr>
            <w:noProof/>
            <w:webHidden/>
          </w:rPr>
          <w:tab/>
        </w:r>
        <w:r w:rsidR="00432FAA">
          <w:rPr>
            <w:noProof/>
            <w:webHidden/>
          </w:rPr>
          <w:fldChar w:fldCharType="begin"/>
        </w:r>
        <w:r w:rsidR="00432FAA">
          <w:rPr>
            <w:noProof/>
            <w:webHidden/>
          </w:rPr>
          <w:instrText xml:space="preserve"> PAGEREF _Toc58238235 \h </w:instrText>
        </w:r>
        <w:r w:rsidR="00432FAA">
          <w:rPr>
            <w:noProof/>
            <w:webHidden/>
          </w:rPr>
        </w:r>
        <w:r w:rsidR="00432FAA">
          <w:rPr>
            <w:noProof/>
            <w:webHidden/>
          </w:rPr>
          <w:fldChar w:fldCharType="separate"/>
        </w:r>
        <w:r w:rsidR="00B606DD">
          <w:rPr>
            <w:noProof/>
            <w:webHidden/>
          </w:rPr>
          <w:t>5</w:t>
        </w:r>
        <w:r w:rsidR="00432FAA">
          <w:rPr>
            <w:noProof/>
            <w:webHidden/>
          </w:rPr>
          <w:fldChar w:fldCharType="end"/>
        </w:r>
      </w:hyperlink>
    </w:p>
    <w:p w14:paraId="00A2D3ED" w14:textId="2BBF8900" w:rsidR="00432FAA" w:rsidRDefault="00D4048E">
      <w:pPr>
        <w:pStyle w:val="TOC1"/>
        <w:rPr>
          <w:rFonts w:asciiTheme="minorHAnsi" w:eastAsiaTheme="minorEastAsia" w:hAnsiTheme="minorHAnsi" w:cstheme="minorBidi"/>
          <w:noProof/>
          <w:sz w:val="22"/>
          <w:szCs w:val="22"/>
          <w:lang w:eastAsia="en-NZ"/>
        </w:rPr>
      </w:pPr>
      <w:hyperlink w:anchor="_Toc58238236" w:history="1">
        <w:r w:rsidR="00432FAA" w:rsidRPr="004A4BD1">
          <w:rPr>
            <w:rStyle w:val="Hyperlink"/>
            <w:noProof/>
          </w:rPr>
          <w:t>Polyp Surveillance Guidance 2020</w:t>
        </w:r>
        <w:r w:rsidR="00432FAA">
          <w:rPr>
            <w:noProof/>
            <w:webHidden/>
          </w:rPr>
          <w:tab/>
        </w:r>
        <w:r w:rsidR="00432FAA">
          <w:rPr>
            <w:noProof/>
            <w:webHidden/>
          </w:rPr>
          <w:fldChar w:fldCharType="begin"/>
        </w:r>
        <w:r w:rsidR="00432FAA">
          <w:rPr>
            <w:noProof/>
            <w:webHidden/>
          </w:rPr>
          <w:instrText xml:space="preserve"> PAGEREF _Toc58238236 \h </w:instrText>
        </w:r>
        <w:r w:rsidR="00432FAA">
          <w:rPr>
            <w:noProof/>
            <w:webHidden/>
          </w:rPr>
        </w:r>
        <w:r w:rsidR="00432FAA">
          <w:rPr>
            <w:noProof/>
            <w:webHidden/>
          </w:rPr>
          <w:fldChar w:fldCharType="separate"/>
        </w:r>
        <w:r w:rsidR="00B606DD">
          <w:rPr>
            <w:noProof/>
            <w:webHidden/>
          </w:rPr>
          <w:t>6</w:t>
        </w:r>
        <w:r w:rsidR="00432FAA">
          <w:rPr>
            <w:noProof/>
            <w:webHidden/>
          </w:rPr>
          <w:fldChar w:fldCharType="end"/>
        </w:r>
      </w:hyperlink>
    </w:p>
    <w:p w14:paraId="01A8E9AB" w14:textId="4EBDD97A" w:rsidR="00432FAA" w:rsidRDefault="00D4048E">
      <w:pPr>
        <w:pStyle w:val="TOC1"/>
        <w:rPr>
          <w:rFonts w:asciiTheme="minorHAnsi" w:eastAsiaTheme="minorEastAsia" w:hAnsiTheme="minorHAnsi" w:cstheme="minorBidi"/>
          <w:noProof/>
          <w:sz w:val="22"/>
          <w:szCs w:val="22"/>
          <w:lang w:eastAsia="en-NZ"/>
        </w:rPr>
      </w:pPr>
      <w:hyperlink w:anchor="_Toc58238237" w:history="1">
        <w:r w:rsidR="00432FAA" w:rsidRPr="004A4BD1">
          <w:rPr>
            <w:rStyle w:val="Hyperlink"/>
            <w:noProof/>
          </w:rPr>
          <w:t>Definitions</w:t>
        </w:r>
        <w:r w:rsidR="00432FAA">
          <w:rPr>
            <w:noProof/>
            <w:webHidden/>
          </w:rPr>
          <w:tab/>
        </w:r>
        <w:r w:rsidR="00432FAA">
          <w:rPr>
            <w:noProof/>
            <w:webHidden/>
          </w:rPr>
          <w:fldChar w:fldCharType="begin"/>
        </w:r>
        <w:r w:rsidR="00432FAA">
          <w:rPr>
            <w:noProof/>
            <w:webHidden/>
          </w:rPr>
          <w:instrText xml:space="preserve"> PAGEREF _Toc58238237 \h </w:instrText>
        </w:r>
        <w:r w:rsidR="00432FAA">
          <w:rPr>
            <w:noProof/>
            <w:webHidden/>
          </w:rPr>
        </w:r>
        <w:r w:rsidR="00432FAA">
          <w:rPr>
            <w:noProof/>
            <w:webHidden/>
          </w:rPr>
          <w:fldChar w:fldCharType="separate"/>
        </w:r>
        <w:r w:rsidR="00B606DD">
          <w:rPr>
            <w:noProof/>
            <w:webHidden/>
          </w:rPr>
          <w:t>8</w:t>
        </w:r>
        <w:r w:rsidR="00432FAA">
          <w:rPr>
            <w:noProof/>
            <w:webHidden/>
          </w:rPr>
          <w:fldChar w:fldCharType="end"/>
        </w:r>
      </w:hyperlink>
    </w:p>
    <w:p w14:paraId="4818EBEF" w14:textId="77F7AE76" w:rsidR="00432FAA" w:rsidRDefault="00D4048E">
      <w:pPr>
        <w:pStyle w:val="TOC2"/>
        <w:rPr>
          <w:rFonts w:asciiTheme="minorHAnsi" w:eastAsiaTheme="minorEastAsia" w:hAnsiTheme="minorHAnsi" w:cstheme="minorBidi"/>
          <w:noProof/>
          <w:sz w:val="22"/>
          <w:szCs w:val="22"/>
          <w:lang w:eastAsia="en-NZ"/>
        </w:rPr>
      </w:pPr>
      <w:hyperlink w:anchor="_Toc58238238" w:history="1">
        <w:r w:rsidR="00432FAA" w:rsidRPr="004A4BD1">
          <w:rPr>
            <w:rStyle w:val="Hyperlink"/>
            <w:noProof/>
          </w:rPr>
          <w:t>High-quality colonoscopy</w:t>
        </w:r>
        <w:r w:rsidR="00432FAA">
          <w:rPr>
            <w:noProof/>
            <w:webHidden/>
          </w:rPr>
          <w:tab/>
        </w:r>
        <w:r w:rsidR="00432FAA">
          <w:rPr>
            <w:noProof/>
            <w:webHidden/>
          </w:rPr>
          <w:fldChar w:fldCharType="begin"/>
        </w:r>
        <w:r w:rsidR="00432FAA">
          <w:rPr>
            <w:noProof/>
            <w:webHidden/>
          </w:rPr>
          <w:instrText xml:space="preserve"> PAGEREF _Toc58238238 \h </w:instrText>
        </w:r>
        <w:r w:rsidR="00432FAA">
          <w:rPr>
            <w:noProof/>
            <w:webHidden/>
          </w:rPr>
        </w:r>
        <w:r w:rsidR="00432FAA">
          <w:rPr>
            <w:noProof/>
            <w:webHidden/>
          </w:rPr>
          <w:fldChar w:fldCharType="separate"/>
        </w:r>
        <w:r w:rsidR="00B606DD">
          <w:rPr>
            <w:noProof/>
            <w:webHidden/>
          </w:rPr>
          <w:t>8</w:t>
        </w:r>
        <w:r w:rsidR="00432FAA">
          <w:rPr>
            <w:noProof/>
            <w:webHidden/>
          </w:rPr>
          <w:fldChar w:fldCharType="end"/>
        </w:r>
      </w:hyperlink>
    </w:p>
    <w:p w14:paraId="7F20189B" w14:textId="5EB89C57" w:rsidR="00432FAA" w:rsidRDefault="00D4048E">
      <w:pPr>
        <w:pStyle w:val="TOC2"/>
        <w:rPr>
          <w:rFonts w:asciiTheme="minorHAnsi" w:eastAsiaTheme="minorEastAsia" w:hAnsiTheme="minorHAnsi" w:cstheme="minorBidi"/>
          <w:noProof/>
          <w:sz w:val="22"/>
          <w:szCs w:val="22"/>
          <w:lang w:eastAsia="en-NZ"/>
        </w:rPr>
      </w:pPr>
      <w:hyperlink w:anchor="_Toc58238239" w:history="1">
        <w:r w:rsidR="00432FAA" w:rsidRPr="004A4BD1">
          <w:rPr>
            <w:rStyle w:val="Hyperlink"/>
            <w:noProof/>
          </w:rPr>
          <w:t>High-quality polypectomy</w:t>
        </w:r>
        <w:r w:rsidR="00432FAA">
          <w:rPr>
            <w:noProof/>
            <w:webHidden/>
          </w:rPr>
          <w:tab/>
        </w:r>
        <w:r w:rsidR="00432FAA">
          <w:rPr>
            <w:noProof/>
            <w:webHidden/>
          </w:rPr>
          <w:fldChar w:fldCharType="begin"/>
        </w:r>
        <w:r w:rsidR="00432FAA">
          <w:rPr>
            <w:noProof/>
            <w:webHidden/>
          </w:rPr>
          <w:instrText xml:space="preserve"> PAGEREF _Toc58238239 \h </w:instrText>
        </w:r>
        <w:r w:rsidR="00432FAA">
          <w:rPr>
            <w:noProof/>
            <w:webHidden/>
          </w:rPr>
        </w:r>
        <w:r w:rsidR="00432FAA">
          <w:rPr>
            <w:noProof/>
            <w:webHidden/>
          </w:rPr>
          <w:fldChar w:fldCharType="separate"/>
        </w:r>
        <w:r w:rsidR="00B606DD">
          <w:rPr>
            <w:noProof/>
            <w:webHidden/>
          </w:rPr>
          <w:t>8</w:t>
        </w:r>
        <w:r w:rsidR="00432FAA">
          <w:rPr>
            <w:noProof/>
            <w:webHidden/>
          </w:rPr>
          <w:fldChar w:fldCharType="end"/>
        </w:r>
      </w:hyperlink>
    </w:p>
    <w:p w14:paraId="0D5CEFAB" w14:textId="5CDC717A" w:rsidR="00432FAA" w:rsidRDefault="00D4048E">
      <w:pPr>
        <w:pStyle w:val="TOC2"/>
        <w:rPr>
          <w:rFonts w:asciiTheme="minorHAnsi" w:eastAsiaTheme="minorEastAsia" w:hAnsiTheme="minorHAnsi" w:cstheme="minorBidi"/>
          <w:noProof/>
          <w:sz w:val="22"/>
          <w:szCs w:val="22"/>
          <w:lang w:eastAsia="en-NZ"/>
        </w:rPr>
      </w:pPr>
      <w:hyperlink w:anchor="_Toc58238240" w:history="1">
        <w:r w:rsidR="00432FAA" w:rsidRPr="004A4BD1">
          <w:rPr>
            <w:rStyle w:val="Hyperlink"/>
            <w:noProof/>
          </w:rPr>
          <w:t>Boston Bowel Preparation Scale</w:t>
        </w:r>
        <w:r w:rsidR="00432FAA">
          <w:rPr>
            <w:noProof/>
            <w:webHidden/>
          </w:rPr>
          <w:tab/>
        </w:r>
        <w:r w:rsidR="00432FAA">
          <w:rPr>
            <w:noProof/>
            <w:webHidden/>
          </w:rPr>
          <w:fldChar w:fldCharType="begin"/>
        </w:r>
        <w:r w:rsidR="00432FAA">
          <w:rPr>
            <w:noProof/>
            <w:webHidden/>
          </w:rPr>
          <w:instrText xml:space="preserve"> PAGEREF _Toc58238240 \h </w:instrText>
        </w:r>
        <w:r w:rsidR="00432FAA">
          <w:rPr>
            <w:noProof/>
            <w:webHidden/>
          </w:rPr>
        </w:r>
        <w:r w:rsidR="00432FAA">
          <w:rPr>
            <w:noProof/>
            <w:webHidden/>
          </w:rPr>
          <w:fldChar w:fldCharType="separate"/>
        </w:r>
        <w:r w:rsidR="00B606DD">
          <w:rPr>
            <w:noProof/>
            <w:webHidden/>
          </w:rPr>
          <w:t>8</w:t>
        </w:r>
        <w:r w:rsidR="00432FAA">
          <w:rPr>
            <w:noProof/>
            <w:webHidden/>
          </w:rPr>
          <w:fldChar w:fldCharType="end"/>
        </w:r>
      </w:hyperlink>
    </w:p>
    <w:p w14:paraId="41632240" w14:textId="0D6B7880" w:rsidR="00432FAA" w:rsidRDefault="00D4048E">
      <w:pPr>
        <w:pStyle w:val="TOC2"/>
        <w:rPr>
          <w:rFonts w:asciiTheme="minorHAnsi" w:eastAsiaTheme="minorEastAsia" w:hAnsiTheme="minorHAnsi" w:cstheme="minorBidi"/>
          <w:noProof/>
          <w:sz w:val="22"/>
          <w:szCs w:val="22"/>
          <w:lang w:eastAsia="en-NZ"/>
        </w:rPr>
      </w:pPr>
      <w:hyperlink w:anchor="_Toc58238241" w:history="1">
        <w:r w:rsidR="00432FAA" w:rsidRPr="004A4BD1">
          <w:rPr>
            <w:rStyle w:val="Hyperlink"/>
            <w:noProof/>
          </w:rPr>
          <w:t>Serrated Polyposis Syndrome</w:t>
        </w:r>
        <w:r w:rsidR="00432FAA">
          <w:rPr>
            <w:noProof/>
            <w:webHidden/>
          </w:rPr>
          <w:tab/>
        </w:r>
        <w:r w:rsidR="00432FAA">
          <w:rPr>
            <w:noProof/>
            <w:webHidden/>
          </w:rPr>
          <w:fldChar w:fldCharType="begin"/>
        </w:r>
        <w:r w:rsidR="00432FAA">
          <w:rPr>
            <w:noProof/>
            <w:webHidden/>
          </w:rPr>
          <w:instrText xml:space="preserve"> PAGEREF _Toc58238241 \h </w:instrText>
        </w:r>
        <w:r w:rsidR="00432FAA">
          <w:rPr>
            <w:noProof/>
            <w:webHidden/>
          </w:rPr>
        </w:r>
        <w:r w:rsidR="00432FAA">
          <w:rPr>
            <w:noProof/>
            <w:webHidden/>
          </w:rPr>
          <w:fldChar w:fldCharType="separate"/>
        </w:r>
        <w:r w:rsidR="00B606DD">
          <w:rPr>
            <w:noProof/>
            <w:webHidden/>
          </w:rPr>
          <w:t>9</w:t>
        </w:r>
        <w:r w:rsidR="00432FAA">
          <w:rPr>
            <w:noProof/>
            <w:webHidden/>
          </w:rPr>
          <w:fldChar w:fldCharType="end"/>
        </w:r>
      </w:hyperlink>
    </w:p>
    <w:p w14:paraId="1325D4C2" w14:textId="190C8A2B" w:rsidR="00432FAA" w:rsidRDefault="00D4048E">
      <w:pPr>
        <w:pStyle w:val="TOC1"/>
        <w:rPr>
          <w:rFonts w:asciiTheme="minorHAnsi" w:eastAsiaTheme="minorEastAsia" w:hAnsiTheme="minorHAnsi" w:cstheme="minorBidi"/>
          <w:noProof/>
          <w:sz w:val="22"/>
          <w:szCs w:val="22"/>
          <w:lang w:eastAsia="en-NZ"/>
        </w:rPr>
      </w:pPr>
      <w:hyperlink w:anchor="_Toc58238242" w:history="1">
        <w:r w:rsidR="00432FAA" w:rsidRPr="004A4BD1">
          <w:rPr>
            <w:rStyle w:val="Hyperlink"/>
            <w:noProof/>
          </w:rPr>
          <w:t>Referral criteria to the New Zealand Familial Gastrointestinal Cancer Service</w:t>
        </w:r>
        <w:r w:rsidR="00432FAA">
          <w:rPr>
            <w:noProof/>
            <w:webHidden/>
          </w:rPr>
          <w:tab/>
        </w:r>
        <w:r w:rsidR="00432FAA">
          <w:rPr>
            <w:noProof/>
            <w:webHidden/>
          </w:rPr>
          <w:fldChar w:fldCharType="begin"/>
        </w:r>
        <w:r w:rsidR="00432FAA">
          <w:rPr>
            <w:noProof/>
            <w:webHidden/>
          </w:rPr>
          <w:instrText xml:space="preserve"> PAGEREF _Toc58238242 \h </w:instrText>
        </w:r>
        <w:r w:rsidR="00432FAA">
          <w:rPr>
            <w:noProof/>
            <w:webHidden/>
          </w:rPr>
        </w:r>
        <w:r w:rsidR="00432FAA">
          <w:rPr>
            <w:noProof/>
            <w:webHidden/>
          </w:rPr>
          <w:fldChar w:fldCharType="separate"/>
        </w:r>
        <w:r w:rsidR="00B606DD">
          <w:rPr>
            <w:noProof/>
            <w:webHidden/>
          </w:rPr>
          <w:t>10</w:t>
        </w:r>
        <w:r w:rsidR="00432FAA">
          <w:rPr>
            <w:noProof/>
            <w:webHidden/>
          </w:rPr>
          <w:fldChar w:fldCharType="end"/>
        </w:r>
      </w:hyperlink>
    </w:p>
    <w:p w14:paraId="2D5FD259" w14:textId="2E34399D" w:rsidR="00432FAA" w:rsidRDefault="00D4048E">
      <w:pPr>
        <w:pStyle w:val="TOC2"/>
        <w:rPr>
          <w:rFonts w:asciiTheme="minorHAnsi" w:eastAsiaTheme="minorEastAsia" w:hAnsiTheme="minorHAnsi" w:cstheme="minorBidi"/>
          <w:noProof/>
          <w:sz w:val="22"/>
          <w:szCs w:val="22"/>
          <w:lang w:eastAsia="en-NZ"/>
        </w:rPr>
      </w:pPr>
      <w:hyperlink w:anchor="_Toc58238243" w:history="1">
        <w:r w:rsidR="00432FAA" w:rsidRPr="004A4BD1">
          <w:rPr>
            <w:rStyle w:val="Hyperlink"/>
            <w:noProof/>
          </w:rPr>
          <w:t>Serrated Polyposis Syndrome</w:t>
        </w:r>
        <w:r w:rsidR="00432FAA">
          <w:rPr>
            <w:noProof/>
            <w:webHidden/>
          </w:rPr>
          <w:tab/>
        </w:r>
        <w:r w:rsidR="00432FAA">
          <w:rPr>
            <w:noProof/>
            <w:webHidden/>
          </w:rPr>
          <w:fldChar w:fldCharType="begin"/>
        </w:r>
        <w:r w:rsidR="00432FAA">
          <w:rPr>
            <w:noProof/>
            <w:webHidden/>
          </w:rPr>
          <w:instrText xml:space="preserve"> PAGEREF _Toc58238243 \h </w:instrText>
        </w:r>
        <w:r w:rsidR="00432FAA">
          <w:rPr>
            <w:noProof/>
            <w:webHidden/>
          </w:rPr>
        </w:r>
        <w:r w:rsidR="00432FAA">
          <w:rPr>
            <w:noProof/>
            <w:webHidden/>
          </w:rPr>
          <w:fldChar w:fldCharType="separate"/>
        </w:r>
        <w:r w:rsidR="00B606DD">
          <w:rPr>
            <w:noProof/>
            <w:webHidden/>
          </w:rPr>
          <w:t>10</w:t>
        </w:r>
        <w:r w:rsidR="00432FAA">
          <w:rPr>
            <w:noProof/>
            <w:webHidden/>
          </w:rPr>
          <w:fldChar w:fldCharType="end"/>
        </w:r>
      </w:hyperlink>
    </w:p>
    <w:p w14:paraId="501558D4" w14:textId="3798DC9F" w:rsidR="00432FAA" w:rsidRDefault="00D4048E">
      <w:pPr>
        <w:pStyle w:val="TOC2"/>
        <w:rPr>
          <w:rFonts w:asciiTheme="minorHAnsi" w:eastAsiaTheme="minorEastAsia" w:hAnsiTheme="minorHAnsi" w:cstheme="minorBidi"/>
          <w:noProof/>
          <w:sz w:val="22"/>
          <w:szCs w:val="22"/>
          <w:lang w:eastAsia="en-NZ"/>
        </w:rPr>
      </w:pPr>
      <w:hyperlink w:anchor="_Toc58238244" w:history="1">
        <w:r w:rsidR="00432FAA" w:rsidRPr="004A4BD1">
          <w:rPr>
            <w:rStyle w:val="Hyperlink"/>
            <w:noProof/>
          </w:rPr>
          <w:t>Multiple adenoma</w:t>
        </w:r>
        <w:r w:rsidR="00432FAA">
          <w:rPr>
            <w:noProof/>
            <w:webHidden/>
          </w:rPr>
          <w:tab/>
        </w:r>
        <w:r w:rsidR="00432FAA">
          <w:rPr>
            <w:noProof/>
            <w:webHidden/>
          </w:rPr>
          <w:fldChar w:fldCharType="begin"/>
        </w:r>
        <w:r w:rsidR="00432FAA">
          <w:rPr>
            <w:noProof/>
            <w:webHidden/>
          </w:rPr>
          <w:instrText xml:space="preserve"> PAGEREF _Toc58238244 \h </w:instrText>
        </w:r>
        <w:r w:rsidR="00432FAA">
          <w:rPr>
            <w:noProof/>
            <w:webHidden/>
          </w:rPr>
        </w:r>
        <w:r w:rsidR="00432FAA">
          <w:rPr>
            <w:noProof/>
            <w:webHidden/>
          </w:rPr>
          <w:fldChar w:fldCharType="separate"/>
        </w:r>
        <w:r w:rsidR="00B606DD">
          <w:rPr>
            <w:noProof/>
            <w:webHidden/>
          </w:rPr>
          <w:t>10</w:t>
        </w:r>
        <w:r w:rsidR="00432FAA">
          <w:rPr>
            <w:noProof/>
            <w:webHidden/>
          </w:rPr>
          <w:fldChar w:fldCharType="end"/>
        </w:r>
      </w:hyperlink>
    </w:p>
    <w:p w14:paraId="5DFD9534" w14:textId="0B202274" w:rsidR="00432FAA" w:rsidRDefault="00D4048E">
      <w:pPr>
        <w:pStyle w:val="TOC1"/>
        <w:rPr>
          <w:rFonts w:asciiTheme="minorHAnsi" w:eastAsiaTheme="minorEastAsia" w:hAnsiTheme="minorHAnsi" w:cstheme="minorBidi"/>
          <w:noProof/>
          <w:sz w:val="22"/>
          <w:szCs w:val="22"/>
          <w:lang w:eastAsia="en-NZ"/>
        </w:rPr>
      </w:pPr>
      <w:hyperlink w:anchor="_Toc58238245" w:history="1">
        <w:r w:rsidR="00432FAA" w:rsidRPr="004A4BD1">
          <w:rPr>
            <w:rStyle w:val="Hyperlink"/>
            <w:noProof/>
          </w:rPr>
          <w:t>References</w:t>
        </w:r>
        <w:r w:rsidR="00432FAA">
          <w:rPr>
            <w:noProof/>
            <w:webHidden/>
          </w:rPr>
          <w:tab/>
        </w:r>
        <w:r w:rsidR="00432FAA">
          <w:rPr>
            <w:noProof/>
            <w:webHidden/>
          </w:rPr>
          <w:fldChar w:fldCharType="begin"/>
        </w:r>
        <w:r w:rsidR="00432FAA">
          <w:rPr>
            <w:noProof/>
            <w:webHidden/>
          </w:rPr>
          <w:instrText xml:space="preserve"> PAGEREF _Toc58238245 \h </w:instrText>
        </w:r>
        <w:r w:rsidR="00432FAA">
          <w:rPr>
            <w:noProof/>
            <w:webHidden/>
          </w:rPr>
        </w:r>
        <w:r w:rsidR="00432FAA">
          <w:rPr>
            <w:noProof/>
            <w:webHidden/>
          </w:rPr>
          <w:fldChar w:fldCharType="separate"/>
        </w:r>
        <w:r w:rsidR="00B606DD">
          <w:rPr>
            <w:noProof/>
            <w:webHidden/>
          </w:rPr>
          <w:t>11</w:t>
        </w:r>
        <w:r w:rsidR="00432FAA">
          <w:rPr>
            <w:noProof/>
            <w:webHidden/>
          </w:rPr>
          <w:fldChar w:fldCharType="end"/>
        </w:r>
      </w:hyperlink>
    </w:p>
    <w:p w14:paraId="09788E0D" w14:textId="6451E413" w:rsidR="00C86248" w:rsidRPr="00B47C82" w:rsidRDefault="00432FAA">
      <w:r>
        <w:rPr>
          <w:rFonts w:ascii="Segoe UI Semibold" w:hAnsi="Segoe UI Semibold"/>
          <w:b/>
          <w:sz w:val="24"/>
        </w:rPr>
        <w:fldChar w:fldCharType="end"/>
      </w:r>
    </w:p>
    <w:p w14:paraId="70EE3993" w14:textId="77777777" w:rsidR="002B76A7" w:rsidRPr="00B47C82" w:rsidRDefault="002B76A7" w:rsidP="002B76A7">
      <w:pPr>
        <w:pStyle w:val="TOC1"/>
        <w:keepNext/>
      </w:pPr>
      <w:r w:rsidRPr="00B47C82">
        <w:t>List of Tables</w:t>
      </w:r>
    </w:p>
    <w:p w14:paraId="183B21B8" w14:textId="3238A21B"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"Table,3" </w:instrText>
      </w:r>
      <w:r>
        <w:fldChar w:fldCharType="separate"/>
      </w:r>
      <w:hyperlink w:anchor="_Toc58238246" w:history="1">
        <w:r w:rsidRPr="003E0A49">
          <w:rPr>
            <w:rStyle w:val="Hyperlink"/>
            <w:noProof/>
          </w:rPr>
          <w:t>Table 1: Associated documents</w:t>
        </w:r>
        <w:r>
          <w:rPr>
            <w:noProof/>
            <w:webHidden/>
          </w:rPr>
          <w:tab/>
        </w:r>
        <w:r>
          <w:rPr>
            <w:noProof/>
            <w:webHidden/>
          </w:rPr>
          <w:fldChar w:fldCharType="begin"/>
        </w:r>
        <w:r>
          <w:rPr>
            <w:noProof/>
            <w:webHidden/>
          </w:rPr>
          <w:instrText xml:space="preserve"> PAGEREF _Toc58238246 \h </w:instrText>
        </w:r>
        <w:r>
          <w:rPr>
            <w:noProof/>
            <w:webHidden/>
          </w:rPr>
        </w:r>
        <w:r>
          <w:rPr>
            <w:noProof/>
            <w:webHidden/>
          </w:rPr>
          <w:fldChar w:fldCharType="separate"/>
        </w:r>
        <w:r w:rsidR="00B606DD">
          <w:rPr>
            <w:noProof/>
            <w:webHidden/>
          </w:rPr>
          <w:t>4</w:t>
        </w:r>
        <w:r>
          <w:rPr>
            <w:noProof/>
            <w:webHidden/>
          </w:rPr>
          <w:fldChar w:fldCharType="end"/>
        </w:r>
      </w:hyperlink>
    </w:p>
    <w:p w14:paraId="2F894DD0" w14:textId="0BDA08B2" w:rsidR="00432FAA" w:rsidRDefault="00D4048E">
      <w:pPr>
        <w:pStyle w:val="TOC3"/>
        <w:rPr>
          <w:rFonts w:asciiTheme="minorHAnsi" w:eastAsiaTheme="minorEastAsia" w:hAnsiTheme="minorHAnsi" w:cstheme="minorBidi"/>
          <w:noProof/>
          <w:sz w:val="22"/>
          <w:szCs w:val="22"/>
          <w:lang w:eastAsia="en-NZ"/>
        </w:rPr>
      </w:pPr>
      <w:hyperlink w:anchor="_Toc58238247" w:history="1">
        <w:r w:rsidR="00432FAA" w:rsidRPr="003E0A49">
          <w:rPr>
            <w:rStyle w:val="Hyperlink"/>
            <w:noProof/>
          </w:rPr>
          <w:t>Table 2: Polyp risk categories</w:t>
        </w:r>
        <w:r w:rsidR="00432FAA">
          <w:rPr>
            <w:noProof/>
            <w:webHidden/>
          </w:rPr>
          <w:tab/>
        </w:r>
        <w:r w:rsidR="00432FAA">
          <w:rPr>
            <w:noProof/>
            <w:webHidden/>
          </w:rPr>
          <w:fldChar w:fldCharType="begin"/>
        </w:r>
        <w:r w:rsidR="00432FAA">
          <w:rPr>
            <w:noProof/>
            <w:webHidden/>
          </w:rPr>
          <w:instrText xml:space="preserve"> PAGEREF _Toc58238247 \h </w:instrText>
        </w:r>
        <w:r w:rsidR="00432FAA">
          <w:rPr>
            <w:noProof/>
            <w:webHidden/>
          </w:rPr>
        </w:r>
        <w:r w:rsidR="00432FAA">
          <w:rPr>
            <w:noProof/>
            <w:webHidden/>
          </w:rPr>
          <w:fldChar w:fldCharType="separate"/>
        </w:r>
        <w:r w:rsidR="00B606DD">
          <w:rPr>
            <w:noProof/>
            <w:webHidden/>
          </w:rPr>
          <w:t>5</w:t>
        </w:r>
        <w:r w:rsidR="00432FAA">
          <w:rPr>
            <w:noProof/>
            <w:webHidden/>
          </w:rPr>
          <w:fldChar w:fldCharType="end"/>
        </w:r>
      </w:hyperlink>
    </w:p>
    <w:p w14:paraId="38792972" w14:textId="417AE05B" w:rsidR="002B76A7" w:rsidRPr="00B47C82" w:rsidRDefault="00432FAA" w:rsidP="003A5FEA">
      <w:r>
        <w:fldChar w:fldCharType="end"/>
      </w:r>
    </w:p>
    <w:p w14:paraId="1B37D12F" w14:textId="77777777" w:rsidR="0033448B" w:rsidRPr="00B47C82" w:rsidRDefault="0033448B" w:rsidP="0033448B">
      <w:pPr>
        <w:pStyle w:val="TOC1"/>
        <w:keepNext/>
      </w:pPr>
      <w:r w:rsidRPr="00B47C82">
        <w:t>List of Figures</w:t>
      </w:r>
    </w:p>
    <w:p w14:paraId="2A39CC84" w14:textId="0C6B1944"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8238250" w:history="1">
        <w:r w:rsidRPr="00813122">
          <w:rPr>
            <w:rStyle w:val="Hyperlink"/>
            <w:noProof/>
          </w:rPr>
          <w:t>Figure 1: Surveillance intervals based on findings at high-quality colonoscopy</w:t>
        </w:r>
        <w:r>
          <w:rPr>
            <w:noProof/>
            <w:webHidden/>
          </w:rPr>
          <w:tab/>
        </w:r>
        <w:r>
          <w:rPr>
            <w:noProof/>
            <w:webHidden/>
          </w:rPr>
          <w:fldChar w:fldCharType="begin"/>
        </w:r>
        <w:r>
          <w:rPr>
            <w:noProof/>
            <w:webHidden/>
          </w:rPr>
          <w:instrText xml:space="preserve"> PAGEREF _Toc58238250 \h </w:instrText>
        </w:r>
        <w:r>
          <w:rPr>
            <w:noProof/>
            <w:webHidden/>
          </w:rPr>
        </w:r>
        <w:r>
          <w:rPr>
            <w:noProof/>
            <w:webHidden/>
          </w:rPr>
          <w:fldChar w:fldCharType="separate"/>
        </w:r>
        <w:r w:rsidR="00B606DD">
          <w:rPr>
            <w:noProof/>
            <w:webHidden/>
          </w:rPr>
          <w:t>6</w:t>
        </w:r>
        <w:r>
          <w:rPr>
            <w:noProof/>
            <w:webHidden/>
          </w:rPr>
          <w:fldChar w:fldCharType="end"/>
        </w:r>
      </w:hyperlink>
    </w:p>
    <w:p w14:paraId="64963B64" w14:textId="0667BB40" w:rsidR="0033448B" w:rsidRPr="00B47C82" w:rsidRDefault="00432FAA" w:rsidP="0033448B">
      <w:r>
        <w:fldChar w:fldCharType="end"/>
      </w:r>
    </w:p>
    <w:p w14:paraId="7271508E" w14:textId="77777777" w:rsidR="00852C5D" w:rsidRPr="00B47C82" w:rsidRDefault="00852C5D" w:rsidP="003A5FEA"/>
    <w:p w14:paraId="002C40A4"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3CB87A2B" w14:textId="77777777" w:rsidR="008C2973" w:rsidRPr="00B47C82" w:rsidRDefault="00C45647" w:rsidP="00F54E74">
      <w:pPr>
        <w:pStyle w:val="Heading1"/>
      </w:pPr>
      <w:bookmarkStart w:id="2" w:name="_Toc58238229"/>
      <w:r>
        <w:lastRenderedPageBreak/>
        <w:t>Introduction</w:t>
      </w:r>
      <w:bookmarkEnd w:id="2"/>
    </w:p>
    <w:p w14:paraId="0C338C02" w14:textId="77777777" w:rsidR="00C45647" w:rsidRPr="000B3E9E" w:rsidRDefault="00C45647" w:rsidP="00F0254D">
      <w:r w:rsidRPr="000B3E9E">
        <w:t>Te Aho o Te Kahu</w:t>
      </w:r>
      <w:r>
        <w:t xml:space="preserve">, </w:t>
      </w:r>
      <w:r w:rsidRPr="000B3E9E">
        <w:t>the Cancer Control Agency</w:t>
      </w:r>
      <w:r>
        <w:t xml:space="preserve"> (TAoTK)</w:t>
      </w:r>
      <w:r w:rsidRPr="000B3E9E">
        <w:t xml:space="preserve"> in partnership with the National Screening Unit, Ministry of Health</w:t>
      </w:r>
      <w:r>
        <w:t xml:space="preserve"> (the Ministry)</w:t>
      </w:r>
      <w:r w:rsidRPr="000B3E9E">
        <w:t xml:space="preserve"> endorses this advice on surveillance colonoscopy for follow-up after removal of polyps. This advice sets out appropriate practice for clinicians to follow subject to their own judgement. It has been developed to help them make decisions in this area.</w:t>
      </w:r>
    </w:p>
    <w:p w14:paraId="308ED60F" w14:textId="77777777" w:rsidR="00F0254D" w:rsidRDefault="00F0254D" w:rsidP="00F0254D"/>
    <w:p w14:paraId="72B6D32A" w14:textId="77777777" w:rsidR="00C45647" w:rsidRPr="000B3E9E" w:rsidRDefault="00C45647" w:rsidP="00F0254D">
      <w:r w:rsidRPr="000B3E9E">
        <w:t>The advice was developed to align with recent publications from the United Kingdom, the United States, Australia and Europe</w:t>
      </w:r>
      <w:r w:rsidRPr="00D514C5">
        <w:t xml:space="preserve"> </w: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 </w:instrTex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EN.CITE.DATA </w:instrText>
      </w:r>
      <w:r>
        <w:fldChar w:fldCharType="end"/>
      </w:r>
      <w:r>
        <w:fldChar w:fldCharType="separate"/>
      </w:r>
      <w:r>
        <w:rPr>
          <w:noProof/>
        </w:rPr>
        <w:t>(</w:t>
      </w:r>
      <w:hyperlink w:anchor="_ENREF_1" w:tooltip="Cancer Council Australia Surveillance Colonoscopy Guidelines Working Party, 2019 #3" w:history="1">
        <w:r>
          <w:rPr>
            <w:noProof/>
          </w:rPr>
          <w:t>Cancer Council Australia Surveillance Colonoscopy Guidelines Working Party 2019</w:t>
        </w:r>
      </w:hyperlink>
      <w:r w:rsidR="00F0254D">
        <w:rPr>
          <w:noProof/>
        </w:rPr>
        <w:t>;</w:t>
      </w:r>
      <w:r>
        <w:rPr>
          <w:noProof/>
        </w:rPr>
        <w:t xml:space="preserve"> </w:t>
      </w:r>
      <w:hyperlink w:anchor="_ENREF_6" w:tooltip="Gupta, 2020 #2" w:history="1">
        <w:r>
          <w:rPr>
            <w:noProof/>
          </w:rPr>
          <w:t>Gupta, Lieberman et al 2020</w:t>
        </w:r>
      </w:hyperlink>
      <w:r w:rsidR="00F0254D">
        <w:rPr>
          <w:noProof/>
        </w:rPr>
        <w:t>;</w:t>
      </w:r>
      <w:r>
        <w:rPr>
          <w:noProof/>
        </w:rPr>
        <w:t xml:space="preserve"> </w:t>
      </w:r>
      <w:hyperlink w:anchor="_ENREF_7" w:tooltip="Hassan, 2020 #4" w:history="1">
        <w:r>
          <w:rPr>
            <w:noProof/>
          </w:rPr>
          <w:t>Hassan, Antonelli et al 2020</w:t>
        </w:r>
      </w:hyperlink>
      <w:r w:rsidR="00F0254D">
        <w:rPr>
          <w:noProof/>
        </w:rPr>
        <w:t>;</w:t>
      </w:r>
      <w:r>
        <w:rPr>
          <w:noProof/>
        </w:rPr>
        <w:t xml:space="preserve"> </w:t>
      </w:r>
      <w:hyperlink w:anchor="_ENREF_12" w:tooltip="Rutter, 2020 #1" w:history="1">
        <w:r>
          <w:rPr>
            <w:noProof/>
          </w:rPr>
          <w:t>Rutter, East et al 2020</w:t>
        </w:r>
      </w:hyperlink>
      <w:r>
        <w:rPr>
          <w:noProof/>
        </w:rPr>
        <w:t>)</w:t>
      </w:r>
      <w:r>
        <w:fldChar w:fldCharType="end"/>
      </w:r>
      <w:r w:rsidRPr="000B3E9E">
        <w:t>.</w:t>
      </w:r>
      <w:r w:rsidR="00F0254D">
        <w:t xml:space="preserve"> </w:t>
      </w:r>
      <w:r w:rsidRPr="000B3E9E">
        <w:t>These publications, based on updated available evidence up to June 2019, indicated that previous guidelines would now recommend over surveillance for some groups.</w:t>
      </w:r>
    </w:p>
    <w:p w14:paraId="6ACFEAAA" w14:textId="77777777" w:rsidR="00F0254D" w:rsidRDefault="00F0254D" w:rsidP="00F0254D"/>
    <w:p w14:paraId="456A7810" w14:textId="77777777" w:rsidR="00C45647" w:rsidRPr="000B3E9E" w:rsidRDefault="00C45647" w:rsidP="00F0254D">
      <w:r w:rsidRPr="000B3E9E">
        <w:t>A technical advisory group with the required expertise was established and has undertaken a systematic review of recent literature. Members of the group included a range of clinicians and some members of the National Bowel Cancer Working Group (NBCWG). Their role was to review the evidence and consider implementation of a similar polyp follow-up approach in New Zealand.</w:t>
      </w:r>
    </w:p>
    <w:p w14:paraId="208CE4D7" w14:textId="77777777" w:rsidR="00F0254D" w:rsidRDefault="00F0254D" w:rsidP="00F0254D"/>
    <w:p w14:paraId="5833DC94" w14:textId="77777777" w:rsidR="00C45647" w:rsidRDefault="00C45647" w:rsidP="00F0254D">
      <w:r w:rsidRPr="000B3E9E">
        <w:t>The New Zealand specialists in the technical advisory group are routinely involved in the diagnosis, management and surveillance of patients identified to have bowel polyps.</w:t>
      </w:r>
    </w:p>
    <w:p w14:paraId="58A1F6C0" w14:textId="77777777" w:rsidR="00F0254D" w:rsidRDefault="00F0254D" w:rsidP="00F0254D"/>
    <w:p w14:paraId="58840D8C" w14:textId="77777777" w:rsidR="00C45647" w:rsidRDefault="00C45647" w:rsidP="00F0254D">
      <w:r w:rsidRPr="000B3E9E">
        <w:t>Acknowledgements go to:</w:t>
      </w:r>
    </w:p>
    <w:p w14:paraId="5D089FFB" w14:textId="77777777" w:rsidR="00C45647" w:rsidRDefault="00C45647" w:rsidP="00F0254D">
      <w:pPr>
        <w:pStyle w:val="Bullet"/>
      </w:pPr>
      <w:r>
        <w:t>Ian Bissett, Chair of NBCWG, Colorectal surgeon, Department of Surgery, University of Auckland</w:t>
      </w:r>
    </w:p>
    <w:p w14:paraId="2EEE3E25" w14:textId="77777777" w:rsidR="00C45647" w:rsidRDefault="00C45647" w:rsidP="00F0254D">
      <w:pPr>
        <w:pStyle w:val="Bullet"/>
      </w:pPr>
      <w:r>
        <w:t>Susan Parry, Gastroenterologist, Clinical Lead of National Bowel Screening Programme, Ministry of Health</w:t>
      </w:r>
    </w:p>
    <w:p w14:paraId="04D2E2BE" w14:textId="77777777" w:rsidR="00C45647" w:rsidRDefault="00C45647" w:rsidP="00F0254D">
      <w:pPr>
        <w:pStyle w:val="Bullet"/>
      </w:pPr>
      <w:r>
        <w:t>Campbell White, Physician, Taranaki Base Hospital</w:t>
      </w:r>
    </w:p>
    <w:p w14:paraId="29514993" w14:textId="77777777" w:rsidR="00C45647" w:rsidRDefault="00C45647" w:rsidP="00F0254D">
      <w:pPr>
        <w:pStyle w:val="Bullet"/>
      </w:pPr>
      <w:r>
        <w:t>Chris Hemmings, Pathologist, Clinical Director of Anatomic Pathology, Canterbury Health Laboratories; University of Otago</w:t>
      </w:r>
    </w:p>
    <w:p w14:paraId="2E8048DF" w14:textId="77777777" w:rsidR="00C45647" w:rsidRDefault="00C45647" w:rsidP="00F0254D">
      <w:pPr>
        <w:pStyle w:val="Bullet"/>
      </w:pPr>
      <w:r>
        <w:t>David Vernon, General surgeon, Lakes District Health Board (DHB)</w:t>
      </w:r>
    </w:p>
    <w:p w14:paraId="0A785CE5" w14:textId="77777777" w:rsidR="00C45647" w:rsidRDefault="00C45647" w:rsidP="00F0254D">
      <w:pPr>
        <w:pStyle w:val="Bullet"/>
      </w:pPr>
      <w:r>
        <w:t>Marianne Lill, General surgeon, Whanganui DHB</w:t>
      </w:r>
    </w:p>
    <w:p w14:paraId="4690746A" w14:textId="77777777" w:rsidR="00C45647" w:rsidRDefault="00C45647" w:rsidP="00F0254D">
      <w:pPr>
        <w:pStyle w:val="Bullet"/>
      </w:pPr>
      <w:r>
        <w:t>Masato Yozu, Pathologist, Counties Manukau DHB</w:t>
      </w:r>
    </w:p>
    <w:p w14:paraId="2ECEDB54" w14:textId="77777777" w:rsidR="00C45647" w:rsidRDefault="00C45647" w:rsidP="00F0254D">
      <w:pPr>
        <w:pStyle w:val="Bullet"/>
      </w:pPr>
      <w:r>
        <w:t>Russell Walmsley, Gastroenterologist, Waitematā DHB, University of Auckland</w:t>
      </w:r>
    </w:p>
    <w:p w14:paraId="50C0F0AB" w14:textId="77777777" w:rsidR="00C45647" w:rsidRDefault="00C45647" w:rsidP="00F0254D">
      <w:pPr>
        <w:pStyle w:val="Bullet"/>
      </w:pPr>
      <w:r>
        <w:t>Siraj Rajaratnam, Colorectal surgeon, Waitematā DHB</w:t>
      </w:r>
    </w:p>
    <w:p w14:paraId="14DDB115" w14:textId="77777777" w:rsidR="00C45647" w:rsidRDefault="00C45647" w:rsidP="00F0254D">
      <w:pPr>
        <w:pStyle w:val="Bullet"/>
      </w:pPr>
      <w:r>
        <w:t>Teresa Chalmers-Watson, Gastroenterologist, Canterbury DHB, University of Otago.</w:t>
      </w:r>
    </w:p>
    <w:p w14:paraId="17DF27C1" w14:textId="77777777" w:rsidR="00F0254D" w:rsidRDefault="00F0254D" w:rsidP="00F0254D"/>
    <w:p w14:paraId="6704E8A2" w14:textId="77777777" w:rsidR="00C45647" w:rsidRDefault="00C45647" w:rsidP="00F0254D">
      <w:r>
        <w:t xml:space="preserve">For New Zealand’s previous </w:t>
      </w:r>
      <w:r w:rsidRPr="008F67BB">
        <w:rPr>
          <w:i/>
        </w:rPr>
        <w:t>Guidance on Surveillance for People at Increased Risk of Colorectal Cancer</w:t>
      </w:r>
      <w:r>
        <w:t xml:space="preserve">, published in February 2012, go to </w:t>
      </w:r>
      <w:hyperlink r:id="rId23" w:history="1">
        <w:r w:rsidRPr="00DC3225">
          <w:rPr>
            <w:rStyle w:val="Hyperlink"/>
          </w:rPr>
          <w:t>www.health.govt.nz/publications</w:t>
        </w:r>
      </w:hyperlink>
      <w:r w:rsidR="00F0254D">
        <w:t>.</w:t>
      </w:r>
    </w:p>
    <w:p w14:paraId="425D80AB" w14:textId="77777777" w:rsidR="00F0254D" w:rsidRDefault="00F0254D" w:rsidP="00F0254D"/>
    <w:p w14:paraId="181DF697" w14:textId="77777777" w:rsidR="00C45647" w:rsidRDefault="00C45647" w:rsidP="00F0254D">
      <w:pPr>
        <w:keepLines/>
      </w:pPr>
      <w:r>
        <w:t>Ensuring an equity focus is a priority for TAoTK and the Ministry. Evidence indicates that Māori are less likely to have access to early diagnosis for some cancers, including colorectal cancers, than non-Māori. Breaking down barriers for Māori to access surveillance colonoscopy will allow a greater proportion of cancers to be detected early and managed well, leading to more curative treatment and subsequent improvements in survival for Māori patients.</w:t>
      </w:r>
    </w:p>
    <w:p w14:paraId="5089C9DC" w14:textId="77777777" w:rsidR="00C45647" w:rsidRDefault="00C45647" w:rsidP="00F0254D"/>
    <w:p w14:paraId="5111CFF1" w14:textId="77777777" w:rsidR="00C45647" w:rsidRDefault="00C45647" w:rsidP="00F0254D">
      <w:r w:rsidRPr="005B0B4A">
        <w:rPr>
          <w:b/>
        </w:rPr>
        <w:lastRenderedPageBreak/>
        <w:t>Note:</w:t>
      </w:r>
      <w:r>
        <w:t xml:space="preserve"> This document is updating only the polyp surveillance section of the previous guidelines. An update on other aspects will also be developed. New Zealand colonoscopy capacity is constrained, and we anticipate that these guidelines will reduce demand.</w:t>
      </w:r>
    </w:p>
    <w:p w14:paraId="33633448" w14:textId="77777777" w:rsidR="00C45647" w:rsidRDefault="00C45647" w:rsidP="00F0254D"/>
    <w:p w14:paraId="7FD97EED" w14:textId="77777777" w:rsidR="00C45647" w:rsidRDefault="00C45647" w:rsidP="00C45647">
      <w:r>
        <w:t>Professor Diana Sarfati</w:t>
      </w:r>
    </w:p>
    <w:p w14:paraId="55E742F5" w14:textId="77777777" w:rsidR="00C45647" w:rsidRDefault="00C45647" w:rsidP="00C45647">
      <w:r>
        <w:t>Chief Executive</w:t>
      </w:r>
    </w:p>
    <w:p w14:paraId="24008A65" w14:textId="601AAA3E" w:rsidR="00C45647" w:rsidRDefault="00C45647" w:rsidP="00F0254D">
      <w:pPr>
        <w:tabs>
          <w:tab w:val="left" w:pos="4253"/>
          <w:tab w:val="right" w:leader="underscore" w:pos="8079"/>
        </w:tabs>
      </w:pPr>
      <w:r>
        <w:t>Te Aho o Te Kahu</w:t>
      </w:r>
    </w:p>
    <w:p w14:paraId="43CA12EB" w14:textId="77777777" w:rsidR="00F0254D" w:rsidRDefault="00F0254D" w:rsidP="00F0254D"/>
    <w:p w14:paraId="3A448D20" w14:textId="77777777" w:rsidR="00C45647" w:rsidRDefault="00C45647" w:rsidP="00F0254D">
      <w:r>
        <w:t>Professor Ian Bissett</w:t>
      </w:r>
    </w:p>
    <w:p w14:paraId="72E6D099" w14:textId="77777777" w:rsidR="00C45647" w:rsidRDefault="00C45647" w:rsidP="00C45647">
      <w:r>
        <w:t>Chair</w:t>
      </w:r>
    </w:p>
    <w:p w14:paraId="1BDD84D5" w14:textId="5D4FE44A" w:rsidR="00C45647" w:rsidRDefault="00C45647" w:rsidP="00F0254D">
      <w:pPr>
        <w:tabs>
          <w:tab w:val="left" w:pos="4253"/>
          <w:tab w:val="right" w:leader="underscore" w:pos="8079"/>
        </w:tabs>
      </w:pPr>
      <w:r>
        <w:t>National Bowel Cancer Working Group</w:t>
      </w:r>
    </w:p>
    <w:p w14:paraId="1C3D8D9D" w14:textId="77777777" w:rsidR="00C45647" w:rsidRDefault="00C45647" w:rsidP="00C45647"/>
    <w:p w14:paraId="006E764A" w14:textId="77777777" w:rsidR="00C45647" w:rsidRDefault="00C45647" w:rsidP="00C45647">
      <w:r>
        <w:t>Dr Susan Parry</w:t>
      </w:r>
    </w:p>
    <w:p w14:paraId="28BC957A" w14:textId="77777777" w:rsidR="00C45647" w:rsidRDefault="00C45647" w:rsidP="00C45647">
      <w:r>
        <w:t>Clinical Lead</w:t>
      </w:r>
    </w:p>
    <w:p w14:paraId="65BF43AF" w14:textId="0F3296AB" w:rsidR="00C45647" w:rsidRDefault="00C45647" w:rsidP="00F0254D">
      <w:pPr>
        <w:tabs>
          <w:tab w:val="left" w:pos="4253"/>
          <w:tab w:val="right" w:leader="underscore" w:pos="8079"/>
        </w:tabs>
      </w:pPr>
      <w:r>
        <w:t>National Bowel Cancer Screening Programme</w:t>
      </w:r>
    </w:p>
    <w:p w14:paraId="75947829" w14:textId="77777777" w:rsidR="00F0254D" w:rsidRDefault="00F0254D" w:rsidP="00F0254D"/>
    <w:p w14:paraId="5BD2AE7C" w14:textId="77777777" w:rsidR="00C45647" w:rsidRPr="003F617D" w:rsidRDefault="00C45647" w:rsidP="007A119E">
      <w:pPr>
        <w:pStyle w:val="Heading1"/>
      </w:pPr>
      <w:bookmarkStart w:id="3" w:name="_Toc57902164"/>
      <w:bookmarkStart w:id="4" w:name="_Toc58238230"/>
      <w:r>
        <w:lastRenderedPageBreak/>
        <w:t>Purpose of this advice</w:t>
      </w:r>
      <w:bookmarkEnd w:id="3"/>
      <w:bookmarkEnd w:id="4"/>
    </w:p>
    <w:p w14:paraId="3C7CB2F9" w14:textId="77777777" w:rsidR="00C45647" w:rsidRDefault="00C45647" w:rsidP="007A119E">
      <w:r>
        <w:t xml:space="preserve">The main purpose of this document is to provide recommendations for surveillance after colonoscopy and complete removal of adenomas and serrated polyps. The recommendations are the same for initial and subsequent procedures and may, if </w:t>
      </w:r>
      <w:r w:rsidRPr="00E70777">
        <w:rPr>
          <w:b/>
        </w:rPr>
        <w:t>appropriate</w:t>
      </w:r>
      <w:r>
        <w:t>, be applied to colonoscopy procedures that have been completed before we released this guidance.</w:t>
      </w:r>
    </w:p>
    <w:p w14:paraId="16EAD1D4" w14:textId="77777777" w:rsidR="007A119E" w:rsidRDefault="007A119E" w:rsidP="007A119E"/>
    <w:p w14:paraId="49805D8C" w14:textId="77777777" w:rsidR="00C45647" w:rsidRDefault="00C45647" w:rsidP="007A119E">
      <w:r>
        <w:t>Patients outside the scope of this advice are those with hereditary colorectal cancer syndromes (for example, Lynch syndrome or Familial Adenomatous Polyposis), inflammatory bowel disease, personal history of colorectal cancer, and family history that warrants investigation for hereditary colorectal cancer syndromes</w:t>
      </w:r>
      <w:r w:rsidRPr="000E4485">
        <w:t xml:space="preserve"> </w:t>
      </w:r>
      <w:r>
        <w:fldChar w:fldCharType="begin"/>
      </w:r>
      <w:r>
        <w:instrText xml:space="preserve"> ADDIN EN.CITE &lt;EndNote&gt;&lt;Cite&gt;&lt;Author&gt;Ministry of Health&lt;/Author&gt;&lt;Year&gt;2012&lt;/Year&gt;&lt;RecNum&gt;5&lt;/RecNum&gt;&lt;DisplayText&gt;(Ministry of Health 2012)&lt;/DisplayText&gt;&lt;record&gt;&lt;rec-number&gt;5&lt;/rec-number&gt;&lt;foreign-keys&gt;&lt;key app="EN" db-id="rz02vvx9eafpazev0tiptsz8evx0fwt2pp0t"&gt;5&lt;/key&gt;&lt;/foreign-keys&gt;&lt;ref-type name="Web Page"&gt;12&lt;/ref-type&gt;&lt;contributors&gt;&lt;authors&gt;&lt;author&gt;Ministry of Health,&lt;/author&gt;&lt;/authors&gt;&lt;/contributors&gt;&lt;titles&gt;&lt;title&gt;Guidance on Surveillance for People at Increased Risk of Colorectal Cancer&lt;/title&gt;&lt;/titles&gt;&lt;number&gt;13 August 2020&lt;/number&gt;&lt;dates&gt;&lt;year&gt;2012&lt;/year&gt;&lt;/dates&gt;&lt;pub-location&gt;Wellington&lt;/pub-location&gt;&lt;publisher&gt;Ministry of Health&lt;/publisher&gt;&lt;urls&gt;&lt;related-urls&gt;&lt;url&gt;https://www.health.govt.nz/system/files/documents/publications/colorectal-cancer-surveillance-guidance.pdf&lt;/url&gt;&lt;/related-urls&gt;&lt;/urls&gt;&lt;/record&gt;&lt;/Cite&gt;&lt;/EndNote&gt;</w:instrText>
      </w:r>
      <w:r>
        <w:fldChar w:fldCharType="separate"/>
      </w:r>
      <w:r>
        <w:rPr>
          <w:noProof/>
        </w:rPr>
        <w:t>(</w:t>
      </w:r>
      <w:hyperlink w:anchor="_ENREF_10" w:tooltip="Ministry of Health, 2012 #5" w:history="1">
        <w:r>
          <w:rPr>
            <w:noProof/>
          </w:rPr>
          <w:t>Ministry of Health 2012</w:t>
        </w:r>
      </w:hyperlink>
      <w:r>
        <w:rPr>
          <w:noProof/>
        </w:rPr>
        <w:t>)</w:t>
      </w:r>
      <w:r>
        <w:fldChar w:fldCharType="end"/>
      </w:r>
      <w:r w:rsidR="007A119E">
        <w:t>.</w:t>
      </w:r>
    </w:p>
    <w:p w14:paraId="5C91B227" w14:textId="77777777" w:rsidR="007A119E" w:rsidRDefault="007A119E" w:rsidP="007A119E"/>
    <w:p w14:paraId="5C6C6A64" w14:textId="77777777" w:rsidR="00C45647" w:rsidRPr="003F617D" w:rsidRDefault="00C45647" w:rsidP="00FA4448">
      <w:pPr>
        <w:pStyle w:val="Heading1"/>
        <w:pageBreakBefore w:val="0"/>
        <w:spacing w:before="1440"/>
      </w:pPr>
      <w:bookmarkStart w:id="5" w:name="_Toc57902165"/>
      <w:bookmarkStart w:id="6" w:name="_Toc58238231"/>
      <w:r>
        <w:t>Audience for these guidelines</w:t>
      </w:r>
      <w:bookmarkEnd w:id="5"/>
      <w:bookmarkEnd w:id="6"/>
    </w:p>
    <w:p w14:paraId="463A7191" w14:textId="77777777" w:rsidR="00C45647" w:rsidRDefault="00C45647" w:rsidP="007A119E">
      <w:r w:rsidRPr="007C7C43">
        <w:t xml:space="preserve">This advice is </w:t>
      </w:r>
      <w:r>
        <w:t>relevant to</w:t>
      </w:r>
      <w:r w:rsidRPr="007C7C43">
        <w:t xml:space="preserve"> clinicians providing colorectal polyp surveillance. All </w:t>
      </w:r>
      <w:r>
        <w:t xml:space="preserve">district health boards, </w:t>
      </w:r>
      <w:proofErr w:type="gramStart"/>
      <w:r>
        <w:t>whether or not</w:t>
      </w:r>
      <w:proofErr w:type="gramEnd"/>
      <w:r>
        <w:t xml:space="preserve"> they have begun to participate in the</w:t>
      </w:r>
      <w:r w:rsidRPr="007C7C43">
        <w:t xml:space="preserve"> National Bowel Screening Programme</w:t>
      </w:r>
      <w:r>
        <w:t xml:space="preserve">, </w:t>
      </w:r>
      <w:r w:rsidRPr="007C7C43">
        <w:t>are expected to offer colonoscopic polyp surveillance in line with this advice.</w:t>
      </w:r>
    </w:p>
    <w:p w14:paraId="4B23AF73" w14:textId="77777777" w:rsidR="007A119E" w:rsidRDefault="007A119E" w:rsidP="007A119E"/>
    <w:p w14:paraId="330EBE92" w14:textId="77777777" w:rsidR="00C45647" w:rsidRDefault="00C45647" w:rsidP="007A119E">
      <w:pPr>
        <w:pStyle w:val="Heading1"/>
      </w:pPr>
      <w:bookmarkStart w:id="7" w:name="_Toc57902166"/>
      <w:bookmarkStart w:id="8" w:name="_Toc58238232"/>
      <w:r>
        <w:lastRenderedPageBreak/>
        <w:t>Associated documents</w:t>
      </w:r>
      <w:bookmarkEnd w:id="7"/>
      <w:bookmarkEnd w:id="8"/>
    </w:p>
    <w:p w14:paraId="57B1C12D" w14:textId="77777777" w:rsidR="00C45647" w:rsidRDefault="00C45647" w:rsidP="007A119E">
      <w:pPr>
        <w:pStyle w:val="Table"/>
      </w:pPr>
      <w:bookmarkStart w:id="9" w:name="_Toc58238246"/>
      <w:r>
        <w:t>Table 1: Associated documents</w:t>
      </w:r>
      <w:bookmarkEnd w:id="9"/>
    </w:p>
    <w:tbl>
      <w:tblPr>
        <w:tblStyle w:val="TableGrid"/>
        <w:tblW w:w="8080" w:type="dxa"/>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33A5E" w14:paraId="71C3C218" w14:textId="77777777" w:rsidTr="00C33A5E">
        <w:trPr>
          <w:cantSplit/>
        </w:trPr>
        <w:tc>
          <w:tcPr>
            <w:tcW w:w="8080" w:type="dxa"/>
            <w:tcBorders>
              <w:top w:val="single" w:sz="4" w:space="0" w:color="C2D9BA"/>
              <w:bottom w:val="single" w:sz="4" w:space="0" w:color="C2D9BA"/>
            </w:tcBorders>
          </w:tcPr>
          <w:p w14:paraId="594CC8E4" w14:textId="77777777" w:rsidR="00C33A5E" w:rsidRPr="006F4D0D" w:rsidRDefault="00C33A5E" w:rsidP="00791F2E">
            <w:pPr>
              <w:pStyle w:val="TableText"/>
              <w:rPr>
                <w:rFonts w:eastAsiaTheme="minorHAnsi"/>
                <w:lang w:eastAsia="en-US"/>
              </w:rPr>
            </w:pPr>
            <w:r w:rsidRPr="006F4D0D">
              <w:rPr>
                <w:rFonts w:eastAsiaTheme="minorHAnsi"/>
                <w:lang w:eastAsia="en-US"/>
              </w:rPr>
              <w:t>Ministry of Health</w:t>
            </w:r>
            <w:r>
              <w:rPr>
                <w:rFonts w:eastAsiaTheme="minorHAnsi"/>
                <w:lang w:eastAsia="en-US"/>
              </w:rPr>
              <w:t>.</w:t>
            </w:r>
            <w:r w:rsidRPr="006F4D0D">
              <w:rPr>
                <w:rFonts w:eastAsiaTheme="minorHAnsi"/>
                <w:lang w:eastAsia="en-US"/>
              </w:rPr>
              <w:t xml:space="preserve"> 2012. </w:t>
            </w:r>
            <w:r w:rsidRPr="00791F2E">
              <w:rPr>
                <w:rFonts w:eastAsiaTheme="minorHAnsi"/>
                <w:i/>
                <w:lang w:eastAsia="en-US"/>
              </w:rPr>
              <w:t>Guidance on Surveillance for People at Increased Risk of Colorectal Cancer</w:t>
            </w:r>
            <w:r w:rsidRPr="006F4D0D">
              <w:rPr>
                <w:rFonts w:eastAsiaTheme="minorHAnsi"/>
                <w:lang w:eastAsia="en-US"/>
              </w:rPr>
              <w:t xml:space="preserve">. Retrieved 13 August 2020, from </w:t>
            </w:r>
            <w:hyperlink r:id="rId24" w:history="1">
              <w:r w:rsidRPr="00791F2E">
                <w:rPr>
                  <w:rStyle w:val="Hyperlink"/>
                  <w:rFonts w:eastAsiaTheme="minorHAnsi"/>
                  <w:lang w:eastAsia="en-US"/>
                </w:rPr>
                <w:t>https://www.health.govt.nz/system/files/documents/publications/colorectal-cancer-surveillance-guidance.pdf</w:t>
              </w:r>
            </w:hyperlink>
          </w:p>
        </w:tc>
      </w:tr>
      <w:tr w:rsidR="00C33A5E" w14:paraId="7C30AADD" w14:textId="77777777" w:rsidTr="00C33A5E">
        <w:trPr>
          <w:cantSplit/>
        </w:trPr>
        <w:tc>
          <w:tcPr>
            <w:tcW w:w="8080" w:type="dxa"/>
            <w:tcBorders>
              <w:top w:val="single" w:sz="4" w:space="0" w:color="C2D9BA"/>
              <w:bottom w:val="single" w:sz="4" w:space="0" w:color="C2D9BA"/>
            </w:tcBorders>
          </w:tcPr>
          <w:p w14:paraId="7DFA08CD"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Rutter MD, et al. 2020. British Society of Gastroenterology/Association of Coloproctology of Great Britain and Ireland/Public Health England post-polypectomy and post-colorectal cancer resection surveillance guidelines. </w:t>
            </w:r>
            <w:r w:rsidRPr="00791F2E">
              <w:rPr>
                <w:rFonts w:eastAsiaTheme="minorHAnsi"/>
                <w:i/>
                <w:lang w:eastAsia="en-US"/>
              </w:rPr>
              <w:t>Gut</w:t>
            </w:r>
            <w:r w:rsidRPr="006F4D0D">
              <w:rPr>
                <w:rFonts w:eastAsiaTheme="minorHAnsi"/>
                <w:lang w:eastAsia="en-US"/>
              </w:rPr>
              <w:t xml:space="preserve"> 69(2): 201</w:t>
            </w:r>
            <w:r>
              <w:rPr>
                <w:rFonts w:eastAsiaTheme="minorHAnsi"/>
                <w:lang w:eastAsia="en-US"/>
              </w:rPr>
              <w:t>–</w:t>
            </w:r>
            <w:r w:rsidRPr="006F4D0D">
              <w:rPr>
                <w:rFonts w:eastAsiaTheme="minorHAnsi"/>
                <w:lang w:eastAsia="en-US"/>
              </w:rPr>
              <w:t>23.</w:t>
            </w:r>
          </w:p>
        </w:tc>
      </w:tr>
      <w:tr w:rsidR="00C33A5E" w14:paraId="16208EC9" w14:textId="77777777" w:rsidTr="00C33A5E">
        <w:trPr>
          <w:cantSplit/>
        </w:trPr>
        <w:tc>
          <w:tcPr>
            <w:tcW w:w="8080" w:type="dxa"/>
            <w:tcBorders>
              <w:top w:val="single" w:sz="4" w:space="0" w:color="C2D9BA"/>
              <w:bottom w:val="single" w:sz="4" w:space="0" w:color="C2D9BA"/>
            </w:tcBorders>
          </w:tcPr>
          <w:p w14:paraId="7217CD01"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Gupta S, et al. 2020. Recommendations for follow-up after colonoscopy and polypectomy: a consensus update by the US Multi-Society Task Force on Colorectal Cancer. </w:t>
            </w:r>
            <w:r w:rsidRPr="00791F2E">
              <w:rPr>
                <w:rFonts w:eastAsiaTheme="minorHAnsi"/>
                <w:i/>
                <w:lang w:eastAsia="en-US"/>
              </w:rPr>
              <w:t xml:space="preserve">Gastrointestinal </w:t>
            </w:r>
            <w:r>
              <w:rPr>
                <w:rFonts w:eastAsiaTheme="minorHAnsi"/>
                <w:i/>
                <w:lang w:eastAsia="en-US"/>
              </w:rPr>
              <w:t>E</w:t>
            </w:r>
            <w:r w:rsidRPr="00791F2E">
              <w:rPr>
                <w:rFonts w:eastAsiaTheme="minorHAnsi"/>
                <w:i/>
                <w:lang w:eastAsia="en-US"/>
              </w:rPr>
              <w:t>ndoscopy</w:t>
            </w:r>
            <w:r w:rsidRPr="006F4D0D">
              <w:rPr>
                <w:rFonts w:eastAsiaTheme="minorHAnsi"/>
                <w:lang w:eastAsia="en-US"/>
              </w:rPr>
              <w:t xml:space="preserve"> 91(3): 463</w:t>
            </w:r>
            <w:r>
              <w:rPr>
                <w:rFonts w:eastAsiaTheme="minorHAnsi"/>
                <w:lang w:eastAsia="en-US"/>
              </w:rPr>
              <w:t>–</w:t>
            </w:r>
            <w:r w:rsidRPr="006F4D0D">
              <w:rPr>
                <w:rFonts w:eastAsiaTheme="minorHAnsi"/>
                <w:lang w:eastAsia="en-US"/>
              </w:rPr>
              <w:t>85. e465.</w:t>
            </w:r>
          </w:p>
        </w:tc>
      </w:tr>
    </w:tbl>
    <w:p w14:paraId="7A126C63" w14:textId="77777777" w:rsidR="007A119E" w:rsidRDefault="007A119E" w:rsidP="00C33A5E"/>
    <w:p w14:paraId="2FD51B16" w14:textId="77777777" w:rsidR="00C45647" w:rsidRPr="003F617D" w:rsidRDefault="00C45647" w:rsidP="00FA4448">
      <w:pPr>
        <w:pStyle w:val="Heading1"/>
        <w:pageBreakBefore w:val="0"/>
        <w:spacing w:before="1440"/>
      </w:pPr>
      <w:bookmarkStart w:id="10" w:name="_Toc57902167"/>
      <w:bookmarkStart w:id="11" w:name="_Toc58238233"/>
      <w:r>
        <w:t>Equity</w:t>
      </w:r>
      <w:bookmarkEnd w:id="10"/>
      <w:bookmarkEnd w:id="11"/>
    </w:p>
    <w:p w14:paraId="1D7CDE0E" w14:textId="77777777" w:rsidR="00C45647" w:rsidRDefault="00C45647" w:rsidP="00C1741B">
      <w:pPr>
        <w:rPr>
          <w:bCs/>
        </w:rPr>
      </w:pPr>
      <w:r>
        <w:t>Survival outcomes for colorectal cancer are significantly poorer for Māori than for non-Māori</w:t>
      </w:r>
      <w:r w:rsidRPr="00DB429D">
        <w:t xml:space="preserve">. Comorbidity and </w:t>
      </w:r>
      <w:r>
        <w:t xml:space="preserve">difficulties with </w:t>
      </w:r>
      <w:r w:rsidRPr="00DB429D">
        <w:t>access</w:t>
      </w:r>
      <w:r>
        <w:t>ing</w:t>
      </w:r>
      <w:r w:rsidRPr="00DB429D">
        <w:t xml:space="preserve"> health services for colon cancer account for </w:t>
      </w:r>
      <w:r>
        <w:t>about</w:t>
      </w:r>
      <w:r w:rsidRPr="00DB429D">
        <w:t xml:space="preserve"> 30</w:t>
      </w:r>
      <w:r>
        <w:t xml:space="preserve"> percent</w:t>
      </w:r>
      <w:r w:rsidRPr="00DB429D">
        <w:t xml:space="preserve"> of excess mortality among Māori</w:t>
      </w:r>
      <w:r w:rsidRPr="003E4302">
        <w:t xml:space="preserve"> </w:t>
      </w:r>
      <w:r>
        <w:fldChar w:fldCharType="begin"/>
      </w:r>
      <w:r>
        <w:instrText xml:space="preserve"> ADDIN EN.CITE &lt;EndNote&gt;&lt;Cite&gt;&lt;Author&gt;Hill&lt;/Author&gt;&lt;Year&gt;2010&lt;/Year&gt;&lt;RecNum&gt;6&lt;/RecNum&gt;&lt;DisplayText&gt;(Hill, Sarfati et al. 2010)&lt;/DisplayText&gt;&lt;record&gt;&lt;rec-number&gt;6&lt;/rec-number&gt;&lt;foreign-keys&gt;&lt;key app="EN" db-id="rz02vvx9eafpazev0tiptsz8evx0fwt2pp0t"&gt;6&lt;/key&gt;&lt;/foreign-keys&gt;&lt;ref-type name="Journal Article"&gt;17&lt;/ref-type&gt;&lt;contributors&gt;&lt;authors&gt;&lt;author&gt;Hill, Sarah&lt;/author&gt;&lt;author&gt;Sarfati, Diana&lt;/author&gt;&lt;author&gt;Blakely, Tony&lt;/author&gt;&lt;author&gt;Robson, Bridget&lt;/author&gt;&lt;author&gt;Purdie, Gordon&lt;/author&gt;&lt;author&gt;Chen, Jarvis&lt;/author&gt;&lt;author&gt;Dennett, Elizabeth&lt;/author&gt;&lt;author&gt;Cormack, Donna&lt;/author&gt;&lt;author&gt;Cunningham, Ruth&lt;/author&gt;&lt;author&gt;Dew, Kevin&lt;/author&gt;&lt;/authors&gt;&lt;/contributors&gt;&lt;titles&gt;&lt;title&gt;Survival disparities in Indigenous and non-Indigenous New Zealanders with colon cancer: the role of patient comorbidity, treatment and health service factors&lt;/title&gt;&lt;secondary-title&gt;Journal of Epidemiology &amp;amp; Community Health&lt;/secondary-title&gt;&lt;/titles&gt;&lt;periodical&gt;&lt;full-title&gt;Journal of Epidemiology &amp;amp; Community Health&lt;/full-title&gt;&lt;/periodical&gt;&lt;pages&gt;117-123&lt;/pages&gt;&lt;volume&gt;64&lt;/volume&gt;&lt;number&gt;2&lt;/number&gt;&lt;dates&gt;&lt;year&gt;2010&lt;/year&gt;&lt;/dates&gt;&lt;isbn&gt;0143-005X&lt;/isbn&gt;&lt;urls&gt;&lt;/urls&gt;&lt;/record&gt;&lt;/Cite&gt;&lt;/EndNote&gt;</w:instrText>
      </w:r>
      <w:r>
        <w:fldChar w:fldCharType="separate"/>
      </w:r>
      <w:r>
        <w:rPr>
          <w:noProof/>
        </w:rPr>
        <w:t>(</w:t>
      </w:r>
      <w:hyperlink w:anchor="_ENREF_9" w:tooltip="Hill, 2010 #6" w:history="1">
        <w:r>
          <w:rPr>
            <w:noProof/>
          </w:rPr>
          <w:t>Hill, Sarfati</w:t>
        </w:r>
        <w:r w:rsidR="00C1741B">
          <w:rPr>
            <w:noProof/>
          </w:rPr>
          <w:t>,</w:t>
        </w:r>
        <w:r>
          <w:rPr>
            <w:noProof/>
          </w:rPr>
          <w:t xml:space="preserve"> et al 2010</w:t>
        </w:r>
      </w:hyperlink>
      <w:r>
        <w:rPr>
          <w:noProof/>
        </w:rPr>
        <w:t>)</w:t>
      </w:r>
      <w:r>
        <w:fldChar w:fldCharType="end"/>
      </w:r>
      <w:r>
        <w:t>. Māori and Pacific peoples are also more likely to be diagnosed with advanced</w:t>
      </w:r>
      <w:r w:rsidR="00C33A5E">
        <w:t xml:space="preserve"> </w:t>
      </w:r>
      <w:r>
        <w:t>disease at diagnosis of colorectal cancer and, significantly, are more likely to be diagnosed after they present at an emergency department, which may reflect poorer access to primary and secondary services</w:t>
      </w:r>
      <w:r w:rsidRPr="0012669B">
        <w:t xml:space="preserve"> </w:t>
      </w:r>
      <w:r>
        <w:fldChar w:fldCharType="begin"/>
      </w:r>
      <w:r>
        <w:instrText xml:space="preserve"> ADDIN EN.CITE &lt;EndNote&gt;&lt;Cite&gt;&lt;Author&gt;Zealand&lt;/Author&gt;&lt;Year&gt;2017&lt;/Year&gt;&lt;RecNum&gt;7&lt;/RecNum&gt;&lt;DisplayText&gt;(Health Quality &amp;amp; Safety Commission New Zealand 2017)&lt;/DisplayText&gt;&lt;record&gt;&lt;rec-number&gt;7&lt;/rec-number&gt;&lt;foreign-keys&gt;&lt;key app="EN" db-id="rz02vvx9eafpazev0tiptsz8evx0fwt2pp0t"&gt;7&lt;/key&gt;&lt;/foreign-keys&gt;&lt;ref-type name="Web Page"&gt;12&lt;/ref-type&gt;&lt;contributors&gt;&lt;authors&gt;&lt;author&gt;Health Quality &amp;amp; Safety Commission New Zealand,&lt;/author&gt;&lt;/authors&gt;&lt;/contributors&gt;&lt;titles&gt;&lt;title&gt;Bowel Cancer&lt;/title&gt;&lt;/titles&gt;&lt;number&gt;23 November 2020&lt;/number&gt;&lt;dates&gt;&lt;year&gt;2017&lt;/year&gt;&lt;pub-dates&gt;&lt;date&gt;19 July 2017&lt;/date&gt;&lt;/pub-dates&gt;&lt;/dates&gt;&lt;urls&gt;&lt;related-urls&gt;&lt;url&gt;https://www.hqsc.govt.nz/our-programmes/health-quality-evaluation/projects/atlas-of-healthcare-variation/bowel-cancer/&lt;/url&gt;&lt;/related-urls&gt;&lt;/urls&gt;&lt;/record&gt;&lt;/Cite&gt;&lt;/EndNote&gt;</w:instrText>
      </w:r>
      <w:r>
        <w:fldChar w:fldCharType="separate"/>
      </w:r>
      <w:r>
        <w:rPr>
          <w:noProof/>
        </w:rPr>
        <w:t>(</w:t>
      </w:r>
      <w:hyperlink w:anchor="_ENREF_8" w:tooltip="Health Quality &amp; Safety Commission New Zealand, 2017 #7" w:history="1">
        <w:r>
          <w:rPr>
            <w:noProof/>
          </w:rPr>
          <w:t>Health Quality &amp; Safety Commission New Zealand 2017</w:t>
        </w:r>
      </w:hyperlink>
      <w:r>
        <w:rPr>
          <w:noProof/>
        </w:rPr>
        <w:t>)</w:t>
      </w:r>
      <w:r>
        <w:fldChar w:fldCharType="end"/>
      </w:r>
      <w:r>
        <w:t xml:space="preserve">. For this reason, it </w:t>
      </w:r>
      <w:r w:rsidRPr="009B485A">
        <w:t xml:space="preserve">is important that </w:t>
      </w:r>
      <w:r>
        <w:t xml:space="preserve">clinicians make </w:t>
      </w:r>
      <w:r w:rsidRPr="009B485A">
        <w:t xml:space="preserve">decisions </w:t>
      </w:r>
      <w:r>
        <w:t xml:space="preserve">that contribute to </w:t>
      </w:r>
      <w:r w:rsidRPr="009B485A">
        <w:t xml:space="preserve">equitable outcomes for </w:t>
      </w:r>
      <w:r>
        <w:t xml:space="preserve">Māori and Pacific </w:t>
      </w:r>
      <w:proofErr w:type="gramStart"/>
      <w:r>
        <w:t>peoples in particular</w:t>
      </w:r>
      <w:proofErr w:type="gramEnd"/>
      <w:r w:rsidRPr="009B485A">
        <w:t>.</w:t>
      </w:r>
      <w:r>
        <w:t xml:space="preserve"> </w:t>
      </w:r>
      <w:r w:rsidRPr="00FE10A0">
        <w:rPr>
          <w:bCs/>
        </w:rPr>
        <w:t>However,</w:t>
      </w:r>
      <w:r w:rsidRPr="00201FFF">
        <w:rPr>
          <w:bCs/>
        </w:rPr>
        <w:t xml:space="preserve"> </w:t>
      </w:r>
      <w:r>
        <w:rPr>
          <w:bCs/>
        </w:rPr>
        <w:t>s</w:t>
      </w:r>
      <w:r w:rsidRPr="00201FFF">
        <w:rPr>
          <w:bCs/>
        </w:rPr>
        <w:t>urveillance intervals are determined by the biology of premalignant polyps. There is no evidence that adenomas and serrated polyps grow faster in M</w:t>
      </w:r>
      <w:r>
        <w:rPr>
          <w:bCs/>
        </w:rPr>
        <w:t>ā</w:t>
      </w:r>
      <w:r w:rsidRPr="00201FFF">
        <w:rPr>
          <w:bCs/>
        </w:rPr>
        <w:t xml:space="preserve">ori and </w:t>
      </w:r>
      <w:r>
        <w:rPr>
          <w:bCs/>
        </w:rPr>
        <w:t>Pacific peoples.</w:t>
      </w:r>
    </w:p>
    <w:p w14:paraId="5A5F885D" w14:textId="77777777" w:rsidR="00C1741B" w:rsidRDefault="00C1741B" w:rsidP="00C1741B"/>
    <w:p w14:paraId="1DFF4A5A" w14:textId="77777777" w:rsidR="00C45647" w:rsidRPr="00201FFF" w:rsidRDefault="00C45647" w:rsidP="00C1741B">
      <w:pPr>
        <w:pStyle w:val="Heading1"/>
      </w:pPr>
      <w:bookmarkStart w:id="12" w:name="_Toc57902168"/>
      <w:bookmarkStart w:id="13" w:name="_Toc58238234"/>
      <w:r w:rsidRPr="00201FFF">
        <w:lastRenderedPageBreak/>
        <w:t>Notes on clinical context</w:t>
      </w:r>
      <w:bookmarkEnd w:id="12"/>
      <w:bookmarkEnd w:id="13"/>
    </w:p>
    <w:p w14:paraId="65D42E1E" w14:textId="77777777" w:rsidR="00C45647" w:rsidRDefault="00C45647" w:rsidP="00C1741B">
      <w:r>
        <w:t>High-quality colonoscopy is the prerequisite for these recommendations. To be of high quality, the colonoscopy must involve verified and documented caecal intubation, good colonoscopy technique and adequate bowel preparation (see ‘Definitions’ below). Surveillance should be adjusted for suboptimal colonoscopy.</w:t>
      </w:r>
    </w:p>
    <w:p w14:paraId="17FA236C" w14:textId="77777777" w:rsidR="00C1741B" w:rsidRDefault="00C1741B" w:rsidP="00C1741B"/>
    <w:p w14:paraId="722D96A3" w14:textId="77777777" w:rsidR="00C45647" w:rsidRDefault="00C45647" w:rsidP="00C1741B">
      <w:r>
        <w:t>Recommended techniques for polypectomy should be followed and complete polyp excision should be performed (see ‘Definitions’ below).</w:t>
      </w:r>
    </w:p>
    <w:p w14:paraId="59F8D217" w14:textId="77777777" w:rsidR="00C1741B" w:rsidRPr="00251CBD" w:rsidRDefault="00C1741B" w:rsidP="00C1741B"/>
    <w:p w14:paraId="39A0A555" w14:textId="77777777" w:rsidR="00C45647" w:rsidRPr="00C7157B" w:rsidRDefault="00C45647" w:rsidP="00FA4448">
      <w:pPr>
        <w:pStyle w:val="Heading1"/>
        <w:pageBreakBefore w:val="0"/>
        <w:spacing w:before="1440"/>
      </w:pPr>
      <w:bookmarkStart w:id="14" w:name="_Toc57902169"/>
      <w:bookmarkStart w:id="15" w:name="_Toc58238235"/>
      <w:r w:rsidRPr="00201FFF">
        <w:t>Polyp risk categories</w:t>
      </w:r>
      <w:bookmarkEnd w:id="14"/>
      <w:bookmarkEnd w:id="15"/>
    </w:p>
    <w:p w14:paraId="62F373B6" w14:textId="77777777" w:rsidR="00C45647" w:rsidRDefault="00C45647" w:rsidP="00A24CD3">
      <w:pPr>
        <w:pStyle w:val="Table"/>
      </w:pPr>
      <w:bookmarkStart w:id="16" w:name="_Toc58238247"/>
      <w:r w:rsidRPr="00251CBD">
        <w:t xml:space="preserve">Table 2: </w:t>
      </w:r>
      <w:r>
        <w:t>Polyp risk categories</w:t>
      </w:r>
      <w:bookmarkEnd w:id="16"/>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1418"/>
        <w:gridCol w:w="2693"/>
        <w:gridCol w:w="3969"/>
      </w:tblGrid>
      <w:tr w:rsidR="00A24CD3" w:rsidRPr="00A24CD3" w14:paraId="0E008466" w14:textId="77777777" w:rsidTr="00A24CD3">
        <w:trPr>
          <w:cantSplit/>
        </w:trPr>
        <w:tc>
          <w:tcPr>
            <w:tcW w:w="1418" w:type="dxa"/>
            <w:tcBorders>
              <w:top w:val="nil"/>
              <w:bottom w:val="nil"/>
            </w:tcBorders>
            <w:shd w:val="clear" w:color="auto" w:fill="C2D9BA"/>
          </w:tcPr>
          <w:p w14:paraId="30AAF20C" w14:textId="77777777" w:rsidR="00A24CD3" w:rsidRPr="00A24CD3" w:rsidRDefault="00A24CD3" w:rsidP="00021B8A">
            <w:pPr>
              <w:pStyle w:val="TableText"/>
              <w:rPr>
                <w:b/>
                <w:lang w:eastAsia="en-US"/>
              </w:rPr>
            </w:pPr>
          </w:p>
        </w:tc>
        <w:tc>
          <w:tcPr>
            <w:tcW w:w="2693" w:type="dxa"/>
            <w:tcBorders>
              <w:top w:val="nil"/>
              <w:bottom w:val="nil"/>
            </w:tcBorders>
            <w:shd w:val="clear" w:color="auto" w:fill="C2D9BA"/>
          </w:tcPr>
          <w:p w14:paraId="2914838A" w14:textId="77777777" w:rsidR="00A24CD3" w:rsidRPr="00A24CD3" w:rsidRDefault="00A24CD3" w:rsidP="00021B8A">
            <w:pPr>
              <w:pStyle w:val="TableText"/>
              <w:rPr>
                <w:rFonts w:eastAsiaTheme="minorHAnsi"/>
                <w:b/>
                <w:lang w:eastAsia="en-US"/>
              </w:rPr>
            </w:pPr>
            <w:r w:rsidRPr="00A24CD3">
              <w:rPr>
                <w:rFonts w:eastAsiaTheme="minorHAnsi"/>
                <w:b/>
                <w:lang w:eastAsia="en-US"/>
              </w:rPr>
              <w:t>Conventional adenomas</w:t>
            </w:r>
          </w:p>
        </w:tc>
        <w:tc>
          <w:tcPr>
            <w:tcW w:w="3969" w:type="dxa"/>
            <w:tcBorders>
              <w:top w:val="nil"/>
              <w:bottom w:val="nil"/>
            </w:tcBorders>
            <w:shd w:val="clear" w:color="auto" w:fill="C2D9BA"/>
          </w:tcPr>
          <w:p w14:paraId="1306FC0F" w14:textId="77777777" w:rsidR="00A24CD3" w:rsidRPr="00A24CD3" w:rsidRDefault="00A24CD3" w:rsidP="00021B8A">
            <w:pPr>
              <w:pStyle w:val="TableText"/>
              <w:rPr>
                <w:rFonts w:eastAsiaTheme="minorHAnsi"/>
                <w:b/>
                <w:lang w:eastAsia="en-US"/>
              </w:rPr>
            </w:pPr>
            <w:r w:rsidRPr="00A24CD3">
              <w:rPr>
                <w:rFonts w:eastAsiaTheme="minorHAnsi"/>
                <w:b/>
                <w:lang w:eastAsia="en-US"/>
              </w:rPr>
              <w:t>Serrated polyps</w:t>
            </w:r>
          </w:p>
        </w:tc>
      </w:tr>
      <w:tr w:rsidR="00A24CD3" w:rsidRPr="00251CBD" w14:paraId="48497675" w14:textId="77777777" w:rsidTr="00A24CD3">
        <w:trPr>
          <w:cantSplit/>
        </w:trPr>
        <w:tc>
          <w:tcPr>
            <w:tcW w:w="1418" w:type="dxa"/>
            <w:tcBorders>
              <w:top w:val="nil"/>
              <w:bottom w:val="single" w:sz="4" w:space="0" w:color="C2D9BA"/>
            </w:tcBorders>
            <w:shd w:val="clear" w:color="auto" w:fill="auto"/>
          </w:tcPr>
          <w:p w14:paraId="44E3F254" w14:textId="77777777" w:rsidR="00A24CD3" w:rsidRPr="00251CBD" w:rsidRDefault="00A24CD3" w:rsidP="00021B8A">
            <w:pPr>
              <w:pStyle w:val="TableText"/>
              <w:rPr>
                <w:rFonts w:eastAsiaTheme="minorHAnsi"/>
                <w:lang w:eastAsia="en-US"/>
              </w:rPr>
            </w:pPr>
            <w:r w:rsidRPr="00251CBD">
              <w:rPr>
                <w:rFonts w:eastAsiaTheme="minorHAnsi"/>
                <w:lang w:eastAsia="en-US"/>
              </w:rPr>
              <w:t>Average-risk polyps</w:t>
            </w:r>
          </w:p>
        </w:tc>
        <w:tc>
          <w:tcPr>
            <w:tcW w:w="2693" w:type="dxa"/>
            <w:tcBorders>
              <w:top w:val="nil"/>
              <w:bottom w:val="single" w:sz="4" w:space="0" w:color="C2D9BA"/>
            </w:tcBorders>
            <w:shd w:val="clear" w:color="auto" w:fill="auto"/>
          </w:tcPr>
          <w:p w14:paraId="77D45FF9" w14:textId="77777777" w:rsidR="00A24CD3" w:rsidRPr="00251CBD" w:rsidRDefault="00A24CD3" w:rsidP="00A24CD3">
            <w:pPr>
              <w:pStyle w:val="TableText"/>
              <w:rPr>
                <w:rFonts w:eastAsiaTheme="minorHAnsi"/>
                <w:lang w:eastAsia="en-US"/>
              </w:rPr>
            </w:pPr>
            <w:r w:rsidRPr="00251CBD">
              <w:rPr>
                <w:rFonts w:eastAsiaTheme="minorHAnsi"/>
                <w:lang w:eastAsia="en-US"/>
              </w:rPr>
              <w:t>Tubular adenomas &lt;</w:t>
            </w:r>
            <w:r>
              <w:rPr>
                <w:rFonts w:eastAsiaTheme="minorHAnsi"/>
                <w:lang w:eastAsia="en-US"/>
              </w:rPr>
              <w:t> </w:t>
            </w:r>
            <w:r w:rsidRPr="00251CBD">
              <w:rPr>
                <w:rFonts w:eastAsiaTheme="minorHAnsi"/>
                <w:lang w:eastAsia="en-US"/>
              </w:rPr>
              <w:t>10</w:t>
            </w:r>
            <w:r>
              <w:rPr>
                <w:rFonts w:eastAsiaTheme="minorHAnsi"/>
                <w:lang w:eastAsia="en-US"/>
              </w:rPr>
              <w:t> </w:t>
            </w:r>
            <w:r w:rsidRPr="00251CBD">
              <w:rPr>
                <w:rFonts w:eastAsiaTheme="minorHAnsi"/>
                <w:lang w:eastAsia="en-US"/>
              </w:rPr>
              <w:t>mm</w:t>
            </w:r>
          </w:p>
        </w:tc>
        <w:tc>
          <w:tcPr>
            <w:tcW w:w="3969" w:type="dxa"/>
            <w:tcBorders>
              <w:top w:val="nil"/>
              <w:bottom w:val="single" w:sz="4" w:space="0" w:color="C2D9BA"/>
            </w:tcBorders>
            <w:shd w:val="clear" w:color="auto" w:fill="auto"/>
          </w:tcPr>
          <w:p w14:paraId="2972BD08"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&lt; 10 mm</w:t>
            </w:r>
          </w:p>
          <w:p w14:paraId="31CAB333" w14:textId="77777777" w:rsidR="00A24CD3" w:rsidRPr="00251CBD" w:rsidRDefault="00A24CD3" w:rsidP="00021B8A">
            <w:pPr>
              <w:pStyle w:val="TableText"/>
              <w:rPr>
                <w:rFonts w:eastAsiaTheme="minorHAnsi"/>
                <w:lang w:eastAsia="en-US"/>
              </w:rPr>
            </w:pPr>
            <w:r w:rsidRPr="00251CBD">
              <w:rPr>
                <w:rFonts w:eastAsiaTheme="minorHAnsi"/>
                <w:lang w:eastAsia="en-US"/>
              </w:rPr>
              <w:t>Hyperplastic polyp ≥ 10 mm*</w:t>
            </w:r>
          </w:p>
        </w:tc>
      </w:tr>
      <w:tr w:rsidR="00A24CD3" w:rsidRPr="00251CBD" w14:paraId="3FE96B3E" w14:textId="77777777" w:rsidTr="00A24CD3">
        <w:trPr>
          <w:cantSplit/>
        </w:trPr>
        <w:tc>
          <w:tcPr>
            <w:tcW w:w="1418" w:type="dxa"/>
            <w:tcBorders>
              <w:top w:val="single" w:sz="4" w:space="0" w:color="C2D9BA"/>
              <w:bottom w:val="single" w:sz="4" w:space="0" w:color="C2D9BA"/>
            </w:tcBorders>
            <w:shd w:val="clear" w:color="auto" w:fill="auto"/>
          </w:tcPr>
          <w:p w14:paraId="4552328E" w14:textId="77777777" w:rsidR="00A24CD3" w:rsidRPr="00251CBD" w:rsidRDefault="00A24CD3" w:rsidP="00021B8A">
            <w:pPr>
              <w:pStyle w:val="TableText"/>
              <w:rPr>
                <w:rFonts w:eastAsiaTheme="minorHAnsi"/>
                <w:lang w:eastAsia="en-US"/>
              </w:rPr>
            </w:pPr>
            <w:r w:rsidRPr="00251CBD">
              <w:rPr>
                <w:rFonts w:eastAsiaTheme="minorHAnsi"/>
                <w:lang w:eastAsia="en-US"/>
              </w:rPr>
              <w:t>High-risk polyps</w:t>
            </w:r>
          </w:p>
        </w:tc>
        <w:tc>
          <w:tcPr>
            <w:tcW w:w="2693" w:type="dxa"/>
            <w:tcBorders>
              <w:top w:val="single" w:sz="4" w:space="0" w:color="C2D9BA"/>
              <w:bottom w:val="single" w:sz="4" w:space="0" w:color="C2D9BA"/>
            </w:tcBorders>
            <w:shd w:val="clear" w:color="auto" w:fill="auto"/>
          </w:tcPr>
          <w:p w14:paraId="7D6A596F" w14:textId="77777777" w:rsidR="00A24CD3" w:rsidRPr="00251CBD" w:rsidRDefault="00A24CD3" w:rsidP="00021B8A">
            <w:pPr>
              <w:pStyle w:val="TableText"/>
              <w:rPr>
                <w:rFonts w:eastAsiaTheme="minorHAnsi"/>
                <w:lang w:eastAsia="en-US"/>
              </w:rPr>
            </w:pPr>
            <w:r w:rsidRPr="00251CBD">
              <w:rPr>
                <w:rFonts w:eastAsiaTheme="minorHAnsi"/>
                <w:lang w:eastAsia="en-US"/>
              </w:rPr>
              <w:t>Adenoma ≥ 10 mm**</w:t>
            </w:r>
          </w:p>
          <w:p w14:paraId="73F5EE15" w14:textId="77777777" w:rsidR="00A24CD3" w:rsidRPr="00251CBD" w:rsidRDefault="00A24CD3" w:rsidP="00021B8A">
            <w:pPr>
              <w:pStyle w:val="TableText"/>
              <w:rPr>
                <w:rFonts w:eastAsiaTheme="minorHAnsi"/>
                <w:lang w:eastAsia="en-US"/>
              </w:rPr>
            </w:pPr>
            <w:r w:rsidRPr="00251CBD">
              <w:rPr>
                <w:rFonts w:eastAsiaTheme="minorHAnsi"/>
                <w:lang w:eastAsia="en-US"/>
              </w:rPr>
              <w:t>Adenoma with tubulovillous or</w:t>
            </w:r>
            <w:r>
              <w:rPr>
                <w:rFonts w:eastAsiaTheme="minorHAnsi"/>
                <w:lang w:eastAsia="en-US"/>
              </w:rPr>
              <w:t> </w:t>
            </w:r>
            <w:r w:rsidRPr="00251CBD">
              <w:rPr>
                <w:rFonts w:eastAsiaTheme="minorHAnsi"/>
                <w:lang w:eastAsia="en-US"/>
              </w:rPr>
              <w:t>villous histology**</w:t>
            </w:r>
          </w:p>
          <w:p w14:paraId="3CBB9816" w14:textId="77777777" w:rsidR="00A24CD3" w:rsidRPr="00251CBD" w:rsidRDefault="00A24CD3" w:rsidP="00021B8A">
            <w:pPr>
              <w:pStyle w:val="TableText"/>
              <w:rPr>
                <w:rFonts w:eastAsiaTheme="minorHAnsi"/>
                <w:lang w:eastAsia="en-US"/>
              </w:rPr>
            </w:pPr>
            <w:r w:rsidRPr="00251CBD">
              <w:rPr>
                <w:rFonts w:eastAsiaTheme="minorHAnsi"/>
                <w:lang w:eastAsia="en-US"/>
              </w:rPr>
              <w:t>Adenoma with high-grade dysplasia**</w:t>
            </w:r>
          </w:p>
        </w:tc>
        <w:tc>
          <w:tcPr>
            <w:tcW w:w="3969" w:type="dxa"/>
            <w:tcBorders>
              <w:top w:val="single" w:sz="4" w:space="0" w:color="C2D9BA"/>
              <w:bottom w:val="single" w:sz="4" w:space="0" w:color="C2D9BA"/>
            </w:tcBorders>
            <w:shd w:val="clear" w:color="auto" w:fill="auto"/>
          </w:tcPr>
          <w:p w14:paraId="03C65299"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 10 mm</w:t>
            </w:r>
          </w:p>
          <w:p w14:paraId="6A5B5973"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with dysplasia</w:t>
            </w:r>
          </w:p>
          <w:p w14:paraId="4D836E83" w14:textId="77777777" w:rsidR="00A24CD3" w:rsidRPr="00251CBD" w:rsidRDefault="00A24CD3" w:rsidP="00021B8A">
            <w:pPr>
              <w:pStyle w:val="TableText"/>
              <w:rPr>
                <w:rFonts w:eastAsiaTheme="minorHAnsi"/>
                <w:lang w:eastAsia="en-US"/>
              </w:rPr>
            </w:pPr>
            <w:r w:rsidRPr="00251CBD">
              <w:rPr>
                <w:rFonts w:eastAsiaTheme="minorHAnsi"/>
                <w:lang w:eastAsia="en-US"/>
              </w:rPr>
              <w:t>Traditional serrated adenoma</w:t>
            </w:r>
          </w:p>
          <w:p w14:paraId="46337A58" w14:textId="77777777" w:rsidR="00A24CD3" w:rsidRPr="00251CBD" w:rsidRDefault="00A24CD3" w:rsidP="00021B8A">
            <w:pPr>
              <w:pStyle w:val="TableText"/>
              <w:rPr>
                <w:rFonts w:eastAsiaTheme="minorHAnsi"/>
                <w:lang w:eastAsia="en-US"/>
              </w:rPr>
            </w:pPr>
            <w:r w:rsidRPr="00251CBD">
              <w:rPr>
                <w:rFonts w:eastAsiaTheme="minorHAnsi"/>
                <w:lang w:eastAsia="en-US"/>
              </w:rPr>
              <w:t>Serrated adenoma, unclassified (unclassified serrated polyp with dysplasia)</w:t>
            </w:r>
          </w:p>
        </w:tc>
      </w:tr>
    </w:tbl>
    <w:p w14:paraId="78C40B3A" w14:textId="77777777" w:rsidR="00C45647" w:rsidRPr="00251CBD"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Follow up as a high-risk polyp if concern exists about consistency in distinction between sessile serrated lesion and hyperplastic polyp locally.</w:t>
      </w:r>
    </w:p>
    <w:p w14:paraId="13EFAAE1" w14:textId="77777777" w:rsidR="00C45647"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Advanced adenoma defined as: 10 mm or larger in size or 25% or greater villous histology (that is, tubulovillous or villous adenoma) or high-grade dysplasia.</w:t>
      </w:r>
    </w:p>
    <w:p w14:paraId="6C7B487C" w14:textId="77777777" w:rsidR="00C45647" w:rsidRDefault="00C45647" w:rsidP="00A24CD3"/>
    <w:p w14:paraId="5098B994" w14:textId="77777777" w:rsidR="00C45647" w:rsidRPr="00251CBD" w:rsidRDefault="00C45647" w:rsidP="00A24CD3">
      <w:r w:rsidRPr="00266015">
        <w:t xml:space="preserve">After piecemeal resection of polyps </w:t>
      </w:r>
      <w:r w:rsidRPr="0002716D">
        <w:rPr>
          <w:b/>
        </w:rPr>
        <w:t>equal to or greater than 20</w:t>
      </w:r>
      <w:r w:rsidR="00A24CD3">
        <w:rPr>
          <w:b/>
        </w:rPr>
        <w:t> </w:t>
      </w:r>
      <w:r w:rsidRPr="0002716D">
        <w:rPr>
          <w:b/>
        </w:rPr>
        <w:t xml:space="preserve">mm </w:t>
      </w:r>
      <w:r w:rsidRPr="00266015">
        <w:t>in size, the site should be checked within two to six months and then a further full colonoscopy performed after an additional 12</w:t>
      </w:r>
      <w:r w:rsidR="00A24CD3">
        <w:t> </w:t>
      </w:r>
      <w:r w:rsidRPr="00266015">
        <w:t>months. Once no recurrence is confirmed patients should undergo post polypectomy surveillance after a</w:t>
      </w:r>
      <w:r>
        <w:t xml:space="preserve"> further</w:t>
      </w:r>
      <w:r w:rsidRPr="00266015">
        <w:t xml:space="preserve"> interval of </w:t>
      </w:r>
      <w:r w:rsidR="00A24CD3">
        <w:t>three</w:t>
      </w:r>
      <w:r w:rsidRPr="00266015">
        <w:t xml:space="preserve"> years. The need for further surveillance should then be determined in accordance with this update</w:t>
      </w:r>
      <w:r w:rsidR="00A24CD3">
        <w:t xml:space="preserve"> and individual risk factors.</w:t>
      </w:r>
    </w:p>
    <w:p w14:paraId="0E143869" w14:textId="77777777" w:rsidR="00A24CD3" w:rsidRDefault="00A24CD3" w:rsidP="00A24CD3"/>
    <w:p w14:paraId="38C4DF39" w14:textId="77777777" w:rsidR="00C45647" w:rsidRDefault="00C45647" w:rsidP="00A24CD3">
      <w:r>
        <w:t>No surveillance is required for anyone who has only hyperplastic polyps smaller than 10 mm, unless the person meets the criteria for Serrated Polyposis Syndrome.</w:t>
      </w:r>
    </w:p>
    <w:p w14:paraId="73B467B1" w14:textId="77777777" w:rsidR="00C45647" w:rsidRPr="00201FFF" w:rsidRDefault="00C45647" w:rsidP="00A24CD3">
      <w:pPr>
        <w:pStyle w:val="Heading1"/>
      </w:pPr>
      <w:bookmarkStart w:id="17" w:name="_Toc57902170"/>
      <w:bookmarkStart w:id="18" w:name="_Toc58238236"/>
      <w:r w:rsidRPr="00201FFF">
        <w:lastRenderedPageBreak/>
        <w:t>Polyp Surveillance Guidance 2020</w:t>
      </w:r>
      <w:bookmarkEnd w:id="17"/>
      <w:bookmarkEnd w:id="18"/>
    </w:p>
    <w:p w14:paraId="6AFAF745" w14:textId="43B4E5BC" w:rsidR="00C45647" w:rsidRPr="00F24601" w:rsidRDefault="00A24CD3" w:rsidP="00A24CD3">
      <w:r>
        <w:fldChar w:fldCharType="begin"/>
      </w:r>
      <w:r>
        <w:instrText xml:space="preserve"> REF _Ref57972944 \h </w:instrText>
      </w:r>
      <w:r>
        <w:fldChar w:fldCharType="separate"/>
      </w:r>
      <w:r w:rsidR="00B606DD">
        <w:t xml:space="preserve">Figure </w:t>
      </w:r>
      <w:r w:rsidR="00B606DD">
        <w:rPr>
          <w:noProof/>
        </w:rPr>
        <w:t>1</w:t>
      </w:r>
      <w:r>
        <w:fldChar w:fldCharType="end"/>
      </w:r>
      <w:r w:rsidR="00C45647" w:rsidRPr="00F24601">
        <w:t xml:space="preserve"> summarises the new guidance after complete removal of adenomas and serrated polyps. This advice was developed in recognition of the:</w:t>
      </w:r>
    </w:p>
    <w:p w14:paraId="38ED0994" w14:textId="77777777" w:rsidR="00C45647" w:rsidRPr="00F24601" w:rsidRDefault="00C45647" w:rsidP="00A24CD3">
      <w:pPr>
        <w:pStyle w:val="Number"/>
      </w:pPr>
      <w:r w:rsidRPr="00F24601">
        <w:t>low risk of future colorectal cancer for some groups of patients identified as having adenomas</w:t>
      </w:r>
    </w:p>
    <w:p w14:paraId="789541D0" w14:textId="77777777" w:rsidR="00C45647" w:rsidRDefault="00C45647" w:rsidP="00A24CD3">
      <w:pPr>
        <w:pStyle w:val="Number"/>
      </w:pPr>
      <w:r w:rsidRPr="00F24601">
        <w:t>colorectal cancer risk associated with some serrated polyps.</w:t>
      </w:r>
    </w:p>
    <w:p w14:paraId="110ABA9B" w14:textId="77777777" w:rsidR="00A24CD3" w:rsidRPr="00F24601" w:rsidRDefault="00A24CD3" w:rsidP="00A24CD3"/>
    <w:p w14:paraId="63A59177" w14:textId="64C99A83" w:rsidR="00C45647" w:rsidRDefault="00A24CD3" w:rsidP="00A24CD3">
      <w:pPr>
        <w:pStyle w:val="Figure"/>
      </w:pPr>
      <w:bookmarkStart w:id="19" w:name="_Ref57972944"/>
      <w:bookmarkStart w:id="20" w:name="_Toc58238250"/>
      <w:r>
        <w:t xml:space="preserve">Figure </w:t>
      </w:r>
      <w:r w:rsidR="00D4048E">
        <w:fldChar w:fldCharType="begin"/>
      </w:r>
      <w:r w:rsidR="00D4048E">
        <w:instrText xml:space="preserve"> SEQ Figure \* ARABIC </w:instrText>
      </w:r>
      <w:r w:rsidR="00D4048E">
        <w:fldChar w:fldCharType="separate"/>
      </w:r>
      <w:r w:rsidR="00B606DD">
        <w:rPr>
          <w:noProof/>
        </w:rPr>
        <w:t>1</w:t>
      </w:r>
      <w:r w:rsidR="00D4048E">
        <w:rPr>
          <w:noProof/>
        </w:rPr>
        <w:fldChar w:fldCharType="end"/>
      </w:r>
      <w:bookmarkEnd w:id="19"/>
      <w:r w:rsidR="00C45647">
        <w:t>:</w:t>
      </w:r>
      <w:r w:rsidR="00C45647" w:rsidRPr="0079493D">
        <w:t xml:space="preserve"> Surveillance intervals based on findings at high</w:t>
      </w:r>
      <w:r w:rsidR="00C45647">
        <w:t>-</w:t>
      </w:r>
      <w:r w:rsidR="00C45647" w:rsidRPr="0079493D">
        <w:t>quality colonoscopy</w:t>
      </w:r>
      <w:bookmarkEnd w:id="20"/>
    </w:p>
    <w:p w14:paraId="61CA752B" w14:textId="05568A55" w:rsidR="00CB5292" w:rsidRDefault="007145F7" w:rsidP="00CB5292">
      <w:r>
        <w:rPr>
          <w:noProof/>
        </w:rPr>
        <w:drawing>
          <wp:inline distT="0" distB="0" distL="0" distR="0" wp14:anchorId="2A2B98C2" wp14:editId="35585192">
            <wp:extent cx="5130165" cy="488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0165" cy="4881880"/>
                    </a:xfrm>
                    <a:prstGeom prst="rect">
                      <a:avLst/>
                    </a:prstGeom>
                    <a:noFill/>
                    <a:ln>
                      <a:noFill/>
                    </a:ln>
                  </pic:spPr>
                </pic:pic>
              </a:graphicData>
            </a:graphic>
          </wp:inline>
        </w:drawing>
      </w:r>
    </w:p>
    <w:p w14:paraId="2EFDE4E3" w14:textId="77777777" w:rsidR="00C45647" w:rsidRDefault="00C45647" w:rsidP="00CB5292">
      <w:pPr>
        <w:pStyle w:val="Note"/>
      </w:pPr>
      <w:r w:rsidRPr="00251CBD">
        <w:t>*</w:t>
      </w:r>
      <w:r>
        <w:tab/>
        <w:t>If there are both adenoma &lt;10mm and SSL &lt;10 mm, sum up the numbers and apply follow-up interval for SSL.</w:t>
      </w:r>
    </w:p>
    <w:p w14:paraId="5D42B261" w14:textId="77777777" w:rsidR="00C45647" w:rsidRDefault="00C45647" w:rsidP="00CB5292">
      <w:pPr>
        <w:pStyle w:val="Note"/>
      </w:pPr>
      <w:r w:rsidRPr="00251CBD">
        <w:t>**</w:t>
      </w:r>
      <w:r>
        <w:tab/>
        <w:t xml:space="preserve">A </w:t>
      </w:r>
      <w:r w:rsidR="00CB5292">
        <w:t>three</w:t>
      </w:r>
      <w:r>
        <w:t>-year follow-up interval is favoured if concern about consistency in distinction between sessile serrated lesion and hyperplastic polyp locally.</w:t>
      </w:r>
    </w:p>
    <w:p w14:paraId="62C20BE0" w14:textId="77777777" w:rsidR="00C45647" w:rsidRDefault="00C45647" w:rsidP="00CB5292">
      <w:pPr>
        <w:pStyle w:val="Note"/>
      </w:pPr>
      <w:r w:rsidRPr="00251CBD">
        <w:t>***</w:t>
      </w:r>
      <w:r w:rsidRPr="00251CBD">
        <w:tab/>
      </w:r>
      <w:r w:rsidRPr="00AE7435">
        <w:t xml:space="preserve">Consider referral to the NZ Familial Gastrointestinal Cancer Service (NZFGCS). </w:t>
      </w:r>
      <w:r w:rsidRPr="009752FD">
        <w:t>Referral criteria for multiple adenoma and Serrated Polyposis Syndrome to NZFGCS are provided below.</w:t>
      </w:r>
    </w:p>
    <w:p w14:paraId="494E8C02" w14:textId="77777777" w:rsidR="00CB5292" w:rsidRPr="00CB5292" w:rsidRDefault="00CB5292" w:rsidP="00CB5292"/>
    <w:p w14:paraId="655DF753" w14:textId="77777777" w:rsidR="00CB5292" w:rsidRPr="00251CBD" w:rsidRDefault="00CB5292" w:rsidP="00CB5292">
      <w:pPr>
        <w:pStyle w:val="Box"/>
        <w:rPr>
          <w:rFonts w:eastAsiaTheme="minorHAnsi"/>
          <w:lang w:eastAsia="en-US"/>
        </w:rPr>
      </w:pPr>
      <w:r w:rsidRPr="00251CBD">
        <w:rPr>
          <w:rFonts w:eastAsiaTheme="minorHAnsi"/>
          <w:b/>
          <w:lang w:eastAsia="en-US"/>
        </w:rPr>
        <w:lastRenderedPageBreak/>
        <w:t>NBSP:</w:t>
      </w:r>
      <w:r w:rsidRPr="00251CBD">
        <w:rPr>
          <w:rFonts w:eastAsiaTheme="minorHAnsi"/>
          <w:lang w:eastAsia="en-US"/>
        </w:rPr>
        <w:t xml:space="preserve"> National Bowel Screening Programme</w:t>
      </w:r>
    </w:p>
    <w:p w14:paraId="60E619BF" w14:textId="77777777" w:rsidR="00CB5292" w:rsidRPr="00251CBD" w:rsidRDefault="00CB5292" w:rsidP="00CB5292">
      <w:pPr>
        <w:pStyle w:val="Box"/>
        <w:rPr>
          <w:rFonts w:eastAsiaTheme="minorHAnsi"/>
          <w:lang w:eastAsia="en-US"/>
        </w:rPr>
      </w:pPr>
      <w:r w:rsidRPr="00251CBD">
        <w:rPr>
          <w:rFonts w:eastAsiaTheme="minorHAnsi"/>
          <w:b/>
          <w:lang w:eastAsia="en-US"/>
        </w:rPr>
        <w:t>SSL:</w:t>
      </w:r>
      <w:r w:rsidRPr="00251CBD">
        <w:rPr>
          <w:rFonts w:eastAsiaTheme="minorHAnsi"/>
          <w:lang w:eastAsia="en-US"/>
        </w:rPr>
        <w:t xml:space="preserve"> Sessile serrated lesion (=sessile serrated adenoma/polyp)</w:t>
      </w:r>
    </w:p>
    <w:p w14:paraId="7676921E" w14:textId="77777777" w:rsidR="00CB5292" w:rsidRPr="00251CBD" w:rsidRDefault="00CB5292" w:rsidP="00CB5292">
      <w:pPr>
        <w:pStyle w:val="Box"/>
        <w:rPr>
          <w:rFonts w:eastAsiaTheme="minorHAnsi"/>
          <w:lang w:eastAsia="en-US"/>
        </w:rPr>
      </w:pPr>
      <w:r w:rsidRPr="00251CBD">
        <w:rPr>
          <w:rFonts w:eastAsiaTheme="minorHAnsi"/>
          <w:b/>
          <w:lang w:eastAsia="en-US"/>
        </w:rPr>
        <w:t>HGD:</w:t>
      </w:r>
      <w:r w:rsidRPr="00251CBD">
        <w:rPr>
          <w:rFonts w:eastAsiaTheme="minorHAnsi"/>
          <w:lang w:eastAsia="en-US"/>
        </w:rPr>
        <w:t xml:space="preserve"> High grade dysplasia</w:t>
      </w:r>
    </w:p>
    <w:p w14:paraId="3DD09205" w14:textId="77777777" w:rsidR="00CB5292" w:rsidRDefault="00CB5292" w:rsidP="00CB5292">
      <w:pPr>
        <w:pStyle w:val="Box"/>
      </w:pPr>
      <w:r w:rsidRPr="00251CBD">
        <w:rPr>
          <w:b/>
          <w:lang w:eastAsia="en-US"/>
        </w:rPr>
        <w:t>HP:</w:t>
      </w:r>
      <w:r w:rsidRPr="00251CBD">
        <w:rPr>
          <w:lang w:eastAsia="en-US"/>
        </w:rPr>
        <w:t xml:space="preserve"> Hyperplastic polyp</w:t>
      </w:r>
    </w:p>
    <w:p w14:paraId="057E8CE2" w14:textId="77777777" w:rsidR="00C45647" w:rsidRDefault="00C45647" w:rsidP="00CB5292"/>
    <w:p w14:paraId="62EF5D04" w14:textId="77777777" w:rsidR="00C45647" w:rsidRDefault="00C45647" w:rsidP="00CB5292">
      <w:pPr>
        <w:keepNext/>
      </w:pPr>
      <w:r w:rsidRPr="001A3F3D">
        <w:t>For people older than age 75 years or with significant comorbidities, carefully consider potential benefits and risks before offering any routine surveillance.</w:t>
      </w:r>
    </w:p>
    <w:p w14:paraId="13D05506" w14:textId="77777777" w:rsidR="00CB5292" w:rsidRPr="001A3F3D" w:rsidRDefault="00CB5292" w:rsidP="00CB5292">
      <w:pPr>
        <w:keepNext/>
      </w:pPr>
    </w:p>
    <w:p w14:paraId="3A5A703E" w14:textId="77777777" w:rsidR="00C45647" w:rsidRDefault="00C45647" w:rsidP="00CB5292">
      <w:pPr>
        <w:keepNext/>
      </w:pPr>
      <w:r w:rsidRPr="001A3F3D">
        <w:t>This advice needs to be interpreted taking the patient’s family history of bowel cancer into account.</w:t>
      </w:r>
    </w:p>
    <w:p w14:paraId="3A90C2AE" w14:textId="77777777" w:rsidR="00CB5292" w:rsidRPr="001A3F3D" w:rsidRDefault="00CB5292" w:rsidP="00CB5292"/>
    <w:p w14:paraId="5E8963FA" w14:textId="77777777" w:rsidR="00C45647" w:rsidRDefault="00C45647" w:rsidP="00CB5292">
      <w:r w:rsidRPr="00201FFF">
        <w:t>Surveillance colonoscopy should only be performed in people whose life expectancy is &gt;</w:t>
      </w:r>
      <w:r w:rsidR="00CB5292">
        <w:t> </w:t>
      </w:r>
      <w:r w:rsidRPr="00201FFF">
        <w:t>10</w:t>
      </w:r>
      <w:r w:rsidR="00CB5292">
        <w:t> </w:t>
      </w:r>
      <w:r w:rsidRPr="00201FFF">
        <w:t>years and therefore generally not in people older than 75</w:t>
      </w:r>
      <w:r>
        <w:t xml:space="preserve"> </w:t>
      </w:r>
      <w:r w:rsidRPr="00201FFF">
        <w:t>y</w:t>
      </w:r>
      <w:r>
        <w:t>ea</w:t>
      </w:r>
      <w:r w:rsidRPr="00201FFF">
        <w:t>rs</w:t>
      </w:r>
      <w:r>
        <w:t>.</w:t>
      </w:r>
    </w:p>
    <w:p w14:paraId="57CD54B2" w14:textId="77777777" w:rsidR="00CB5292" w:rsidRPr="00A41F30" w:rsidRDefault="00CB5292" w:rsidP="00CB5292"/>
    <w:p w14:paraId="7B37198F" w14:textId="77777777" w:rsidR="00C45647" w:rsidRDefault="00C45647" w:rsidP="00CB5292">
      <w:pPr>
        <w:pStyle w:val="Heading1"/>
      </w:pPr>
      <w:bookmarkStart w:id="21" w:name="_Toc57902171"/>
      <w:bookmarkStart w:id="22" w:name="_Toc58238237"/>
      <w:r>
        <w:lastRenderedPageBreak/>
        <w:t>Definitions</w:t>
      </w:r>
      <w:bookmarkEnd w:id="21"/>
      <w:bookmarkEnd w:id="22"/>
    </w:p>
    <w:p w14:paraId="0BDC8E8B" w14:textId="77777777" w:rsidR="00C45647" w:rsidRDefault="00C45647" w:rsidP="00CB5292">
      <w:pPr>
        <w:pStyle w:val="Heading2"/>
      </w:pPr>
      <w:bookmarkStart w:id="23" w:name="_Toc57902172"/>
      <w:bookmarkStart w:id="24" w:name="_Toc58238238"/>
      <w:r>
        <w:t>High-quality colonoscopy</w:t>
      </w:r>
      <w:bookmarkEnd w:id="23"/>
      <w:bookmarkEnd w:id="24"/>
    </w:p>
    <w:p w14:paraId="27552D42" w14:textId="77777777" w:rsidR="00C45647" w:rsidRDefault="00C45647" w:rsidP="00CB5292">
      <w:r>
        <w:t>The decision on future surveillance can only be made if the colonoscopy was of sufficient quality.</w:t>
      </w:r>
    </w:p>
    <w:p w14:paraId="09B610C0" w14:textId="77777777" w:rsidR="00CB5292" w:rsidRDefault="00CB5292" w:rsidP="00CB5292"/>
    <w:p w14:paraId="28AD4C13" w14:textId="77777777" w:rsidR="00C45647" w:rsidRDefault="00C45647" w:rsidP="00CB5292">
      <w:r>
        <w:t xml:space="preserve">A full description of what constitutes the expected good practice is described in the Standards for Individuals Performing BSP colonoscopy </w:t>
      </w:r>
      <w:r>
        <w:fldChar w:fldCharType="begin"/>
      </w:r>
      <w:r>
        <w:instrText xml:space="preserve"> ADDIN EN.CITE &lt;EndNote&gt;&lt;Cite&gt;&lt;Author&gt;Endoscopy Governance Group for New Zealand&lt;/Author&gt;&lt;Year&gt;2017&lt;/Year&gt;&lt;RecNum&gt;12&lt;/RecNum&gt;&lt;DisplayText&gt;(Endoscopy Governance Group for New Zealand 2017)&lt;/DisplayText&gt;&lt;record&gt;&lt;rec-number&gt;12&lt;/rec-number&gt;&lt;foreign-keys&gt;&lt;key app="EN" db-id="rz02vvx9eafpazev0tiptsz8evx0fwt2pp0t"&gt;12&lt;/key&gt;&lt;/foreign-keys&gt;&lt;ref-type name="Web Page"&gt;12&lt;/ref-type&gt;&lt;contributors&gt;&lt;authors&gt;&lt;author&gt;Endoscopy Governance Group for New Zealand,&lt;/author&gt;&lt;/authors&gt;&lt;/contributors&gt;&lt;titles&gt;&lt;title&gt;Endoscopy Standards for Individual Colonoscopists Performing Bowel Cancer Screening in New Zealand&lt;/title&gt;&lt;/titles&gt;&lt;number&gt;13 August 2020&lt;/number&gt;&lt;dates&gt;&lt;year&gt;2017&lt;/year&gt;&lt;/dates&gt;&lt;pub-location&gt;Auckland&lt;/pub-location&gt;&lt;publisher&gt;Endoscopy Governance Group for New Zealand&lt;/publisher&gt;&lt;urls&gt;&lt;related-urls&gt;&lt;url&gt;https://endoscopyquality.co.nz/assets/Uploads/EGGNZ-Endoscopy-Standards-for-Individual-Colonoscopists-Performing-Bowel-Cancer-Screening-in-New-Zealand-Final-v3.0.pdf&lt;/url&gt;&lt;/related-urls&gt;&lt;/urls&gt;&lt;/record&gt;&lt;/Cite&gt;&lt;/EndNote&gt;</w:instrText>
      </w:r>
      <w:r>
        <w:fldChar w:fldCharType="separate"/>
      </w:r>
      <w:r>
        <w:rPr>
          <w:noProof/>
        </w:rPr>
        <w:t>(</w:t>
      </w:r>
      <w:hyperlink w:anchor="_ENREF_3" w:tooltip="Endoscopy Governance Group for New Zealand, 2017 #12" w:history="1">
        <w:r>
          <w:rPr>
            <w:noProof/>
          </w:rPr>
          <w:t>Endoscopy Governance Group for New Zealand 2017</w:t>
        </w:r>
      </w:hyperlink>
      <w:r>
        <w:rPr>
          <w:noProof/>
        </w:rPr>
        <w:t>)</w:t>
      </w:r>
      <w:r>
        <w:fldChar w:fldCharType="end"/>
      </w:r>
      <w:r>
        <w:t>.</w:t>
      </w:r>
    </w:p>
    <w:p w14:paraId="1B4C42D5" w14:textId="77777777" w:rsidR="00CB5292" w:rsidRDefault="00CB5292" w:rsidP="00CB5292"/>
    <w:p w14:paraId="57AC9542" w14:textId="77777777" w:rsidR="00C45647" w:rsidRDefault="00CB5292" w:rsidP="00CB5292">
      <w:r>
        <w:t>The basic principles include:</w:t>
      </w:r>
    </w:p>
    <w:p w14:paraId="12E6E171" w14:textId="77777777" w:rsidR="00C45647" w:rsidRDefault="00C45647" w:rsidP="00C33F56">
      <w:pPr>
        <w:pStyle w:val="Number"/>
        <w:numPr>
          <w:ilvl w:val="3"/>
          <w:numId w:val="6"/>
        </w:numPr>
      </w:pPr>
      <w:r>
        <w:t>The colonoscopy is performed by a credentialed colonoscopist, as defined by the Endoscopy Guidance Group for New Zealand</w:t>
      </w:r>
      <w:r w:rsidRPr="007C205A">
        <w:t xml:space="preserve"> </w:t>
      </w:r>
      <w:r>
        <w:fldChar w:fldCharType="begin"/>
      </w:r>
      <w:r>
        <w:instrText xml:space="preserve"> ADDIN EN.CITE &lt;EndNote&gt;&lt;Cite&gt;&lt;Author&gt;Endoscopy Guidance Group for New Zealand&lt;/Author&gt;&lt;Year&gt;2018&lt;/Year&gt;&lt;RecNum&gt;8&lt;/RecNum&gt;&lt;DisplayText&gt;(Endoscopy Guidance Group for New Zealand 2018)&lt;/DisplayText&gt;&lt;record&gt;&lt;rec-number&gt;8&lt;/rec-number&gt;&lt;foreign-keys&gt;&lt;key app="EN" db-id="rz02vvx9eafpazev0tiptsz8evx0fwt2pp0t"&gt;8&lt;/key&gt;&lt;/foreign-keys&gt;&lt;ref-type name="Web Page"&gt;12&lt;/ref-type&gt;&lt;contributors&gt;&lt;authors&gt;&lt;author&gt;Endoscopy Guidance Group for New Zealand,&lt;/author&gt;&lt;/authors&gt;&lt;/contributors&gt;&lt;titles&gt;&lt;title&gt;Guidelines for Local Credentialing in Adult Endoscopy&lt;/title&gt;&lt;/titles&gt;&lt;number&gt;13 August 2020&lt;/number&gt;&lt;dates&gt;&lt;year&gt;2018&lt;/year&gt;&lt;/dates&gt;&lt;pub-location&gt;Auckland&lt;/pub-location&gt;&lt;publisher&gt;Endoscopy Guidance Group for New Zealand&lt;/publisher&gt;&lt;urls&gt;&lt;/urls&gt;&lt;/record&gt;&lt;/Cite&gt;&lt;/EndNote&gt;</w:instrText>
      </w:r>
      <w:r>
        <w:fldChar w:fldCharType="separate"/>
      </w:r>
      <w:r>
        <w:rPr>
          <w:noProof/>
        </w:rPr>
        <w:t>(</w:t>
      </w:r>
      <w:hyperlink w:anchor="_ENREF_4" w:tooltip="Endoscopy Guidance Group for New Zealand, 2018 #8" w:history="1">
        <w:r>
          <w:rPr>
            <w:noProof/>
          </w:rPr>
          <w:t>Endoscopy Guidance Group for New Zealand 2018</w:t>
        </w:r>
      </w:hyperlink>
      <w:r>
        <w:rPr>
          <w:noProof/>
        </w:rPr>
        <w:t>)</w:t>
      </w:r>
      <w:r>
        <w:fldChar w:fldCharType="end"/>
      </w:r>
      <w:r>
        <w:t>.</w:t>
      </w:r>
    </w:p>
    <w:p w14:paraId="3E636512" w14:textId="77777777" w:rsidR="00C45647" w:rsidRDefault="00C45647" w:rsidP="00CB5292">
      <w:pPr>
        <w:pStyle w:val="Letter"/>
      </w:pPr>
      <w:r>
        <w:t>The bowel preparation is sufficiently clear, defined as both a; Boston Bowel Preparation Score (BBPS) on withdrawal of 6 or higher, with no single segment score under 2</w:t>
      </w:r>
      <w:r w:rsidR="00CB5292">
        <w:t>.</w:t>
      </w:r>
    </w:p>
    <w:p w14:paraId="06294626" w14:textId="77777777" w:rsidR="00C45647" w:rsidRDefault="00CB5292" w:rsidP="00CB5292">
      <w:pPr>
        <w:pStyle w:val="Letter"/>
      </w:pPr>
      <w:r>
        <w:t>S</w:t>
      </w:r>
      <w:r w:rsidR="00C45647">
        <w:t>ubjective rating of Excellent or Adequate (the top two categories on the drop-down menu from Provation).</w:t>
      </w:r>
    </w:p>
    <w:p w14:paraId="7874D4C7" w14:textId="77777777" w:rsidR="00C45647" w:rsidRDefault="00C45647" w:rsidP="00CB5292">
      <w:pPr>
        <w:pStyle w:val="Number"/>
      </w:pPr>
      <w:r>
        <w:t>There is photo documentation of caecal intubation and retro flexion in the rectum.</w:t>
      </w:r>
    </w:p>
    <w:p w14:paraId="3513C03E" w14:textId="77777777" w:rsidR="00CB5292" w:rsidRPr="00AE7435" w:rsidRDefault="00CB5292" w:rsidP="00CB5292"/>
    <w:p w14:paraId="51C2DE5E" w14:textId="77777777" w:rsidR="00C45647" w:rsidRDefault="00C45647" w:rsidP="00CB5292">
      <w:pPr>
        <w:pStyle w:val="Heading2"/>
      </w:pPr>
      <w:bookmarkStart w:id="25" w:name="_Toc57902173"/>
      <w:bookmarkStart w:id="26" w:name="_Toc58238239"/>
      <w:r>
        <w:t>High-quality polypectomy</w:t>
      </w:r>
      <w:bookmarkEnd w:id="25"/>
      <w:bookmarkEnd w:id="26"/>
    </w:p>
    <w:p w14:paraId="3BD99FCE" w14:textId="77777777" w:rsidR="00C45647" w:rsidRDefault="00C45647" w:rsidP="00CB5292">
      <w:r>
        <w:t>Endoscopic polypectomy should ensure complete removal of all neoplastic tissue.</w:t>
      </w:r>
    </w:p>
    <w:p w14:paraId="26D46BA4" w14:textId="77777777" w:rsidR="00CB5292" w:rsidRDefault="00CB5292" w:rsidP="00CB5292"/>
    <w:p w14:paraId="3E324932" w14:textId="77777777" w:rsidR="00C45647" w:rsidRDefault="00C45647" w:rsidP="00CB5292">
      <w:r>
        <w:t>Polyp size should be measured using the width of a snare</w:t>
      </w:r>
      <w:r w:rsidRPr="00EE7E5E">
        <w:t xml:space="preserve"> </w:t>
      </w:r>
      <w:r>
        <w:fldChar w:fldCharType="begin"/>
      </w:r>
      <w:r>
        <w:instrText xml:space="preserve"> ADDIN EN.CITE &lt;EndNote&gt;&lt;Cite&gt;&lt;Author&gt;Gupta&lt;/Author&gt;&lt;Year&gt;2020&lt;/Year&gt;&lt;RecNum&gt;9&lt;/RecNum&gt;&lt;DisplayText&gt;(Gupta, Lieberman et al. 2020)&lt;/DisplayText&gt;&lt;record&gt;&lt;rec-number&gt;9&lt;/rec-number&gt;&lt;foreign-keys&gt;&lt;key app="EN" db-id="rz02vvx9eafpazev0tiptsz8evx0fwt2pp0t"&gt;9&lt;/key&gt;&lt;/foreign-keys&gt;&lt;ref-type name="Journal Article"&gt;17&lt;/ref-type&gt;&lt;contributors&gt;&lt;authors&gt;&lt;author&gt;Gupta, Samir&lt;/author&gt;&lt;author&gt;Lieberman, David&lt;/author&gt;&lt;author&gt;Anderson, Joseph C&lt;/author&gt;&lt;author&gt;Burke, Carol A&lt;/author&gt;&lt;author&gt;Dominitz, Jason A&lt;/author&gt;&lt;author&gt;Kaltenbach, Tonya&lt;/author&gt;&lt;author&gt;Robertson, Douglas J&lt;/author&gt;&lt;author&gt;Shaukat, Aasma&lt;/author&gt;&lt;author&gt;Syngal, Sapna&lt;/author&gt;&lt;author&gt;Rex, Douglas K&lt;/author&gt;&lt;/authors&gt;&lt;/contributors&gt;&lt;titles&gt;&lt;title&gt;Recommendations for follow-up after colonoscopy and polypectomy: a consensus update by the US Multi-Society Task Force on Colorectal Cancer&lt;/title&gt;&lt;secondary-title&gt;Gastrointestinal endoscopy&lt;/secondary-title&gt;&lt;/titles&gt;&lt;periodical&gt;&lt;full-title&gt;Gastrointestinal endoscopy&lt;/full-title&gt;&lt;/periodical&gt;&lt;pages&gt;463-485. e5&lt;/pages&gt;&lt;volume&gt;91&lt;/volume&gt;&lt;number&gt;3&lt;/number&gt;&lt;dates&gt;&lt;year&gt;2020&lt;/year&gt;&lt;/dates&gt;&lt;isbn&gt;0016-5107&lt;/isbn&gt;&lt;urls&gt;&lt;/urls&gt;&lt;/record&gt;&lt;/Cite&gt;&lt;/EndNote&gt;</w:instrText>
      </w:r>
      <w:r>
        <w:fldChar w:fldCharType="separate"/>
      </w:r>
      <w:r>
        <w:rPr>
          <w:noProof/>
        </w:rPr>
        <w:t>(</w:t>
      </w:r>
      <w:hyperlink w:anchor="_ENREF_6" w:tooltip="Gupta, 2020 #2" w:history="1">
        <w:r>
          <w:rPr>
            <w:noProof/>
          </w:rPr>
          <w:t>Gupta, Lieberman</w:t>
        </w:r>
        <w:r w:rsidR="00CB5292">
          <w:rPr>
            <w:noProof/>
          </w:rPr>
          <w:t>,</w:t>
        </w:r>
        <w:r>
          <w:rPr>
            <w:noProof/>
          </w:rPr>
          <w:t xml:space="preserve"> et al 2020</w:t>
        </w:r>
      </w:hyperlink>
      <w:r>
        <w:rPr>
          <w:noProof/>
        </w:rPr>
        <w:t>)</w:t>
      </w:r>
      <w:r>
        <w:fldChar w:fldCharType="end"/>
      </w:r>
      <w:r>
        <w:t>.</w:t>
      </w:r>
    </w:p>
    <w:p w14:paraId="2A2EDC1B" w14:textId="77777777" w:rsidR="00CB5292" w:rsidRDefault="00CB5292" w:rsidP="00CB5292"/>
    <w:p w14:paraId="62BEC296" w14:textId="77777777" w:rsidR="00C45647" w:rsidRDefault="00C45647" w:rsidP="00CB5292">
      <w:r>
        <w:t>Morphology of the polyp should be assessed using the PARIS classification and the pit pattern interpreted using virtual or chromoendoscopy.</w:t>
      </w:r>
    </w:p>
    <w:p w14:paraId="4B3BD8F8" w14:textId="77777777" w:rsidR="00CB5292" w:rsidRDefault="00CB5292" w:rsidP="00CB5292"/>
    <w:p w14:paraId="51FF9230" w14:textId="77777777" w:rsidR="00CB5292" w:rsidRDefault="00C45647" w:rsidP="00CB5292">
      <w:r>
        <w:t>Removal of polyps assessed to be difficult (</w:t>
      </w:r>
      <w:proofErr w:type="gramStart"/>
      <w:r>
        <w:t>e.g.</w:t>
      </w:r>
      <w:proofErr w:type="gramEnd"/>
      <w:r>
        <w:t xml:space="preserve"> by the Size, Morphology, Site and Access criteria) which includes those larger than 2cm should be considered for deferring for an appropriately experienced and skilled (Level 4) endoscopist.</w:t>
      </w:r>
    </w:p>
    <w:p w14:paraId="54980B16" w14:textId="77777777" w:rsidR="00C45647" w:rsidRDefault="00C45647" w:rsidP="00CB5292"/>
    <w:p w14:paraId="67EE280D" w14:textId="77777777" w:rsidR="00C45647" w:rsidRDefault="00C45647" w:rsidP="00CB5292">
      <w:r>
        <w:t xml:space="preserve">The European Society of Gastrointestinal Endoscopy’s 2017 clinical guideline is the current best-practice guideline for performing colonoscopic polypectomy of different morphology, size and location </w: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 </w:instrTex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EN.CITE.DATA </w:instrText>
      </w:r>
      <w:r>
        <w:fldChar w:fldCharType="end"/>
      </w:r>
      <w:r>
        <w:fldChar w:fldCharType="separate"/>
      </w:r>
      <w:r>
        <w:rPr>
          <w:noProof/>
        </w:rPr>
        <w:t>(</w:t>
      </w:r>
      <w:hyperlink w:anchor="_ENREF_3" w:tooltip="Endoscopy Governance Group for New Zealand, 2017 #12" w:history="1">
        <w:r>
          <w:rPr>
            <w:noProof/>
          </w:rPr>
          <w:t>Endoscopy Governance Group for New Zealand 2017</w:t>
        </w:r>
      </w:hyperlink>
      <w:r w:rsidR="00CB5292">
        <w:rPr>
          <w:noProof/>
        </w:rPr>
        <w:t>;</w:t>
      </w:r>
      <w:r>
        <w:rPr>
          <w:noProof/>
        </w:rPr>
        <w:t xml:space="preserve"> </w:t>
      </w:r>
      <w:hyperlink w:anchor="_ENREF_5" w:tooltip="Ferlitsch, 2017 #10" w:history="1">
        <w:r>
          <w:rPr>
            <w:noProof/>
          </w:rPr>
          <w:t>Ferlitsch, Moss</w:t>
        </w:r>
        <w:r w:rsidR="00CB5292">
          <w:rPr>
            <w:noProof/>
          </w:rPr>
          <w:t>,</w:t>
        </w:r>
        <w:r>
          <w:rPr>
            <w:noProof/>
          </w:rPr>
          <w:t xml:space="preserve"> et al 2017</w:t>
        </w:r>
      </w:hyperlink>
      <w:r w:rsidR="00CB5292">
        <w:rPr>
          <w:noProof/>
        </w:rPr>
        <w:t>;</w:t>
      </w:r>
      <w:r>
        <w:rPr>
          <w:noProof/>
        </w:rPr>
        <w:t xml:space="preserve"> </w:t>
      </w:r>
      <w:hyperlink w:anchor="_ENREF_13" w:tooltip="Sidhu, 2018 #11" w:history="1">
        <w:r>
          <w:rPr>
            <w:noProof/>
          </w:rPr>
          <w:t>Sidhu, Tate</w:t>
        </w:r>
        <w:r w:rsidR="00CB5292">
          <w:rPr>
            <w:noProof/>
          </w:rPr>
          <w:t>,</w:t>
        </w:r>
        <w:r>
          <w:rPr>
            <w:noProof/>
          </w:rPr>
          <w:t xml:space="preserve"> et al 2018</w:t>
        </w:r>
      </w:hyperlink>
      <w:r>
        <w:rPr>
          <w:noProof/>
        </w:rPr>
        <w:t>)</w:t>
      </w:r>
      <w:r>
        <w:fldChar w:fldCharType="end"/>
      </w:r>
      <w:r>
        <w:t>.</w:t>
      </w:r>
    </w:p>
    <w:p w14:paraId="36836B7E" w14:textId="77777777" w:rsidR="00CB5292" w:rsidRDefault="00CB5292" w:rsidP="00CB5292"/>
    <w:p w14:paraId="6ABF8269" w14:textId="77777777" w:rsidR="00C45647" w:rsidRPr="003F617D" w:rsidRDefault="00C45647" w:rsidP="00CB5292">
      <w:pPr>
        <w:pStyle w:val="Heading2"/>
      </w:pPr>
      <w:bookmarkStart w:id="27" w:name="_Toc57902174"/>
      <w:bookmarkStart w:id="28" w:name="_Toc58238240"/>
      <w:r>
        <w:t>Boston Bowel Preparation Scale</w:t>
      </w:r>
      <w:bookmarkEnd w:id="27"/>
      <w:bookmarkEnd w:id="28"/>
    </w:p>
    <w:p w14:paraId="4FFAD47B" w14:textId="77777777" w:rsidR="00C45647" w:rsidRPr="009E12DB" w:rsidRDefault="00C45647" w:rsidP="00CB5292">
      <w:r w:rsidRPr="009E12DB">
        <w:t xml:space="preserve">The Boston Bowel Preparation Scale (BBPS) is a scale </w:t>
      </w:r>
      <w:r>
        <w:t>that</w:t>
      </w:r>
      <w:r w:rsidRPr="009E12DB">
        <w:t xml:space="preserve"> describe</w:t>
      </w:r>
      <w:r>
        <w:t>s</w:t>
      </w:r>
      <w:r w:rsidRPr="009E12DB">
        <w:t xml:space="preserve"> the quality of bowel preparation at colonoscopy. The large bowel is divided into three sections</w:t>
      </w:r>
      <w:r>
        <w:t>:</w:t>
      </w:r>
      <w:r w:rsidRPr="009E12DB">
        <w:t xml:space="preserve"> the right colon, the </w:t>
      </w:r>
      <w:r w:rsidRPr="009E12DB">
        <w:lastRenderedPageBreak/>
        <w:t>transverse colon (including flexures</w:t>
      </w:r>
      <w:r>
        <w:t>)</w:t>
      </w:r>
      <w:r w:rsidRPr="009E12DB">
        <w:t xml:space="preserve"> and the </w:t>
      </w:r>
      <w:r>
        <w:t>l</w:t>
      </w:r>
      <w:r w:rsidRPr="009E12DB">
        <w:t>eft colon with rectum. Each section is scored individually from 0</w:t>
      </w:r>
      <w:r>
        <w:t>–</w:t>
      </w:r>
      <w:r w:rsidRPr="009E12DB">
        <w:t>3</w:t>
      </w:r>
      <w:r w:rsidRPr="00524722">
        <w:t xml:space="preserve"> </w:t>
      </w:r>
      <w:r>
        <w:fldChar w:fldCharType="begin"/>
      </w:r>
      <w:r>
        <w:instrText xml:space="preserve"> ADDIN EN.CITE &lt;EndNote&gt;&lt;Cite&gt;&lt;Author&gt;Rosty&lt;/Author&gt;&lt;Year&gt;2019&lt;/Year&gt;&lt;RecNum&gt;13&lt;/RecNum&gt;&lt;DisplayText&gt;(Rosty, Brosens et al. 2019)&lt;/DisplayText&gt;&lt;record&gt;&lt;rec-number&gt;13&lt;/rec-number&gt;&lt;foreign-keys&gt;&lt;key app="EN" db-id="rz02vvx9eafpazev0tiptsz8evx0fwt2pp0t"&gt;13&lt;/key&gt;&lt;/foreign-keys&gt;&lt;ref-type name="Journal Article"&gt;17&lt;/ref-type&gt;&lt;contributors&gt;&lt;authors&gt;&lt;author&gt;Rosty, C&lt;/author&gt;&lt;author&gt;Brosens, LAA&lt;/author&gt;&lt;author&gt;Dekker, E&lt;/author&gt;&lt;author&gt;Nagtegaal, ID&lt;/author&gt;&lt;/authors&gt;&lt;/contributors&gt;&lt;titles&gt;&lt;title&gt;Serrated polyposis&lt;/title&gt;&lt;secondary-title&gt;WHO Classification of Tumours Editorial Board Digestive System Tumours. WHO Classification of Tumours series. 5th edn. Lyon, France: IARC&lt;/secondary-title&gt;&lt;/titles&gt;&lt;periodical&gt;&lt;full-title&gt;WHO Classification of Tumours Editorial Board Digestive System Tumours. WHO Classification of Tumours series. 5th edn. Lyon, France: IARC&lt;/full-title&gt;&lt;/periodical&gt;&lt;dates&gt;&lt;year&gt;2019&lt;/year&gt;&lt;/dates&gt;&lt;urls&gt;&lt;/urls&gt;&lt;/record&gt;&lt;/Cite&gt;&lt;/EndNote&gt;</w:instrText>
      </w:r>
      <w:r>
        <w:fldChar w:fldCharType="separate"/>
      </w:r>
      <w:r>
        <w:rPr>
          <w:noProof/>
        </w:rPr>
        <w:t>(</w:t>
      </w:r>
      <w:hyperlink w:anchor="_ENREF_11" w:tooltip="Rosty, 2019 #13" w:history="1">
        <w:r>
          <w:rPr>
            <w:noProof/>
          </w:rPr>
          <w:t>Rosty, Brosens et al 2019</w:t>
        </w:r>
      </w:hyperlink>
      <w:r>
        <w:rPr>
          <w:noProof/>
        </w:rPr>
        <w:t>)</w:t>
      </w:r>
      <w:r>
        <w:fldChar w:fldCharType="end"/>
      </w:r>
      <w:r>
        <w:t>.</w:t>
      </w:r>
    </w:p>
    <w:p w14:paraId="64B64075" w14:textId="77777777" w:rsidR="00C45647" w:rsidRPr="00251CBD" w:rsidRDefault="00C45647" w:rsidP="00CB5292">
      <w:pPr>
        <w:pStyle w:val="Bullet"/>
        <w:rPr>
          <w:rFonts w:eastAsiaTheme="minorHAnsi"/>
          <w:lang w:eastAsia="en-US"/>
        </w:rPr>
      </w:pPr>
      <w:r w:rsidRPr="00251CBD">
        <w:rPr>
          <w:rFonts w:eastAsiaTheme="minorHAnsi"/>
          <w:lang w:eastAsia="en-US"/>
        </w:rPr>
        <w:t>0 = Unprepared colon segment with mucosa not seen due to solid stool that cannot be cleared.</w:t>
      </w:r>
    </w:p>
    <w:p w14:paraId="3ED3B72C" w14:textId="77777777" w:rsidR="00C45647" w:rsidRPr="00FE462A" w:rsidRDefault="00C45647" w:rsidP="00CB5292">
      <w:pPr>
        <w:pStyle w:val="Bullet"/>
        <w:rPr>
          <w:rFonts w:eastAsiaTheme="minorHAnsi"/>
          <w:lang w:eastAsia="en-US"/>
        </w:rPr>
      </w:pPr>
      <w:r w:rsidRPr="00E90137">
        <w:rPr>
          <w:rFonts w:eastAsiaTheme="minorHAnsi"/>
          <w:lang w:eastAsia="en-US"/>
        </w:rPr>
        <w:t>1 = Portion of mucosa of the colon segment seen, but other areas of the colon segment not well seen due to staining, residual stool and/or opaque liquid</w:t>
      </w:r>
      <w:r>
        <w:rPr>
          <w:rFonts w:eastAsiaTheme="minorHAnsi"/>
          <w:lang w:eastAsia="en-US"/>
        </w:rPr>
        <w:t>.</w:t>
      </w:r>
    </w:p>
    <w:p w14:paraId="5B26F7B0" w14:textId="77777777" w:rsidR="00C45647" w:rsidRPr="00FE462A" w:rsidRDefault="00C45647" w:rsidP="00CB5292">
      <w:pPr>
        <w:pStyle w:val="Bullet"/>
        <w:rPr>
          <w:rFonts w:eastAsiaTheme="minorHAnsi"/>
          <w:lang w:eastAsia="en-US"/>
        </w:rPr>
      </w:pPr>
      <w:r w:rsidRPr="00E90137">
        <w:rPr>
          <w:rFonts w:eastAsiaTheme="minorHAnsi"/>
          <w:lang w:eastAsia="en-US"/>
        </w:rPr>
        <w:t>2 = Minor amount of residual staining, small fragments of stool and/or opaque liquid, but mucosa of colon segment seen well.</w:t>
      </w:r>
    </w:p>
    <w:p w14:paraId="00F8F993" w14:textId="77777777" w:rsidR="00C45647" w:rsidRDefault="00C45647" w:rsidP="00CB5292">
      <w:pPr>
        <w:pStyle w:val="Bullet"/>
        <w:rPr>
          <w:rFonts w:eastAsiaTheme="minorHAnsi"/>
          <w:lang w:eastAsia="en-US"/>
        </w:rPr>
      </w:pPr>
      <w:r w:rsidRPr="00FE462A">
        <w:rPr>
          <w:rFonts w:eastAsiaTheme="minorHAnsi"/>
          <w:lang w:eastAsia="en-US"/>
        </w:rPr>
        <w:t>3 = Entire mucosa of colon segment seen well with no residual staining, small fragments of stool or opaque liquid.</w:t>
      </w:r>
    </w:p>
    <w:p w14:paraId="6A8B3FB0" w14:textId="77777777" w:rsidR="00C45647" w:rsidRPr="000E0EA0" w:rsidRDefault="00C45647" w:rsidP="00CB5292">
      <w:pPr>
        <w:rPr>
          <w:rFonts w:eastAsiaTheme="minorHAnsi"/>
          <w:lang w:eastAsia="en-US"/>
        </w:rPr>
      </w:pPr>
    </w:p>
    <w:p w14:paraId="7B17211F" w14:textId="77777777" w:rsidR="00C45647" w:rsidRDefault="00C45647" w:rsidP="00CB5292">
      <w:r w:rsidRPr="00034DDC">
        <w:t>These segment scores are summed for a total BBPS score ranging from 0</w:t>
      </w:r>
      <w:r>
        <w:t>–</w:t>
      </w:r>
      <w:r w:rsidRPr="00034DDC">
        <w:t>9</w:t>
      </w:r>
      <w:r w:rsidRPr="009E12DB">
        <w:t>.</w:t>
      </w:r>
    </w:p>
    <w:p w14:paraId="415E93EE" w14:textId="77777777" w:rsidR="00CB5292" w:rsidRDefault="00CB5292" w:rsidP="00CB5292"/>
    <w:p w14:paraId="645DDA11" w14:textId="22C32C66" w:rsidR="00C45647" w:rsidRPr="00251CBD" w:rsidRDefault="00C45647" w:rsidP="00A263FF">
      <w:pPr>
        <w:pStyle w:val="Heading2"/>
      </w:pPr>
      <w:bookmarkStart w:id="29" w:name="_Toc55980521"/>
      <w:bookmarkStart w:id="30" w:name="_Toc57902175"/>
      <w:bookmarkStart w:id="31" w:name="_Toc58238241"/>
      <w:r w:rsidRPr="00D21067">
        <w:t xml:space="preserve">Serrated </w:t>
      </w:r>
      <w:r>
        <w:t>P</w:t>
      </w:r>
      <w:r w:rsidRPr="00D21067">
        <w:t>olyposis</w:t>
      </w:r>
      <w:r>
        <w:t xml:space="preserve"> S</w:t>
      </w:r>
      <w:r w:rsidRPr="00D21067">
        <w:t>yndrome</w:t>
      </w:r>
      <w:bookmarkEnd w:id="29"/>
      <w:bookmarkEnd w:id="30"/>
      <w:bookmarkEnd w:id="31"/>
    </w:p>
    <w:p w14:paraId="7F839863" w14:textId="77777777" w:rsidR="00C45647" w:rsidRDefault="00C45647" w:rsidP="00CB5292">
      <w:r>
        <w:t>The updated World Health Organi</w:t>
      </w:r>
      <w:r w:rsidR="00CB5292">
        <w:t>z</w:t>
      </w:r>
      <w:r>
        <w:t>ation criteria for diagnosis are:</w:t>
      </w:r>
    </w:p>
    <w:p w14:paraId="767A027A" w14:textId="77777777" w:rsidR="00C45647" w:rsidRDefault="00C45647" w:rsidP="00CB5292">
      <w:pPr>
        <w:pStyle w:val="Bullet"/>
      </w:pPr>
      <w:r w:rsidRPr="00251CBD">
        <w:rPr>
          <w:b/>
        </w:rPr>
        <w:t>Criterion 1:</w:t>
      </w:r>
      <w:r>
        <w:t xml:space="preserve"> At least 5 serrated polyps proximal to the rectum all ≥5</w:t>
      </w:r>
      <w:r w:rsidR="00A67884">
        <w:t> </w:t>
      </w:r>
      <w:r>
        <w:t xml:space="preserve">mm, with at least two </w:t>
      </w:r>
      <w:r>
        <w:rPr>
          <w:rFonts w:cs="Fira Sans"/>
        </w:rPr>
        <w:t>≥</w:t>
      </w:r>
      <w:r>
        <w:t>10</w:t>
      </w:r>
      <w:r w:rsidR="00A67884">
        <w:t> </w:t>
      </w:r>
      <w:r>
        <w:t>mm.</w:t>
      </w:r>
    </w:p>
    <w:p w14:paraId="41BDED8B" w14:textId="77777777" w:rsidR="00C45647" w:rsidRDefault="00C45647" w:rsidP="00CB5292">
      <w:pPr>
        <w:pStyle w:val="Bullet"/>
      </w:pPr>
      <w:r w:rsidRPr="00251CBD">
        <w:rPr>
          <w:b/>
        </w:rPr>
        <w:t>Criterion 2:</w:t>
      </w:r>
      <w:r>
        <w:t xml:space="preserve"> More than 20 serrated polyps of any size but distributed throughout the large bowel, with at least 5 proximal to the rectum </w:t>
      </w:r>
      <w:r>
        <w:fldChar w:fldCharType="begin"/>
      </w:r>
      <w:r>
        <w:instrText xml:space="preserve"> ADDIN EN.CITE &lt;EndNote&gt;&lt;Cite&gt;&lt;Author&gt;Dekker&lt;/Author&gt;&lt;Year&gt;2020&lt;/Year&gt;&lt;RecNum&gt;17&lt;/RecNum&gt;&lt;DisplayText&gt;(Dekker, Bleijenberg et al. 2020)&lt;/DisplayText&gt;&lt;record&gt;&lt;rec-number&gt;17&lt;/rec-number&gt;&lt;foreign-keys&gt;&lt;key app="EN" db-id="rz02vvx9eafpazev0tiptsz8evx0fwt2pp0t"&gt;17&lt;/key&gt;&lt;/foreign-keys&gt;&lt;ref-type name="Journal Article"&gt;17&lt;/ref-type&gt;&lt;contributors&gt;&lt;authors&gt;&lt;author&gt;Dekker, Evelien&lt;/author&gt;&lt;author&gt;Bleijenberg, Arne&lt;/author&gt;&lt;author&gt;Balaguer, Francesc&lt;/author&gt;&lt;author&gt;IJspeert, Joep EG&lt;/author&gt;&lt;author&gt;Bleijenberg, Arne GC&lt;/author&gt;&lt;author&gt;Pellisé, Maria&lt;/author&gt;&lt;author&gt;Carballal, Sabela&lt;/author&gt;&lt;author&gt;Rivero, Liseth&lt;/author&gt;&lt;author&gt;Latchford, A&lt;/author&gt;&lt;/authors&gt;&lt;/contributors&gt;&lt;titles&gt;&lt;title&gt;Update on the World Health Organization Criteria for Diagnosis of Serrated Polyposis Syndrome&lt;/title&gt;&lt;secondary-title&gt;Gastroenterology&lt;/secondary-title&gt;&lt;/titles&gt;&lt;periodical&gt;&lt;full-title&gt;Gastroenterology&lt;/full-title&gt;&lt;/periodical&gt;&lt;pages&gt;1520-1523&lt;/pages&gt;&lt;volume&gt;158&lt;/volume&gt;&lt;number&gt;6&lt;/number&gt;&lt;dates&gt;&lt;year&gt;2020&lt;/year&gt;&lt;/dates&gt;&lt;isbn&gt;0016-5085&lt;/isbn&gt;&lt;urls&gt;&lt;/urls&gt;&lt;/record&gt;&lt;/Cite&gt;&lt;/EndNote&gt;</w:instrText>
      </w:r>
      <w:r>
        <w:fldChar w:fldCharType="separate"/>
      </w:r>
      <w:r>
        <w:rPr>
          <w:noProof/>
        </w:rPr>
        <w:t>(</w:t>
      </w:r>
      <w:hyperlink w:anchor="_ENREF_2" w:tooltip="Dekker, 2020 #17" w:history="1">
        <w:r>
          <w:rPr>
            <w:noProof/>
          </w:rPr>
          <w:t>Dekker, Bleijenberg</w:t>
        </w:r>
        <w:r w:rsidR="00A67884">
          <w:rPr>
            <w:noProof/>
          </w:rPr>
          <w:t>,</w:t>
        </w:r>
        <w:r>
          <w:rPr>
            <w:noProof/>
          </w:rPr>
          <w:t xml:space="preserve"> et al 2020</w:t>
        </w:r>
      </w:hyperlink>
      <w:r>
        <w:rPr>
          <w:noProof/>
        </w:rPr>
        <w:t>)</w:t>
      </w:r>
      <w:r>
        <w:fldChar w:fldCharType="end"/>
      </w:r>
      <w:r>
        <w:t>.</w:t>
      </w:r>
    </w:p>
    <w:p w14:paraId="2E4EC4A4" w14:textId="77777777" w:rsidR="00A67884" w:rsidRDefault="00A67884" w:rsidP="00A67884"/>
    <w:p w14:paraId="1EDA8492" w14:textId="77777777" w:rsidR="00C45647" w:rsidRDefault="00C45647" w:rsidP="00A67884">
      <w:r>
        <w:t>Any histologic subtype of serrated polyp is included in the final count. The diagnosis may require more than one colonoscopy and the polyp count is cumulative over time.</w:t>
      </w:r>
    </w:p>
    <w:p w14:paraId="401CA955" w14:textId="77777777" w:rsidR="00A67884" w:rsidRDefault="00A67884" w:rsidP="00A67884"/>
    <w:p w14:paraId="269908FB" w14:textId="77777777" w:rsidR="00C45647" w:rsidRDefault="00C45647" w:rsidP="00A67884">
      <w:pPr>
        <w:pStyle w:val="Heading1"/>
      </w:pPr>
      <w:bookmarkStart w:id="32" w:name="_Toc55980522"/>
      <w:bookmarkStart w:id="33" w:name="_Toc57902176"/>
      <w:bookmarkStart w:id="34" w:name="_Toc58238242"/>
      <w:r>
        <w:lastRenderedPageBreak/>
        <w:t xml:space="preserve">Referral criteria to the </w:t>
      </w:r>
      <w:r w:rsidRPr="00245089">
        <w:t>New Zealand Familial Gastrointestinal Cancer Service</w:t>
      </w:r>
      <w:bookmarkEnd w:id="32"/>
      <w:bookmarkEnd w:id="33"/>
      <w:bookmarkEnd w:id="34"/>
    </w:p>
    <w:p w14:paraId="57FA5CA0" w14:textId="77777777" w:rsidR="00C45647" w:rsidRDefault="00C45647" w:rsidP="00A67884">
      <w:pPr>
        <w:pStyle w:val="Heading2"/>
      </w:pPr>
      <w:bookmarkStart w:id="35" w:name="_Toc57902177"/>
      <w:bookmarkStart w:id="36" w:name="_Toc58238243"/>
      <w:r>
        <w:t>Serrated Polyposis Syndrome</w:t>
      </w:r>
      <w:bookmarkEnd w:id="35"/>
      <w:bookmarkEnd w:id="36"/>
    </w:p>
    <w:p w14:paraId="3AC03EFE" w14:textId="77777777" w:rsidR="00C45647" w:rsidRDefault="00C45647" w:rsidP="00A67884">
      <w:r>
        <w:t>Refer a patient to the New Zealand Familial Gastrointestinal Cancer Service where they meet the World Health Organisation (WHO) criteria for a diagnosis of SPS and have one of the below features:</w:t>
      </w:r>
    </w:p>
    <w:p w14:paraId="7C3D5A15" w14:textId="77777777" w:rsidR="00C45647" w:rsidRDefault="00A67884" w:rsidP="00A67884">
      <w:pPr>
        <w:pStyle w:val="Bullet"/>
      </w:pPr>
      <w:r>
        <w:t>Age &lt; 50 years</w:t>
      </w:r>
    </w:p>
    <w:p w14:paraId="58B5C03A" w14:textId="77777777" w:rsidR="00C45647" w:rsidRDefault="00C45647" w:rsidP="00A67884">
      <w:pPr>
        <w:pStyle w:val="Bullet"/>
      </w:pPr>
      <w:r>
        <w:t>Personal history colorectal cancer (CRC)</w:t>
      </w:r>
    </w:p>
    <w:p w14:paraId="4F9C60CA" w14:textId="77777777" w:rsidR="00C45647" w:rsidRDefault="00C45647" w:rsidP="00A67884">
      <w:pPr>
        <w:pStyle w:val="Bullet"/>
      </w:pPr>
      <w:r>
        <w:t>First degree relative with CRC or SPS diagnosed at age &lt;50 years</w:t>
      </w:r>
    </w:p>
    <w:p w14:paraId="3D39F88E" w14:textId="77777777" w:rsidR="00C45647" w:rsidRDefault="00C45647" w:rsidP="00A67884">
      <w:pPr>
        <w:pStyle w:val="Bullet"/>
      </w:pPr>
      <w:r>
        <w:t>&gt; 20 polyps and 2 &gt; 10mm (meet both WHO 2019 SPS criteria 1 and 2)</w:t>
      </w:r>
    </w:p>
    <w:p w14:paraId="74012AE3" w14:textId="77777777" w:rsidR="00C45647" w:rsidRDefault="00C45647" w:rsidP="00A67884">
      <w:pPr>
        <w:pStyle w:val="Bullet"/>
      </w:pPr>
      <w:r>
        <w:t>Presence serrated lesions with dysplasia.</w:t>
      </w:r>
    </w:p>
    <w:p w14:paraId="6BD7355B" w14:textId="77777777" w:rsidR="00A67884" w:rsidRDefault="00A67884" w:rsidP="00A67884"/>
    <w:p w14:paraId="3A26DDAB" w14:textId="77777777" w:rsidR="00C45647" w:rsidRDefault="00C45647" w:rsidP="00A67884">
      <w:pPr>
        <w:pStyle w:val="Heading2"/>
      </w:pPr>
      <w:bookmarkStart w:id="37" w:name="_Toc57902178"/>
      <w:bookmarkStart w:id="38" w:name="_Toc58238244"/>
      <w:r>
        <w:t xml:space="preserve">Multiple </w:t>
      </w:r>
      <w:r w:rsidR="00A67884">
        <w:t>a</w:t>
      </w:r>
      <w:r>
        <w:t>denoma</w:t>
      </w:r>
      <w:bookmarkEnd w:id="37"/>
      <w:bookmarkEnd w:id="38"/>
    </w:p>
    <w:p w14:paraId="0012BB79" w14:textId="77777777" w:rsidR="00C45647" w:rsidRDefault="00C45647" w:rsidP="00A67884">
      <w:r>
        <w:t>Refer a patient to the New Zealand Familial Gastrointestinal Cancer Service where they have:</w:t>
      </w:r>
    </w:p>
    <w:p w14:paraId="69AEB5F8" w14:textId="77777777" w:rsidR="00C45647" w:rsidRDefault="00C45647" w:rsidP="00A67884">
      <w:pPr>
        <w:pStyle w:val="Bullet"/>
      </w:pPr>
      <w:r>
        <w:t>10 or more adenomas at one time (if aged over 70 years, patient must have at least one advanced adenoma), or</w:t>
      </w:r>
    </w:p>
    <w:p w14:paraId="6E87E0F4" w14:textId="77777777" w:rsidR="00C45647" w:rsidRDefault="00C45647" w:rsidP="00A67884">
      <w:pPr>
        <w:pStyle w:val="Bullet"/>
      </w:pPr>
      <w:r>
        <w:t>5 or more advanced adenomas at one time, or</w:t>
      </w:r>
    </w:p>
    <w:p w14:paraId="6DCDF3C3" w14:textId="77777777" w:rsidR="00C45647" w:rsidRDefault="00C45647" w:rsidP="00A67884">
      <w:pPr>
        <w:pStyle w:val="Bullet"/>
      </w:pPr>
      <w:r>
        <w:t>20 cumulative adenomas, or</w:t>
      </w:r>
    </w:p>
    <w:p w14:paraId="110D7B40" w14:textId="77777777" w:rsidR="00C45647" w:rsidRDefault="00C45647" w:rsidP="00A67884">
      <w:pPr>
        <w:pStyle w:val="Bullet"/>
      </w:pPr>
      <w:r>
        <w:t>10 cumulative adenomas if the patient is aged 30 years or younger.</w:t>
      </w:r>
    </w:p>
    <w:p w14:paraId="4D3E0005" w14:textId="77777777" w:rsidR="00A67884" w:rsidRDefault="00A67884" w:rsidP="00A67884"/>
    <w:p w14:paraId="5E939B61" w14:textId="77777777" w:rsidR="00C45647" w:rsidRDefault="00C45647" w:rsidP="00A67884">
      <w:pPr>
        <w:pStyle w:val="Heading1"/>
      </w:pPr>
      <w:bookmarkStart w:id="39" w:name="_Toc57902179"/>
      <w:bookmarkStart w:id="40" w:name="_Toc58238245"/>
      <w:r>
        <w:lastRenderedPageBreak/>
        <w:t>References</w:t>
      </w:r>
      <w:bookmarkEnd w:id="39"/>
      <w:bookmarkEnd w:id="40"/>
    </w:p>
    <w:p w14:paraId="5FBCB0BA" w14:textId="77777777" w:rsidR="00C45647" w:rsidRPr="00A60ACA" w:rsidRDefault="00C45647" w:rsidP="00A67884">
      <w:pPr>
        <w:pStyle w:val="References"/>
        <w:rPr>
          <w:noProof/>
        </w:rPr>
      </w:pPr>
      <w:r>
        <w:fldChar w:fldCharType="begin"/>
      </w:r>
      <w:r>
        <w:instrText xml:space="preserve"> ADDIN EN.REFLIST </w:instrText>
      </w:r>
      <w:r>
        <w:fldChar w:fldCharType="separate"/>
      </w:r>
      <w:bookmarkStart w:id="41" w:name="_ENREF_1"/>
      <w:r w:rsidRPr="00A60ACA">
        <w:rPr>
          <w:noProof/>
        </w:rPr>
        <w:t>Cancer Council Australia Surveillance Colonoscopy Guidelines Working Party</w:t>
      </w:r>
      <w:r w:rsidR="00A67884">
        <w:rPr>
          <w:noProof/>
        </w:rPr>
        <w:t>.</w:t>
      </w:r>
      <w:r w:rsidRPr="00A60ACA">
        <w:rPr>
          <w:noProof/>
        </w:rPr>
        <w:t xml:space="preserve"> 2019</w:t>
      </w:r>
      <w:r w:rsidR="00A67884">
        <w:rPr>
          <w:noProof/>
        </w:rPr>
        <w:t xml:space="preserve">. </w:t>
      </w:r>
      <w:r w:rsidRPr="00A67884">
        <w:rPr>
          <w:i/>
          <w:noProof/>
        </w:rPr>
        <w:t>Clinical Practice Guidelines for Surveillance Colonoscopy</w:t>
      </w:r>
      <w:r w:rsidRPr="00A60ACA">
        <w:rPr>
          <w:noProof/>
        </w:rPr>
        <w:t xml:space="preserve">. Retrieved 13 August 2020, from </w:t>
      </w:r>
      <w:hyperlink r:id="rId26" w:history="1">
        <w:r w:rsidR="00A67884" w:rsidRPr="00A67884">
          <w:rPr>
            <w:rStyle w:val="Hyperlink"/>
            <w:noProof/>
          </w:rPr>
          <w:t>https://wiki.cancer.org.au/australia/Guidelines:Colorectal_cancer/Colonoscopy_surveillance</w:t>
        </w:r>
      </w:hyperlink>
      <w:r w:rsidRPr="00A60ACA">
        <w:rPr>
          <w:noProof/>
        </w:rPr>
        <w:t>.</w:t>
      </w:r>
    </w:p>
    <w:p w14:paraId="64D4BD43" w14:textId="77777777" w:rsidR="00C45647" w:rsidRPr="00A60ACA" w:rsidRDefault="00C45647" w:rsidP="00A67884">
      <w:pPr>
        <w:pStyle w:val="References"/>
        <w:rPr>
          <w:noProof/>
        </w:rPr>
      </w:pPr>
      <w:bookmarkStart w:id="42" w:name="_ENREF_2"/>
      <w:bookmarkEnd w:id="41"/>
      <w:r w:rsidRPr="00A60ACA">
        <w:rPr>
          <w:noProof/>
        </w:rPr>
        <w:t xml:space="preserve">Dekker E, et al. 2020. Update on the World Health Organization Criteria for Diagnosis of Serrated Polyposis Syndrome. </w:t>
      </w:r>
      <w:r w:rsidRPr="00A67884">
        <w:rPr>
          <w:i/>
          <w:noProof/>
        </w:rPr>
        <w:t>Gastroenterology</w:t>
      </w:r>
      <w:r w:rsidRPr="00A60ACA">
        <w:rPr>
          <w:noProof/>
        </w:rPr>
        <w:t xml:space="preserve"> </w:t>
      </w:r>
      <w:r w:rsidRPr="00A67884">
        <w:rPr>
          <w:noProof/>
        </w:rPr>
        <w:t>158</w:t>
      </w:r>
      <w:r w:rsidRPr="00A60ACA">
        <w:rPr>
          <w:noProof/>
        </w:rPr>
        <w:t>(6): 1520</w:t>
      </w:r>
      <w:r w:rsidR="00A67884">
        <w:rPr>
          <w:noProof/>
        </w:rPr>
        <w:t>–</w:t>
      </w:r>
      <w:r w:rsidRPr="00A60ACA">
        <w:rPr>
          <w:noProof/>
        </w:rPr>
        <w:t>3.</w:t>
      </w:r>
    </w:p>
    <w:p w14:paraId="506DB08B" w14:textId="77777777" w:rsidR="00C45647" w:rsidRPr="00A60ACA" w:rsidRDefault="00C45647" w:rsidP="00A67884">
      <w:pPr>
        <w:pStyle w:val="References"/>
        <w:rPr>
          <w:noProof/>
        </w:rPr>
      </w:pPr>
      <w:bookmarkStart w:id="43" w:name="_ENREF_3"/>
      <w:bookmarkEnd w:id="42"/>
      <w:r w:rsidRPr="00A60ACA">
        <w:rPr>
          <w:noProof/>
        </w:rPr>
        <w:t>Endoscopy Governance Group for New Zealand</w:t>
      </w:r>
      <w:r w:rsidR="00A67884">
        <w:rPr>
          <w:noProof/>
        </w:rPr>
        <w:t>.</w:t>
      </w:r>
      <w:r w:rsidRPr="00A60ACA">
        <w:rPr>
          <w:noProof/>
        </w:rPr>
        <w:t xml:space="preserve"> 2017. Endoscopy Standards for Individual Colonoscopists Performing Bowel Cancer Screening in New Zealand. Retrieved 13</w:t>
      </w:r>
      <w:r w:rsidR="00A67884">
        <w:rPr>
          <w:noProof/>
        </w:rPr>
        <w:t> </w:t>
      </w:r>
      <w:r w:rsidRPr="00A60ACA">
        <w:rPr>
          <w:noProof/>
        </w:rPr>
        <w:t xml:space="preserve">August 2020, from </w:t>
      </w:r>
      <w:hyperlink r:id="rId27" w:history="1">
        <w:r w:rsidR="00A67884" w:rsidRPr="00A67884">
          <w:rPr>
            <w:rStyle w:val="Hyperlink"/>
            <w:noProof/>
          </w:rPr>
          <w:t>https://endoscopyquality.co.nz/assets/Uploads/EGGNZ-Endoscopy-Standards-for-Individual-Colonoscopists-Performing-Bowel-Cancer-Screening-in-New-Zealand-Final-v3.0.pdf</w:t>
        </w:r>
      </w:hyperlink>
      <w:r w:rsidRPr="00A60ACA">
        <w:rPr>
          <w:noProof/>
        </w:rPr>
        <w:t>.</w:t>
      </w:r>
    </w:p>
    <w:p w14:paraId="1B1AB258" w14:textId="77777777" w:rsidR="00C45647" w:rsidRPr="00A60ACA" w:rsidRDefault="00C45647" w:rsidP="00A67884">
      <w:pPr>
        <w:pStyle w:val="References"/>
        <w:rPr>
          <w:noProof/>
        </w:rPr>
      </w:pPr>
      <w:bookmarkStart w:id="44" w:name="_ENREF_4"/>
      <w:bookmarkEnd w:id="43"/>
      <w:r w:rsidRPr="00A60ACA">
        <w:rPr>
          <w:noProof/>
        </w:rPr>
        <w:t>Endoscopy Guidance Group for New Zealand</w:t>
      </w:r>
      <w:r w:rsidR="00A67884">
        <w:rPr>
          <w:noProof/>
        </w:rPr>
        <w:t>.</w:t>
      </w:r>
      <w:r w:rsidRPr="00A60ACA">
        <w:rPr>
          <w:noProof/>
        </w:rPr>
        <w:t xml:space="preserve"> 2018. </w:t>
      </w:r>
      <w:r w:rsidRPr="00A67884">
        <w:rPr>
          <w:i/>
          <w:noProof/>
        </w:rPr>
        <w:t>Guidelines for Local Credentialing in Adult Endoscopy</w:t>
      </w:r>
      <w:r w:rsidRPr="00A60ACA">
        <w:rPr>
          <w:noProof/>
        </w:rPr>
        <w:t>. Retrieved 13 August 2020.</w:t>
      </w:r>
    </w:p>
    <w:p w14:paraId="6A389862" w14:textId="77777777" w:rsidR="00C45647" w:rsidRPr="00A60ACA" w:rsidRDefault="00C45647" w:rsidP="00A67884">
      <w:pPr>
        <w:pStyle w:val="References"/>
        <w:rPr>
          <w:noProof/>
        </w:rPr>
      </w:pPr>
      <w:bookmarkStart w:id="45" w:name="_ENREF_5"/>
      <w:bookmarkEnd w:id="44"/>
      <w:r w:rsidRPr="00A60ACA">
        <w:rPr>
          <w:noProof/>
        </w:rPr>
        <w:t xml:space="preserve">Ferlitsch M, et al. 2017. Colorectal polypectomy and endoscopic mucosal resection (EMR): European Society of Gastrointestinal Endoscopy (ESGE) clinical guideline. </w:t>
      </w:r>
      <w:r w:rsidRPr="00A67884">
        <w:rPr>
          <w:i/>
          <w:noProof/>
        </w:rPr>
        <w:t>Endoscopy</w:t>
      </w:r>
      <w:r w:rsidRPr="00A60ACA">
        <w:rPr>
          <w:noProof/>
        </w:rPr>
        <w:t xml:space="preserve"> </w:t>
      </w:r>
      <w:r w:rsidRPr="00A67884">
        <w:rPr>
          <w:noProof/>
        </w:rPr>
        <w:t>49</w:t>
      </w:r>
      <w:r w:rsidRPr="00A60ACA">
        <w:rPr>
          <w:noProof/>
        </w:rPr>
        <w:t>(3): 270</w:t>
      </w:r>
      <w:r w:rsidR="00A67884">
        <w:rPr>
          <w:noProof/>
        </w:rPr>
        <w:t>–</w:t>
      </w:r>
      <w:r w:rsidRPr="00A60ACA">
        <w:rPr>
          <w:noProof/>
        </w:rPr>
        <w:t>97.</w:t>
      </w:r>
    </w:p>
    <w:p w14:paraId="183ACD35" w14:textId="77777777" w:rsidR="00C45647" w:rsidRPr="00A60ACA" w:rsidRDefault="00C45647" w:rsidP="00A67884">
      <w:pPr>
        <w:pStyle w:val="References"/>
        <w:rPr>
          <w:noProof/>
        </w:rPr>
      </w:pPr>
      <w:bookmarkStart w:id="46" w:name="_ENREF_6"/>
      <w:bookmarkEnd w:id="45"/>
      <w:r w:rsidRPr="00A60ACA">
        <w:rPr>
          <w:noProof/>
        </w:rPr>
        <w:t xml:space="preserve">Gupta S, et al. 2020. Recommendations for follow-up after colonoscopy and polypectomy: a consensus update by the US Multi-Society Task Force on Colorectal Cancer. </w:t>
      </w:r>
      <w:r w:rsidRPr="00A67884">
        <w:rPr>
          <w:i/>
          <w:noProof/>
        </w:rPr>
        <w:t xml:space="preserve">Gastrointestinal </w:t>
      </w:r>
      <w:r w:rsidR="00A67884">
        <w:rPr>
          <w:i/>
          <w:noProof/>
        </w:rPr>
        <w:t>E</w:t>
      </w:r>
      <w:r w:rsidRPr="00A67884">
        <w:rPr>
          <w:i/>
          <w:noProof/>
        </w:rPr>
        <w:t>ndoscopy</w:t>
      </w:r>
      <w:r w:rsidRPr="00A60ACA">
        <w:rPr>
          <w:noProof/>
        </w:rPr>
        <w:t xml:space="preserve"> </w:t>
      </w:r>
      <w:r w:rsidRPr="00A67884">
        <w:rPr>
          <w:noProof/>
        </w:rPr>
        <w:t>91</w:t>
      </w:r>
      <w:r w:rsidRPr="00A60ACA">
        <w:rPr>
          <w:noProof/>
        </w:rPr>
        <w:t>(3): 463</w:t>
      </w:r>
      <w:r w:rsidR="00A67884">
        <w:rPr>
          <w:noProof/>
        </w:rPr>
        <w:t>–</w:t>
      </w:r>
      <w:r w:rsidRPr="00A60ACA">
        <w:rPr>
          <w:noProof/>
        </w:rPr>
        <w:t>85. e465.</w:t>
      </w:r>
    </w:p>
    <w:p w14:paraId="22DF296C" w14:textId="77777777" w:rsidR="00C45647" w:rsidRPr="00A60ACA" w:rsidRDefault="00C45647" w:rsidP="00A67884">
      <w:pPr>
        <w:pStyle w:val="References"/>
        <w:rPr>
          <w:noProof/>
        </w:rPr>
      </w:pPr>
      <w:bookmarkStart w:id="47" w:name="_ENREF_7"/>
      <w:bookmarkEnd w:id="46"/>
      <w:r w:rsidRPr="00A60ACA">
        <w:rPr>
          <w:noProof/>
        </w:rPr>
        <w:t>Hassan C, et al. 2020. Post-polypectomy colonoscopy surveillance: European Society of Gastrointestinal Endoscopy (ESGE) Guideline</w:t>
      </w:r>
      <w:r w:rsidR="00A67884">
        <w:rPr>
          <w:noProof/>
        </w:rPr>
        <w:t xml:space="preserve"> – </w:t>
      </w:r>
      <w:r w:rsidRPr="00A60ACA">
        <w:rPr>
          <w:noProof/>
        </w:rPr>
        <w:t xml:space="preserve">Update 2020. </w:t>
      </w:r>
      <w:r w:rsidRPr="00A67884">
        <w:rPr>
          <w:i/>
          <w:noProof/>
        </w:rPr>
        <w:t>Endoscopy</w:t>
      </w:r>
      <w:r w:rsidRPr="00A60ACA">
        <w:rPr>
          <w:noProof/>
        </w:rPr>
        <w:t xml:space="preserve"> </w:t>
      </w:r>
      <w:r w:rsidRPr="00A67884">
        <w:rPr>
          <w:noProof/>
        </w:rPr>
        <w:t>52</w:t>
      </w:r>
      <w:r w:rsidRPr="00A60ACA">
        <w:rPr>
          <w:noProof/>
        </w:rPr>
        <w:t>(08): 687</w:t>
      </w:r>
      <w:r w:rsidR="00A67884">
        <w:rPr>
          <w:noProof/>
        </w:rPr>
        <w:t>–</w:t>
      </w:r>
      <w:r w:rsidRPr="00A60ACA">
        <w:rPr>
          <w:noProof/>
        </w:rPr>
        <w:t>700.</w:t>
      </w:r>
    </w:p>
    <w:p w14:paraId="6644CC6E" w14:textId="77777777" w:rsidR="00C45647" w:rsidRPr="00A60ACA" w:rsidRDefault="00C45647" w:rsidP="00A67884">
      <w:pPr>
        <w:pStyle w:val="References"/>
        <w:rPr>
          <w:noProof/>
        </w:rPr>
      </w:pPr>
      <w:bookmarkStart w:id="48" w:name="_ENREF_8"/>
      <w:bookmarkEnd w:id="47"/>
      <w:r w:rsidRPr="00A60ACA">
        <w:rPr>
          <w:noProof/>
        </w:rPr>
        <w:t>Health Quality &amp; Safety Commission New Zealand</w:t>
      </w:r>
      <w:r w:rsidR="00A67884">
        <w:rPr>
          <w:noProof/>
        </w:rPr>
        <w:t>.</w:t>
      </w:r>
      <w:r w:rsidRPr="00A60ACA">
        <w:rPr>
          <w:noProof/>
        </w:rPr>
        <w:t xml:space="preserve"> 19 July 2017. </w:t>
      </w:r>
      <w:r w:rsidRPr="00A67884">
        <w:rPr>
          <w:i/>
          <w:noProof/>
        </w:rPr>
        <w:t>Bowel Cancer</w:t>
      </w:r>
      <w:r w:rsidRPr="00A60ACA">
        <w:rPr>
          <w:noProof/>
        </w:rPr>
        <w:t>. Retrieved 23</w:t>
      </w:r>
      <w:r w:rsidR="00A67884">
        <w:rPr>
          <w:noProof/>
        </w:rPr>
        <w:t> </w:t>
      </w:r>
      <w:r w:rsidRPr="00A60ACA">
        <w:rPr>
          <w:noProof/>
        </w:rPr>
        <w:t xml:space="preserve">November 2020, from </w:t>
      </w:r>
      <w:hyperlink r:id="rId28" w:history="1">
        <w:r w:rsidR="00A67884" w:rsidRPr="00A67884">
          <w:rPr>
            <w:rStyle w:val="Hyperlink"/>
            <w:noProof/>
          </w:rPr>
          <w:t>https://www.hqsc.govt.nz/our-programmes/health-quality-evaluation/projects/atlas-of-healthcare-variation/bowel-cancer/</w:t>
        </w:r>
      </w:hyperlink>
      <w:r w:rsidRPr="00A60ACA">
        <w:rPr>
          <w:noProof/>
        </w:rPr>
        <w:t>.</w:t>
      </w:r>
    </w:p>
    <w:p w14:paraId="78637AA3" w14:textId="77777777" w:rsidR="00C45647" w:rsidRPr="00A60ACA" w:rsidRDefault="00C45647" w:rsidP="00A67884">
      <w:pPr>
        <w:pStyle w:val="References"/>
        <w:rPr>
          <w:noProof/>
        </w:rPr>
      </w:pPr>
      <w:bookmarkStart w:id="49" w:name="_ENREF_9"/>
      <w:bookmarkEnd w:id="48"/>
      <w:r w:rsidRPr="00A60ACA">
        <w:rPr>
          <w:noProof/>
        </w:rPr>
        <w:t xml:space="preserve">Hill S, et al. 2010. Survival disparities in </w:t>
      </w:r>
      <w:r w:rsidR="00A67884">
        <w:rPr>
          <w:noProof/>
        </w:rPr>
        <w:t>i</w:t>
      </w:r>
      <w:r w:rsidRPr="00A60ACA">
        <w:rPr>
          <w:noProof/>
        </w:rPr>
        <w:t>ndigenous and non-</w:t>
      </w:r>
      <w:r w:rsidR="00A67884">
        <w:rPr>
          <w:noProof/>
        </w:rPr>
        <w:t>i</w:t>
      </w:r>
      <w:r w:rsidRPr="00A60ACA">
        <w:rPr>
          <w:noProof/>
        </w:rPr>
        <w:t xml:space="preserve">ndigenous New Zealanders with colon cancer: the role of patient comorbidity, treatment and health service factors. </w:t>
      </w:r>
      <w:r w:rsidRPr="00A67884">
        <w:rPr>
          <w:i/>
          <w:noProof/>
        </w:rPr>
        <w:t>Journal of Epidemiology &amp; Community Health</w:t>
      </w:r>
      <w:r w:rsidRPr="00A60ACA">
        <w:rPr>
          <w:noProof/>
        </w:rPr>
        <w:t xml:space="preserve"> </w:t>
      </w:r>
      <w:r w:rsidRPr="00A67884">
        <w:rPr>
          <w:noProof/>
        </w:rPr>
        <w:t>64</w:t>
      </w:r>
      <w:r w:rsidRPr="00A60ACA">
        <w:rPr>
          <w:noProof/>
        </w:rPr>
        <w:t>(2): 117</w:t>
      </w:r>
      <w:r w:rsidR="00A67884">
        <w:rPr>
          <w:noProof/>
        </w:rPr>
        <w:t>–</w:t>
      </w:r>
      <w:r w:rsidRPr="00A60ACA">
        <w:rPr>
          <w:noProof/>
        </w:rPr>
        <w:t>23.</w:t>
      </w:r>
    </w:p>
    <w:p w14:paraId="1B64C7E3" w14:textId="77777777" w:rsidR="00C45647" w:rsidRPr="00A60ACA" w:rsidRDefault="00C45647" w:rsidP="00A67884">
      <w:pPr>
        <w:pStyle w:val="References"/>
        <w:rPr>
          <w:noProof/>
        </w:rPr>
      </w:pPr>
      <w:bookmarkStart w:id="50" w:name="_ENREF_10"/>
      <w:bookmarkEnd w:id="49"/>
      <w:r w:rsidRPr="00A60ACA">
        <w:rPr>
          <w:noProof/>
        </w:rPr>
        <w:t>Ministry of Health</w:t>
      </w:r>
      <w:r w:rsidR="00A67884">
        <w:rPr>
          <w:noProof/>
        </w:rPr>
        <w:t>.</w:t>
      </w:r>
      <w:r w:rsidRPr="00A60ACA">
        <w:rPr>
          <w:noProof/>
        </w:rPr>
        <w:t xml:space="preserve"> 2012. </w:t>
      </w:r>
      <w:r w:rsidRPr="00A67884">
        <w:rPr>
          <w:i/>
          <w:noProof/>
        </w:rPr>
        <w:t>Guidance on Surveillance for People at Increased Risk of Colorectal Cancer</w:t>
      </w:r>
      <w:r w:rsidRPr="00A60ACA">
        <w:rPr>
          <w:noProof/>
        </w:rPr>
        <w:t xml:space="preserve">. Retrieved 13 August 2020, from </w:t>
      </w:r>
      <w:hyperlink r:id="rId29" w:history="1">
        <w:r w:rsidR="00A67884" w:rsidRPr="00A67884">
          <w:rPr>
            <w:rStyle w:val="Hyperlink"/>
            <w:noProof/>
          </w:rPr>
          <w:t>https://www.health.govt.nz/system/files/documents/publications/colorectal-cancer-surveillance-guidance.pdf</w:t>
        </w:r>
      </w:hyperlink>
      <w:r w:rsidRPr="00A60ACA">
        <w:rPr>
          <w:noProof/>
        </w:rPr>
        <w:t>.</w:t>
      </w:r>
    </w:p>
    <w:p w14:paraId="04550EEF" w14:textId="77777777" w:rsidR="00C45647" w:rsidRPr="00A67884" w:rsidRDefault="00C45647" w:rsidP="00A67884">
      <w:pPr>
        <w:pStyle w:val="References"/>
        <w:rPr>
          <w:noProof/>
        </w:rPr>
      </w:pPr>
      <w:bookmarkStart w:id="51" w:name="_ENREF_11"/>
      <w:bookmarkEnd w:id="50"/>
      <w:r w:rsidRPr="00A60ACA">
        <w:rPr>
          <w:noProof/>
        </w:rPr>
        <w:t xml:space="preserve">Rosty C, et al. 2019. Serrated polyposis. </w:t>
      </w:r>
      <w:r w:rsidRPr="00A67884">
        <w:rPr>
          <w:i/>
          <w:noProof/>
        </w:rPr>
        <w:t>WHO Classification of Tumours Editorial Board Digestive System Tumours</w:t>
      </w:r>
      <w:r w:rsidRPr="00A67884">
        <w:rPr>
          <w:noProof/>
        </w:rPr>
        <w:t>. WHO Classification of Tumours series</w:t>
      </w:r>
      <w:r w:rsidR="00A67884">
        <w:rPr>
          <w:noProof/>
        </w:rPr>
        <w:t xml:space="preserve"> (</w:t>
      </w:r>
      <w:r w:rsidRPr="00A67884">
        <w:rPr>
          <w:noProof/>
        </w:rPr>
        <w:t>5th ed</w:t>
      </w:r>
      <w:r w:rsidR="00A67884">
        <w:rPr>
          <w:noProof/>
        </w:rPr>
        <w:t>ition)</w:t>
      </w:r>
      <w:r w:rsidRPr="00A67884">
        <w:rPr>
          <w:noProof/>
        </w:rPr>
        <w:t>. Lyon, France: IARC.</w:t>
      </w:r>
    </w:p>
    <w:p w14:paraId="4E2A9488" w14:textId="77777777" w:rsidR="00C45647" w:rsidRPr="00A60ACA" w:rsidRDefault="00C45647" w:rsidP="00A67884">
      <w:pPr>
        <w:pStyle w:val="References"/>
        <w:rPr>
          <w:noProof/>
        </w:rPr>
      </w:pPr>
      <w:bookmarkStart w:id="52" w:name="_ENREF_12"/>
      <w:bookmarkEnd w:id="51"/>
      <w:r w:rsidRPr="00A60ACA">
        <w:rPr>
          <w:noProof/>
        </w:rPr>
        <w:t xml:space="preserve">Rutter MD, et al. 2020. British Society of Gastroenterology/Association of Coloproctology of Great Britain and Ireland/Public Health England post-polypectomy and post-colorectal cancer resection surveillance guidelines. </w:t>
      </w:r>
      <w:r w:rsidRPr="00A67884">
        <w:rPr>
          <w:i/>
          <w:noProof/>
        </w:rPr>
        <w:t>Gut</w:t>
      </w:r>
      <w:r w:rsidRPr="00A60ACA">
        <w:rPr>
          <w:noProof/>
        </w:rPr>
        <w:t xml:space="preserve"> </w:t>
      </w:r>
      <w:r w:rsidRPr="00A67884">
        <w:rPr>
          <w:noProof/>
        </w:rPr>
        <w:t>69</w:t>
      </w:r>
      <w:r w:rsidRPr="00A60ACA">
        <w:rPr>
          <w:noProof/>
        </w:rPr>
        <w:t>(2): 201</w:t>
      </w:r>
      <w:r w:rsidR="00A67884">
        <w:rPr>
          <w:noProof/>
        </w:rPr>
        <w:t>–</w:t>
      </w:r>
      <w:r w:rsidRPr="00A60ACA">
        <w:rPr>
          <w:noProof/>
        </w:rPr>
        <w:t>23.</w:t>
      </w:r>
    </w:p>
    <w:p w14:paraId="5290F79A" w14:textId="77777777" w:rsidR="00FF2E6B" w:rsidRDefault="00C45647" w:rsidP="00FF2E6B">
      <w:pPr>
        <w:pStyle w:val="References"/>
        <w:spacing w:after="0"/>
      </w:pPr>
      <w:bookmarkStart w:id="53" w:name="_ENREF_13"/>
      <w:bookmarkEnd w:id="52"/>
      <w:r w:rsidRPr="00A60ACA">
        <w:rPr>
          <w:noProof/>
        </w:rPr>
        <w:t xml:space="preserve">Sidhu M, et al. 2018. The size, morphology, site, and access score predicts critical outcomes of endoscopic mucosal resection in the colon. </w:t>
      </w:r>
      <w:r w:rsidRPr="00A67884">
        <w:rPr>
          <w:i/>
          <w:noProof/>
        </w:rPr>
        <w:t>Endoscopy</w:t>
      </w:r>
      <w:r w:rsidRPr="00A60ACA">
        <w:rPr>
          <w:noProof/>
        </w:rPr>
        <w:t xml:space="preserve"> </w:t>
      </w:r>
      <w:r w:rsidRPr="00A67884">
        <w:rPr>
          <w:noProof/>
        </w:rPr>
        <w:t>50</w:t>
      </w:r>
      <w:r w:rsidRPr="00A60ACA">
        <w:rPr>
          <w:noProof/>
        </w:rPr>
        <w:t>(07): 684</w:t>
      </w:r>
      <w:r w:rsidR="00A67884">
        <w:rPr>
          <w:noProof/>
        </w:rPr>
        <w:t>–</w:t>
      </w:r>
      <w:r w:rsidRPr="00A60ACA">
        <w:rPr>
          <w:noProof/>
        </w:rPr>
        <w:t>92.</w:t>
      </w:r>
      <w:bookmarkEnd w:id="53"/>
      <w:r>
        <w:fldChar w:fldCharType="end"/>
      </w:r>
    </w:p>
    <w:sectPr w:rsidR="00FF2E6B" w:rsidSect="002B7BEC">
      <w:footerReference w:type="even" r:id="rId30"/>
      <w:footerReference w:type="default" r:id="rId3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BEF2" w14:textId="77777777" w:rsidR="00D4048E" w:rsidRDefault="00D4048E">
      <w:r>
        <w:separator/>
      </w:r>
    </w:p>
    <w:p w14:paraId="482A386F" w14:textId="77777777" w:rsidR="00D4048E" w:rsidRDefault="00D4048E"/>
  </w:endnote>
  <w:endnote w:type="continuationSeparator" w:id="0">
    <w:p w14:paraId="7139463B" w14:textId="77777777" w:rsidR="00D4048E" w:rsidRDefault="00D4048E">
      <w:r>
        <w:continuationSeparator/>
      </w:r>
    </w:p>
    <w:p w14:paraId="3D482E55" w14:textId="77777777" w:rsidR="00D4048E" w:rsidRDefault="00D4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Fira Sans SemiBold">
    <w:altName w:val="Calibri"/>
    <w:charset w:val="00"/>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2DF2" w14:textId="77777777" w:rsidR="00105770" w:rsidRPr="005718A6" w:rsidRDefault="00105770" w:rsidP="005A79E5">
    <w:pPr>
      <w:pStyle w:val="Footer"/>
      <w:pBdr>
        <w:bottom w:val="single" w:sz="4" w:space="1" w:color="auto"/>
      </w:pBdr>
      <w:tabs>
        <w:tab w:val="right" w:pos="9639"/>
      </w:tabs>
    </w:pPr>
    <w:r w:rsidRPr="005718A6">
      <w:t>Released 20</w:t>
    </w:r>
    <w:r w:rsidR="00FB0A5B" w:rsidRPr="005718A6">
      <w:t>20</w:t>
    </w:r>
    <w:r w:rsidRPr="005718A6">
      <w:tab/>
    </w:r>
    <w:hyperlink r:id="rId1" w:history="1">
      <w:r w:rsidR="00200906" w:rsidRPr="00414B6D">
        <w:rPr>
          <w:rStyle w:val="Hyperlink"/>
        </w:rPr>
        <w:t>health.govt.nz</w:t>
      </w:r>
    </w:hyperlink>
  </w:p>
  <w:p w14:paraId="39F469B7"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4E6F"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66EF"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852C5D" w14:paraId="1A055C11" w14:textId="77777777" w:rsidTr="00852C5D">
      <w:trPr>
        <w:cantSplit/>
      </w:trPr>
      <w:tc>
        <w:tcPr>
          <w:tcW w:w="675" w:type="dxa"/>
          <w:vAlign w:val="center"/>
        </w:tcPr>
        <w:p w14:paraId="4E6260DA"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67884">
            <w:rPr>
              <w:rStyle w:val="PageNumber"/>
              <w:noProof/>
            </w:rPr>
            <w:t>iv</w:t>
          </w:r>
          <w:r w:rsidRPr="00931466">
            <w:rPr>
              <w:rStyle w:val="PageNumber"/>
            </w:rPr>
            <w:fldChar w:fldCharType="end"/>
          </w:r>
        </w:p>
      </w:tc>
      <w:tc>
        <w:tcPr>
          <w:tcW w:w="8080" w:type="dxa"/>
          <w:vAlign w:val="center"/>
        </w:tcPr>
        <w:p w14:paraId="2F2A60D7" w14:textId="77777777" w:rsidR="00852C5D" w:rsidRDefault="00852C5D" w:rsidP="00454B75">
          <w:pPr>
            <w:pStyle w:val="RectoFooter"/>
            <w:ind w:left="-108"/>
          </w:pPr>
          <w:r>
            <w:t>[title]: [subhead]</w:t>
          </w:r>
        </w:p>
      </w:tc>
      <w:tc>
        <w:tcPr>
          <w:tcW w:w="992" w:type="dxa"/>
          <w:vAlign w:val="center"/>
        </w:tcPr>
        <w:p w14:paraId="07D1E330" w14:textId="20CA33B6" w:rsidR="00852C5D" w:rsidRDefault="00852C5D" w:rsidP="00454B75">
          <w:pPr>
            <w:pStyle w:val="RectoFooter"/>
            <w:ind w:left="-108"/>
          </w:pPr>
        </w:p>
      </w:tc>
    </w:tr>
  </w:tbl>
  <w:p w14:paraId="5AA9B16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3FC2A268" w14:textId="77777777" w:rsidTr="00B13C0B">
      <w:trPr>
        <w:cantSplit/>
      </w:trPr>
      <w:tc>
        <w:tcPr>
          <w:tcW w:w="709" w:type="dxa"/>
          <w:vAlign w:val="center"/>
        </w:tcPr>
        <w:p w14:paraId="488D7793" w14:textId="77777777" w:rsidR="003952F9" w:rsidRDefault="003952F9" w:rsidP="00120C4C">
          <w:pPr>
            <w:pStyle w:val="RectoFooter"/>
            <w:spacing w:before="120"/>
            <w:jc w:val="left"/>
          </w:pPr>
          <w:r>
            <w:rPr>
              <w:noProof/>
              <w:lang w:eastAsia="en-NZ"/>
            </w:rPr>
            <w:drawing>
              <wp:inline distT="0" distB="0" distL="0" distR="0" wp14:anchorId="05D50157" wp14:editId="448D8D21">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76312D79" w14:textId="77777777" w:rsidR="003952F9" w:rsidRDefault="00086A05" w:rsidP="00086A05">
          <w:pPr>
            <w:pStyle w:val="RectoFooter"/>
            <w:spacing w:before="120"/>
            <w:jc w:val="left"/>
          </w:pPr>
          <w:r>
            <w:t>update on polyp guidelines 2020</w:t>
          </w:r>
        </w:p>
      </w:tc>
      <w:tc>
        <w:tcPr>
          <w:tcW w:w="709" w:type="dxa"/>
          <w:vAlign w:val="center"/>
        </w:tcPr>
        <w:p w14:paraId="57AA6A73"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iii</w:t>
          </w:r>
          <w:r w:rsidRPr="00931466">
            <w:rPr>
              <w:rStyle w:val="PageNumber"/>
            </w:rPr>
            <w:fldChar w:fldCharType="end"/>
          </w:r>
        </w:p>
      </w:tc>
    </w:tr>
  </w:tbl>
  <w:p w14:paraId="28DD4773"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52B1F" w14:paraId="69C64CEA" w14:textId="77777777" w:rsidTr="00B13C0B">
      <w:trPr>
        <w:cantSplit/>
      </w:trPr>
      <w:tc>
        <w:tcPr>
          <w:tcW w:w="675" w:type="dxa"/>
          <w:vAlign w:val="center"/>
        </w:tcPr>
        <w:p w14:paraId="5594BEE2"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12</w:t>
          </w:r>
          <w:r w:rsidRPr="00931466">
            <w:rPr>
              <w:rStyle w:val="PageNumber"/>
            </w:rPr>
            <w:fldChar w:fldCharType="end"/>
          </w:r>
        </w:p>
      </w:tc>
      <w:tc>
        <w:tcPr>
          <w:tcW w:w="8222" w:type="dxa"/>
          <w:vAlign w:val="center"/>
        </w:tcPr>
        <w:p w14:paraId="466BCDD3" w14:textId="77777777" w:rsidR="00552B1F" w:rsidRDefault="00086A05" w:rsidP="00086A05">
          <w:pPr>
            <w:pStyle w:val="RectoFooter"/>
            <w:spacing w:before="120"/>
            <w:ind w:left="-108"/>
          </w:pPr>
          <w:r>
            <w:t>update on polyp guidelines 2020</w:t>
          </w:r>
        </w:p>
      </w:tc>
      <w:tc>
        <w:tcPr>
          <w:tcW w:w="850" w:type="dxa"/>
          <w:vAlign w:val="center"/>
        </w:tcPr>
        <w:p w14:paraId="30C3FCCF" w14:textId="77777777" w:rsidR="00552B1F" w:rsidRDefault="00552B1F" w:rsidP="00120C4C">
          <w:pPr>
            <w:pStyle w:val="RectoFooter"/>
            <w:spacing w:before="120"/>
            <w:ind w:left="-108"/>
          </w:pPr>
          <w:r>
            <w:rPr>
              <w:noProof/>
              <w:lang w:eastAsia="en-NZ"/>
            </w:rPr>
            <w:drawing>
              <wp:inline distT="0" distB="0" distL="0" distR="0" wp14:anchorId="59F9AEBB" wp14:editId="056C1504">
                <wp:extent cx="373711" cy="414082"/>
                <wp:effectExtent l="0" t="0" r="762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81A44A"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0819EE14" w14:textId="77777777" w:rsidTr="00B13C0B">
      <w:trPr>
        <w:cantSplit/>
      </w:trPr>
      <w:tc>
        <w:tcPr>
          <w:tcW w:w="709" w:type="dxa"/>
          <w:vAlign w:val="center"/>
        </w:tcPr>
        <w:p w14:paraId="6E15315B" w14:textId="77777777" w:rsidR="004374D1" w:rsidRDefault="003952F9" w:rsidP="00120C4C">
          <w:pPr>
            <w:pStyle w:val="RectoFooter"/>
            <w:spacing w:before="120"/>
            <w:jc w:val="left"/>
          </w:pPr>
          <w:r>
            <w:rPr>
              <w:noProof/>
              <w:lang w:eastAsia="en-NZ"/>
            </w:rPr>
            <w:drawing>
              <wp:inline distT="0" distB="0" distL="0" distR="0" wp14:anchorId="597CFD7E" wp14:editId="1E6EEEC1">
                <wp:extent cx="373711" cy="414082"/>
                <wp:effectExtent l="0" t="0" r="762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3E136566" w14:textId="77777777" w:rsidR="004374D1" w:rsidRDefault="00086A05" w:rsidP="00086A05">
          <w:pPr>
            <w:pStyle w:val="RectoFooter"/>
            <w:spacing w:before="120"/>
            <w:jc w:val="left"/>
          </w:pPr>
          <w:r>
            <w:t>update on polyp guidelines 2020</w:t>
          </w:r>
        </w:p>
      </w:tc>
      <w:tc>
        <w:tcPr>
          <w:tcW w:w="709" w:type="dxa"/>
          <w:vAlign w:val="center"/>
        </w:tcPr>
        <w:p w14:paraId="0925BEEB"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11</w:t>
          </w:r>
          <w:r w:rsidRPr="00931466">
            <w:rPr>
              <w:rStyle w:val="PageNumber"/>
            </w:rPr>
            <w:fldChar w:fldCharType="end"/>
          </w:r>
        </w:p>
      </w:tc>
    </w:tr>
  </w:tbl>
  <w:p w14:paraId="65CF2B49"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DBE5" w14:textId="77777777" w:rsidR="00D4048E" w:rsidRPr="00A26E6B" w:rsidRDefault="00D4048E" w:rsidP="00A26E6B"/>
  </w:footnote>
  <w:footnote w:type="continuationSeparator" w:id="0">
    <w:p w14:paraId="506327D1" w14:textId="77777777" w:rsidR="00D4048E" w:rsidRDefault="00D4048E">
      <w:r>
        <w:continuationSeparator/>
      </w:r>
    </w:p>
    <w:p w14:paraId="06FB6C93" w14:textId="77777777" w:rsidR="00D4048E" w:rsidRDefault="00D40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2977"/>
      <w:gridCol w:w="3047"/>
      <w:gridCol w:w="3615"/>
    </w:tblGrid>
    <w:tr w:rsidR="00086A05" w14:paraId="3438CD59" w14:textId="77777777" w:rsidTr="00086A05">
      <w:trPr>
        <w:cantSplit/>
      </w:trPr>
      <w:tc>
        <w:tcPr>
          <w:tcW w:w="2977" w:type="dxa"/>
        </w:tcPr>
        <w:p w14:paraId="63C0BB15" w14:textId="77777777" w:rsidR="00086A05" w:rsidRDefault="00086A05" w:rsidP="008814E8">
          <w:pPr>
            <w:pStyle w:val="Header"/>
          </w:pPr>
          <w:r>
            <w:rPr>
              <w:noProof/>
              <w:lang w:eastAsia="en-NZ"/>
            </w:rPr>
            <w:drawing>
              <wp:inline distT="0" distB="0" distL="0" distR="0" wp14:anchorId="17CA1E35" wp14:editId="7C015B72">
                <wp:extent cx="1396538" cy="650613"/>
                <wp:effectExtent l="0" t="0" r="0" b="0"/>
                <wp:docPr id="1" name="Picture 1"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3047" w:type="dxa"/>
          <w:vAlign w:val="center"/>
        </w:tcPr>
        <w:p w14:paraId="73D5FAAE" w14:textId="77777777" w:rsidR="00086A05" w:rsidRDefault="00086A05" w:rsidP="00086A05">
          <w:pPr>
            <w:pStyle w:val="Header"/>
            <w:jc w:val="center"/>
          </w:pPr>
          <w:r>
            <w:rPr>
              <w:noProof/>
              <w:lang w:eastAsia="en-NZ"/>
            </w:rPr>
            <w:drawing>
              <wp:inline distT="0" distB="0" distL="0" distR="0" wp14:anchorId="4CCED777" wp14:editId="10BDE37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3615" w:type="dxa"/>
          <w:vAlign w:val="center"/>
        </w:tcPr>
        <w:p w14:paraId="72FECE2F" w14:textId="77777777" w:rsidR="00086A05" w:rsidRDefault="00086A05" w:rsidP="008814E8">
          <w:pPr>
            <w:pStyle w:val="Header"/>
            <w:jc w:val="right"/>
          </w:pPr>
          <w:r>
            <w:rPr>
              <w:noProof/>
              <w:lang w:eastAsia="en-NZ"/>
            </w:rPr>
            <w:drawing>
              <wp:inline distT="0" distB="0" distL="0" distR="0" wp14:anchorId="6D2EBEC8" wp14:editId="011FFE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22A94F2"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266B"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5DE4"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86A05"/>
    <w:rsid w:val="00094800"/>
    <w:rsid w:val="000A0158"/>
    <w:rsid w:val="000A373D"/>
    <w:rsid w:val="000A41ED"/>
    <w:rsid w:val="000B0730"/>
    <w:rsid w:val="000D19F4"/>
    <w:rsid w:val="000D58DD"/>
    <w:rsid w:val="000E0BD4"/>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9B2"/>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708A"/>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74C8"/>
    <w:rsid w:val="003E74E2"/>
    <w:rsid w:val="003E7C46"/>
    <w:rsid w:val="003F2106"/>
    <w:rsid w:val="003F52A7"/>
    <w:rsid w:val="003F7013"/>
    <w:rsid w:val="003F7F6A"/>
    <w:rsid w:val="0040240C"/>
    <w:rsid w:val="00403E7D"/>
    <w:rsid w:val="00413021"/>
    <w:rsid w:val="00414C35"/>
    <w:rsid w:val="004171B7"/>
    <w:rsid w:val="004301C6"/>
    <w:rsid w:val="00432FAA"/>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026F"/>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63E0"/>
    <w:rsid w:val="00581136"/>
    <w:rsid w:val="00581EB8"/>
    <w:rsid w:val="005839E7"/>
    <w:rsid w:val="0058437F"/>
    <w:rsid w:val="005A27CA"/>
    <w:rsid w:val="005A43BD"/>
    <w:rsid w:val="005A79E5"/>
    <w:rsid w:val="005D034C"/>
    <w:rsid w:val="005D41CC"/>
    <w:rsid w:val="005E226E"/>
    <w:rsid w:val="005E2636"/>
    <w:rsid w:val="005F076D"/>
    <w:rsid w:val="005F1711"/>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5747"/>
    <w:rsid w:val="006D63E5"/>
    <w:rsid w:val="006E1753"/>
    <w:rsid w:val="006E2886"/>
    <w:rsid w:val="006E3911"/>
    <w:rsid w:val="006E69F4"/>
    <w:rsid w:val="006F1B67"/>
    <w:rsid w:val="006F4D9C"/>
    <w:rsid w:val="0070091D"/>
    <w:rsid w:val="00702854"/>
    <w:rsid w:val="007145F7"/>
    <w:rsid w:val="0071741C"/>
    <w:rsid w:val="00742B90"/>
    <w:rsid w:val="0074434D"/>
    <w:rsid w:val="00752E53"/>
    <w:rsid w:val="007570C4"/>
    <w:rsid w:val="007605B8"/>
    <w:rsid w:val="00771B1E"/>
    <w:rsid w:val="00773C95"/>
    <w:rsid w:val="0078171E"/>
    <w:rsid w:val="0078658E"/>
    <w:rsid w:val="00791F2E"/>
    <w:rsid w:val="007920E2"/>
    <w:rsid w:val="0079566E"/>
    <w:rsid w:val="00795B34"/>
    <w:rsid w:val="007979D9"/>
    <w:rsid w:val="007A067F"/>
    <w:rsid w:val="007A119E"/>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0CA"/>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11AC"/>
    <w:rsid w:val="008C2973"/>
    <w:rsid w:val="008C6324"/>
    <w:rsid w:val="008C64C4"/>
    <w:rsid w:val="008D1D30"/>
    <w:rsid w:val="008D2CDD"/>
    <w:rsid w:val="008D74D5"/>
    <w:rsid w:val="008D7C9F"/>
    <w:rsid w:val="008E04BA"/>
    <w:rsid w:val="008E0ED1"/>
    <w:rsid w:val="008E2083"/>
    <w:rsid w:val="008E293D"/>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1434"/>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CD3"/>
    <w:rsid w:val="00A24F33"/>
    <w:rsid w:val="00A25069"/>
    <w:rsid w:val="00A263FF"/>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67884"/>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C0B"/>
    <w:rsid w:val="00B13D41"/>
    <w:rsid w:val="00B253F6"/>
    <w:rsid w:val="00B26675"/>
    <w:rsid w:val="00B305DB"/>
    <w:rsid w:val="00B332F8"/>
    <w:rsid w:val="00B3492B"/>
    <w:rsid w:val="00B44C72"/>
    <w:rsid w:val="00B4646F"/>
    <w:rsid w:val="00B47C82"/>
    <w:rsid w:val="00B55C7D"/>
    <w:rsid w:val="00B606DD"/>
    <w:rsid w:val="00B63038"/>
    <w:rsid w:val="00B64BD8"/>
    <w:rsid w:val="00B701D1"/>
    <w:rsid w:val="00B73AF2"/>
    <w:rsid w:val="00B73D79"/>
    <w:rsid w:val="00B7551A"/>
    <w:rsid w:val="00B773F1"/>
    <w:rsid w:val="00B86AB1"/>
    <w:rsid w:val="00B87726"/>
    <w:rsid w:val="00B91B22"/>
    <w:rsid w:val="00BA7EBA"/>
    <w:rsid w:val="00BB2611"/>
    <w:rsid w:val="00BB2A06"/>
    <w:rsid w:val="00BB2CBB"/>
    <w:rsid w:val="00BB4198"/>
    <w:rsid w:val="00BC03EE"/>
    <w:rsid w:val="00BC59F1"/>
    <w:rsid w:val="00BD488E"/>
    <w:rsid w:val="00BF3DE1"/>
    <w:rsid w:val="00BF4843"/>
    <w:rsid w:val="00BF5205"/>
    <w:rsid w:val="00C05132"/>
    <w:rsid w:val="00C12508"/>
    <w:rsid w:val="00C1741B"/>
    <w:rsid w:val="00C23728"/>
    <w:rsid w:val="00C3026C"/>
    <w:rsid w:val="00C313A9"/>
    <w:rsid w:val="00C33A5E"/>
    <w:rsid w:val="00C33F56"/>
    <w:rsid w:val="00C347C8"/>
    <w:rsid w:val="00C358E4"/>
    <w:rsid w:val="00C418EE"/>
    <w:rsid w:val="00C441CF"/>
    <w:rsid w:val="00C45647"/>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5292"/>
    <w:rsid w:val="00CB6427"/>
    <w:rsid w:val="00CC0FBE"/>
    <w:rsid w:val="00CD075E"/>
    <w:rsid w:val="00CD077C"/>
    <w:rsid w:val="00CD2119"/>
    <w:rsid w:val="00CD237A"/>
    <w:rsid w:val="00CD36AC"/>
    <w:rsid w:val="00CD7344"/>
    <w:rsid w:val="00CE13A3"/>
    <w:rsid w:val="00CE36BC"/>
    <w:rsid w:val="00CF1747"/>
    <w:rsid w:val="00CF60ED"/>
    <w:rsid w:val="00D05D74"/>
    <w:rsid w:val="00D20C59"/>
    <w:rsid w:val="00D23323"/>
    <w:rsid w:val="00D2392A"/>
    <w:rsid w:val="00D25FFE"/>
    <w:rsid w:val="00D27922"/>
    <w:rsid w:val="00D27A64"/>
    <w:rsid w:val="00D37D80"/>
    <w:rsid w:val="00D4048E"/>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60"/>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254D"/>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4448"/>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2E6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11DCF"/>
  <w15:docId w15:val="{A9803F56-E29B-4EA2-9EE6-4E1A99F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line="240" w:lineRule="auto"/>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24CD3"/>
    <w:pPr>
      <w:spacing w:before="80"/>
      <w:ind w:left="284" w:hanging="284"/>
    </w:pPr>
    <w:rPr>
      <w:sz w:val="17"/>
    </w:rPr>
  </w:style>
  <w:style w:type="character" w:customStyle="1" w:styleId="NoteChar">
    <w:name w:val="Note Char"/>
    <w:link w:val="Note"/>
    <w:rsid w:val="00A24CD3"/>
    <w:rPr>
      <w:rFonts w:ascii="Fira Sans" w:hAnsi="Fira Sans"/>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A24CD3"/>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24CD3"/>
    <w:pPr>
      <w:spacing w:after="200" w:line="240" w:lineRule="auto"/>
    </w:pPr>
    <w:rPr>
      <w:b/>
      <w:bCs/>
      <w:color w:val="4F81BD" w:themeColor="accent1"/>
      <w:sz w:val="18"/>
      <w:szCs w:val="18"/>
    </w:rPr>
  </w:style>
  <w:style w:type="paragraph" w:styleId="BalloonText">
    <w:name w:val="Balloon Text"/>
    <w:basedOn w:val="Normal"/>
    <w:link w:val="BalloonTextChar"/>
    <w:semiHidden/>
    <w:unhideWhenUsed/>
    <w:rsid w:val="00A24CD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CD3"/>
    <w:rPr>
      <w:rFonts w:ascii="Tahoma" w:hAnsi="Tahoma" w:cs="Tahoma"/>
      <w:sz w:val="16"/>
      <w:szCs w:val="16"/>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hyperlink" Target="https://wiki.cancer.org.au/australia/Guidelines:Colorectal_cancer/Colonoscopy_surveillanc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s://www.health.govt.nz/system/files/documents/publications/colorectal-cancer-surveillance-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system/files/documents/publications/colorectal-cancer-surveillance-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hyperlink" Target="http://www.health.govt.nz/publications" TargetMode="External"/><Relationship Id="rId28" Type="http://schemas.openxmlformats.org/officeDocument/2006/relationships/hyperlink" Target="https://www.hqsc.govt.nz/our-programmes/health-quality-evaluation/projects/atlas-of-healthcare-variation/bowel-cance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footer" Target="footer5.xml"/><Relationship Id="rId27" Type="http://schemas.openxmlformats.org/officeDocument/2006/relationships/hyperlink" Target="https://endoscopyquality.co.nz/assets/Uploads/EGGNZ-Endoscopy-Standards-for-Individual-Colonoscopists-Performing-Bowel-Cancer-Screening-in-New-Zealand-Final-v3.0.pdf"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1F355-B05A-41BE-A702-00B093E1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51FE8-7CBB-4B8B-A7A9-5F6EF845DDE3}">
  <ds:schemaRefs>
    <ds:schemaRef ds:uri="http://schemas.openxmlformats.org/officeDocument/2006/bibliography"/>
  </ds:schemaRefs>
</ds:datastoreItem>
</file>

<file path=customXml/itemProps3.xml><?xml version="1.0" encoding="utf-8"?>
<ds:datastoreItem xmlns:ds="http://schemas.openxmlformats.org/officeDocument/2006/customXml" ds:itemID="{012B80F3-AB98-4DE5-ACE1-979224628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43687-3D15-4831-83F0-B70D71D8A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15</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Update on Polyp Surveillance Guidelines</vt:lpstr>
    </vt:vector>
  </TitlesOfParts>
  <Company>Microsoft</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Polyp Surveillance Guidelines</dc:title>
  <dc:creator>Cancer Control Agency</dc:creator>
  <cp:lastModifiedBy>Ministry of Health</cp:lastModifiedBy>
  <cp:revision>7</cp:revision>
  <cp:lastPrinted>2021-09-06T07:01:00Z</cp:lastPrinted>
  <dcterms:created xsi:type="dcterms:W3CDTF">2020-12-07T02:53:00Z</dcterms:created>
  <dcterms:modified xsi:type="dcterms:W3CDTF">2021-09-06T07:01:00Z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