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804"/>
        <w:gridCol w:w="2694"/>
      </w:tblGrid>
      <w:tr w:rsidR="00D56D8D" w:rsidRPr="00DD748F" w14:paraId="0D335D4D" w14:textId="77777777" w:rsidTr="00BA03AA">
        <w:trPr>
          <w:cantSplit/>
        </w:trPr>
        <w:tc>
          <w:tcPr>
            <w:tcW w:w="6804" w:type="dxa"/>
            <w:shd w:val="clear" w:color="auto" w:fill="auto"/>
            <w:vAlign w:val="bottom"/>
          </w:tcPr>
          <w:p w14:paraId="6E098CD1" w14:textId="3FAB157D" w:rsidR="008348B7" w:rsidRPr="00DD748F" w:rsidRDefault="00BA03AA" w:rsidP="00BA03AA">
            <w:pPr>
              <w:pStyle w:val="Title"/>
            </w:pPr>
            <w:r>
              <w:t>The Importance of Media Guidelines for Reporting on Suicide</w:t>
            </w:r>
          </w:p>
        </w:tc>
        <w:tc>
          <w:tcPr>
            <w:tcW w:w="2694" w:type="dxa"/>
            <w:shd w:val="clear" w:color="auto" w:fill="auto"/>
            <w:vAlign w:val="bottom"/>
          </w:tcPr>
          <w:p w14:paraId="7F6C11BA" w14:textId="77777777" w:rsidR="00CD373C" w:rsidRPr="00DD748F" w:rsidRDefault="00CD373C" w:rsidP="0092659B">
            <w:pPr>
              <w:spacing w:after="120"/>
              <w:jc w:val="right"/>
            </w:pPr>
          </w:p>
          <w:p w14:paraId="6FF10AAC" w14:textId="75870396" w:rsidR="00423830" w:rsidRPr="00242284" w:rsidRDefault="00B341F9" w:rsidP="00242284">
            <w:pPr>
              <w:spacing w:after="120"/>
              <w:jc w:val="right"/>
              <w:rPr>
                <w:rFonts w:cs="Segoe UI"/>
                <w:color w:val="002B7F"/>
                <w:sz w:val="28"/>
                <w:szCs w:val="28"/>
              </w:rPr>
            </w:pPr>
            <w:r>
              <w:rPr>
                <w:rFonts w:cs="Segoe UI"/>
                <w:sz w:val="28"/>
                <w:szCs w:val="28"/>
              </w:rPr>
              <w:t>September 2021</w:t>
            </w:r>
          </w:p>
        </w:tc>
      </w:tr>
    </w:tbl>
    <w:p w14:paraId="068F0D58" w14:textId="77777777" w:rsidR="008348B7" w:rsidRDefault="008348B7" w:rsidP="00A401D7">
      <w:pPr>
        <w:spacing w:after="360"/>
      </w:pPr>
    </w:p>
    <w:p w14:paraId="53D0E226" w14:textId="5B87991C" w:rsidR="00783D9C" w:rsidRPr="00BA03AA" w:rsidRDefault="00BA03AA" w:rsidP="00BA03AA">
      <w:pPr>
        <w:spacing w:after="240"/>
        <w:ind w:right="2268"/>
        <w:rPr>
          <w:rFonts w:ascii="Segoe UI Light" w:hAnsi="Segoe UI Light" w:cs="Segoe UI Light"/>
          <w:w w:val="110"/>
          <w:sz w:val="28"/>
          <w:szCs w:val="28"/>
        </w:rPr>
      </w:pPr>
      <w:r w:rsidRPr="00BA03AA">
        <w:rPr>
          <w:rFonts w:ascii="Segoe UI Light" w:hAnsi="Segoe UI Light" w:cs="Segoe UI Light"/>
          <w:w w:val="110"/>
          <w:sz w:val="28"/>
          <w:szCs w:val="28"/>
        </w:rPr>
        <w:t>The Suicide Prevention Office offers the following commentary in support of the guidelines.</w:t>
      </w:r>
    </w:p>
    <w:p w14:paraId="01596941" w14:textId="5B57CDFB" w:rsidR="00BA03AA" w:rsidRPr="00BA03AA" w:rsidRDefault="00BA03AA" w:rsidP="00BA03AA">
      <w:r>
        <w:rPr>
          <w:w w:val="105"/>
        </w:rPr>
        <w:t>Evidence shows that media reporting about self-harm and suicide can have a negative impact on vulnerable people, including being associated with increases in subsequent rates of suicide.</w:t>
      </w:r>
      <w:r>
        <w:rPr>
          <w:rStyle w:val="FootnoteReference"/>
          <w:w w:val="105"/>
        </w:rPr>
        <w:footnoteReference w:id="1"/>
      </w:r>
      <w:r>
        <w:rPr>
          <w:w w:val="105"/>
        </w:rPr>
        <w:t xml:space="preserve"> Particularly problematic reporting includes:</w:t>
      </w:r>
      <w:r>
        <w:rPr>
          <w:rStyle w:val="FootnoteReference"/>
          <w:w w:val="105"/>
        </w:rPr>
        <w:footnoteReference w:id="2"/>
      </w:r>
    </w:p>
    <w:p w14:paraId="5E2782FB" w14:textId="77777777" w:rsidR="00BA03AA" w:rsidRDefault="00BA03AA" w:rsidP="00BA03AA">
      <w:pPr>
        <w:pStyle w:val="Bullet"/>
      </w:pPr>
      <w:r>
        <w:rPr>
          <w:w w:val="105"/>
        </w:rPr>
        <w:t>reports</w:t>
      </w:r>
      <w:r>
        <w:rPr>
          <w:spacing w:val="-15"/>
          <w:w w:val="105"/>
        </w:rPr>
        <w:t xml:space="preserve"> </w:t>
      </w:r>
      <w:r>
        <w:rPr>
          <w:w w:val="105"/>
        </w:rPr>
        <w:t>of</w:t>
      </w:r>
      <w:r>
        <w:rPr>
          <w:spacing w:val="-15"/>
          <w:w w:val="105"/>
        </w:rPr>
        <w:t xml:space="preserve"> </w:t>
      </w:r>
      <w:r>
        <w:rPr>
          <w:w w:val="105"/>
        </w:rPr>
        <w:t>suicides</w:t>
      </w:r>
      <w:r>
        <w:rPr>
          <w:spacing w:val="-15"/>
          <w:w w:val="105"/>
        </w:rPr>
        <w:t xml:space="preserve"> </w:t>
      </w:r>
      <w:r>
        <w:rPr>
          <w:w w:val="105"/>
        </w:rPr>
        <w:t>by</w:t>
      </w:r>
      <w:r>
        <w:rPr>
          <w:spacing w:val="-15"/>
          <w:w w:val="105"/>
        </w:rPr>
        <w:t xml:space="preserve"> </w:t>
      </w:r>
      <w:r>
        <w:rPr>
          <w:w w:val="105"/>
        </w:rPr>
        <w:t>celebrities</w:t>
      </w:r>
    </w:p>
    <w:p w14:paraId="2CD8C302" w14:textId="77777777" w:rsidR="00BA03AA" w:rsidRDefault="00BA03AA" w:rsidP="00BA03AA">
      <w:pPr>
        <w:pStyle w:val="Bullet"/>
      </w:pPr>
      <w:r>
        <w:rPr>
          <w:w w:val="105"/>
        </w:rPr>
        <w:t>descriptions</w:t>
      </w:r>
      <w:r>
        <w:rPr>
          <w:spacing w:val="-27"/>
          <w:w w:val="105"/>
        </w:rPr>
        <w:t xml:space="preserve"> </w:t>
      </w:r>
      <w:r>
        <w:rPr>
          <w:w w:val="105"/>
        </w:rPr>
        <w:t>or</w:t>
      </w:r>
      <w:r>
        <w:rPr>
          <w:spacing w:val="-26"/>
          <w:w w:val="105"/>
        </w:rPr>
        <w:t xml:space="preserve"> </w:t>
      </w:r>
      <w:r>
        <w:rPr>
          <w:w w:val="105"/>
        </w:rPr>
        <w:t>implications</w:t>
      </w:r>
      <w:r>
        <w:rPr>
          <w:spacing w:val="-26"/>
          <w:w w:val="105"/>
        </w:rPr>
        <w:t xml:space="preserve"> </w:t>
      </w:r>
      <w:r>
        <w:rPr>
          <w:w w:val="105"/>
        </w:rPr>
        <w:t>of</w:t>
      </w:r>
      <w:r>
        <w:rPr>
          <w:spacing w:val="-26"/>
          <w:w w:val="105"/>
        </w:rPr>
        <w:t xml:space="preserve"> </w:t>
      </w:r>
      <w:r>
        <w:rPr>
          <w:spacing w:val="-3"/>
          <w:w w:val="105"/>
        </w:rPr>
        <w:t xml:space="preserve">suicide </w:t>
      </w:r>
      <w:r>
        <w:rPr>
          <w:w w:val="105"/>
        </w:rPr>
        <w:t>methods</w:t>
      </w:r>
    </w:p>
    <w:p w14:paraId="12BDF148" w14:textId="77777777" w:rsidR="00BA03AA" w:rsidRDefault="00BA03AA" w:rsidP="00BA03AA">
      <w:pPr>
        <w:pStyle w:val="Bullet"/>
      </w:pPr>
      <w:r>
        <w:t xml:space="preserve">sensationalist headlines (including terms </w:t>
      </w:r>
      <w:r>
        <w:rPr>
          <w:spacing w:val="-5"/>
        </w:rPr>
        <w:t xml:space="preserve">like </w:t>
      </w:r>
      <w:r>
        <w:t>‘surge’, ‘spike’, ‘crisis’,</w:t>
      </w:r>
      <w:r>
        <w:rPr>
          <w:spacing w:val="-43"/>
        </w:rPr>
        <w:t xml:space="preserve"> </w:t>
      </w:r>
      <w:r>
        <w:t>‘epidemic’)</w:t>
      </w:r>
    </w:p>
    <w:p w14:paraId="1BDE0A8F" w14:textId="77777777" w:rsidR="00BA03AA" w:rsidRDefault="00BA03AA" w:rsidP="00BA03AA">
      <w:pPr>
        <w:pStyle w:val="Bullet"/>
      </w:pPr>
      <w:r>
        <w:t>repetitive</w:t>
      </w:r>
      <w:r>
        <w:rPr>
          <w:spacing w:val="-10"/>
        </w:rPr>
        <w:t xml:space="preserve"> </w:t>
      </w:r>
      <w:r>
        <w:t>reporting</w:t>
      </w:r>
    </w:p>
    <w:p w14:paraId="3047DAA7" w14:textId="77777777" w:rsidR="00BA03AA" w:rsidRDefault="00BA03AA" w:rsidP="00BA03AA">
      <w:pPr>
        <w:pStyle w:val="Bullet"/>
      </w:pPr>
      <w:r>
        <w:rPr>
          <w:w w:val="105"/>
        </w:rPr>
        <w:t>reporting</w:t>
      </w:r>
      <w:r>
        <w:rPr>
          <w:spacing w:val="-14"/>
          <w:w w:val="105"/>
        </w:rPr>
        <w:t xml:space="preserve"> </w:t>
      </w:r>
      <w:r>
        <w:rPr>
          <w:w w:val="105"/>
        </w:rPr>
        <w:t>that</w:t>
      </w:r>
      <w:r>
        <w:rPr>
          <w:spacing w:val="-14"/>
          <w:w w:val="105"/>
        </w:rPr>
        <w:t xml:space="preserve"> </w:t>
      </w:r>
      <w:r>
        <w:rPr>
          <w:w w:val="105"/>
        </w:rPr>
        <w:t>depicts</w:t>
      </w:r>
      <w:r>
        <w:rPr>
          <w:spacing w:val="-14"/>
          <w:w w:val="105"/>
        </w:rPr>
        <w:t xml:space="preserve"> </w:t>
      </w:r>
      <w:r>
        <w:rPr>
          <w:w w:val="105"/>
        </w:rPr>
        <w:t>suicide</w:t>
      </w:r>
      <w:r>
        <w:rPr>
          <w:spacing w:val="-14"/>
          <w:w w:val="105"/>
        </w:rPr>
        <w:t xml:space="preserve"> </w:t>
      </w:r>
      <w:r>
        <w:rPr>
          <w:w w:val="105"/>
        </w:rPr>
        <w:t>as</w:t>
      </w:r>
      <w:r>
        <w:rPr>
          <w:spacing w:val="-13"/>
          <w:w w:val="105"/>
        </w:rPr>
        <w:t xml:space="preserve"> </w:t>
      </w:r>
      <w:r>
        <w:rPr>
          <w:w w:val="105"/>
        </w:rPr>
        <w:t>inevitable</w:t>
      </w:r>
    </w:p>
    <w:p w14:paraId="320BB090" w14:textId="76B1BF42" w:rsidR="00BA03AA" w:rsidRDefault="00BA03AA" w:rsidP="00BA03AA">
      <w:pPr>
        <w:pStyle w:val="Bullet"/>
      </w:pPr>
      <w:r w:rsidRPr="00BA03AA">
        <w:rPr>
          <w:w w:val="105"/>
        </w:rPr>
        <w:t>reporting that reinforces myths about suicide. Examples of such myths are that people who talk about suicide don’t mean to do it, that someone who is suicidal is determined to die and can’t be dissuaded from that intention, that only people with mental</w:t>
      </w:r>
      <w:r w:rsidRPr="00BA03AA">
        <w:rPr>
          <w:spacing w:val="-19"/>
          <w:w w:val="105"/>
        </w:rPr>
        <w:t xml:space="preserve"> </w:t>
      </w:r>
      <w:r w:rsidRPr="00BA03AA">
        <w:rPr>
          <w:w w:val="105"/>
        </w:rPr>
        <w:t>disorders</w:t>
      </w:r>
      <w:r w:rsidRPr="00BA03AA">
        <w:rPr>
          <w:spacing w:val="-19"/>
          <w:w w:val="105"/>
        </w:rPr>
        <w:t xml:space="preserve"> </w:t>
      </w:r>
      <w:r w:rsidRPr="00BA03AA">
        <w:rPr>
          <w:w w:val="105"/>
        </w:rPr>
        <w:t>are</w:t>
      </w:r>
      <w:r w:rsidRPr="00BA03AA">
        <w:rPr>
          <w:spacing w:val="-19"/>
          <w:w w:val="105"/>
        </w:rPr>
        <w:t xml:space="preserve"> </w:t>
      </w:r>
      <w:r w:rsidRPr="00BA03AA">
        <w:rPr>
          <w:w w:val="105"/>
        </w:rPr>
        <w:t>suicidal,</w:t>
      </w:r>
      <w:r w:rsidRPr="00BA03AA">
        <w:rPr>
          <w:spacing w:val="-19"/>
          <w:w w:val="105"/>
        </w:rPr>
        <w:t xml:space="preserve"> </w:t>
      </w:r>
      <w:r w:rsidRPr="00BA03AA">
        <w:rPr>
          <w:w w:val="105"/>
        </w:rPr>
        <w:t>that</w:t>
      </w:r>
      <w:r w:rsidRPr="00BA03AA">
        <w:rPr>
          <w:spacing w:val="-19"/>
          <w:w w:val="105"/>
        </w:rPr>
        <w:t xml:space="preserve"> </w:t>
      </w:r>
      <w:r w:rsidRPr="00BA03AA">
        <w:rPr>
          <w:w w:val="105"/>
        </w:rPr>
        <w:t>suicide</w:t>
      </w:r>
      <w:r w:rsidRPr="00BA03AA">
        <w:rPr>
          <w:spacing w:val="-19"/>
          <w:w w:val="105"/>
        </w:rPr>
        <w:t xml:space="preserve"> </w:t>
      </w:r>
      <w:r w:rsidRPr="00BA03AA">
        <w:rPr>
          <w:spacing w:val="-9"/>
          <w:w w:val="105"/>
        </w:rPr>
        <w:t xml:space="preserve">is </w:t>
      </w:r>
      <w:r w:rsidRPr="00BA03AA">
        <w:rPr>
          <w:w w:val="105"/>
        </w:rPr>
        <w:t>easy</w:t>
      </w:r>
      <w:r w:rsidRPr="00BA03AA">
        <w:rPr>
          <w:spacing w:val="-19"/>
          <w:w w:val="105"/>
        </w:rPr>
        <w:t xml:space="preserve"> </w:t>
      </w:r>
      <w:r w:rsidRPr="00BA03AA">
        <w:rPr>
          <w:w w:val="105"/>
        </w:rPr>
        <w:t>to</w:t>
      </w:r>
      <w:r w:rsidRPr="00BA03AA">
        <w:rPr>
          <w:spacing w:val="-19"/>
          <w:w w:val="105"/>
        </w:rPr>
        <w:t xml:space="preserve"> </w:t>
      </w:r>
      <w:r w:rsidRPr="00BA03AA">
        <w:rPr>
          <w:w w:val="105"/>
        </w:rPr>
        <w:t>explain,</w:t>
      </w:r>
      <w:r w:rsidRPr="00BA03AA">
        <w:rPr>
          <w:spacing w:val="-19"/>
          <w:w w:val="105"/>
        </w:rPr>
        <w:t xml:space="preserve"> </w:t>
      </w:r>
      <w:r w:rsidRPr="00BA03AA">
        <w:rPr>
          <w:w w:val="105"/>
        </w:rPr>
        <w:t>that</w:t>
      </w:r>
      <w:r w:rsidRPr="00BA03AA">
        <w:rPr>
          <w:spacing w:val="-19"/>
          <w:w w:val="105"/>
        </w:rPr>
        <w:t xml:space="preserve"> </w:t>
      </w:r>
      <w:r w:rsidRPr="00BA03AA">
        <w:rPr>
          <w:w w:val="105"/>
        </w:rPr>
        <w:t>suicide</w:t>
      </w:r>
      <w:r w:rsidRPr="00BA03AA">
        <w:rPr>
          <w:spacing w:val="-19"/>
          <w:w w:val="105"/>
        </w:rPr>
        <w:t xml:space="preserve"> </w:t>
      </w:r>
      <w:r w:rsidRPr="00BA03AA">
        <w:rPr>
          <w:w w:val="105"/>
        </w:rPr>
        <w:t>is</w:t>
      </w:r>
      <w:r w:rsidRPr="00BA03AA">
        <w:rPr>
          <w:spacing w:val="-19"/>
          <w:w w:val="105"/>
        </w:rPr>
        <w:t xml:space="preserve"> </w:t>
      </w:r>
      <w:r w:rsidRPr="00BA03AA">
        <w:rPr>
          <w:w w:val="105"/>
        </w:rPr>
        <w:t>an</w:t>
      </w:r>
      <w:r w:rsidRPr="00BA03AA">
        <w:rPr>
          <w:spacing w:val="-19"/>
          <w:w w:val="105"/>
        </w:rPr>
        <w:t xml:space="preserve"> </w:t>
      </w:r>
      <w:r w:rsidRPr="00BA03AA">
        <w:rPr>
          <w:w w:val="105"/>
        </w:rPr>
        <w:t>appropriate means to cope with problems, and that talking about suicide will put the idea into someone’s</w:t>
      </w:r>
      <w:r w:rsidRPr="00BA03AA">
        <w:rPr>
          <w:spacing w:val="-14"/>
          <w:w w:val="105"/>
        </w:rPr>
        <w:t xml:space="preserve"> </w:t>
      </w:r>
      <w:r w:rsidRPr="00BA03AA">
        <w:rPr>
          <w:w w:val="105"/>
        </w:rPr>
        <w:t>head.</w:t>
      </w:r>
    </w:p>
    <w:p w14:paraId="1C03447C" w14:textId="77777777" w:rsidR="00BA03AA" w:rsidRDefault="00BA03AA" w:rsidP="00BA03AA">
      <w:pPr>
        <w:rPr>
          <w:w w:val="105"/>
        </w:rPr>
      </w:pPr>
    </w:p>
    <w:p w14:paraId="05815397" w14:textId="059D3E97" w:rsidR="00BA03AA" w:rsidRDefault="00BA03AA" w:rsidP="00BA03AA">
      <w:r>
        <w:rPr>
          <w:w w:val="105"/>
        </w:rPr>
        <w:t>Most people who die by suicide are acutely distressed</w:t>
      </w:r>
      <w:r>
        <w:rPr>
          <w:spacing w:val="-23"/>
          <w:w w:val="105"/>
        </w:rPr>
        <w:t xml:space="preserve"> </w:t>
      </w:r>
      <w:r>
        <w:rPr>
          <w:w w:val="105"/>
        </w:rPr>
        <w:t>but</w:t>
      </w:r>
      <w:r>
        <w:rPr>
          <w:spacing w:val="-23"/>
          <w:w w:val="105"/>
        </w:rPr>
        <w:t xml:space="preserve"> </w:t>
      </w:r>
      <w:r>
        <w:rPr>
          <w:w w:val="105"/>
        </w:rPr>
        <w:t>not</w:t>
      </w:r>
      <w:r>
        <w:rPr>
          <w:spacing w:val="-23"/>
          <w:w w:val="105"/>
        </w:rPr>
        <w:t xml:space="preserve"> </w:t>
      </w:r>
      <w:r>
        <w:rPr>
          <w:w w:val="105"/>
        </w:rPr>
        <w:t>mentally</w:t>
      </w:r>
      <w:r>
        <w:rPr>
          <w:spacing w:val="-23"/>
          <w:w w:val="105"/>
        </w:rPr>
        <w:t xml:space="preserve"> </w:t>
      </w:r>
      <w:r>
        <w:rPr>
          <w:w w:val="105"/>
        </w:rPr>
        <w:t>unwell.</w:t>
      </w:r>
      <w:r>
        <w:rPr>
          <w:spacing w:val="-23"/>
          <w:w w:val="105"/>
        </w:rPr>
        <w:t xml:space="preserve"> </w:t>
      </w:r>
      <w:r>
        <w:rPr>
          <w:w w:val="105"/>
        </w:rPr>
        <w:t>A</w:t>
      </w:r>
      <w:r>
        <w:rPr>
          <w:spacing w:val="-23"/>
          <w:w w:val="105"/>
        </w:rPr>
        <w:t xml:space="preserve"> </w:t>
      </w:r>
      <w:r>
        <w:rPr>
          <w:w w:val="105"/>
        </w:rPr>
        <w:t>complex range</w:t>
      </w:r>
      <w:r>
        <w:rPr>
          <w:spacing w:val="-25"/>
          <w:w w:val="105"/>
        </w:rPr>
        <w:t xml:space="preserve"> </w:t>
      </w:r>
      <w:r>
        <w:rPr>
          <w:w w:val="105"/>
        </w:rPr>
        <w:t>of</w:t>
      </w:r>
      <w:r>
        <w:rPr>
          <w:spacing w:val="-24"/>
          <w:w w:val="105"/>
        </w:rPr>
        <w:t xml:space="preserve"> </w:t>
      </w:r>
      <w:r>
        <w:rPr>
          <w:w w:val="105"/>
        </w:rPr>
        <w:t>risk</w:t>
      </w:r>
      <w:r>
        <w:rPr>
          <w:spacing w:val="-24"/>
          <w:w w:val="105"/>
        </w:rPr>
        <w:t xml:space="preserve"> </w:t>
      </w:r>
      <w:r>
        <w:rPr>
          <w:w w:val="105"/>
        </w:rPr>
        <w:t>factors</w:t>
      </w:r>
      <w:r>
        <w:rPr>
          <w:spacing w:val="-25"/>
          <w:w w:val="105"/>
        </w:rPr>
        <w:t xml:space="preserve"> </w:t>
      </w:r>
      <w:r>
        <w:rPr>
          <w:w w:val="105"/>
        </w:rPr>
        <w:t>contributes</w:t>
      </w:r>
      <w:r>
        <w:rPr>
          <w:spacing w:val="-24"/>
          <w:w w:val="105"/>
        </w:rPr>
        <w:t xml:space="preserve"> </w:t>
      </w:r>
      <w:r>
        <w:rPr>
          <w:w w:val="105"/>
        </w:rPr>
        <w:t>to</w:t>
      </w:r>
      <w:r>
        <w:rPr>
          <w:spacing w:val="-24"/>
          <w:w w:val="105"/>
        </w:rPr>
        <w:t xml:space="preserve"> </w:t>
      </w:r>
      <w:r>
        <w:rPr>
          <w:w w:val="105"/>
        </w:rPr>
        <w:t>distress</w:t>
      </w:r>
      <w:r>
        <w:rPr>
          <w:spacing w:val="-24"/>
          <w:w w:val="105"/>
        </w:rPr>
        <w:t xml:space="preserve"> </w:t>
      </w:r>
      <w:r>
        <w:rPr>
          <w:spacing w:val="-5"/>
          <w:w w:val="105"/>
        </w:rPr>
        <w:t xml:space="preserve">that </w:t>
      </w:r>
      <w:r>
        <w:rPr>
          <w:w w:val="105"/>
        </w:rPr>
        <w:t>may lead to</w:t>
      </w:r>
      <w:r>
        <w:rPr>
          <w:spacing w:val="-39"/>
          <w:w w:val="105"/>
        </w:rPr>
        <w:t xml:space="preserve"> </w:t>
      </w:r>
      <w:r>
        <w:rPr>
          <w:w w:val="105"/>
        </w:rPr>
        <w:t>suicide.</w:t>
      </w:r>
    </w:p>
    <w:p w14:paraId="4467061D" w14:textId="77777777" w:rsidR="00BA03AA" w:rsidRDefault="00BA03AA" w:rsidP="00BA03AA">
      <w:pPr>
        <w:rPr>
          <w:w w:val="105"/>
        </w:rPr>
      </w:pPr>
    </w:p>
    <w:p w14:paraId="28FA200C" w14:textId="4B4D32CB" w:rsidR="00EA5B71" w:rsidRDefault="00EA5B71" w:rsidP="00BA03AA">
      <w:pPr>
        <w:rPr>
          <w:w w:val="105"/>
        </w:rPr>
      </w:pPr>
      <w:r>
        <w:rPr>
          <w:w w:val="105"/>
        </w:rPr>
        <w:t>The impact of other types of media, such as social media and entertainment media, is increasingly being documented.</w:t>
      </w:r>
      <w:r>
        <w:rPr>
          <w:rStyle w:val="FootnoteReference"/>
          <w:w w:val="105"/>
        </w:rPr>
        <w:footnoteReference w:id="3"/>
      </w:r>
      <w:r>
        <w:rPr>
          <w:w w:val="105"/>
        </w:rPr>
        <w:t xml:space="preserve"> The World Health Organization has now produced guidelines for the entertainment industry.</w:t>
      </w:r>
      <w:r>
        <w:rPr>
          <w:rStyle w:val="FootnoteReference"/>
          <w:w w:val="105"/>
        </w:rPr>
        <w:footnoteReference w:id="4"/>
      </w:r>
    </w:p>
    <w:p w14:paraId="19578A9A" w14:textId="77777777" w:rsidR="00EA5B71" w:rsidRDefault="00EA5B71" w:rsidP="00BA03AA">
      <w:pPr>
        <w:rPr>
          <w:w w:val="105"/>
        </w:rPr>
      </w:pPr>
    </w:p>
    <w:p w14:paraId="4D708213" w14:textId="39BC0357" w:rsidR="00BA03AA" w:rsidRPr="00BA03AA" w:rsidRDefault="00BA03AA" w:rsidP="00EA5B71">
      <w:pPr>
        <w:keepNext/>
      </w:pPr>
      <w:r>
        <w:rPr>
          <w:w w:val="105"/>
        </w:rPr>
        <w:lastRenderedPageBreak/>
        <w:t xml:space="preserve">A growing body of evidence also highlights </w:t>
      </w:r>
      <w:r>
        <w:rPr>
          <w:spacing w:val="-5"/>
          <w:w w:val="105"/>
        </w:rPr>
        <w:t xml:space="preserve">that </w:t>
      </w:r>
      <w:r>
        <w:rPr>
          <w:w w:val="105"/>
        </w:rPr>
        <w:t>media reports of people overcoming suicidal crises may contribute to preventing suicide.</w:t>
      </w:r>
      <w:r>
        <w:rPr>
          <w:rStyle w:val="FootnoteReference"/>
          <w:w w:val="105"/>
        </w:rPr>
        <w:footnoteReference w:id="5"/>
      </w:r>
    </w:p>
    <w:p w14:paraId="2B391EEC" w14:textId="77777777" w:rsidR="00BA03AA" w:rsidRDefault="00BA03AA" w:rsidP="00BA03AA">
      <w:pPr>
        <w:rPr>
          <w:w w:val="105"/>
        </w:rPr>
      </w:pPr>
    </w:p>
    <w:p w14:paraId="703AF1E9" w14:textId="77777777" w:rsidR="00BA03AA" w:rsidRDefault="00BA03AA" w:rsidP="00BA03AA">
      <w:pPr>
        <w:rPr>
          <w:w w:val="105"/>
        </w:rPr>
      </w:pPr>
      <w:r>
        <w:rPr>
          <w:w w:val="105"/>
        </w:rPr>
        <w:t>It is important to consider potential effects that various types of reporting can have on audiences.</w:t>
      </w:r>
    </w:p>
    <w:p w14:paraId="49641255" w14:textId="77777777" w:rsidR="00BA03AA" w:rsidRDefault="00BA03AA" w:rsidP="00BA03AA"/>
    <w:p w14:paraId="1AD42659" w14:textId="7FAEAD01" w:rsidR="00BA03AA" w:rsidRDefault="00BA03AA" w:rsidP="00BA03AA">
      <w:pPr>
        <w:rPr>
          <w:w w:val="105"/>
        </w:rPr>
      </w:pPr>
      <w:r>
        <w:rPr>
          <w:w w:val="105"/>
        </w:rPr>
        <w:t xml:space="preserve">The media have the potential to contribute </w:t>
      </w:r>
      <w:r>
        <w:rPr>
          <w:spacing w:val="-9"/>
          <w:w w:val="105"/>
        </w:rPr>
        <w:t xml:space="preserve">to </w:t>
      </w:r>
      <w:r>
        <w:rPr>
          <w:w w:val="105"/>
        </w:rPr>
        <w:t>positive public health outcomes by reducing stigma, and engendering hope and help-seeking,</w:t>
      </w:r>
      <w:r>
        <w:rPr>
          <w:rStyle w:val="FootnoteReference"/>
          <w:w w:val="105"/>
        </w:rPr>
        <w:footnoteReference w:id="6"/>
      </w:r>
      <w:r>
        <w:rPr>
          <w:w w:val="105"/>
        </w:rPr>
        <w:t xml:space="preserve"> which are important in efforts to reduce suicide in Aotearoa New Zealand.</w:t>
      </w:r>
    </w:p>
    <w:p w14:paraId="37C501BA" w14:textId="77777777" w:rsidR="00BA03AA" w:rsidRPr="00DD748F" w:rsidRDefault="00BA03AA" w:rsidP="00BA03AA"/>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29B65667">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0D355ACE" w:rsidR="00EB461E" w:rsidRDefault="00B341F9" w:rsidP="002233D8">
      <w:pPr>
        <w:spacing w:before="240"/>
        <w:jc w:val="center"/>
        <w:rPr>
          <w:lang w:eastAsia="en-NZ"/>
        </w:rPr>
      </w:pPr>
      <w:r>
        <w:t>September 2021</w:t>
      </w:r>
      <w:r w:rsidR="00C34608" w:rsidRPr="00DD748F">
        <w:br/>
      </w:r>
      <w:r w:rsidR="00EB461E" w:rsidRPr="00DD748F">
        <w:rPr>
          <w:lang w:eastAsia="en-NZ"/>
        </w:rPr>
        <w:t>HP</w:t>
      </w:r>
      <w:r w:rsidR="002030E5">
        <w:rPr>
          <w:lang w:eastAsia="en-NZ"/>
        </w:rPr>
        <w:t xml:space="preserve"> </w:t>
      </w:r>
      <w:r w:rsidR="00BA03AA">
        <w:rPr>
          <w:lang w:eastAsia="en-NZ"/>
        </w:rPr>
        <w:t>7766</w:t>
      </w:r>
    </w:p>
    <w:p w14:paraId="6273A2A1" w14:textId="77777777" w:rsidR="009549D7" w:rsidRDefault="009549D7" w:rsidP="00660619">
      <w:pPr>
        <w:rPr>
          <w:lang w:eastAsia="en-NZ"/>
        </w:rPr>
      </w:pPr>
    </w:p>
    <w:sectPr w:rsidR="009549D7"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C4471" w14:textId="77777777" w:rsidR="005737A4" w:rsidRDefault="005737A4">
      <w:r>
        <w:separator/>
      </w:r>
    </w:p>
  </w:endnote>
  <w:endnote w:type="continuationSeparator" w:id="0">
    <w:p w14:paraId="61F36F18" w14:textId="77777777" w:rsidR="005737A4" w:rsidRDefault="0057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9549D7">
            <w:rPr>
              <w:rStyle w:val="PageNumber"/>
              <w:noProof/>
              <w:sz w:val="22"/>
              <w:szCs w:val="22"/>
            </w:rPr>
            <w:t>2</w:t>
          </w:r>
          <w:r w:rsidRPr="00525FFB">
            <w:rPr>
              <w:rStyle w:val="PageNumber"/>
              <w:sz w:val="22"/>
              <w:szCs w:val="22"/>
            </w:rPr>
            <w:fldChar w:fldCharType="end"/>
          </w:r>
        </w:p>
      </w:tc>
      <w:tc>
        <w:tcPr>
          <w:tcW w:w="9356" w:type="dxa"/>
          <w:vAlign w:val="center"/>
        </w:tcPr>
        <w:p w14:paraId="532E9E92" w14:textId="6D54A4DC" w:rsidR="00525FFB" w:rsidRDefault="00BA03AA" w:rsidP="00525FFB">
          <w:pPr>
            <w:pStyle w:val="RectoFooter"/>
            <w:jc w:val="left"/>
          </w:pPr>
          <w:r>
            <w:t>the importance of media guidelines for reporting on suicide</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77777777" w:rsidR="00525FFB" w:rsidRDefault="00525FFB" w:rsidP="00525FFB">
          <w:pPr>
            <w:pStyle w:val="RectoFooter"/>
          </w:pPr>
          <w:r>
            <w:t>BUSINESS VIABILITY STANDARDS FOR NON-GOVERNMENT ORGANISATION AUDIT AND REVIEW</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BA03AA">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3CFD330E" w:rsidR="00113C1B" w:rsidRDefault="00BA03AA" w:rsidP="00F06D3B">
          <w:pPr>
            <w:pStyle w:val="RectoFooter"/>
          </w:pPr>
          <w:r>
            <w:t>the importance of media guidelines for reporting on suicide</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9549D7">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5059D" w14:textId="77777777" w:rsidR="005737A4" w:rsidRPr="00680D2D" w:rsidRDefault="005737A4" w:rsidP="00680D2D">
      <w:pPr>
        <w:pStyle w:val="Footer"/>
      </w:pPr>
    </w:p>
  </w:footnote>
  <w:footnote w:type="continuationSeparator" w:id="0">
    <w:p w14:paraId="63BAE791" w14:textId="77777777" w:rsidR="005737A4" w:rsidRDefault="005737A4">
      <w:r>
        <w:continuationSeparator/>
      </w:r>
    </w:p>
  </w:footnote>
  <w:footnote w:id="1">
    <w:p w14:paraId="51BE4322" w14:textId="77777777" w:rsidR="00BA03AA" w:rsidRDefault="00BA03AA" w:rsidP="00BA03AA">
      <w:pPr>
        <w:pStyle w:val="FootnoteText"/>
      </w:pPr>
      <w:r>
        <w:rPr>
          <w:rStyle w:val="FootnoteReference"/>
        </w:rPr>
        <w:footnoteRef/>
      </w:r>
      <w:r>
        <w:tab/>
      </w:r>
      <w:proofErr w:type="spellStart"/>
      <w:r>
        <w:t>Niederkrotenthaler</w:t>
      </w:r>
      <w:proofErr w:type="spellEnd"/>
      <w:r>
        <w:t xml:space="preserve"> T, Braun M, </w:t>
      </w:r>
      <w:proofErr w:type="spellStart"/>
      <w:r>
        <w:t>Pirkis</w:t>
      </w:r>
      <w:proofErr w:type="spellEnd"/>
      <w:r>
        <w:t xml:space="preserve"> J, et al. 2020. Association between suicide reporting in the media and suicide: systematic</w:t>
      </w:r>
      <w:r>
        <w:rPr>
          <w:spacing w:val="-4"/>
        </w:rPr>
        <w:t xml:space="preserve"> </w:t>
      </w:r>
      <w:r>
        <w:t>review</w:t>
      </w:r>
      <w:r>
        <w:rPr>
          <w:spacing w:val="-3"/>
        </w:rPr>
        <w:t xml:space="preserve"> </w:t>
      </w:r>
      <w:r>
        <w:t>and</w:t>
      </w:r>
      <w:r>
        <w:rPr>
          <w:spacing w:val="-4"/>
        </w:rPr>
        <w:t xml:space="preserve"> </w:t>
      </w:r>
      <w:r>
        <w:t>meta-analysis.</w:t>
      </w:r>
      <w:r>
        <w:rPr>
          <w:spacing w:val="-3"/>
        </w:rPr>
        <w:t xml:space="preserve"> </w:t>
      </w:r>
      <w:r w:rsidRPr="0017414A">
        <w:rPr>
          <w:i/>
        </w:rPr>
        <w:t>BMJ</w:t>
      </w:r>
      <w:r>
        <w:rPr>
          <w:rFonts w:ascii="Lucida Sans" w:hAnsi="Lucida Sans"/>
          <w:i/>
          <w:spacing w:val="-4"/>
        </w:rPr>
        <w:t xml:space="preserve"> </w:t>
      </w:r>
      <w:r>
        <w:t>368:</w:t>
      </w:r>
      <w:r>
        <w:rPr>
          <w:spacing w:val="-3"/>
        </w:rPr>
        <w:t xml:space="preserve"> </w:t>
      </w:r>
      <w:r>
        <w:t>m575.</w:t>
      </w:r>
    </w:p>
    <w:p w14:paraId="34EEBBC2" w14:textId="77777777" w:rsidR="00BA03AA" w:rsidRDefault="00BA03AA" w:rsidP="00BA03AA">
      <w:pPr>
        <w:pStyle w:val="FootnoteText"/>
        <w:ind w:firstLine="0"/>
      </w:pPr>
      <w:proofErr w:type="spellStart"/>
      <w:r>
        <w:t>Niederkrotenthaler</w:t>
      </w:r>
      <w:proofErr w:type="spellEnd"/>
      <w:r>
        <w:rPr>
          <w:spacing w:val="-3"/>
        </w:rPr>
        <w:t xml:space="preserve"> </w:t>
      </w:r>
      <w:r>
        <w:t>T,</w:t>
      </w:r>
      <w:r>
        <w:rPr>
          <w:spacing w:val="-4"/>
        </w:rPr>
        <w:t xml:space="preserve"> </w:t>
      </w:r>
      <w:proofErr w:type="spellStart"/>
      <w:r>
        <w:t>Voracek</w:t>
      </w:r>
      <w:proofErr w:type="spellEnd"/>
      <w:r>
        <w:rPr>
          <w:spacing w:val="-3"/>
        </w:rPr>
        <w:t xml:space="preserve"> </w:t>
      </w:r>
      <w:r>
        <w:t>M,</w:t>
      </w:r>
      <w:r>
        <w:rPr>
          <w:spacing w:val="-4"/>
        </w:rPr>
        <w:t xml:space="preserve"> </w:t>
      </w:r>
      <w:proofErr w:type="spellStart"/>
      <w:r>
        <w:t>Herberth</w:t>
      </w:r>
      <w:proofErr w:type="spellEnd"/>
      <w:r>
        <w:rPr>
          <w:spacing w:val="-3"/>
        </w:rPr>
        <w:t xml:space="preserve"> </w:t>
      </w:r>
      <w:r>
        <w:t>A,</w:t>
      </w:r>
      <w:r>
        <w:rPr>
          <w:spacing w:val="-4"/>
        </w:rPr>
        <w:t xml:space="preserve"> </w:t>
      </w:r>
      <w:r>
        <w:t>et</w:t>
      </w:r>
      <w:r>
        <w:rPr>
          <w:spacing w:val="-3"/>
        </w:rPr>
        <w:t xml:space="preserve"> </w:t>
      </w:r>
      <w:r>
        <w:t>al.</w:t>
      </w:r>
      <w:r>
        <w:rPr>
          <w:spacing w:val="-4"/>
        </w:rPr>
        <w:t xml:space="preserve"> </w:t>
      </w:r>
      <w:r>
        <w:t>2010.</w:t>
      </w:r>
      <w:r>
        <w:rPr>
          <w:spacing w:val="-3"/>
        </w:rPr>
        <w:t xml:space="preserve"> </w:t>
      </w:r>
      <w:r>
        <w:t>The</w:t>
      </w:r>
      <w:r>
        <w:rPr>
          <w:spacing w:val="-3"/>
        </w:rPr>
        <w:t xml:space="preserve"> </w:t>
      </w:r>
      <w:r>
        <w:t>role</w:t>
      </w:r>
      <w:r>
        <w:rPr>
          <w:spacing w:val="-4"/>
        </w:rPr>
        <w:t xml:space="preserve"> </w:t>
      </w:r>
      <w:r>
        <w:t xml:space="preserve">of media reports in completed and prevented suicide </w:t>
      </w:r>
      <w:r>
        <w:rPr>
          <w:w w:val="105"/>
        </w:rPr>
        <w:t xml:space="preserve">– </w:t>
      </w:r>
      <w:r>
        <w:t xml:space="preserve">Werther versus Papageno effects. </w:t>
      </w:r>
      <w:r w:rsidRPr="0017414A">
        <w:rPr>
          <w:i/>
        </w:rPr>
        <w:t>British Journal of Psychiatry</w:t>
      </w:r>
      <w:r w:rsidRPr="0017414A">
        <w:t xml:space="preserve"> </w:t>
      </w:r>
      <w:r>
        <w:t>197: 234–43.</w:t>
      </w:r>
    </w:p>
    <w:p w14:paraId="39BF3C9E" w14:textId="707DBA40" w:rsidR="00BA03AA" w:rsidRDefault="00BA03AA" w:rsidP="00BA03AA">
      <w:pPr>
        <w:pStyle w:val="FootnoteText"/>
        <w:ind w:firstLine="0"/>
      </w:pPr>
      <w:proofErr w:type="spellStart"/>
      <w:r>
        <w:t>Sinyor</w:t>
      </w:r>
      <w:proofErr w:type="spellEnd"/>
      <w:r>
        <w:t xml:space="preserve"> M, Schaffer A, Nishikawa Y, et al. 2018. The association between suicide deaths and putatively harmful </w:t>
      </w:r>
      <w:r>
        <w:rPr>
          <w:spacing w:val="-5"/>
        </w:rPr>
        <w:t xml:space="preserve">and </w:t>
      </w:r>
      <w:r>
        <w:t>protective</w:t>
      </w:r>
      <w:r>
        <w:rPr>
          <w:spacing w:val="-11"/>
        </w:rPr>
        <w:t xml:space="preserve"> </w:t>
      </w:r>
      <w:r>
        <w:t>factors</w:t>
      </w:r>
      <w:r>
        <w:rPr>
          <w:spacing w:val="-11"/>
        </w:rPr>
        <w:t xml:space="preserve"> </w:t>
      </w:r>
      <w:r>
        <w:t>in</w:t>
      </w:r>
      <w:r>
        <w:rPr>
          <w:spacing w:val="-11"/>
        </w:rPr>
        <w:t xml:space="preserve"> </w:t>
      </w:r>
      <w:r>
        <w:t>media</w:t>
      </w:r>
      <w:r>
        <w:rPr>
          <w:spacing w:val="-11"/>
        </w:rPr>
        <w:t xml:space="preserve"> </w:t>
      </w:r>
      <w:r>
        <w:t>reports.</w:t>
      </w:r>
      <w:r>
        <w:rPr>
          <w:spacing w:val="-11"/>
        </w:rPr>
        <w:t xml:space="preserve"> </w:t>
      </w:r>
      <w:r w:rsidRPr="0017414A">
        <w:rPr>
          <w:i/>
        </w:rPr>
        <w:t>CMAJ</w:t>
      </w:r>
      <w:r w:rsidR="0017414A">
        <w:t xml:space="preserve"> </w:t>
      </w:r>
      <w:r>
        <w:t>190:</w:t>
      </w:r>
      <w:r>
        <w:rPr>
          <w:spacing w:val="-10"/>
        </w:rPr>
        <w:t xml:space="preserve"> </w:t>
      </w:r>
      <w:r>
        <w:t>E900-7.10.1503/cmaj.170698</w:t>
      </w:r>
      <w:r>
        <w:rPr>
          <w:spacing w:val="-11"/>
        </w:rPr>
        <w:t xml:space="preserve"> </w:t>
      </w:r>
      <w:r>
        <w:t>30061324.</w:t>
      </w:r>
    </w:p>
  </w:footnote>
  <w:footnote w:id="2">
    <w:p w14:paraId="7A1C03E3" w14:textId="1BE588BA" w:rsidR="00BA03AA" w:rsidRDefault="00BA03AA">
      <w:pPr>
        <w:pStyle w:val="FootnoteText"/>
      </w:pPr>
      <w:r>
        <w:rPr>
          <w:rStyle w:val="FootnoteReference"/>
        </w:rPr>
        <w:footnoteRef/>
      </w:r>
      <w:r>
        <w:tab/>
        <w:t>See note</w:t>
      </w:r>
      <w:r>
        <w:rPr>
          <w:spacing w:val="-17"/>
        </w:rPr>
        <w:t xml:space="preserve"> </w:t>
      </w:r>
      <w:r>
        <w:rPr>
          <w:w w:val="95"/>
        </w:rPr>
        <w:t>1.</w:t>
      </w:r>
    </w:p>
  </w:footnote>
  <w:footnote w:id="3">
    <w:p w14:paraId="4E424FE9" w14:textId="77777777" w:rsidR="00EA5B71" w:rsidRDefault="00EA5B71" w:rsidP="00EA5B71">
      <w:pPr>
        <w:pStyle w:val="FootnoteText"/>
      </w:pPr>
      <w:r>
        <w:rPr>
          <w:rStyle w:val="FootnoteReference"/>
        </w:rPr>
        <w:footnoteRef/>
      </w:r>
      <w:r>
        <w:tab/>
      </w:r>
      <w:proofErr w:type="spellStart"/>
      <w:r>
        <w:t>Niederkrotenthaler</w:t>
      </w:r>
      <w:proofErr w:type="spellEnd"/>
      <w:r>
        <w:rPr>
          <w:spacing w:val="-3"/>
        </w:rPr>
        <w:t xml:space="preserve"> </w:t>
      </w:r>
      <w:r>
        <w:t>T,</w:t>
      </w:r>
      <w:r>
        <w:rPr>
          <w:spacing w:val="-2"/>
        </w:rPr>
        <w:t xml:space="preserve"> </w:t>
      </w:r>
      <w:r>
        <w:t>Stack</w:t>
      </w:r>
      <w:r>
        <w:rPr>
          <w:spacing w:val="-2"/>
        </w:rPr>
        <w:t xml:space="preserve"> </w:t>
      </w:r>
      <w:r>
        <w:t>S,</w:t>
      </w:r>
      <w:r>
        <w:rPr>
          <w:spacing w:val="-3"/>
        </w:rPr>
        <w:t xml:space="preserve"> </w:t>
      </w:r>
      <w:r>
        <w:t>Till</w:t>
      </w:r>
      <w:r>
        <w:rPr>
          <w:spacing w:val="-2"/>
        </w:rPr>
        <w:t xml:space="preserve"> </w:t>
      </w:r>
      <w:r>
        <w:t>B,</w:t>
      </w:r>
      <w:r>
        <w:rPr>
          <w:spacing w:val="-2"/>
        </w:rPr>
        <w:t xml:space="preserve"> </w:t>
      </w:r>
      <w:r>
        <w:t>et</w:t>
      </w:r>
      <w:r>
        <w:rPr>
          <w:spacing w:val="-3"/>
        </w:rPr>
        <w:t xml:space="preserve"> </w:t>
      </w:r>
      <w:r>
        <w:t>al.</w:t>
      </w:r>
      <w:r>
        <w:rPr>
          <w:spacing w:val="-2"/>
        </w:rPr>
        <w:t xml:space="preserve"> </w:t>
      </w:r>
      <w:r>
        <w:t>2019.</w:t>
      </w:r>
      <w:r>
        <w:rPr>
          <w:spacing w:val="-2"/>
        </w:rPr>
        <w:t xml:space="preserve"> </w:t>
      </w:r>
      <w:r>
        <w:t>Association</w:t>
      </w:r>
      <w:r>
        <w:rPr>
          <w:spacing w:val="-3"/>
        </w:rPr>
        <w:t xml:space="preserve"> </w:t>
      </w:r>
      <w:r>
        <w:t>of</w:t>
      </w:r>
      <w:r>
        <w:rPr>
          <w:spacing w:val="-2"/>
        </w:rPr>
        <w:t xml:space="preserve"> </w:t>
      </w:r>
      <w:r>
        <w:t>increased</w:t>
      </w:r>
      <w:r>
        <w:rPr>
          <w:spacing w:val="-2"/>
        </w:rPr>
        <w:t xml:space="preserve"> </w:t>
      </w:r>
      <w:r>
        <w:t>youth</w:t>
      </w:r>
      <w:r>
        <w:rPr>
          <w:spacing w:val="-3"/>
        </w:rPr>
        <w:t xml:space="preserve"> </w:t>
      </w:r>
      <w:r>
        <w:t>suicides</w:t>
      </w:r>
      <w:r>
        <w:rPr>
          <w:spacing w:val="-2"/>
        </w:rPr>
        <w:t xml:space="preserve"> </w:t>
      </w:r>
      <w:r>
        <w:t>in</w:t>
      </w:r>
      <w:r>
        <w:rPr>
          <w:spacing w:val="-2"/>
        </w:rPr>
        <w:t xml:space="preserve"> </w:t>
      </w:r>
      <w:r>
        <w:t>the</w:t>
      </w:r>
      <w:r>
        <w:rPr>
          <w:spacing w:val="-3"/>
        </w:rPr>
        <w:t xml:space="preserve"> </w:t>
      </w:r>
      <w:r>
        <w:t>United</w:t>
      </w:r>
      <w:r>
        <w:rPr>
          <w:spacing w:val="-2"/>
        </w:rPr>
        <w:t xml:space="preserve"> </w:t>
      </w:r>
      <w:r>
        <w:t>States</w:t>
      </w:r>
      <w:r>
        <w:rPr>
          <w:spacing w:val="-2"/>
        </w:rPr>
        <w:t xml:space="preserve"> </w:t>
      </w:r>
      <w:r>
        <w:t>with</w:t>
      </w:r>
      <w:r>
        <w:rPr>
          <w:spacing w:val="-3"/>
        </w:rPr>
        <w:t xml:space="preserve"> </w:t>
      </w:r>
      <w:r>
        <w:t>the</w:t>
      </w:r>
      <w:r>
        <w:rPr>
          <w:spacing w:val="-2"/>
        </w:rPr>
        <w:t xml:space="preserve"> </w:t>
      </w:r>
      <w:r>
        <w:t>release</w:t>
      </w:r>
      <w:r>
        <w:rPr>
          <w:spacing w:val="-2"/>
        </w:rPr>
        <w:t xml:space="preserve"> </w:t>
      </w:r>
      <w:r>
        <w:rPr>
          <w:spacing w:val="-7"/>
        </w:rPr>
        <w:t xml:space="preserve">of </w:t>
      </w:r>
      <w:r>
        <w:t xml:space="preserve">13 Reasons Why. </w:t>
      </w:r>
      <w:r w:rsidRPr="0017414A">
        <w:rPr>
          <w:i/>
        </w:rPr>
        <w:t>JAMA Psychiatry</w:t>
      </w:r>
      <w:r>
        <w:rPr>
          <w:rFonts w:ascii="Lucida Sans" w:hAnsi="Lucida Sans"/>
          <w:i/>
        </w:rPr>
        <w:t xml:space="preserve"> </w:t>
      </w:r>
      <w:r>
        <w:t>76(9):</w:t>
      </w:r>
      <w:r>
        <w:rPr>
          <w:spacing w:val="-32"/>
        </w:rPr>
        <w:t xml:space="preserve"> </w:t>
      </w:r>
      <w:r>
        <w:t>933–40.</w:t>
      </w:r>
    </w:p>
  </w:footnote>
  <w:footnote w:id="4">
    <w:p w14:paraId="2C3D6B61" w14:textId="77777777" w:rsidR="00EA5B71" w:rsidRDefault="00EA5B71" w:rsidP="00EA5B71">
      <w:pPr>
        <w:pStyle w:val="FootnoteText"/>
      </w:pPr>
      <w:r>
        <w:rPr>
          <w:rStyle w:val="FootnoteReference"/>
        </w:rPr>
        <w:footnoteRef/>
      </w:r>
      <w:r>
        <w:tab/>
      </w:r>
      <w:r>
        <w:rPr>
          <w:w w:val="105"/>
        </w:rPr>
        <w:t xml:space="preserve">WHO. 2019. </w:t>
      </w:r>
      <w:r w:rsidRPr="00BA03AA">
        <w:rPr>
          <w:i/>
        </w:rPr>
        <w:t>Preventing Suicide: A resource for filmmakers and others working on stage and screen</w:t>
      </w:r>
      <w:r w:rsidRPr="00BA03AA">
        <w:t xml:space="preserve">. </w:t>
      </w:r>
      <w:r>
        <w:rPr>
          <w:w w:val="105"/>
        </w:rPr>
        <w:t xml:space="preserve">Geneva: World Health </w:t>
      </w:r>
      <w:r>
        <w:t xml:space="preserve">Organization. URL: </w:t>
      </w:r>
      <w:hyperlink r:id="rId1">
        <w:r w:rsidRPr="00BA03AA">
          <w:rPr>
            <w:rStyle w:val="Hyperlink"/>
          </w:rPr>
          <w:t>https://www.who.int/publications/i/item/preventing-suicide-a-resource-for-filmmakers-and-others-</w:t>
        </w:r>
      </w:hyperlink>
      <w:r w:rsidRPr="00BA03AA">
        <w:rPr>
          <w:rStyle w:val="Hyperlink"/>
        </w:rPr>
        <w:t xml:space="preserve"> working-on-stage-and-screen</w:t>
      </w:r>
      <w:r>
        <w:rPr>
          <w:spacing w:val="-12"/>
          <w:w w:val="105"/>
        </w:rPr>
        <w:t xml:space="preserve"> </w:t>
      </w:r>
      <w:r>
        <w:rPr>
          <w:w w:val="105"/>
        </w:rPr>
        <w:t>(accessed</w:t>
      </w:r>
      <w:r>
        <w:rPr>
          <w:spacing w:val="-11"/>
          <w:w w:val="105"/>
        </w:rPr>
        <w:t xml:space="preserve"> </w:t>
      </w:r>
      <w:r>
        <w:rPr>
          <w:w w:val="105"/>
        </w:rPr>
        <w:t>9</w:t>
      </w:r>
      <w:r>
        <w:rPr>
          <w:spacing w:val="-11"/>
          <w:w w:val="105"/>
        </w:rPr>
        <w:t xml:space="preserve"> </w:t>
      </w:r>
      <w:r>
        <w:rPr>
          <w:w w:val="105"/>
        </w:rPr>
        <w:t>August</w:t>
      </w:r>
      <w:r>
        <w:rPr>
          <w:spacing w:val="-11"/>
          <w:w w:val="105"/>
        </w:rPr>
        <w:t xml:space="preserve"> </w:t>
      </w:r>
      <w:r>
        <w:rPr>
          <w:w w:val="105"/>
        </w:rPr>
        <w:t>2021).</w:t>
      </w:r>
    </w:p>
  </w:footnote>
  <w:footnote w:id="5">
    <w:p w14:paraId="6133D0C8" w14:textId="77777777" w:rsidR="00BA03AA" w:rsidRDefault="00BA03AA" w:rsidP="00BA03AA">
      <w:pPr>
        <w:pStyle w:val="FootnoteText"/>
      </w:pPr>
      <w:r>
        <w:rPr>
          <w:rStyle w:val="FootnoteReference"/>
        </w:rPr>
        <w:footnoteRef/>
      </w:r>
      <w:r>
        <w:tab/>
      </w:r>
      <w:proofErr w:type="spellStart"/>
      <w:r>
        <w:t>Niederkrotenthaler</w:t>
      </w:r>
      <w:proofErr w:type="spellEnd"/>
      <w:r>
        <w:rPr>
          <w:spacing w:val="-9"/>
        </w:rPr>
        <w:t xml:space="preserve"> </w:t>
      </w:r>
      <w:r>
        <w:t>et</w:t>
      </w:r>
      <w:r>
        <w:rPr>
          <w:spacing w:val="-8"/>
        </w:rPr>
        <w:t xml:space="preserve"> </w:t>
      </w:r>
      <w:r>
        <w:t>al.</w:t>
      </w:r>
      <w:r>
        <w:rPr>
          <w:spacing w:val="-9"/>
        </w:rPr>
        <w:t xml:space="preserve"> </w:t>
      </w:r>
      <w:r>
        <w:t>2010.</w:t>
      </w:r>
      <w:r>
        <w:rPr>
          <w:spacing w:val="-8"/>
        </w:rPr>
        <w:t xml:space="preserve"> </w:t>
      </w:r>
      <w:r>
        <w:t>See</w:t>
      </w:r>
      <w:r>
        <w:rPr>
          <w:spacing w:val="-8"/>
        </w:rPr>
        <w:t xml:space="preserve"> </w:t>
      </w:r>
      <w:r>
        <w:t>note</w:t>
      </w:r>
      <w:r>
        <w:rPr>
          <w:spacing w:val="-9"/>
        </w:rPr>
        <w:t xml:space="preserve"> </w:t>
      </w:r>
      <w:r>
        <w:rPr>
          <w:w w:val="95"/>
        </w:rPr>
        <w:t>1.</w:t>
      </w:r>
    </w:p>
    <w:p w14:paraId="1BDD81D1" w14:textId="77777777" w:rsidR="00BA03AA" w:rsidRDefault="00BA03AA" w:rsidP="00FD2427">
      <w:pPr>
        <w:pStyle w:val="FootnoteText"/>
        <w:ind w:firstLine="0"/>
      </w:pPr>
      <w:r>
        <w:t xml:space="preserve">Till B, Arendt F, Scherr S, et al. 2019. Effect of educative suicide prevention news articles featuring experts with vs without personal experience of suicidal ideation: a randomized controlled trial of the Papageno effect. </w:t>
      </w:r>
      <w:r w:rsidRPr="00FD2427">
        <w:rPr>
          <w:i/>
        </w:rPr>
        <w:t>Journal of Clinical Psychiatry</w:t>
      </w:r>
      <w:r>
        <w:rPr>
          <w:rFonts w:ascii="Lucida Sans"/>
          <w:i/>
        </w:rPr>
        <w:t xml:space="preserve"> </w:t>
      </w:r>
      <w:r>
        <w:t>80: 17m11975.</w:t>
      </w:r>
    </w:p>
    <w:p w14:paraId="54DBB86C" w14:textId="1BC9FDC1" w:rsidR="00BA03AA" w:rsidRDefault="00BA03AA" w:rsidP="00FD2427">
      <w:pPr>
        <w:pStyle w:val="FootnoteText"/>
        <w:ind w:firstLine="0"/>
      </w:pPr>
      <w:proofErr w:type="spellStart"/>
      <w:r>
        <w:t>Niederkrotenthaler</w:t>
      </w:r>
      <w:proofErr w:type="spellEnd"/>
      <w:r>
        <w:t xml:space="preserve"> T, Till B. 2020. Effects of suicide awareness materials on individuals with recent suicidal ideation or attempt: online randomised controlled trial. </w:t>
      </w:r>
      <w:r w:rsidRPr="00FD2427">
        <w:rPr>
          <w:i/>
        </w:rPr>
        <w:t>British Journal of Psychiatry</w:t>
      </w:r>
      <w:r w:rsidRPr="00FD2427">
        <w:t xml:space="preserve"> </w:t>
      </w:r>
      <w:r>
        <w:t>217(6): 693–700.</w:t>
      </w:r>
    </w:p>
  </w:footnote>
  <w:footnote w:id="6">
    <w:p w14:paraId="1C559737" w14:textId="56EF395E" w:rsidR="00BA03AA" w:rsidRDefault="00BA03AA" w:rsidP="00BA03AA">
      <w:pPr>
        <w:pStyle w:val="FootnoteText"/>
      </w:pPr>
      <w:r>
        <w:rPr>
          <w:rStyle w:val="FootnoteReference"/>
        </w:rPr>
        <w:footnoteRef/>
      </w:r>
      <w:r>
        <w:tab/>
      </w:r>
      <w:proofErr w:type="spellStart"/>
      <w:r>
        <w:t>Mindframe</w:t>
      </w:r>
      <w:proofErr w:type="spellEnd"/>
      <w:r>
        <w:t xml:space="preserve"> Guidelines, </w:t>
      </w:r>
      <w:hyperlink r:id="rId2" w:history="1">
        <w:r w:rsidR="00FD2427" w:rsidRPr="00FD2427">
          <w:rPr>
            <w:rStyle w:val="Hyperlink"/>
          </w:rPr>
          <w:t>https://mindframe.org.au/mental-health/communicating-about-mental-ill-health/mindframe-guidelines</w:t>
        </w:r>
      </w:hyperlink>
      <w:r w:rsidR="00FD2427">
        <w:rPr>
          <w:rStyle w:val="Hyperlink"/>
        </w:rPr>
        <w:t>.</w:t>
      </w:r>
    </w:p>
    <w:p w14:paraId="3498675C" w14:textId="1A96CCAF" w:rsidR="00BA03AA" w:rsidRDefault="00BA03AA" w:rsidP="00FD2427">
      <w:pPr>
        <w:pStyle w:val="FootnoteText"/>
        <w:ind w:firstLine="0"/>
      </w:pPr>
      <w:r>
        <w:t>Srivastava</w:t>
      </w:r>
      <w:r>
        <w:rPr>
          <w:spacing w:val="-12"/>
        </w:rPr>
        <w:t xml:space="preserve"> </w:t>
      </w:r>
      <w:r>
        <w:t>K,</w:t>
      </w:r>
      <w:r>
        <w:rPr>
          <w:spacing w:val="-12"/>
        </w:rPr>
        <w:t xml:space="preserve"> </w:t>
      </w:r>
      <w:r>
        <w:t>Chaudhury</w:t>
      </w:r>
      <w:r>
        <w:rPr>
          <w:spacing w:val="-11"/>
        </w:rPr>
        <w:t xml:space="preserve"> </w:t>
      </w:r>
      <w:r>
        <w:t>S,</w:t>
      </w:r>
      <w:r>
        <w:rPr>
          <w:spacing w:val="-12"/>
        </w:rPr>
        <w:t xml:space="preserve"> </w:t>
      </w:r>
      <w:r>
        <w:t>Bhat</w:t>
      </w:r>
      <w:r>
        <w:rPr>
          <w:spacing w:val="-11"/>
        </w:rPr>
        <w:t xml:space="preserve"> </w:t>
      </w:r>
      <w:r>
        <w:t>PS,</w:t>
      </w:r>
      <w:r>
        <w:rPr>
          <w:spacing w:val="-12"/>
        </w:rPr>
        <w:t xml:space="preserve"> </w:t>
      </w:r>
      <w:r>
        <w:t>et</w:t>
      </w:r>
      <w:r>
        <w:rPr>
          <w:spacing w:val="-11"/>
        </w:rPr>
        <w:t xml:space="preserve"> </w:t>
      </w:r>
      <w:r>
        <w:t>al.</w:t>
      </w:r>
      <w:r>
        <w:rPr>
          <w:spacing w:val="-12"/>
        </w:rPr>
        <w:t xml:space="preserve"> </w:t>
      </w:r>
      <w:r>
        <w:t>2018.</w:t>
      </w:r>
      <w:r>
        <w:rPr>
          <w:spacing w:val="-11"/>
        </w:rPr>
        <w:t xml:space="preserve"> </w:t>
      </w:r>
      <w:r>
        <w:t>Media</w:t>
      </w:r>
      <w:r>
        <w:rPr>
          <w:spacing w:val="-12"/>
        </w:rPr>
        <w:t xml:space="preserve"> </w:t>
      </w:r>
      <w:r>
        <w:t>and</w:t>
      </w:r>
      <w:r>
        <w:rPr>
          <w:spacing w:val="-11"/>
        </w:rPr>
        <w:t xml:space="preserve"> </w:t>
      </w:r>
      <w:r>
        <w:t>mental</w:t>
      </w:r>
      <w:r>
        <w:rPr>
          <w:spacing w:val="-12"/>
        </w:rPr>
        <w:t xml:space="preserve"> </w:t>
      </w:r>
      <w:r>
        <w:t>health.</w:t>
      </w:r>
      <w:r>
        <w:rPr>
          <w:spacing w:val="-8"/>
        </w:rPr>
        <w:t xml:space="preserve"> </w:t>
      </w:r>
      <w:r w:rsidRPr="00FD2427">
        <w:rPr>
          <w:i/>
        </w:rPr>
        <w:t>Industrial Psychiatry Journal</w:t>
      </w:r>
      <w:r w:rsidRPr="00FD2427">
        <w:t xml:space="preserve"> </w:t>
      </w:r>
      <w:r>
        <w:t>27(1):</w:t>
      </w:r>
      <w:r>
        <w:rPr>
          <w:spacing w:val="-12"/>
        </w:rPr>
        <w:t xml:space="preserve"> </w:t>
      </w:r>
      <w:r>
        <w:t>1–5.</w:t>
      </w:r>
      <w:r>
        <w:rPr>
          <w:spacing w:val="-11"/>
        </w:rPr>
        <w:t xml:space="preserve"> </w:t>
      </w:r>
      <w:r>
        <w:rPr>
          <w:spacing w:val="-2"/>
        </w:rPr>
        <w:t xml:space="preserve">DOI:10.4103/ </w:t>
      </w:r>
      <w:r>
        <w:t>ipj.ipj_73_18 (accessed 9 August</w:t>
      </w:r>
      <w:r>
        <w:rPr>
          <w:spacing w:val="-32"/>
        </w:rPr>
        <w:t xml:space="preserve"> </w:t>
      </w:r>
      <w: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Pr="00CB6D93" w:rsidRDefault="00356A45" w:rsidP="00CB6D93">
    <w:pPr>
      <w:pStyle w:val="Header"/>
    </w:pPr>
    <w:r>
      <w:rPr>
        <w:noProof/>
        <w:lang w:eastAsia="en-NZ"/>
      </w:rPr>
      <w:drawing>
        <wp:inline distT="0" distB="0" distL="0" distR="0" wp14:anchorId="7F2F630A" wp14:editId="1C1747B3">
          <wp:extent cx="6029325" cy="713926"/>
          <wp:effectExtent l="0" t="0" r="0" b="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0781" r="8884"/>
                  <a:stretch/>
                </pic:blipFill>
                <pic:spPr bwMode="auto">
                  <a:xfrm>
                    <a:off x="0" y="0"/>
                    <a:ext cx="6050219" cy="7164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20A90"/>
    <w:multiLevelType w:val="hybridMultilevel"/>
    <w:tmpl w:val="E214C7F6"/>
    <w:lvl w:ilvl="0" w:tplc="C2802D26">
      <w:numFmt w:val="bullet"/>
      <w:lvlText w:val="•"/>
      <w:lvlJc w:val="left"/>
      <w:pPr>
        <w:ind w:left="673" w:hanging="284"/>
      </w:pPr>
      <w:rPr>
        <w:rFonts w:ascii="Lucida Sans Unicode" w:eastAsia="Lucida Sans Unicode" w:hAnsi="Lucida Sans Unicode" w:cs="Lucida Sans Unicode" w:hint="default"/>
        <w:w w:val="65"/>
        <w:sz w:val="20"/>
        <w:szCs w:val="20"/>
        <w:lang w:val="en-GB" w:eastAsia="en-GB" w:bidi="en-GB"/>
      </w:rPr>
    </w:lvl>
    <w:lvl w:ilvl="1" w:tplc="6392386C">
      <w:numFmt w:val="bullet"/>
      <w:lvlText w:val="•"/>
      <w:lvlJc w:val="left"/>
      <w:pPr>
        <w:ind w:left="1136" w:hanging="284"/>
      </w:pPr>
      <w:rPr>
        <w:rFonts w:hint="default"/>
        <w:lang w:val="en-GB" w:eastAsia="en-GB" w:bidi="en-GB"/>
      </w:rPr>
    </w:lvl>
    <w:lvl w:ilvl="2" w:tplc="DD9666F6">
      <w:numFmt w:val="bullet"/>
      <w:lvlText w:val="•"/>
      <w:lvlJc w:val="left"/>
      <w:pPr>
        <w:ind w:left="1593" w:hanging="284"/>
      </w:pPr>
      <w:rPr>
        <w:rFonts w:hint="default"/>
        <w:lang w:val="en-GB" w:eastAsia="en-GB" w:bidi="en-GB"/>
      </w:rPr>
    </w:lvl>
    <w:lvl w:ilvl="3" w:tplc="6DB666DC">
      <w:numFmt w:val="bullet"/>
      <w:lvlText w:val="•"/>
      <w:lvlJc w:val="left"/>
      <w:pPr>
        <w:ind w:left="2050" w:hanging="284"/>
      </w:pPr>
      <w:rPr>
        <w:rFonts w:hint="default"/>
        <w:lang w:val="en-GB" w:eastAsia="en-GB" w:bidi="en-GB"/>
      </w:rPr>
    </w:lvl>
    <w:lvl w:ilvl="4" w:tplc="9ED4A368">
      <w:numFmt w:val="bullet"/>
      <w:lvlText w:val="•"/>
      <w:lvlJc w:val="left"/>
      <w:pPr>
        <w:ind w:left="2507" w:hanging="284"/>
      </w:pPr>
      <w:rPr>
        <w:rFonts w:hint="default"/>
        <w:lang w:val="en-GB" w:eastAsia="en-GB" w:bidi="en-GB"/>
      </w:rPr>
    </w:lvl>
    <w:lvl w:ilvl="5" w:tplc="39422AB4">
      <w:numFmt w:val="bullet"/>
      <w:lvlText w:val="•"/>
      <w:lvlJc w:val="left"/>
      <w:pPr>
        <w:ind w:left="2964" w:hanging="284"/>
      </w:pPr>
      <w:rPr>
        <w:rFonts w:hint="default"/>
        <w:lang w:val="en-GB" w:eastAsia="en-GB" w:bidi="en-GB"/>
      </w:rPr>
    </w:lvl>
    <w:lvl w:ilvl="6" w:tplc="A1629770">
      <w:numFmt w:val="bullet"/>
      <w:lvlText w:val="•"/>
      <w:lvlJc w:val="left"/>
      <w:pPr>
        <w:ind w:left="3421" w:hanging="284"/>
      </w:pPr>
      <w:rPr>
        <w:rFonts w:hint="default"/>
        <w:lang w:val="en-GB" w:eastAsia="en-GB" w:bidi="en-GB"/>
      </w:rPr>
    </w:lvl>
    <w:lvl w:ilvl="7" w:tplc="191837DA">
      <w:numFmt w:val="bullet"/>
      <w:lvlText w:val="•"/>
      <w:lvlJc w:val="left"/>
      <w:pPr>
        <w:ind w:left="3878" w:hanging="284"/>
      </w:pPr>
      <w:rPr>
        <w:rFonts w:hint="default"/>
        <w:lang w:val="en-GB" w:eastAsia="en-GB" w:bidi="en-GB"/>
      </w:rPr>
    </w:lvl>
    <w:lvl w:ilvl="8" w:tplc="015097CC">
      <w:numFmt w:val="bullet"/>
      <w:lvlText w:val="•"/>
      <w:lvlJc w:val="left"/>
      <w:pPr>
        <w:ind w:left="4335" w:hanging="284"/>
      </w:pPr>
      <w:rPr>
        <w:rFonts w:hint="default"/>
        <w:lang w:val="en-GB" w:eastAsia="en-GB" w:bidi="en-GB"/>
      </w:rPr>
    </w:lvl>
  </w:abstractNum>
  <w:abstractNum w:abstractNumId="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15:restartNumberingAfterBreak="0">
    <w:nsid w:val="72FE483B"/>
    <w:multiLevelType w:val="hybridMultilevel"/>
    <w:tmpl w:val="73E2338C"/>
    <w:lvl w:ilvl="0" w:tplc="D95895BA">
      <w:start w:val="1"/>
      <w:numFmt w:val="decimal"/>
      <w:lvlText w:val="%1"/>
      <w:lvlJc w:val="left"/>
      <w:pPr>
        <w:ind w:left="673" w:hanging="284"/>
        <w:jc w:val="left"/>
      </w:pPr>
      <w:rPr>
        <w:rFonts w:ascii="Lucida Sans Unicode" w:eastAsia="Lucida Sans Unicode" w:hAnsi="Lucida Sans Unicode" w:cs="Lucida Sans Unicode" w:hint="default"/>
        <w:w w:val="50"/>
        <w:sz w:val="16"/>
        <w:szCs w:val="16"/>
        <w:lang w:val="en-GB" w:eastAsia="en-GB" w:bidi="en-GB"/>
      </w:rPr>
    </w:lvl>
    <w:lvl w:ilvl="1" w:tplc="A1B8AFD0">
      <w:numFmt w:val="bullet"/>
      <w:lvlText w:val="•"/>
      <w:lvlJc w:val="left"/>
      <w:pPr>
        <w:ind w:left="1706" w:hanging="284"/>
      </w:pPr>
      <w:rPr>
        <w:rFonts w:hint="default"/>
        <w:lang w:val="en-GB" w:eastAsia="en-GB" w:bidi="en-GB"/>
      </w:rPr>
    </w:lvl>
    <w:lvl w:ilvl="2" w:tplc="5F907D04">
      <w:numFmt w:val="bullet"/>
      <w:lvlText w:val="•"/>
      <w:lvlJc w:val="left"/>
      <w:pPr>
        <w:ind w:left="2733" w:hanging="284"/>
      </w:pPr>
      <w:rPr>
        <w:rFonts w:hint="default"/>
        <w:lang w:val="en-GB" w:eastAsia="en-GB" w:bidi="en-GB"/>
      </w:rPr>
    </w:lvl>
    <w:lvl w:ilvl="3" w:tplc="984C25AE">
      <w:numFmt w:val="bullet"/>
      <w:lvlText w:val="•"/>
      <w:lvlJc w:val="left"/>
      <w:pPr>
        <w:ind w:left="3759" w:hanging="284"/>
      </w:pPr>
      <w:rPr>
        <w:rFonts w:hint="default"/>
        <w:lang w:val="en-GB" w:eastAsia="en-GB" w:bidi="en-GB"/>
      </w:rPr>
    </w:lvl>
    <w:lvl w:ilvl="4" w:tplc="FF7282F4">
      <w:numFmt w:val="bullet"/>
      <w:lvlText w:val="•"/>
      <w:lvlJc w:val="left"/>
      <w:pPr>
        <w:ind w:left="4786" w:hanging="284"/>
      </w:pPr>
      <w:rPr>
        <w:rFonts w:hint="default"/>
        <w:lang w:val="en-GB" w:eastAsia="en-GB" w:bidi="en-GB"/>
      </w:rPr>
    </w:lvl>
    <w:lvl w:ilvl="5" w:tplc="48F08B32">
      <w:numFmt w:val="bullet"/>
      <w:lvlText w:val="•"/>
      <w:lvlJc w:val="left"/>
      <w:pPr>
        <w:ind w:left="5812" w:hanging="284"/>
      </w:pPr>
      <w:rPr>
        <w:rFonts w:hint="default"/>
        <w:lang w:val="en-GB" w:eastAsia="en-GB" w:bidi="en-GB"/>
      </w:rPr>
    </w:lvl>
    <w:lvl w:ilvl="6" w:tplc="916C8590">
      <w:numFmt w:val="bullet"/>
      <w:lvlText w:val="•"/>
      <w:lvlJc w:val="left"/>
      <w:pPr>
        <w:ind w:left="6839" w:hanging="284"/>
      </w:pPr>
      <w:rPr>
        <w:rFonts w:hint="default"/>
        <w:lang w:val="en-GB" w:eastAsia="en-GB" w:bidi="en-GB"/>
      </w:rPr>
    </w:lvl>
    <w:lvl w:ilvl="7" w:tplc="5AB8A9A6">
      <w:numFmt w:val="bullet"/>
      <w:lvlText w:val="•"/>
      <w:lvlJc w:val="left"/>
      <w:pPr>
        <w:ind w:left="7865" w:hanging="284"/>
      </w:pPr>
      <w:rPr>
        <w:rFonts w:hint="default"/>
        <w:lang w:val="en-GB" w:eastAsia="en-GB" w:bidi="en-GB"/>
      </w:rPr>
    </w:lvl>
    <w:lvl w:ilvl="8" w:tplc="CDA60D0C">
      <w:numFmt w:val="bullet"/>
      <w:lvlText w:val="•"/>
      <w:lvlJc w:val="left"/>
      <w:pPr>
        <w:ind w:left="8892" w:hanging="284"/>
      </w:pPr>
      <w:rPr>
        <w:rFonts w:hint="default"/>
        <w:lang w:val="en-GB" w:eastAsia="en-GB" w:bidi="en-GB"/>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7299D"/>
    <w:rsid w:val="0017414A"/>
    <w:rsid w:val="0018777F"/>
    <w:rsid w:val="001925EF"/>
    <w:rsid w:val="001A3A19"/>
    <w:rsid w:val="001A7FBC"/>
    <w:rsid w:val="001B546D"/>
    <w:rsid w:val="001E1749"/>
    <w:rsid w:val="001F5811"/>
    <w:rsid w:val="002030E5"/>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46F79"/>
    <w:rsid w:val="004518F6"/>
    <w:rsid w:val="004535A4"/>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37A4"/>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50BCA"/>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549D7"/>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C1350"/>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A03AA"/>
    <w:rsid w:val="00BA2ACE"/>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3E57"/>
    <w:rsid w:val="00C8457A"/>
    <w:rsid w:val="00C903AA"/>
    <w:rsid w:val="00CA2A9E"/>
    <w:rsid w:val="00CB6D93"/>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A5B71"/>
    <w:rsid w:val="00EB1603"/>
    <w:rsid w:val="00EB1B10"/>
    <w:rsid w:val="00EB461E"/>
    <w:rsid w:val="00EC5C44"/>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74042"/>
    <w:rsid w:val="00F75AA1"/>
    <w:rsid w:val="00F824C7"/>
    <w:rsid w:val="00F9005E"/>
    <w:rsid w:val="00FA2815"/>
    <w:rsid w:val="00FA5B0D"/>
    <w:rsid w:val="00FA6AD2"/>
    <w:rsid w:val="00FC3B66"/>
    <w:rsid w:val="00FC4D37"/>
    <w:rsid w:val="00FD242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77DB76D3"/>
  <w15:docId w15:val="{F7191787-5115-4B40-AFE2-F4F55C39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CB6D93"/>
    <w:pPr>
      <w:spacing w:after="480"/>
    </w:pPr>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BA03AA"/>
    <w:pPr>
      <w:spacing w:after="80" w:line="240" w:lineRule="auto"/>
    </w:pPr>
    <w:rPr>
      <w:rFonts w:eastAsiaTheme="majorEastAsia" w:cstheme="majorBidi"/>
      <w:b/>
      <w:sz w:val="40"/>
      <w:szCs w:val="52"/>
    </w:rPr>
  </w:style>
  <w:style w:type="character" w:customStyle="1" w:styleId="TitleChar">
    <w:name w:val="Title Char"/>
    <w:basedOn w:val="DefaultParagraphFont"/>
    <w:link w:val="Title"/>
    <w:uiPriority w:val="10"/>
    <w:rsid w:val="00BA03AA"/>
    <w:rPr>
      <w:rFonts w:ascii="Segoe UI" w:eastAsiaTheme="majorEastAsia" w:hAnsi="Segoe UI" w:cstheme="majorBidi"/>
      <w:b/>
      <w:sz w:val="40"/>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CB6D93"/>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mindframe.org.au/mental-health/communicating-about-mental-ill-health/mindframe-guidelines" TargetMode="External"/><Relationship Id="rId1" Type="http://schemas.openxmlformats.org/officeDocument/2006/relationships/hyperlink" Target="http://www.who.int/publications/i/item/preventing-suicide-a-resource-for-filmmakers-and-ot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4CB951-6F69-4E40-AD3A-CFD37072A6E7}">
  <ds:schemaRefs>
    <ds:schemaRef ds:uri="http://schemas.microsoft.com/office/2006/metadata/properties"/>
    <ds:schemaRef ds:uri="http://purl.org/dc/terms/"/>
    <ds:schemaRef ds:uri="72ee7631-8705-4e4e-a159-243698bf6794"/>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ceb9309-8f47-415f-aa59-4677cf6ce37d"/>
    <ds:schemaRef ds:uri="http://www.w3.org/XML/1998/namespace"/>
    <ds:schemaRef ds:uri="http://purl.org/dc/dcmitype/"/>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CC5D3-E8A5-4C2B-BC96-FB7430E9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30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media guidelines for reporting on suicide</dc:title>
  <dc:creator>Ministry of Health</dc:creator>
  <cp:lastModifiedBy>Julianne Ryan</cp:lastModifiedBy>
  <cp:revision>13</cp:revision>
  <cp:lastPrinted>2014-10-20T03:59:00Z</cp:lastPrinted>
  <dcterms:created xsi:type="dcterms:W3CDTF">2021-09-30T20:18:00Z</dcterms:created>
  <dcterms:modified xsi:type="dcterms:W3CDTF">2021-10-01T01:25:00Z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