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09" w:rsidRDefault="00211016" w:rsidP="004F1209">
      <w:pPr>
        <w:jc w:val="center"/>
        <w:rPr>
          <w:b/>
          <w:sz w:val="22"/>
          <w:szCs w:val="22"/>
        </w:rPr>
      </w:pPr>
      <w:r>
        <w:rPr>
          <w:b/>
          <w:sz w:val="22"/>
          <w:szCs w:val="22"/>
        </w:rPr>
        <w:t>INVESTIGATION INTO THE EFFECTS OF GAMBLING GAME CHARCTERISTICS, PIDS AND POP-UP TECHNOLOGY ON GAMBLING AND PROBLEM GAMBLIN</w:t>
      </w:r>
      <w:r w:rsidR="0005665D">
        <w:rPr>
          <w:b/>
          <w:sz w:val="22"/>
          <w:szCs w:val="22"/>
        </w:rPr>
        <w:t>G</w:t>
      </w:r>
      <w:r>
        <w:rPr>
          <w:b/>
          <w:sz w:val="22"/>
          <w:szCs w:val="22"/>
        </w:rPr>
        <w:t xml:space="preserve"> BEHAVIOUR IN NEW ZEALAND </w:t>
      </w:r>
    </w:p>
    <w:p w:rsidR="00106CC9" w:rsidRDefault="00106CC9" w:rsidP="004F1209">
      <w:pPr>
        <w:jc w:val="center"/>
        <w:rPr>
          <w:b/>
          <w:sz w:val="22"/>
          <w:szCs w:val="22"/>
        </w:rPr>
      </w:pPr>
    </w:p>
    <w:p w:rsidR="00106CC9" w:rsidRPr="00E90DF4" w:rsidRDefault="00106CC9" w:rsidP="004F1209">
      <w:pPr>
        <w:jc w:val="center"/>
        <w:rPr>
          <w:sz w:val="22"/>
          <w:szCs w:val="22"/>
        </w:rPr>
      </w:pPr>
      <w:r>
        <w:rPr>
          <w:b/>
          <w:sz w:val="22"/>
          <w:szCs w:val="22"/>
        </w:rPr>
        <w:t xml:space="preserve">Summary </w:t>
      </w:r>
    </w:p>
    <w:p w:rsidR="004F1209" w:rsidRPr="00E90DF4" w:rsidRDefault="004F1209" w:rsidP="004F1209">
      <w:pPr>
        <w:jc w:val="center"/>
        <w:rPr>
          <w:sz w:val="22"/>
          <w:szCs w:val="22"/>
        </w:rPr>
      </w:pPr>
    </w:p>
    <w:tbl>
      <w:tblPr>
        <w:tblW w:w="0" w:type="auto"/>
        <w:tblInd w:w="108" w:type="dxa"/>
        <w:tblLook w:val="04A0" w:firstRow="1" w:lastRow="0" w:firstColumn="1" w:lastColumn="0" w:noHBand="0" w:noVBand="1"/>
      </w:tblPr>
      <w:tblGrid>
        <w:gridCol w:w="2552"/>
        <w:gridCol w:w="5862"/>
      </w:tblGrid>
      <w:tr w:rsidR="00106CC9" w:rsidRPr="00965C90" w:rsidTr="00965C90">
        <w:tc>
          <w:tcPr>
            <w:tcW w:w="2552" w:type="dxa"/>
          </w:tcPr>
          <w:p w:rsidR="00106CC9" w:rsidRPr="00965C90" w:rsidRDefault="00106CC9" w:rsidP="002A78C7">
            <w:pPr>
              <w:tabs>
                <w:tab w:val="left" w:pos="2520"/>
              </w:tabs>
              <w:spacing w:after="120"/>
              <w:rPr>
                <w:sz w:val="22"/>
                <w:szCs w:val="22"/>
              </w:rPr>
            </w:pPr>
            <w:r w:rsidRPr="00965C90">
              <w:rPr>
                <w:sz w:val="22"/>
                <w:szCs w:val="22"/>
              </w:rPr>
              <w:t>Project conducted by:</w:t>
            </w:r>
          </w:p>
        </w:tc>
        <w:tc>
          <w:tcPr>
            <w:tcW w:w="5862" w:type="dxa"/>
          </w:tcPr>
          <w:p w:rsidR="00106CC9" w:rsidRPr="00965C90" w:rsidRDefault="00106CC9" w:rsidP="002A78C7">
            <w:pPr>
              <w:tabs>
                <w:tab w:val="left" w:pos="2520"/>
              </w:tabs>
              <w:spacing w:after="120"/>
              <w:rPr>
                <w:sz w:val="22"/>
                <w:szCs w:val="22"/>
              </w:rPr>
            </w:pPr>
            <w:r w:rsidRPr="00965C90">
              <w:rPr>
                <w:sz w:val="22"/>
                <w:szCs w:val="22"/>
              </w:rPr>
              <w:t>Gambling and Addictions Research Centre, National Institute for Public Health and Mental Health Research, AUT University</w:t>
            </w:r>
          </w:p>
        </w:tc>
      </w:tr>
      <w:tr w:rsidR="00106CC9" w:rsidRPr="00965C90" w:rsidTr="00965C90">
        <w:tc>
          <w:tcPr>
            <w:tcW w:w="2552" w:type="dxa"/>
          </w:tcPr>
          <w:p w:rsidR="00106CC9" w:rsidRPr="00965C90" w:rsidRDefault="00FD478A" w:rsidP="002A78C7">
            <w:pPr>
              <w:tabs>
                <w:tab w:val="left" w:pos="2520"/>
              </w:tabs>
              <w:spacing w:after="120"/>
              <w:rPr>
                <w:sz w:val="22"/>
                <w:szCs w:val="22"/>
              </w:rPr>
            </w:pPr>
            <w:r w:rsidRPr="00965C90">
              <w:rPr>
                <w:sz w:val="22"/>
                <w:szCs w:val="22"/>
              </w:rPr>
              <w:t>Principal r</w:t>
            </w:r>
            <w:r w:rsidR="00106CC9" w:rsidRPr="00965C90">
              <w:rPr>
                <w:sz w:val="22"/>
                <w:szCs w:val="22"/>
              </w:rPr>
              <w:t>esearchers:</w:t>
            </w:r>
          </w:p>
        </w:tc>
        <w:tc>
          <w:tcPr>
            <w:tcW w:w="5862" w:type="dxa"/>
          </w:tcPr>
          <w:p w:rsidR="00106CC9" w:rsidRPr="00965C90" w:rsidRDefault="000C178B" w:rsidP="00211016">
            <w:pPr>
              <w:tabs>
                <w:tab w:val="left" w:pos="2520"/>
              </w:tabs>
              <w:spacing w:after="120"/>
              <w:rPr>
                <w:sz w:val="22"/>
                <w:szCs w:val="22"/>
              </w:rPr>
            </w:pPr>
            <w:r>
              <w:rPr>
                <w:sz w:val="22"/>
                <w:szCs w:val="22"/>
              </w:rPr>
              <w:t xml:space="preserve">Max Abbott, </w:t>
            </w:r>
            <w:r w:rsidR="00211016">
              <w:rPr>
                <w:sz w:val="22"/>
                <w:szCs w:val="22"/>
              </w:rPr>
              <w:t>Jason Landon</w:t>
            </w:r>
            <w:r w:rsidR="002653F7">
              <w:rPr>
                <w:sz w:val="22"/>
                <w:szCs w:val="22"/>
              </w:rPr>
              <w:t xml:space="preserve">, </w:t>
            </w:r>
            <w:r>
              <w:rPr>
                <w:sz w:val="22"/>
                <w:szCs w:val="22"/>
              </w:rPr>
              <w:t xml:space="preserve">Katie Palmer du Preez, </w:t>
            </w:r>
            <w:r w:rsidR="00211016">
              <w:rPr>
                <w:sz w:val="22"/>
                <w:szCs w:val="22"/>
              </w:rPr>
              <w:t xml:space="preserve">Maria Bellringer, Nick Garrett </w:t>
            </w:r>
          </w:p>
        </w:tc>
      </w:tr>
      <w:tr w:rsidR="00106CC9" w:rsidRPr="00965C90" w:rsidTr="00965C90">
        <w:tc>
          <w:tcPr>
            <w:tcW w:w="2552" w:type="dxa"/>
          </w:tcPr>
          <w:p w:rsidR="00106CC9" w:rsidRPr="00965C90" w:rsidRDefault="00106CC9" w:rsidP="002A78C7">
            <w:pPr>
              <w:tabs>
                <w:tab w:val="left" w:pos="2520"/>
              </w:tabs>
              <w:spacing w:after="120"/>
              <w:rPr>
                <w:sz w:val="22"/>
                <w:szCs w:val="22"/>
              </w:rPr>
            </w:pPr>
            <w:r w:rsidRPr="00965C90">
              <w:rPr>
                <w:sz w:val="22"/>
                <w:szCs w:val="22"/>
              </w:rPr>
              <w:t>Project funded by:</w:t>
            </w:r>
          </w:p>
        </w:tc>
        <w:tc>
          <w:tcPr>
            <w:tcW w:w="5862" w:type="dxa"/>
          </w:tcPr>
          <w:p w:rsidR="00106CC9" w:rsidRPr="00965C90" w:rsidRDefault="00106CC9" w:rsidP="002A78C7">
            <w:pPr>
              <w:tabs>
                <w:tab w:val="left" w:pos="2520"/>
              </w:tabs>
              <w:spacing w:after="120"/>
              <w:rPr>
                <w:sz w:val="22"/>
                <w:szCs w:val="22"/>
              </w:rPr>
            </w:pPr>
            <w:r w:rsidRPr="00965C90">
              <w:rPr>
                <w:sz w:val="22"/>
                <w:szCs w:val="22"/>
              </w:rPr>
              <w:t>Ministry of Health</w:t>
            </w:r>
          </w:p>
        </w:tc>
      </w:tr>
    </w:tbl>
    <w:p w:rsidR="00225994" w:rsidRPr="00E057B6" w:rsidRDefault="00225994" w:rsidP="004F1209">
      <w:pPr>
        <w:jc w:val="both"/>
        <w:rPr>
          <w:b/>
          <w:sz w:val="22"/>
          <w:szCs w:val="22"/>
        </w:rPr>
      </w:pPr>
    </w:p>
    <w:p w:rsidR="00FD478A" w:rsidRPr="00E057B6" w:rsidRDefault="00FD478A" w:rsidP="004F1209">
      <w:pPr>
        <w:jc w:val="both"/>
        <w:rPr>
          <w:sz w:val="22"/>
          <w:szCs w:val="22"/>
        </w:rPr>
      </w:pPr>
      <w:r w:rsidRPr="00E057B6">
        <w:rPr>
          <w:b/>
          <w:sz w:val="22"/>
          <w:szCs w:val="22"/>
        </w:rPr>
        <w:t>Background</w:t>
      </w:r>
    </w:p>
    <w:p w:rsidR="002653F7" w:rsidRPr="00E057B6" w:rsidRDefault="00AD0D91" w:rsidP="004F1209">
      <w:pPr>
        <w:jc w:val="both"/>
        <w:rPr>
          <w:sz w:val="22"/>
          <w:szCs w:val="22"/>
        </w:rPr>
      </w:pPr>
      <w:r>
        <w:rPr>
          <w:sz w:val="22"/>
          <w:szCs w:val="22"/>
        </w:rPr>
        <w:t>T</w:t>
      </w:r>
      <w:r w:rsidR="00E21AAB" w:rsidRPr="00E057B6">
        <w:rPr>
          <w:sz w:val="22"/>
          <w:szCs w:val="22"/>
        </w:rPr>
        <w:t xml:space="preserve">here is a strong </w:t>
      </w:r>
      <w:r>
        <w:rPr>
          <w:sz w:val="22"/>
          <w:szCs w:val="22"/>
        </w:rPr>
        <w:t>relationship</w:t>
      </w:r>
      <w:r w:rsidR="00E21AAB" w:rsidRPr="00E057B6">
        <w:rPr>
          <w:sz w:val="22"/>
          <w:szCs w:val="22"/>
        </w:rPr>
        <w:t xml:space="preserve"> between Electronic Gaming Machines (EGMs) and </w:t>
      </w:r>
      <w:r>
        <w:rPr>
          <w:sz w:val="22"/>
          <w:szCs w:val="22"/>
        </w:rPr>
        <w:t xml:space="preserve">problem-gambling </w:t>
      </w:r>
      <w:r w:rsidR="00AF119D">
        <w:rPr>
          <w:sz w:val="22"/>
          <w:szCs w:val="22"/>
        </w:rPr>
        <w:t>with</w:t>
      </w:r>
      <w:r>
        <w:rPr>
          <w:sz w:val="22"/>
          <w:szCs w:val="22"/>
        </w:rPr>
        <w:t xml:space="preserve"> a range of activities used to try and address this relationship.  These include regulations to limit the availability and promotion of EGMs and the use of public education campaigns to raise awareness of the harms associated with excessive use of EGMs.  Other approaches have included </w:t>
      </w:r>
      <w:r w:rsidR="00211B6D" w:rsidRPr="00E057B6">
        <w:rPr>
          <w:sz w:val="22"/>
          <w:szCs w:val="22"/>
        </w:rPr>
        <w:t xml:space="preserve">modifying </w:t>
      </w:r>
      <w:r>
        <w:rPr>
          <w:sz w:val="22"/>
          <w:szCs w:val="22"/>
        </w:rPr>
        <w:t xml:space="preserve">the </w:t>
      </w:r>
      <w:r w:rsidR="00211B6D" w:rsidRPr="00E057B6">
        <w:rPr>
          <w:sz w:val="22"/>
          <w:szCs w:val="22"/>
        </w:rPr>
        <w:t xml:space="preserve">characteristics </w:t>
      </w:r>
      <w:r>
        <w:rPr>
          <w:sz w:val="22"/>
          <w:szCs w:val="22"/>
        </w:rPr>
        <w:t>and features of EGMs to try and make them</w:t>
      </w:r>
      <w:r w:rsidR="00211B6D" w:rsidRPr="00E057B6">
        <w:rPr>
          <w:sz w:val="22"/>
          <w:szCs w:val="22"/>
        </w:rPr>
        <w:t xml:space="preserve"> safer.  As part of this </w:t>
      </w:r>
      <w:r w:rsidR="00AF119D">
        <w:rPr>
          <w:sz w:val="22"/>
          <w:szCs w:val="22"/>
        </w:rPr>
        <w:t xml:space="preserve">latter </w:t>
      </w:r>
      <w:r w:rsidR="00211B6D" w:rsidRPr="00E057B6">
        <w:rPr>
          <w:sz w:val="22"/>
          <w:szCs w:val="22"/>
        </w:rPr>
        <w:t>approach</w:t>
      </w:r>
      <w:r w:rsidR="00AF119D">
        <w:rPr>
          <w:sz w:val="22"/>
          <w:szCs w:val="22"/>
        </w:rPr>
        <w:t>,</w:t>
      </w:r>
      <w:r w:rsidR="00211B6D" w:rsidRPr="00E057B6">
        <w:rPr>
          <w:sz w:val="22"/>
          <w:szCs w:val="22"/>
        </w:rPr>
        <w:t xml:space="preserve"> p</w:t>
      </w:r>
      <w:r w:rsidR="00E21AAB" w:rsidRPr="00E057B6">
        <w:rPr>
          <w:sz w:val="22"/>
          <w:szCs w:val="22"/>
        </w:rPr>
        <w:t>op-up messages and player information display systems (PID</w:t>
      </w:r>
      <w:r w:rsidR="00AF119D">
        <w:rPr>
          <w:sz w:val="22"/>
          <w:szCs w:val="22"/>
        </w:rPr>
        <w:t>s</w:t>
      </w:r>
      <w:r w:rsidR="00E21AAB" w:rsidRPr="00E057B6">
        <w:rPr>
          <w:sz w:val="22"/>
          <w:szCs w:val="22"/>
        </w:rPr>
        <w:t>)</w:t>
      </w:r>
      <w:r w:rsidR="0058635B" w:rsidRPr="00E057B6">
        <w:rPr>
          <w:sz w:val="22"/>
          <w:szCs w:val="22"/>
        </w:rPr>
        <w:t xml:space="preserve"> have been </w:t>
      </w:r>
      <w:r w:rsidR="00E21AAB" w:rsidRPr="00E057B6">
        <w:rPr>
          <w:sz w:val="22"/>
          <w:szCs w:val="22"/>
        </w:rPr>
        <w:t xml:space="preserve">introduced to all EGMs in New Zealand. </w:t>
      </w:r>
      <w:r w:rsidR="0005665D" w:rsidRPr="00E057B6">
        <w:rPr>
          <w:sz w:val="22"/>
          <w:szCs w:val="22"/>
        </w:rPr>
        <w:t xml:space="preserve"> </w:t>
      </w:r>
      <w:r w:rsidR="00E21AAB" w:rsidRPr="00E057B6">
        <w:rPr>
          <w:sz w:val="22"/>
          <w:szCs w:val="22"/>
        </w:rPr>
        <w:t>Pop-up messages are a</w:t>
      </w:r>
      <w:r w:rsidR="000047E0">
        <w:rPr>
          <w:sz w:val="22"/>
          <w:szCs w:val="22"/>
        </w:rPr>
        <w:t>n automatic</w:t>
      </w:r>
      <w:r w:rsidR="00E21AAB" w:rsidRPr="00E057B6">
        <w:rPr>
          <w:sz w:val="22"/>
          <w:szCs w:val="22"/>
        </w:rPr>
        <w:t xml:space="preserve"> </w:t>
      </w:r>
      <w:r w:rsidR="000047E0">
        <w:rPr>
          <w:sz w:val="22"/>
          <w:szCs w:val="22"/>
        </w:rPr>
        <w:t xml:space="preserve">message presented on the EGM screen that </w:t>
      </w:r>
      <w:r w:rsidR="000047E0" w:rsidRPr="00E057B6">
        <w:rPr>
          <w:sz w:val="22"/>
          <w:szCs w:val="22"/>
        </w:rPr>
        <w:t>shows the time and money a gambler has spent on gambling in the current session</w:t>
      </w:r>
      <w:r w:rsidR="000047E0">
        <w:rPr>
          <w:sz w:val="22"/>
          <w:szCs w:val="22"/>
        </w:rPr>
        <w:t xml:space="preserve">.  Pop-up messages create a </w:t>
      </w:r>
      <w:r w:rsidR="00E21AAB" w:rsidRPr="00E057B6">
        <w:rPr>
          <w:sz w:val="22"/>
          <w:szCs w:val="22"/>
        </w:rPr>
        <w:t>brief compulsory break in play</w:t>
      </w:r>
      <w:r w:rsidR="00AF119D">
        <w:rPr>
          <w:sz w:val="22"/>
          <w:szCs w:val="22"/>
        </w:rPr>
        <w:t>,</w:t>
      </w:r>
      <w:r w:rsidR="00391D4C" w:rsidRPr="00E057B6">
        <w:rPr>
          <w:sz w:val="22"/>
          <w:szCs w:val="22"/>
        </w:rPr>
        <w:t xml:space="preserve"> </w:t>
      </w:r>
      <w:r w:rsidR="00AF119D">
        <w:rPr>
          <w:sz w:val="22"/>
          <w:szCs w:val="22"/>
        </w:rPr>
        <w:t xml:space="preserve">while </w:t>
      </w:r>
      <w:r w:rsidR="00E21AAB" w:rsidRPr="00E057B6">
        <w:rPr>
          <w:sz w:val="22"/>
          <w:szCs w:val="22"/>
        </w:rPr>
        <w:t>PIDs are a voluntary feature where</w:t>
      </w:r>
      <w:r w:rsidR="0005665D" w:rsidRPr="00E057B6">
        <w:rPr>
          <w:sz w:val="22"/>
          <w:szCs w:val="22"/>
        </w:rPr>
        <w:t>by</w:t>
      </w:r>
      <w:r w:rsidR="00E21AAB" w:rsidRPr="00E057B6">
        <w:rPr>
          <w:sz w:val="22"/>
          <w:szCs w:val="22"/>
        </w:rPr>
        <w:t xml:space="preserve"> gamblers can access th</w:t>
      </w:r>
      <w:r w:rsidR="00391D4C" w:rsidRPr="00E057B6">
        <w:rPr>
          <w:sz w:val="22"/>
          <w:szCs w:val="22"/>
        </w:rPr>
        <w:t>e same</w:t>
      </w:r>
      <w:r w:rsidR="00E21AAB" w:rsidRPr="00E057B6">
        <w:rPr>
          <w:sz w:val="22"/>
          <w:szCs w:val="22"/>
        </w:rPr>
        <w:t xml:space="preserve"> information at any time while they are gambling.</w:t>
      </w:r>
      <w:r w:rsidR="00211B6D" w:rsidRPr="00E057B6">
        <w:rPr>
          <w:sz w:val="22"/>
          <w:szCs w:val="22"/>
        </w:rPr>
        <w:t xml:space="preserve">  </w:t>
      </w:r>
    </w:p>
    <w:p w:rsidR="002653F7" w:rsidRPr="00E057B6" w:rsidRDefault="002653F7" w:rsidP="004F1209">
      <w:pPr>
        <w:jc w:val="both"/>
        <w:rPr>
          <w:sz w:val="22"/>
          <w:szCs w:val="22"/>
        </w:rPr>
      </w:pPr>
    </w:p>
    <w:p w:rsidR="004F1209" w:rsidRPr="00E057B6" w:rsidRDefault="00F86AB4" w:rsidP="004F1209">
      <w:pPr>
        <w:jc w:val="both"/>
        <w:rPr>
          <w:b/>
          <w:sz w:val="22"/>
          <w:szCs w:val="22"/>
        </w:rPr>
      </w:pPr>
      <w:r w:rsidRPr="00E057B6">
        <w:rPr>
          <w:b/>
          <w:sz w:val="22"/>
          <w:szCs w:val="22"/>
        </w:rPr>
        <w:t>Aim</w:t>
      </w:r>
    </w:p>
    <w:p w:rsidR="00211016" w:rsidRDefault="001D5A3E" w:rsidP="002653F7">
      <w:pPr>
        <w:jc w:val="both"/>
        <w:rPr>
          <w:sz w:val="22"/>
          <w:szCs w:val="22"/>
        </w:rPr>
      </w:pPr>
      <w:r w:rsidRPr="00E057B6">
        <w:rPr>
          <w:sz w:val="22"/>
          <w:szCs w:val="22"/>
        </w:rPr>
        <w:t xml:space="preserve">This research was carried out to understand the impacts </w:t>
      </w:r>
      <w:r w:rsidR="00BE5A68" w:rsidRPr="00E057B6">
        <w:rPr>
          <w:sz w:val="22"/>
          <w:szCs w:val="22"/>
        </w:rPr>
        <w:t>of PIDs and pop-up messages</w:t>
      </w:r>
      <w:r w:rsidR="00AF119D">
        <w:rPr>
          <w:sz w:val="22"/>
          <w:szCs w:val="22"/>
        </w:rPr>
        <w:t xml:space="preserve">, and to </w:t>
      </w:r>
      <w:r w:rsidR="00AF119D" w:rsidRPr="00E057B6">
        <w:rPr>
          <w:sz w:val="22"/>
          <w:szCs w:val="22"/>
        </w:rPr>
        <w:t>explore the effects of EGM game characteristics and casino table game characteristics</w:t>
      </w:r>
      <w:r w:rsidR="00AF119D">
        <w:rPr>
          <w:sz w:val="22"/>
          <w:szCs w:val="22"/>
        </w:rPr>
        <w:t>,</w:t>
      </w:r>
      <w:r w:rsidR="00BE5A68" w:rsidRPr="00E057B6">
        <w:rPr>
          <w:sz w:val="22"/>
          <w:szCs w:val="22"/>
        </w:rPr>
        <w:t xml:space="preserve"> </w:t>
      </w:r>
      <w:r w:rsidRPr="00E057B6">
        <w:rPr>
          <w:sz w:val="22"/>
          <w:szCs w:val="22"/>
        </w:rPr>
        <w:t xml:space="preserve">on gambler behaviour </w:t>
      </w:r>
      <w:r w:rsidR="00AF119D">
        <w:rPr>
          <w:sz w:val="22"/>
          <w:szCs w:val="22"/>
        </w:rPr>
        <w:t>and gambling-related harms.</w:t>
      </w:r>
    </w:p>
    <w:p w:rsidR="00AF119D" w:rsidRPr="00E057B6" w:rsidRDefault="00AF119D" w:rsidP="002653F7">
      <w:pPr>
        <w:jc w:val="both"/>
        <w:rPr>
          <w:sz w:val="22"/>
          <w:szCs w:val="22"/>
        </w:rPr>
      </w:pPr>
    </w:p>
    <w:p w:rsidR="003468DA" w:rsidRPr="00E057B6" w:rsidRDefault="003468DA" w:rsidP="004F1209">
      <w:pPr>
        <w:jc w:val="both"/>
        <w:rPr>
          <w:b/>
          <w:sz w:val="22"/>
          <w:szCs w:val="22"/>
        </w:rPr>
      </w:pPr>
      <w:r w:rsidRPr="00E057B6">
        <w:rPr>
          <w:b/>
          <w:sz w:val="22"/>
          <w:szCs w:val="22"/>
        </w:rPr>
        <w:t>Method</w:t>
      </w:r>
    </w:p>
    <w:p w:rsidR="00117CEE" w:rsidRPr="00E057B6" w:rsidRDefault="00C466F7" w:rsidP="00DF2C4E">
      <w:pPr>
        <w:jc w:val="both"/>
        <w:rPr>
          <w:sz w:val="22"/>
          <w:szCs w:val="22"/>
        </w:rPr>
      </w:pPr>
      <w:r w:rsidRPr="00E057B6">
        <w:rPr>
          <w:sz w:val="22"/>
          <w:szCs w:val="22"/>
        </w:rPr>
        <w:t xml:space="preserve">This project included three phases with each phase building on the last.  Phase </w:t>
      </w:r>
      <w:proofErr w:type="gramStart"/>
      <w:r w:rsidRPr="00E057B6">
        <w:rPr>
          <w:sz w:val="22"/>
          <w:szCs w:val="22"/>
        </w:rPr>
        <w:t>One</w:t>
      </w:r>
      <w:proofErr w:type="gramEnd"/>
      <w:r w:rsidRPr="00E057B6">
        <w:rPr>
          <w:sz w:val="22"/>
          <w:szCs w:val="22"/>
        </w:rPr>
        <w:t xml:space="preserve"> involved a literature review and focus grou</w:t>
      </w:r>
      <w:r w:rsidRPr="00AF119D">
        <w:rPr>
          <w:sz w:val="22"/>
          <w:szCs w:val="22"/>
        </w:rPr>
        <w:t>ps</w:t>
      </w:r>
      <w:r w:rsidR="00BE5A68" w:rsidRPr="00AF119D">
        <w:rPr>
          <w:sz w:val="22"/>
          <w:szCs w:val="22"/>
        </w:rPr>
        <w:t xml:space="preserve"> with gamblers and other key stakeholders</w:t>
      </w:r>
      <w:r w:rsidRPr="00AF119D">
        <w:rPr>
          <w:sz w:val="22"/>
          <w:szCs w:val="22"/>
        </w:rPr>
        <w:t xml:space="preserve">.  Phase Two was an in-venue observational study of </w:t>
      </w:r>
      <w:r w:rsidR="00AD0D91" w:rsidRPr="00AF119D">
        <w:rPr>
          <w:sz w:val="22"/>
          <w:szCs w:val="22"/>
        </w:rPr>
        <w:t xml:space="preserve">the </w:t>
      </w:r>
      <w:r w:rsidRPr="00AF119D">
        <w:rPr>
          <w:sz w:val="22"/>
          <w:szCs w:val="22"/>
        </w:rPr>
        <w:t>behaviour</w:t>
      </w:r>
      <w:r w:rsidR="00AD0D91" w:rsidRPr="00AF119D">
        <w:rPr>
          <w:sz w:val="22"/>
          <w:szCs w:val="22"/>
        </w:rPr>
        <w:t xml:space="preserve"> of </w:t>
      </w:r>
      <w:r w:rsidR="00FA677A" w:rsidRPr="00AF119D">
        <w:rPr>
          <w:sz w:val="22"/>
          <w:szCs w:val="22"/>
        </w:rPr>
        <w:t>123</w:t>
      </w:r>
      <w:r w:rsidR="00AD0D91" w:rsidRPr="00AF119D">
        <w:rPr>
          <w:sz w:val="22"/>
          <w:szCs w:val="22"/>
        </w:rPr>
        <w:t xml:space="preserve"> gamblers while using EGMs</w:t>
      </w:r>
      <w:r w:rsidRPr="00AF119D">
        <w:rPr>
          <w:sz w:val="22"/>
          <w:szCs w:val="22"/>
        </w:rPr>
        <w:t>.</w:t>
      </w:r>
      <w:r w:rsidRPr="00E057B6">
        <w:rPr>
          <w:sz w:val="22"/>
          <w:szCs w:val="22"/>
        </w:rPr>
        <w:t xml:space="preserve">  Phase Three involved a survey to collect data </w:t>
      </w:r>
      <w:r w:rsidR="00BE5A68" w:rsidRPr="00E057B6">
        <w:rPr>
          <w:sz w:val="22"/>
          <w:szCs w:val="22"/>
        </w:rPr>
        <w:t xml:space="preserve">from </w:t>
      </w:r>
      <w:r w:rsidRPr="00E057B6">
        <w:rPr>
          <w:sz w:val="22"/>
          <w:szCs w:val="22"/>
        </w:rPr>
        <w:t xml:space="preserve">521 gamblers recruited in gambling venues </w:t>
      </w:r>
      <w:proofErr w:type="gramStart"/>
      <w:r w:rsidR="0054740A" w:rsidRPr="00E057B6">
        <w:rPr>
          <w:sz w:val="22"/>
          <w:szCs w:val="22"/>
        </w:rPr>
        <w:t>who</w:t>
      </w:r>
      <w:proofErr w:type="gramEnd"/>
      <w:r w:rsidR="0054740A" w:rsidRPr="00E057B6">
        <w:rPr>
          <w:sz w:val="22"/>
          <w:szCs w:val="22"/>
        </w:rPr>
        <w:t xml:space="preserve"> were re-surveyed</w:t>
      </w:r>
      <w:r w:rsidR="00854867" w:rsidRPr="00E057B6">
        <w:rPr>
          <w:sz w:val="22"/>
          <w:szCs w:val="22"/>
        </w:rPr>
        <w:t xml:space="preserve"> </w:t>
      </w:r>
      <w:r w:rsidR="00BE5A68" w:rsidRPr="00E057B6">
        <w:rPr>
          <w:sz w:val="22"/>
          <w:szCs w:val="22"/>
        </w:rPr>
        <w:t xml:space="preserve">three </w:t>
      </w:r>
      <w:r w:rsidR="00854867" w:rsidRPr="00E057B6">
        <w:rPr>
          <w:sz w:val="22"/>
          <w:szCs w:val="22"/>
        </w:rPr>
        <w:t xml:space="preserve">and </w:t>
      </w:r>
      <w:r w:rsidR="00BE5A68" w:rsidRPr="00E057B6">
        <w:rPr>
          <w:sz w:val="22"/>
          <w:szCs w:val="22"/>
        </w:rPr>
        <w:t>six</w:t>
      </w:r>
      <w:r w:rsidR="00854867" w:rsidRPr="00E057B6">
        <w:rPr>
          <w:sz w:val="22"/>
          <w:szCs w:val="22"/>
        </w:rPr>
        <w:t xml:space="preserve"> months</w:t>
      </w:r>
      <w:r w:rsidR="0054740A" w:rsidRPr="00E057B6">
        <w:rPr>
          <w:sz w:val="22"/>
          <w:szCs w:val="22"/>
        </w:rPr>
        <w:t xml:space="preserve"> later</w:t>
      </w:r>
      <w:r w:rsidRPr="00E057B6">
        <w:rPr>
          <w:sz w:val="22"/>
          <w:szCs w:val="22"/>
        </w:rPr>
        <w:t>.</w:t>
      </w:r>
    </w:p>
    <w:p w:rsidR="00211016" w:rsidRPr="00E057B6" w:rsidRDefault="00211016" w:rsidP="00DF2C4E">
      <w:pPr>
        <w:jc w:val="both"/>
        <w:rPr>
          <w:sz w:val="22"/>
          <w:szCs w:val="22"/>
        </w:rPr>
      </w:pPr>
    </w:p>
    <w:p w:rsidR="0045621E" w:rsidRPr="00FA677A" w:rsidRDefault="00A37112" w:rsidP="0045621E">
      <w:pPr>
        <w:jc w:val="both"/>
        <w:rPr>
          <w:sz w:val="22"/>
          <w:szCs w:val="22"/>
        </w:rPr>
      </w:pPr>
      <w:r w:rsidRPr="00E057B6">
        <w:rPr>
          <w:b/>
          <w:sz w:val="22"/>
          <w:szCs w:val="22"/>
        </w:rPr>
        <w:t xml:space="preserve">Summary of </w:t>
      </w:r>
      <w:r w:rsidR="00586486" w:rsidRPr="00E057B6">
        <w:rPr>
          <w:b/>
          <w:sz w:val="22"/>
          <w:szCs w:val="22"/>
        </w:rPr>
        <w:t>key findings</w:t>
      </w:r>
    </w:p>
    <w:p w:rsidR="00FA677A" w:rsidRPr="00AF119D" w:rsidRDefault="00FA677A" w:rsidP="00FA677A">
      <w:pPr>
        <w:jc w:val="both"/>
        <w:rPr>
          <w:i/>
          <w:sz w:val="22"/>
          <w:szCs w:val="22"/>
        </w:rPr>
      </w:pPr>
      <w:r w:rsidRPr="00AF119D">
        <w:rPr>
          <w:i/>
          <w:sz w:val="22"/>
          <w:szCs w:val="22"/>
        </w:rPr>
        <w:t>Casino table games</w:t>
      </w:r>
    </w:p>
    <w:p w:rsidR="00FA677A" w:rsidRPr="00FA677A" w:rsidRDefault="00FA677A" w:rsidP="00FA677A">
      <w:pPr>
        <w:pStyle w:val="ListParagraph"/>
        <w:numPr>
          <w:ilvl w:val="0"/>
          <w:numId w:val="15"/>
        </w:numPr>
        <w:jc w:val="both"/>
        <w:rPr>
          <w:sz w:val="22"/>
          <w:szCs w:val="22"/>
        </w:rPr>
      </w:pPr>
      <w:r w:rsidRPr="00FA677A">
        <w:rPr>
          <w:sz w:val="22"/>
          <w:szCs w:val="22"/>
        </w:rPr>
        <w:t xml:space="preserve">Focus group results combined with survey findings showed that the social nature and perceived control linked with casino table </w:t>
      </w:r>
      <w:r w:rsidR="0045621E">
        <w:rPr>
          <w:sz w:val="22"/>
          <w:szCs w:val="22"/>
        </w:rPr>
        <w:t>games</w:t>
      </w:r>
      <w:r w:rsidRPr="00FA677A">
        <w:rPr>
          <w:sz w:val="22"/>
          <w:szCs w:val="22"/>
        </w:rPr>
        <w:t xml:space="preserve"> were associated with loss of control over time and money spent gambling.</w:t>
      </w:r>
    </w:p>
    <w:p w:rsidR="00FA677A" w:rsidRPr="00FA677A" w:rsidRDefault="00FA677A" w:rsidP="00FA677A">
      <w:pPr>
        <w:pStyle w:val="ListParagraph"/>
        <w:numPr>
          <w:ilvl w:val="0"/>
          <w:numId w:val="15"/>
        </w:numPr>
        <w:jc w:val="both"/>
        <w:rPr>
          <w:sz w:val="22"/>
          <w:szCs w:val="22"/>
        </w:rPr>
      </w:pPr>
      <w:r w:rsidRPr="00FA677A">
        <w:rPr>
          <w:sz w:val="22"/>
          <w:szCs w:val="22"/>
        </w:rPr>
        <w:t>Those for whom a croupier is important spent consistently more time gambling over the survey period.</w:t>
      </w:r>
    </w:p>
    <w:p w:rsidR="00FA677A" w:rsidRPr="00FA677A" w:rsidRDefault="00FA677A" w:rsidP="00FA677A">
      <w:pPr>
        <w:jc w:val="both"/>
        <w:rPr>
          <w:sz w:val="22"/>
          <w:szCs w:val="22"/>
        </w:rPr>
      </w:pPr>
    </w:p>
    <w:p w:rsidR="00FA677A" w:rsidRPr="00AF119D" w:rsidRDefault="00FA677A" w:rsidP="00FA677A">
      <w:pPr>
        <w:jc w:val="both"/>
        <w:rPr>
          <w:i/>
          <w:sz w:val="22"/>
          <w:szCs w:val="22"/>
        </w:rPr>
      </w:pPr>
      <w:r w:rsidRPr="00AF119D">
        <w:rPr>
          <w:i/>
          <w:sz w:val="22"/>
          <w:szCs w:val="22"/>
        </w:rPr>
        <w:t>EGMs - game characteristics</w:t>
      </w:r>
    </w:p>
    <w:p w:rsidR="00FA677A" w:rsidRPr="00FA677A" w:rsidRDefault="00FA677A" w:rsidP="00FA677A">
      <w:pPr>
        <w:pStyle w:val="ListParagraph"/>
        <w:numPr>
          <w:ilvl w:val="0"/>
          <w:numId w:val="16"/>
        </w:numPr>
        <w:jc w:val="both"/>
        <w:rPr>
          <w:sz w:val="22"/>
          <w:szCs w:val="22"/>
        </w:rPr>
      </w:pPr>
      <w:r w:rsidRPr="00FA677A">
        <w:rPr>
          <w:sz w:val="22"/>
          <w:szCs w:val="22"/>
        </w:rPr>
        <w:t>Free spins and jackpots were both associated with loss of control over time and money spent gambling in the focus group and survey phases.</w:t>
      </w:r>
    </w:p>
    <w:p w:rsidR="00AF119D" w:rsidRDefault="00FA677A" w:rsidP="00FA677A">
      <w:pPr>
        <w:pStyle w:val="ListParagraph"/>
        <w:numPr>
          <w:ilvl w:val="0"/>
          <w:numId w:val="16"/>
        </w:numPr>
        <w:jc w:val="both"/>
        <w:rPr>
          <w:sz w:val="22"/>
          <w:szCs w:val="22"/>
        </w:rPr>
      </w:pPr>
      <w:r w:rsidRPr="00FA677A">
        <w:rPr>
          <w:sz w:val="22"/>
          <w:szCs w:val="22"/>
        </w:rPr>
        <w:t xml:space="preserve">Evidence across the focus group, observation and survey phases suggested that free spins, small frequent wins, low denominations and multiple lines operate together to disguise losses as wins and to encourage gamblers to continue to play beyond their intended time in anticipation of </w:t>
      </w:r>
      <w:r w:rsidR="00AF119D">
        <w:rPr>
          <w:sz w:val="22"/>
          <w:szCs w:val="22"/>
        </w:rPr>
        <w:t>the highly desirable free spins.</w:t>
      </w:r>
    </w:p>
    <w:p w:rsidR="00AF119D" w:rsidRDefault="00AF119D" w:rsidP="00FA677A">
      <w:pPr>
        <w:pStyle w:val="ListParagraph"/>
        <w:numPr>
          <w:ilvl w:val="0"/>
          <w:numId w:val="16"/>
        </w:numPr>
        <w:jc w:val="both"/>
        <w:rPr>
          <w:sz w:val="22"/>
          <w:szCs w:val="22"/>
        </w:rPr>
        <w:sectPr w:rsidR="00AF119D" w:rsidSect="00225994">
          <w:headerReference w:type="default" r:id="rId9"/>
          <w:footerReference w:type="default" r:id="rId10"/>
          <w:pgSz w:w="11906" w:h="16838"/>
          <w:pgMar w:top="1440" w:right="1440" w:bottom="1440" w:left="1440" w:header="708" w:footer="708" w:gutter="0"/>
          <w:cols w:space="708"/>
          <w:docGrid w:linePitch="360"/>
        </w:sectPr>
      </w:pPr>
    </w:p>
    <w:p w:rsidR="00FA677A" w:rsidRPr="00AF119D" w:rsidRDefault="00FA677A" w:rsidP="00FA677A">
      <w:pPr>
        <w:jc w:val="both"/>
        <w:rPr>
          <w:i/>
          <w:sz w:val="22"/>
          <w:szCs w:val="22"/>
        </w:rPr>
      </w:pPr>
      <w:r w:rsidRPr="00AF119D">
        <w:rPr>
          <w:i/>
          <w:sz w:val="22"/>
          <w:szCs w:val="22"/>
        </w:rPr>
        <w:lastRenderedPageBreak/>
        <w:t>EGMs - PIDs</w:t>
      </w:r>
    </w:p>
    <w:p w:rsidR="00FA677A" w:rsidRPr="00FA677A" w:rsidRDefault="00FA677A" w:rsidP="00FA677A">
      <w:pPr>
        <w:pStyle w:val="ListParagraph"/>
        <w:numPr>
          <w:ilvl w:val="0"/>
          <w:numId w:val="17"/>
        </w:numPr>
        <w:jc w:val="both"/>
        <w:rPr>
          <w:sz w:val="22"/>
          <w:szCs w:val="22"/>
        </w:rPr>
      </w:pPr>
      <w:r w:rsidRPr="00FA677A">
        <w:rPr>
          <w:sz w:val="22"/>
          <w:szCs w:val="22"/>
        </w:rPr>
        <w:t xml:space="preserve">PIDs, as voluntary features, did not seem to impact on gambling enjoyment for the majority of gamblers in either the focus groups, observations or the survey phase.  </w:t>
      </w:r>
    </w:p>
    <w:p w:rsidR="00FA677A" w:rsidRPr="00FA677A" w:rsidRDefault="00FA677A" w:rsidP="00FA677A">
      <w:pPr>
        <w:pStyle w:val="ListParagraph"/>
        <w:numPr>
          <w:ilvl w:val="0"/>
          <w:numId w:val="17"/>
        </w:numPr>
        <w:jc w:val="both"/>
        <w:rPr>
          <w:sz w:val="22"/>
          <w:szCs w:val="22"/>
        </w:rPr>
      </w:pPr>
      <w:r w:rsidRPr="00FA677A">
        <w:rPr>
          <w:sz w:val="22"/>
          <w:szCs w:val="22"/>
        </w:rPr>
        <w:t>Survey and focus group results suggest that some gamblers may be using PIDs as part of analytic play strategies (linked to cognitive distortion and problem gambling), and so for a small number of gamblers there might be unintended consequences of PIDs.</w:t>
      </w:r>
    </w:p>
    <w:p w:rsidR="00FA677A" w:rsidRPr="00FA677A" w:rsidRDefault="00FA677A" w:rsidP="00FA677A">
      <w:pPr>
        <w:jc w:val="both"/>
        <w:rPr>
          <w:sz w:val="22"/>
          <w:szCs w:val="22"/>
        </w:rPr>
      </w:pPr>
    </w:p>
    <w:p w:rsidR="00FA677A" w:rsidRPr="00AF119D" w:rsidRDefault="00FA677A" w:rsidP="00FA677A">
      <w:pPr>
        <w:jc w:val="both"/>
        <w:rPr>
          <w:i/>
          <w:sz w:val="22"/>
          <w:szCs w:val="22"/>
        </w:rPr>
      </w:pPr>
      <w:r w:rsidRPr="00AF119D">
        <w:rPr>
          <w:i/>
          <w:sz w:val="22"/>
          <w:szCs w:val="22"/>
        </w:rPr>
        <w:t>EGMs - pop-up messages</w:t>
      </w:r>
    </w:p>
    <w:p w:rsidR="00FA677A" w:rsidRPr="00FA677A" w:rsidRDefault="00FA677A" w:rsidP="00FA677A">
      <w:pPr>
        <w:pStyle w:val="ListParagraph"/>
        <w:numPr>
          <w:ilvl w:val="0"/>
          <w:numId w:val="18"/>
        </w:numPr>
        <w:jc w:val="both"/>
        <w:rPr>
          <w:sz w:val="22"/>
          <w:szCs w:val="22"/>
        </w:rPr>
      </w:pPr>
      <w:r w:rsidRPr="00FA677A">
        <w:rPr>
          <w:sz w:val="22"/>
          <w:szCs w:val="22"/>
        </w:rPr>
        <w:t xml:space="preserve">Pop-up messages were reported to aid control over time and expenditure by approximately one quarter of the gamblers surveyed who were aware of the messages. </w:t>
      </w:r>
    </w:p>
    <w:p w:rsidR="00FA677A" w:rsidRPr="00FA677A" w:rsidRDefault="00FA677A" w:rsidP="00FA677A">
      <w:pPr>
        <w:pStyle w:val="ListParagraph"/>
        <w:numPr>
          <w:ilvl w:val="0"/>
          <w:numId w:val="18"/>
        </w:numPr>
        <w:jc w:val="both"/>
        <w:rPr>
          <w:sz w:val="22"/>
          <w:szCs w:val="22"/>
        </w:rPr>
      </w:pPr>
      <w:r w:rsidRPr="00FA677A">
        <w:rPr>
          <w:sz w:val="22"/>
          <w:szCs w:val="22"/>
        </w:rPr>
        <w:t>Reported impacts of pop-up messages in the survey (e.g. the reported likelihood that participants would read the information) generally had no effect on time spent gambling.</w:t>
      </w:r>
    </w:p>
    <w:p w:rsidR="00FA677A" w:rsidRPr="00FA677A" w:rsidRDefault="00FA677A" w:rsidP="00FA677A">
      <w:pPr>
        <w:pStyle w:val="ListParagraph"/>
        <w:numPr>
          <w:ilvl w:val="0"/>
          <w:numId w:val="18"/>
        </w:numPr>
        <w:jc w:val="both"/>
        <w:rPr>
          <w:sz w:val="22"/>
          <w:szCs w:val="22"/>
        </w:rPr>
      </w:pPr>
      <w:r w:rsidRPr="00FA677A">
        <w:rPr>
          <w:sz w:val="22"/>
          <w:szCs w:val="22"/>
        </w:rPr>
        <w:t>Participants who reported they would likely stop gambling or consider their gambling in response to a pop-up message did, in fact, tend to spend less money gambling overall (however, as the sample size was very small these results are only indicative).</w:t>
      </w:r>
    </w:p>
    <w:p w:rsidR="00FA677A" w:rsidRPr="00FA677A" w:rsidRDefault="00FA677A" w:rsidP="00FA677A">
      <w:pPr>
        <w:pStyle w:val="ListParagraph"/>
        <w:numPr>
          <w:ilvl w:val="0"/>
          <w:numId w:val="18"/>
        </w:numPr>
        <w:jc w:val="both"/>
        <w:rPr>
          <w:sz w:val="22"/>
          <w:szCs w:val="22"/>
        </w:rPr>
      </w:pPr>
      <w:r w:rsidRPr="00FA677A">
        <w:rPr>
          <w:sz w:val="22"/>
          <w:szCs w:val="22"/>
        </w:rPr>
        <w:t xml:space="preserve">Results from all three phases showed that the information presented in pop-up messages is attended to by gamblers and can, therefore, be used to support them in making an informed choice on </w:t>
      </w:r>
      <w:bookmarkStart w:id="0" w:name="_GoBack"/>
      <w:bookmarkEnd w:id="0"/>
      <w:r w:rsidRPr="00FA677A">
        <w:rPr>
          <w:sz w:val="22"/>
          <w:szCs w:val="22"/>
        </w:rPr>
        <w:t>whether to continue gambling.</w:t>
      </w:r>
    </w:p>
    <w:p w:rsidR="00FA677A" w:rsidRPr="00FA677A" w:rsidRDefault="00FA677A" w:rsidP="00FA677A">
      <w:pPr>
        <w:pStyle w:val="ListParagraph"/>
        <w:numPr>
          <w:ilvl w:val="0"/>
          <w:numId w:val="18"/>
        </w:numPr>
        <w:jc w:val="both"/>
        <w:rPr>
          <w:sz w:val="22"/>
          <w:szCs w:val="22"/>
        </w:rPr>
      </w:pPr>
      <w:r w:rsidRPr="00FA677A">
        <w:rPr>
          <w:sz w:val="22"/>
          <w:szCs w:val="22"/>
        </w:rPr>
        <w:t>There was little or no evidence that the compulsory pop-up messages impacted on the gambling satisfaction of the majority of gamblers.  The observations and survey results converged to suggest that where gamblers are exhibiting signs of annoyance or distress related to pop-up messages, this behaviour is not the norm and may be indicative of potential gambling problems.</w:t>
      </w:r>
    </w:p>
    <w:p w:rsidR="0054740A" w:rsidRPr="00E057B6" w:rsidRDefault="0054740A" w:rsidP="00FA677A">
      <w:pPr>
        <w:jc w:val="both"/>
        <w:rPr>
          <w:sz w:val="22"/>
          <w:szCs w:val="22"/>
        </w:rPr>
      </w:pPr>
    </w:p>
    <w:sectPr w:rsidR="0054740A" w:rsidRPr="00E057B6" w:rsidSect="002259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C0" w:rsidRDefault="00262BC0">
      <w:r>
        <w:separator/>
      </w:r>
    </w:p>
  </w:endnote>
  <w:endnote w:type="continuationSeparator" w:id="0">
    <w:p w:rsidR="00262BC0" w:rsidRDefault="0026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92195"/>
      <w:docPartObj>
        <w:docPartGallery w:val="Page Numbers (Bottom of Page)"/>
        <w:docPartUnique/>
      </w:docPartObj>
    </w:sdtPr>
    <w:sdtEndPr/>
    <w:sdtContent>
      <w:sdt>
        <w:sdtPr>
          <w:id w:val="860082579"/>
          <w:docPartObj>
            <w:docPartGallery w:val="Page Numbers (Top of Page)"/>
            <w:docPartUnique/>
          </w:docPartObj>
        </w:sdtPr>
        <w:sdtEndPr/>
        <w:sdtContent>
          <w:p w:rsidR="00AF119D" w:rsidRDefault="00AF119D">
            <w:pPr>
              <w:pStyle w:val="Footer"/>
              <w:jc w:val="right"/>
            </w:pPr>
            <w:r>
              <w:t xml:space="preserve">Page </w:t>
            </w:r>
            <w:r>
              <w:rPr>
                <w:b/>
                <w:bCs/>
              </w:rPr>
              <w:fldChar w:fldCharType="begin"/>
            </w:r>
            <w:r>
              <w:rPr>
                <w:b/>
                <w:bCs/>
              </w:rPr>
              <w:instrText xml:space="preserve"> PAGE </w:instrText>
            </w:r>
            <w:r>
              <w:rPr>
                <w:b/>
                <w:bCs/>
              </w:rPr>
              <w:fldChar w:fldCharType="separate"/>
            </w:r>
            <w:r w:rsidR="00C135C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35CB">
              <w:rPr>
                <w:b/>
                <w:bCs/>
                <w:noProof/>
              </w:rPr>
              <w:t>2</w:t>
            </w:r>
            <w:r>
              <w:rPr>
                <w:b/>
                <w:bCs/>
              </w:rPr>
              <w:fldChar w:fldCharType="end"/>
            </w:r>
          </w:p>
        </w:sdtContent>
      </w:sdt>
    </w:sdtContent>
  </w:sdt>
  <w:p w:rsidR="00AF119D" w:rsidRDefault="00AF1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C0" w:rsidRDefault="00262BC0">
      <w:r>
        <w:separator/>
      </w:r>
    </w:p>
  </w:footnote>
  <w:footnote w:type="continuationSeparator" w:id="0">
    <w:p w:rsidR="00262BC0" w:rsidRDefault="0026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91" w:rsidRDefault="00757D94" w:rsidP="00586486">
    <w:pPr>
      <w:pStyle w:val="Header"/>
    </w:pPr>
    <w:r>
      <w:rPr>
        <w:noProof/>
        <w:lang w:eastAsia="en-NZ"/>
      </w:rPr>
      <w:drawing>
        <wp:inline distT="0" distB="0" distL="0" distR="0" wp14:anchorId="6E4C2A93" wp14:editId="7B0A3F43">
          <wp:extent cx="5812404" cy="381109"/>
          <wp:effectExtent l="0" t="0" r="0" b="0"/>
          <wp:docPr id="2" name="Picture 2" descr="G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2853" cy="381138"/>
                  </a:xfrm>
                  <a:prstGeom prst="rect">
                    <a:avLst/>
                  </a:prstGeom>
                  <a:noFill/>
                  <a:ln>
                    <a:noFill/>
                  </a:ln>
                </pic:spPr>
              </pic:pic>
            </a:graphicData>
          </a:graphic>
        </wp:inline>
      </w:drawing>
    </w:r>
  </w:p>
  <w:p w:rsidR="00552775" w:rsidRDefault="00552775" w:rsidP="00586486">
    <w:pPr>
      <w:pStyle w:val="Header"/>
    </w:pPr>
  </w:p>
  <w:p w:rsidR="00552775" w:rsidRPr="00586486" w:rsidRDefault="00552775" w:rsidP="00586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9D" w:rsidRDefault="00AF119D" w:rsidP="00586486">
    <w:pPr>
      <w:pStyle w:val="Header"/>
    </w:pPr>
  </w:p>
  <w:p w:rsidR="00AF119D" w:rsidRDefault="00AF119D" w:rsidP="00586486">
    <w:pPr>
      <w:pStyle w:val="Header"/>
    </w:pPr>
  </w:p>
  <w:p w:rsidR="00AF119D" w:rsidRPr="00586486" w:rsidRDefault="00AF119D" w:rsidP="00586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D4C"/>
    <w:multiLevelType w:val="hybridMultilevel"/>
    <w:tmpl w:val="AD38D6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77D7EEE"/>
    <w:multiLevelType w:val="hybridMultilevel"/>
    <w:tmpl w:val="45787E3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D96C23"/>
    <w:multiLevelType w:val="hybridMultilevel"/>
    <w:tmpl w:val="99166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F6156B"/>
    <w:multiLevelType w:val="hybridMultilevel"/>
    <w:tmpl w:val="CF86C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DD23089"/>
    <w:multiLevelType w:val="hybridMultilevel"/>
    <w:tmpl w:val="5C964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B25595"/>
    <w:multiLevelType w:val="hybridMultilevel"/>
    <w:tmpl w:val="E83E2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59C63F5"/>
    <w:multiLevelType w:val="hybridMultilevel"/>
    <w:tmpl w:val="D544111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0401552"/>
    <w:multiLevelType w:val="hybridMultilevel"/>
    <w:tmpl w:val="4BE4D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62E291F"/>
    <w:multiLevelType w:val="hybridMultilevel"/>
    <w:tmpl w:val="4D786EE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4C842E95"/>
    <w:multiLevelType w:val="hybridMultilevel"/>
    <w:tmpl w:val="62A24DF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E874D55"/>
    <w:multiLevelType w:val="hybridMultilevel"/>
    <w:tmpl w:val="0520D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F455FEC"/>
    <w:multiLevelType w:val="hybridMultilevel"/>
    <w:tmpl w:val="F2AC4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FF65614"/>
    <w:multiLevelType w:val="hybridMultilevel"/>
    <w:tmpl w:val="F42E1E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6E304FC"/>
    <w:multiLevelType w:val="hybridMultilevel"/>
    <w:tmpl w:val="AA9EEB3E"/>
    <w:lvl w:ilvl="0" w:tplc="4A7A894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109736D"/>
    <w:multiLevelType w:val="hybridMultilevel"/>
    <w:tmpl w:val="65F4DB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512427"/>
    <w:multiLevelType w:val="hybridMultilevel"/>
    <w:tmpl w:val="6018FE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C9D208A"/>
    <w:multiLevelType w:val="hybridMultilevel"/>
    <w:tmpl w:val="148E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F705921"/>
    <w:multiLevelType w:val="hybridMultilevel"/>
    <w:tmpl w:val="358CC4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6"/>
  </w:num>
  <w:num w:numId="4">
    <w:abstractNumId w:val="15"/>
  </w:num>
  <w:num w:numId="5">
    <w:abstractNumId w:val="11"/>
  </w:num>
  <w:num w:numId="6">
    <w:abstractNumId w:val="14"/>
  </w:num>
  <w:num w:numId="7">
    <w:abstractNumId w:val="8"/>
  </w:num>
  <w:num w:numId="8">
    <w:abstractNumId w:val="1"/>
  </w:num>
  <w:num w:numId="9">
    <w:abstractNumId w:val="9"/>
  </w:num>
  <w:num w:numId="10">
    <w:abstractNumId w:val="17"/>
  </w:num>
  <w:num w:numId="11">
    <w:abstractNumId w:val="4"/>
  </w:num>
  <w:num w:numId="12">
    <w:abstractNumId w:val="5"/>
  </w:num>
  <w:num w:numId="13">
    <w:abstractNumId w:val="16"/>
  </w:num>
  <w:num w:numId="14">
    <w:abstractNumId w:val="12"/>
  </w:num>
  <w:num w:numId="15">
    <w:abstractNumId w:val="2"/>
  </w:num>
  <w:num w:numId="16">
    <w:abstractNumId w:val="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09"/>
    <w:rsid w:val="00002E0F"/>
    <w:rsid w:val="00003F4B"/>
    <w:rsid w:val="000047E0"/>
    <w:rsid w:val="00006249"/>
    <w:rsid w:val="000210D6"/>
    <w:rsid w:val="0004285A"/>
    <w:rsid w:val="0005665D"/>
    <w:rsid w:val="000A4FE8"/>
    <w:rsid w:val="000B0EAE"/>
    <w:rsid w:val="000C178B"/>
    <w:rsid w:val="000C6FFE"/>
    <w:rsid w:val="000E3672"/>
    <w:rsid w:val="00106CC9"/>
    <w:rsid w:val="001106E0"/>
    <w:rsid w:val="001165CF"/>
    <w:rsid w:val="00117CEE"/>
    <w:rsid w:val="001663F0"/>
    <w:rsid w:val="001D5A3E"/>
    <w:rsid w:val="0020469D"/>
    <w:rsid w:val="00211016"/>
    <w:rsid w:val="00211B6D"/>
    <w:rsid w:val="00224E18"/>
    <w:rsid w:val="00225994"/>
    <w:rsid w:val="00262BC0"/>
    <w:rsid w:val="002653F7"/>
    <w:rsid w:val="00276609"/>
    <w:rsid w:val="00287EDE"/>
    <w:rsid w:val="00295C4E"/>
    <w:rsid w:val="002A78C7"/>
    <w:rsid w:val="002D2B8F"/>
    <w:rsid w:val="002D4429"/>
    <w:rsid w:val="002D4EEA"/>
    <w:rsid w:val="00301A47"/>
    <w:rsid w:val="003236E7"/>
    <w:rsid w:val="0033077C"/>
    <w:rsid w:val="003468DA"/>
    <w:rsid w:val="00391D4C"/>
    <w:rsid w:val="003F3D64"/>
    <w:rsid w:val="003F415D"/>
    <w:rsid w:val="00423D55"/>
    <w:rsid w:val="00423EC0"/>
    <w:rsid w:val="00426391"/>
    <w:rsid w:val="00431700"/>
    <w:rsid w:val="00445F00"/>
    <w:rsid w:val="0045621E"/>
    <w:rsid w:val="00461B91"/>
    <w:rsid w:val="00472013"/>
    <w:rsid w:val="0048243A"/>
    <w:rsid w:val="00486AE0"/>
    <w:rsid w:val="00491591"/>
    <w:rsid w:val="00494CC7"/>
    <w:rsid w:val="004B1D90"/>
    <w:rsid w:val="004E086F"/>
    <w:rsid w:val="004E0D85"/>
    <w:rsid w:val="004F1209"/>
    <w:rsid w:val="00503EC8"/>
    <w:rsid w:val="005105A9"/>
    <w:rsid w:val="00522D34"/>
    <w:rsid w:val="00525351"/>
    <w:rsid w:val="00532EAD"/>
    <w:rsid w:val="00544D43"/>
    <w:rsid w:val="0054740A"/>
    <w:rsid w:val="00552775"/>
    <w:rsid w:val="0056114A"/>
    <w:rsid w:val="005762D0"/>
    <w:rsid w:val="0058635B"/>
    <w:rsid w:val="00586486"/>
    <w:rsid w:val="005D2479"/>
    <w:rsid w:val="005E21E7"/>
    <w:rsid w:val="005F14CD"/>
    <w:rsid w:val="00607B93"/>
    <w:rsid w:val="006312F3"/>
    <w:rsid w:val="00650C3D"/>
    <w:rsid w:val="006544D9"/>
    <w:rsid w:val="006A1AA0"/>
    <w:rsid w:val="006A768E"/>
    <w:rsid w:val="006B4933"/>
    <w:rsid w:val="006B7366"/>
    <w:rsid w:val="006E5078"/>
    <w:rsid w:val="006E721E"/>
    <w:rsid w:val="006E7EB2"/>
    <w:rsid w:val="0070613C"/>
    <w:rsid w:val="007148B4"/>
    <w:rsid w:val="00717742"/>
    <w:rsid w:val="00717790"/>
    <w:rsid w:val="00721841"/>
    <w:rsid w:val="00732DD0"/>
    <w:rsid w:val="00757D94"/>
    <w:rsid w:val="007938A9"/>
    <w:rsid w:val="007B2AD1"/>
    <w:rsid w:val="007D0E7C"/>
    <w:rsid w:val="007F4D07"/>
    <w:rsid w:val="007F4DCE"/>
    <w:rsid w:val="00833944"/>
    <w:rsid w:val="00854867"/>
    <w:rsid w:val="008A3581"/>
    <w:rsid w:val="008B1B15"/>
    <w:rsid w:val="008C33EC"/>
    <w:rsid w:val="008F5B0F"/>
    <w:rsid w:val="00902ECD"/>
    <w:rsid w:val="009103F3"/>
    <w:rsid w:val="0092078F"/>
    <w:rsid w:val="00924DD5"/>
    <w:rsid w:val="00954F06"/>
    <w:rsid w:val="00957EF1"/>
    <w:rsid w:val="00960017"/>
    <w:rsid w:val="00965C90"/>
    <w:rsid w:val="009667B4"/>
    <w:rsid w:val="009A028F"/>
    <w:rsid w:val="009B1912"/>
    <w:rsid w:val="009B7F2B"/>
    <w:rsid w:val="00A02A85"/>
    <w:rsid w:val="00A37112"/>
    <w:rsid w:val="00A55EAC"/>
    <w:rsid w:val="00A60C6B"/>
    <w:rsid w:val="00A60F4D"/>
    <w:rsid w:val="00A754EB"/>
    <w:rsid w:val="00AA5A99"/>
    <w:rsid w:val="00AD0D91"/>
    <w:rsid w:val="00AF119D"/>
    <w:rsid w:val="00AF1FC2"/>
    <w:rsid w:val="00B01695"/>
    <w:rsid w:val="00B031AF"/>
    <w:rsid w:val="00B23F9A"/>
    <w:rsid w:val="00B240F3"/>
    <w:rsid w:val="00B3251D"/>
    <w:rsid w:val="00B4478A"/>
    <w:rsid w:val="00B44BF6"/>
    <w:rsid w:val="00B5349A"/>
    <w:rsid w:val="00B65F38"/>
    <w:rsid w:val="00B76377"/>
    <w:rsid w:val="00BA17AD"/>
    <w:rsid w:val="00BE0AE9"/>
    <w:rsid w:val="00BE5A68"/>
    <w:rsid w:val="00BF5B9A"/>
    <w:rsid w:val="00C05426"/>
    <w:rsid w:val="00C135CB"/>
    <w:rsid w:val="00C466F7"/>
    <w:rsid w:val="00C742E3"/>
    <w:rsid w:val="00CB097E"/>
    <w:rsid w:val="00CB2B62"/>
    <w:rsid w:val="00CB35C1"/>
    <w:rsid w:val="00CC301A"/>
    <w:rsid w:val="00CD33E0"/>
    <w:rsid w:val="00D07FCC"/>
    <w:rsid w:val="00D17A26"/>
    <w:rsid w:val="00D3573F"/>
    <w:rsid w:val="00D357F9"/>
    <w:rsid w:val="00D45386"/>
    <w:rsid w:val="00D536BE"/>
    <w:rsid w:val="00D54FB3"/>
    <w:rsid w:val="00D647D6"/>
    <w:rsid w:val="00D92702"/>
    <w:rsid w:val="00D9663E"/>
    <w:rsid w:val="00D971F6"/>
    <w:rsid w:val="00DC30A0"/>
    <w:rsid w:val="00DD25E3"/>
    <w:rsid w:val="00DF1E0F"/>
    <w:rsid w:val="00DF2C4E"/>
    <w:rsid w:val="00E057B6"/>
    <w:rsid w:val="00E07514"/>
    <w:rsid w:val="00E1589A"/>
    <w:rsid w:val="00E21AAB"/>
    <w:rsid w:val="00E50A9E"/>
    <w:rsid w:val="00E825B5"/>
    <w:rsid w:val="00EB6C58"/>
    <w:rsid w:val="00F06485"/>
    <w:rsid w:val="00F129A4"/>
    <w:rsid w:val="00F23AEB"/>
    <w:rsid w:val="00F33BC0"/>
    <w:rsid w:val="00F73C29"/>
    <w:rsid w:val="00F836D9"/>
    <w:rsid w:val="00F86AB4"/>
    <w:rsid w:val="00F919F7"/>
    <w:rsid w:val="00FA23FA"/>
    <w:rsid w:val="00FA677A"/>
    <w:rsid w:val="00FC0E52"/>
    <w:rsid w:val="00FD478A"/>
    <w:rsid w:val="00FE46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209"/>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209"/>
    <w:pPr>
      <w:tabs>
        <w:tab w:val="center" w:pos="4153"/>
        <w:tab w:val="right" w:pos="8306"/>
      </w:tabs>
    </w:pPr>
  </w:style>
  <w:style w:type="paragraph" w:styleId="FootnoteText">
    <w:name w:val="footnote text"/>
    <w:basedOn w:val="Normal"/>
    <w:semiHidden/>
    <w:rsid w:val="004F1209"/>
    <w:rPr>
      <w:sz w:val="20"/>
      <w:szCs w:val="20"/>
    </w:rPr>
  </w:style>
  <w:style w:type="character" w:styleId="FootnoteReference">
    <w:name w:val="footnote reference"/>
    <w:semiHidden/>
    <w:rsid w:val="004F1209"/>
    <w:rPr>
      <w:vertAlign w:val="superscript"/>
    </w:rPr>
  </w:style>
  <w:style w:type="paragraph" w:styleId="Footer">
    <w:name w:val="footer"/>
    <w:basedOn w:val="Normal"/>
    <w:link w:val="FooterChar"/>
    <w:uiPriority w:val="99"/>
    <w:rsid w:val="00DF1E0F"/>
    <w:pPr>
      <w:tabs>
        <w:tab w:val="center" w:pos="4153"/>
        <w:tab w:val="right" w:pos="8306"/>
      </w:tabs>
    </w:pPr>
  </w:style>
  <w:style w:type="table" w:styleId="TableGrid">
    <w:name w:val="Table Grid"/>
    <w:basedOn w:val="TableNormal"/>
    <w:rsid w:val="0010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7D94"/>
    <w:rPr>
      <w:rFonts w:ascii="Tahoma" w:hAnsi="Tahoma" w:cs="Tahoma"/>
      <w:sz w:val="16"/>
      <w:szCs w:val="16"/>
    </w:rPr>
  </w:style>
  <w:style w:type="character" w:customStyle="1" w:styleId="BalloonTextChar">
    <w:name w:val="Balloon Text Char"/>
    <w:basedOn w:val="DefaultParagraphFont"/>
    <w:link w:val="BalloonText"/>
    <w:rsid w:val="00757D94"/>
    <w:rPr>
      <w:rFonts w:ascii="Tahoma" w:hAnsi="Tahoma" w:cs="Tahoma"/>
      <w:sz w:val="16"/>
      <w:szCs w:val="16"/>
      <w:lang w:eastAsia="en-AU"/>
    </w:rPr>
  </w:style>
  <w:style w:type="character" w:styleId="CommentReference">
    <w:name w:val="annotation reference"/>
    <w:basedOn w:val="DefaultParagraphFont"/>
    <w:rsid w:val="0005665D"/>
    <w:rPr>
      <w:sz w:val="16"/>
      <w:szCs w:val="16"/>
    </w:rPr>
  </w:style>
  <w:style w:type="paragraph" w:styleId="CommentText">
    <w:name w:val="annotation text"/>
    <w:basedOn w:val="Normal"/>
    <w:link w:val="CommentTextChar"/>
    <w:rsid w:val="0005665D"/>
    <w:rPr>
      <w:sz w:val="20"/>
      <w:szCs w:val="20"/>
    </w:rPr>
  </w:style>
  <w:style w:type="character" w:customStyle="1" w:styleId="CommentTextChar">
    <w:name w:val="Comment Text Char"/>
    <w:basedOn w:val="DefaultParagraphFont"/>
    <w:link w:val="CommentText"/>
    <w:rsid w:val="0005665D"/>
    <w:rPr>
      <w:lang w:eastAsia="en-AU"/>
    </w:rPr>
  </w:style>
  <w:style w:type="paragraph" w:styleId="CommentSubject">
    <w:name w:val="annotation subject"/>
    <w:basedOn w:val="CommentText"/>
    <w:next w:val="CommentText"/>
    <w:link w:val="CommentSubjectChar"/>
    <w:rsid w:val="0005665D"/>
    <w:rPr>
      <w:b/>
      <w:bCs/>
    </w:rPr>
  </w:style>
  <w:style w:type="character" w:customStyle="1" w:styleId="CommentSubjectChar">
    <w:name w:val="Comment Subject Char"/>
    <w:basedOn w:val="CommentTextChar"/>
    <w:link w:val="CommentSubject"/>
    <w:rsid w:val="0005665D"/>
    <w:rPr>
      <w:b/>
      <w:bCs/>
      <w:lang w:eastAsia="en-AU"/>
    </w:rPr>
  </w:style>
  <w:style w:type="paragraph" w:styleId="ListParagraph">
    <w:name w:val="List Paragraph"/>
    <w:basedOn w:val="Normal"/>
    <w:uiPriority w:val="34"/>
    <w:qFormat/>
    <w:rsid w:val="00FA677A"/>
    <w:pPr>
      <w:ind w:left="720"/>
      <w:contextualSpacing/>
    </w:pPr>
  </w:style>
  <w:style w:type="character" w:customStyle="1" w:styleId="FooterChar">
    <w:name w:val="Footer Char"/>
    <w:basedOn w:val="DefaultParagraphFont"/>
    <w:link w:val="Footer"/>
    <w:uiPriority w:val="99"/>
    <w:rsid w:val="00AF119D"/>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209"/>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209"/>
    <w:pPr>
      <w:tabs>
        <w:tab w:val="center" w:pos="4153"/>
        <w:tab w:val="right" w:pos="8306"/>
      </w:tabs>
    </w:pPr>
  </w:style>
  <w:style w:type="paragraph" w:styleId="FootnoteText">
    <w:name w:val="footnote text"/>
    <w:basedOn w:val="Normal"/>
    <w:semiHidden/>
    <w:rsid w:val="004F1209"/>
    <w:rPr>
      <w:sz w:val="20"/>
      <w:szCs w:val="20"/>
    </w:rPr>
  </w:style>
  <w:style w:type="character" w:styleId="FootnoteReference">
    <w:name w:val="footnote reference"/>
    <w:semiHidden/>
    <w:rsid w:val="004F1209"/>
    <w:rPr>
      <w:vertAlign w:val="superscript"/>
    </w:rPr>
  </w:style>
  <w:style w:type="paragraph" w:styleId="Footer">
    <w:name w:val="footer"/>
    <w:basedOn w:val="Normal"/>
    <w:link w:val="FooterChar"/>
    <w:uiPriority w:val="99"/>
    <w:rsid w:val="00DF1E0F"/>
    <w:pPr>
      <w:tabs>
        <w:tab w:val="center" w:pos="4153"/>
        <w:tab w:val="right" w:pos="8306"/>
      </w:tabs>
    </w:pPr>
  </w:style>
  <w:style w:type="table" w:styleId="TableGrid">
    <w:name w:val="Table Grid"/>
    <w:basedOn w:val="TableNormal"/>
    <w:rsid w:val="0010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7D94"/>
    <w:rPr>
      <w:rFonts w:ascii="Tahoma" w:hAnsi="Tahoma" w:cs="Tahoma"/>
      <w:sz w:val="16"/>
      <w:szCs w:val="16"/>
    </w:rPr>
  </w:style>
  <w:style w:type="character" w:customStyle="1" w:styleId="BalloonTextChar">
    <w:name w:val="Balloon Text Char"/>
    <w:basedOn w:val="DefaultParagraphFont"/>
    <w:link w:val="BalloonText"/>
    <w:rsid w:val="00757D94"/>
    <w:rPr>
      <w:rFonts w:ascii="Tahoma" w:hAnsi="Tahoma" w:cs="Tahoma"/>
      <w:sz w:val="16"/>
      <w:szCs w:val="16"/>
      <w:lang w:eastAsia="en-AU"/>
    </w:rPr>
  </w:style>
  <w:style w:type="character" w:styleId="CommentReference">
    <w:name w:val="annotation reference"/>
    <w:basedOn w:val="DefaultParagraphFont"/>
    <w:rsid w:val="0005665D"/>
    <w:rPr>
      <w:sz w:val="16"/>
      <w:szCs w:val="16"/>
    </w:rPr>
  </w:style>
  <w:style w:type="paragraph" w:styleId="CommentText">
    <w:name w:val="annotation text"/>
    <w:basedOn w:val="Normal"/>
    <w:link w:val="CommentTextChar"/>
    <w:rsid w:val="0005665D"/>
    <w:rPr>
      <w:sz w:val="20"/>
      <w:szCs w:val="20"/>
    </w:rPr>
  </w:style>
  <w:style w:type="character" w:customStyle="1" w:styleId="CommentTextChar">
    <w:name w:val="Comment Text Char"/>
    <w:basedOn w:val="DefaultParagraphFont"/>
    <w:link w:val="CommentText"/>
    <w:rsid w:val="0005665D"/>
    <w:rPr>
      <w:lang w:eastAsia="en-AU"/>
    </w:rPr>
  </w:style>
  <w:style w:type="paragraph" w:styleId="CommentSubject">
    <w:name w:val="annotation subject"/>
    <w:basedOn w:val="CommentText"/>
    <w:next w:val="CommentText"/>
    <w:link w:val="CommentSubjectChar"/>
    <w:rsid w:val="0005665D"/>
    <w:rPr>
      <w:b/>
      <w:bCs/>
    </w:rPr>
  </w:style>
  <w:style w:type="character" w:customStyle="1" w:styleId="CommentSubjectChar">
    <w:name w:val="Comment Subject Char"/>
    <w:basedOn w:val="CommentTextChar"/>
    <w:link w:val="CommentSubject"/>
    <w:rsid w:val="0005665D"/>
    <w:rPr>
      <w:b/>
      <w:bCs/>
      <w:lang w:eastAsia="en-AU"/>
    </w:rPr>
  </w:style>
  <w:style w:type="paragraph" w:styleId="ListParagraph">
    <w:name w:val="List Paragraph"/>
    <w:basedOn w:val="Normal"/>
    <w:uiPriority w:val="34"/>
    <w:qFormat/>
    <w:rsid w:val="00FA677A"/>
    <w:pPr>
      <w:ind w:left="720"/>
      <w:contextualSpacing/>
    </w:pPr>
  </w:style>
  <w:style w:type="character" w:customStyle="1" w:styleId="FooterChar">
    <w:name w:val="Footer Char"/>
    <w:basedOn w:val="DefaultParagraphFont"/>
    <w:link w:val="Footer"/>
    <w:uiPriority w:val="99"/>
    <w:rsid w:val="00AF119D"/>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9B8CF-C364-4CC1-8178-63DA5FF3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EAG communication summary</vt:lpstr>
    </vt:vector>
  </TitlesOfParts>
  <Company>Auckland University of Technology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 communication summary</dc:title>
  <dc:creator>AUT User</dc:creator>
  <cp:lastModifiedBy>Ministry of Health</cp:lastModifiedBy>
  <cp:revision>3</cp:revision>
  <cp:lastPrinted>2014-11-14T00:38:00Z</cp:lastPrinted>
  <dcterms:created xsi:type="dcterms:W3CDTF">2014-11-24T03:26:00Z</dcterms:created>
  <dcterms:modified xsi:type="dcterms:W3CDTF">2014-11-24T03:28:00Z</dcterms:modified>
</cp:coreProperties>
</file>