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601" w:type="dxa"/>
        <w:tblBorders>
          <w:bottom w:val="single" w:sz="12" w:space="0" w:color="auto"/>
        </w:tblBorders>
        <w:tblLayout w:type="fixed"/>
        <w:tblCellMar>
          <w:left w:w="0" w:type="dxa"/>
          <w:right w:w="0" w:type="dxa"/>
        </w:tblCellMar>
        <w:tblLook w:val="01E0" w:firstRow="1" w:lastRow="1" w:firstColumn="1" w:lastColumn="1" w:noHBand="0" w:noVBand="0"/>
      </w:tblPr>
      <w:tblGrid>
        <w:gridCol w:w="11766"/>
        <w:gridCol w:w="2835"/>
      </w:tblGrid>
      <w:tr w:rsidR="00D56D8D" w:rsidRPr="00DD748F" w14:paraId="0D335D4D" w14:textId="77777777" w:rsidTr="00996345">
        <w:trPr>
          <w:cantSplit/>
        </w:trPr>
        <w:tc>
          <w:tcPr>
            <w:tcW w:w="11766" w:type="dxa"/>
            <w:shd w:val="clear" w:color="auto" w:fill="auto"/>
            <w:vAlign w:val="bottom"/>
          </w:tcPr>
          <w:p w14:paraId="6E098CD1" w14:textId="6E53F224" w:rsidR="008348B7" w:rsidRPr="00DD748F" w:rsidRDefault="00996345" w:rsidP="00996345">
            <w:pPr>
              <w:pStyle w:val="Title"/>
            </w:pPr>
            <w:r>
              <w:t>Submissions on the Strategy Consultation Document</w:t>
            </w:r>
            <w:r w:rsidR="00242284" w:rsidRPr="000B6EDF">
              <w:rPr>
                <w:b w:val="0"/>
                <w:sz w:val="36"/>
                <w:szCs w:val="36"/>
              </w:rPr>
              <w:br/>
            </w:r>
            <w:r>
              <w:rPr>
                <w:b w:val="0"/>
                <w:sz w:val="36"/>
                <w:szCs w:val="36"/>
              </w:rPr>
              <w:t>A summary of key themes and the Ministry of Health’s response</w:t>
            </w:r>
          </w:p>
        </w:tc>
        <w:tc>
          <w:tcPr>
            <w:tcW w:w="2835" w:type="dxa"/>
            <w:shd w:val="clear" w:color="auto" w:fill="auto"/>
          </w:tcPr>
          <w:p w14:paraId="4742D2D8" w14:textId="6C2FFA0B" w:rsidR="00996345" w:rsidRDefault="00996345" w:rsidP="00996345">
            <w:pPr>
              <w:spacing w:after="120"/>
              <w:jc w:val="right"/>
              <w:rPr>
                <w:rFonts w:cs="Segoe UI"/>
                <w:sz w:val="28"/>
                <w:szCs w:val="28"/>
              </w:rPr>
            </w:pPr>
          </w:p>
          <w:p w14:paraId="6FF10AAC" w14:textId="699F823B" w:rsidR="00423830" w:rsidRPr="00242284" w:rsidRDefault="00480058" w:rsidP="00996345">
            <w:pPr>
              <w:spacing w:before="360"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0C3637">
      <w:pPr>
        <w:spacing w:after="360"/>
      </w:pPr>
    </w:p>
    <w:tbl>
      <w:tblPr>
        <w:tblStyle w:val="TableGrid"/>
        <w:tblW w:w="0" w:type="auto"/>
        <w:tblInd w:w="57"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6889"/>
        <w:gridCol w:w="7712"/>
      </w:tblGrid>
      <w:tr w:rsidR="00996345" w:rsidRPr="00996345" w14:paraId="2FEE43D7" w14:textId="77777777" w:rsidTr="00AD7CB7">
        <w:trPr>
          <w:cantSplit/>
          <w:tblHeader/>
        </w:trPr>
        <w:tc>
          <w:tcPr>
            <w:tcW w:w="6889" w:type="dxa"/>
            <w:tcBorders>
              <w:top w:val="nil"/>
              <w:bottom w:val="nil"/>
            </w:tcBorders>
            <w:shd w:val="clear" w:color="auto" w:fill="D9D9D9" w:themeFill="background1" w:themeFillShade="D9"/>
          </w:tcPr>
          <w:p w14:paraId="59861C76" w14:textId="77777777" w:rsidR="00996345" w:rsidRPr="00996345" w:rsidRDefault="00996345" w:rsidP="00996345">
            <w:pPr>
              <w:pStyle w:val="TableText"/>
              <w:rPr>
                <w:b/>
              </w:rPr>
            </w:pPr>
            <w:r w:rsidRPr="00996345">
              <w:rPr>
                <w:b/>
              </w:rPr>
              <w:t>Theme</w:t>
            </w:r>
          </w:p>
        </w:tc>
        <w:tc>
          <w:tcPr>
            <w:tcW w:w="7712" w:type="dxa"/>
            <w:tcBorders>
              <w:top w:val="nil"/>
              <w:bottom w:val="nil"/>
            </w:tcBorders>
            <w:shd w:val="clear" w:color="auto" w:fill="D9D9D9" w:themeFill="background1" w:themeFillShade="D9"/>
          </w:tcPr>
          <w:p w14:paraId="08FEBEE6" w14:textId="77777777" w:rsidR="00996345" w:rsidRPr="00996345" w:rsidRDefault="00996345" w:rsidP="00996345">
            <w:pPr>
              <w:pStyle w:val="TableText"/>
              <w:rPr>
                <w:b/>
              </w:rPr>
            </w:pPr>
            <w:r w:rsidRPr="00996345">
              <w:rPr>
                <w:b/>
              </w:rPr>
              <w:t>Response</w:t>
            </w:r>
          </w:p>
        </w:tc>
      </w:tr>
      <w:tr w:rsidR="00996345" w:rsidRPr="009B4A3D" w14:paraId="50AE644D" w14:textId="77777777" w:rsidTr="00996345">
        <w:trPr>
          <w:cantSplit/>
        </w:trPr>
        <w:tc>
          <w:tcPr>
            <w:tcW w:w="6889" w:type="dxa"/>
            <w:tcBorders>
              <w:top w:val="nil"/>
            </w:tcBorders>
          </w:tcPr>
          <w:p w14:paraId="62AD511E" w14:textId="77777777" w:rsidR="00996345" w:rsidRPr="0001061F" w:rsidRDefault="00996345" w:rsidP="00AB601E">
            <w:pPr>
              <w:pStyle w:val="TableText"/>
              <w:ind w:right="284"/>
            </w:pPr>
            <w:r w:rsidRPr="00032721">
              <w:t xml:space="preserve">Three out of five submissions indicated </w:t>
            </w:r>
            <w:r>
              <w:t xml:space="preserve">that the submitter </w:t>
            </w:r>
            <w:r w:rsidRPr="00032721">
              <w:t xml:space="preserve">supported the </w:t>
            </w:r>
            <w:r w:rsidRPr="00AD7CB7">
              <w:rPr>
                <w:b/>
                <w:bCs/>
              </w:rPr>
              <w:t>general direction</w:t>
            </w:r>
            <w:r w:rsidRPr="00032721">
              <w:t xml:space="preserve"> of the strategy, with some qualifications</w:t>
            </w:r>
            <w:r>
              <w:t>,</w:t>
            </w:r>
            <w:r w:rsidRPr="00032721">
              <w:t xml:space="preserve"> such </w:t>
            </w:r>
            <w:r>
              <w:t xml:space="preserve">as </w:t>
            </w:r>
            <w:r w:rsidRPr="00032721">
              <w:t>seeking controls of online gambling or more information about how the strategy will implemented.</w:t>
            </w:r>
            <w:r>
              <w:t xml:space="preserve"> </w:t>
            </w:r>
            <w:r w:rsidRPr="00032721">
              <w:t xml:space="preserve">There were </w:t>
            </w:r>
            <w:r w:rsidRPr="0056438B">
              <w:t>divergent views on the specific priorities and preferred direction of change, based primarily on differing industry and health service perspectives.</w:t>
            </w:r>
          </w:p>
          <w:p w14:paraId="2E0DC6B7" w14:textId="3201A5C8" w:rsidR="00996345" w:rsidRPr="0001061F" w:rsidRDefault="00996345" w:rsidP="00AB601E">
            <w:pPr>
              <w:pStyle w:val="TableText"/>
              <w:ind w:right="284"/>
            </w:pPr>
            <w:r w:rsidRPr="0001061F">
              <w:t xml:space="preserve">Support </w:t>
            </w:r>
            <w:r>
              <w:t xml:space="preserve">for the general direction </w:t>
            </w:r>
            <w:r w:rsidRPr="0001061F">
              <w:t>was strongest from health</w:t>
            </w:r>
            <w:r>
              <w:t xml:space="preserve"> and </w:t>
            </w:r>
            <w:r w:rsidRPr="0001061F">
              <w:t xml:space="preserve">service providers, local government </w:t>
            </w:r>
            <w:r>
              <w:t xml:space="preserve">and </w:t>
            </w:r>
            <w:r w:rsidRPr="0001061F">
              <w:t>individual submissions. Those representing the non-casino gaming machine (NCGM) sector opposed or offered qualified support for proposed additional spending provided it would make the strategy more effective. Some submi</w:t>
            </w:r>
            <w:r>
              <w:t>tters</w:t>
            </w:r>
            <w:r w:rsidRPr="0001061F">
              <w:t xml:space="preserve"> felt bolder changes were needed to make a real impact on reducing gambling harm</w:t>
            </w:r>
            <w:r w:rsidR="00AD7CB7">
              <w:t>.</w:t>
            </w:r>
          </w:p>
          <w:p w14:paraId="618D13A6" w14:textId="6BF2E84A" w:rsidR="00996345" w:rsidRPr="0001061F" w:rsidRDefault="00996345" w:rsidP="00AB601E">
            <w:pPr>
              <w:pStyle w:val="TableText"/>
              <w:ind w:right="284"/>
            </w:pPr>
            <w:r w:rsidRPr="0001061F">
              <w:t xml:space="preserve">There was broad support for the focus </w:t>
            </w:r>
            <w:r>
              <w:t xml:space="preserve">on </w:t>
            </w:r>
            <w:r w:rsidRPr="0001061F">
              <w:t>address</w:t>
            </w:r>
            <w:r>
              <w:t>ing</w:t>
            </w:r>
            <w:r w:rsidRPr="0001061F">
              <w:t xml:space="preserve"> equity, strengthen</w:t>
            </w:r>
            <w:r>
              <w:t>ing</w:t>
            </w:r>
            <w:r w:rsidRPr="0001061F">
              <w:t xml:space="preserve"> support for priority populations </w:t>
            </w:r>
            <w:r>
              <w:t>(</w:t>
            </w:r>
            <w:r w:rsidRPr="0001061F">
              <w:t xml:space="preserve">including </w:t>
            </w:r>
            <w:proofErr w:type="spellStart"/>
            <w:r w:rsidRPr="0001061F">
              <w:t>rangatahi</w:t>
            </w:r>
            <w:proofErr w:type="spellEnd"/>
            <w:r>
              <w:t>)</w:t>
            </w:r>
            <w:r w:rsidRPr="0001061F">
              <w:t xml:space="preserve"> </w:t>
            </w:r>
            <w:r>
              <w:t xml:space="preserve">and </w:t>
            </w:r>
            <w:r w:rsidRPr="0001061F">
              <w:t>improv</w:t>
            </w:r>
            <w:r>
              <w:t>ing</w:t>
            </w:r>
            <w:r w:rsidRPr="0001061F">
              <w:t xml:space="preserve"> the diversity of services to address equity and gambling harm. Submi</w:t>
            </w:r>
            <w:r>
              <w:t>tters</w:t>
            </w:r>
            <w:r w:rsidRPr="0001061F">
              <w:t xml:space="preserve"> supported </w:t>
            </w:r>
            <w:r>
              <w:t xml:space="preserve">the concept of </w:t>
            </w:r>
            <w:r w:rsidRPr="0001061F">
              <w:t xml:space="preserve">placing people at the centre </w:t>
            </w:r>
            <w:r>
              <w:t xml:space="preserve">and </w:t>
            </w:r>
            <w:r w:rsidRPr="0001061F">
              <w:t xml:space="preserve">using lived experience and </w:t>
            </w:r>
            <w:r>
              <w:t>co-design</w:t>
            </w:r>
            <w:r w:rsidRPr="0001061F">
              <w:t xml:space="preserve"> to engage with groups most affected, as well as the new investments to address stigma and strengthen the workforce.</w:t>
            </w:r>
          </w:p>
        </w:tc>
        <w:tc>
          <w:tcPr>
            <w:tcW w:w="7712" w:type="dxa"/>
            <w:tcBorders>
              <w:top w:val="nil"/>
            </w:tcBorders>
          </w:tcPr>
          <w:p w14:paraId="7C37B7D8" w14:textId="77777777" w:rsidR="00996345" w:rsidRPr="0001061F" w:rsidRDefault="00996345" w:rsidP="00996345">
            <w:pPr>
              <w:pStyle w:val="TableText"/>
            </w:pPr>
            <w:r w:rsidRPr="0001061F">
              <w:t>Where appropriate, the Ministry has updated the strategy to:</w:t>
            </w:r>
          </w:p>
          <w:p w14:paraId="0094D2EF" w14:textId="0A1306CB" w:rsidR="00996345" w:rsidRPr="0001061F" w:rsidRDefault="00996345" w:rsidP="00AD7CB7">
            <w:pPr>
              <w:pStyle w:val="TableBullet"/>
            </w:pPr>
            <w:r>
              <w:t>c</w:t>
            </w:r>
            <w:r w:rsidRPr="0001061F">
              <w:t>larify or add supporting detail in the strategic and service plans</w:t>
            </w:r>
            <w:r>
              <w:t>;</w:t>
            </w:r>
            <w:r w:rsidRPr="0001061F">
              <w:t xml:space="preserve"> for example</w:t>
            </w:r>
            <w:r>
              <w:t>,</w:t>
            </w:r>
            <w:r w:rsidRPr="0001061F">
              <w:t xml:space="preserve"> to better align with </w:t>
            </w:r>
            <w:proofErr w:type="spellStart"/>
            <w:r w:rsidRPr="0001061F">
              <w:t>pae</w:t>
            </w:r>
            <w:proofErr w:type="spellEnd"/>
            <w:r w:rsidRPr="0001061F">
              <w:t xml:space="preserve"> </w:t>
            </w:r>
            <w:proofErr w:type="spellStart"/>
            <w:r w:rsidRPr="0001061F">
              <w:t>ora</w:t>
            </w:r>
            <w:proofErr w:type="spellEnd"/>
            <w:r w:rsidRPr="0001061F">
              <w:t xml:space="preserve"> – healthy futures, </w:t>
            </w:r>
            <w:r w:rsidRPr="0001061F">
              <w:rPr>
                <w:i/>
                <w:iCs/>
              </w:rPr>
              <w:t xml:space="preserve">Kia </w:t>
            </w:r>
            <w:proofErr w:type="spellStart"/>
            <w:r w:rsidRPr="0001061F">
              <w:rPr>
                <w:i/>
                <w:iCs/>
              </w:rPr>
              <w:t>Manawanui</w:t>
            </w:r>
            <w:proofErr w:type="spellEnd"/>
            <w:r w:rsidRPr="0001061F">
              <w:rPr>
                <w:i/>
                <w:iCs/>
              </w:rPr>
              <w:t xml:space="preserve"> Aotearoa</w:t>
            </w:r>
            <w:r>
              <w:rPr>
                <w:i/>
                <w:iCs/>
              </w:rPr>
              <w:t>:</w:t>
            </w:r>
            <w:r w:rsidRPr="0001061F">
              <w:rPr>
                <w:i/>
                <w:iCs/>
              </w:rPr>
              <w:t xml:space="preserve"> Long-term pathway to mental wellbeing</w:t>
            </w:r>
            <w:r w:rsidRPr="0001061F">
              <w:t>,</w:t>
            </w:r>
            <w:r w:rsidRPr="00AD7CB7">
              <w:rPr>
                <w:rStyle w:val="FootnoteReference"/>
              </w:rPr>
              <w:footnoteReference w:id="1"/>
            </w:r>
            <w:r w:rsidRPr="0001061F">
              <w:t xml:space="preserve"> and the broader health and disabilit</w:t>
            </w:r>
            <w:r w:rsidR="00AD7CB7">
              <w:t>y system reforms</w:t>
            </w:r>
          </w:p>
          <w:p w14:paraId="686CB8DE" w14:textId="77777777" w:rsidR="00996345" w:rsidRPr="0001061F" w:rsidRDefault="00996345" w:rsidP="00AD7CB7">
            <w:pPr>
              <w:pStyle w:val="TableBullet"/>
            </w:pPr>
            <w:r>
              <w:t>e</w:t>
            </w:r>
            <w:r w:rsidRPr="0001061F">
              <w:t>mphasise the importance of prevention as well as harm minimisation</w:t>
            </w:r>
          </w:p>
          <w:p w14:paraId="2DFD16A2" w14:textId="16F86008" w:rsidR="00996345" w:rsidRPr="0001061F" w:rsidRDefault="00996345" w:rsidP="00AD7CB7">
            <w:pPr>
              <w:pStyle w:val="TableBullet"/>
            </w:pPr>
            <w:r>
              <w:t>r</w:t>
            </w:r>
            <w:r w:rsidRPr="0001061F">
              <w:t>efine areas of new or additional investment in response to the constructive feedback received, to achieve health equity and wellbeing outcomes</w:t>
            </w:r>
          </w:p>
          <w:p w14:paraId="615A1F10" w14:textId="095D1630" w:rsidR="00996345" w:rsidRPr="0001061F" w:rsidRDefault="00996345" w:rsidP="00AD7CB7">
            <w:pPr>
              <w:pStyle w:val="TableBullet"/>
            </w:pPr>
            <w:r>
              <w:t>a</w:t>
            </w:r>
            <w:r w:rsidRPr="0001061F">
              <w:t>ffirm the value</w:t>
            </w:r>
            <w:r>
              <w:t>s</w:t>
            </w:r>
            <w:r w:rsidRPr="0001061F">
              <w:t xml:space="preserve"> of lived experience, engagement, collaboration, </w:t>
            </w:r>
            <w:r>
              <w:t>co-design</w:t>
            </w:r>
            <w:r w:rsidRPr="00032721">
              <w:t xml:space="preserve"> and peer support</w:t>
            </w:r>
            <w:r w:rsidRPr="00F25177">
              <w:t xml:space="preserve">, and </w:t>
            </w:r>
            <w:r>
              <w:t>prioritise co-design</w:t>
            </w:r>
            <w:r w:rsidRPr="0056438B">
              <w:t xml:space="preserve"> with Māori, priority populations and affected communities to identify appropriate service</w:t>
            </w:r>
            <w:r>
              <w:t>s</w:t>
            </w:r>
            <w:r w:rsidRPr="0001061F">
              <w:t xml:space="preserve"> and support/activities </w:t>
            </w:r>
            <w:r w:rsidRPr="00032721">
              <w:t xml:space="preserve">that are </w:t>
            </w:r>
            <w:r w:rsidRPr="00F25177">
              <w:t>age</w:t>
            </w:r>
            <w:r>
              <w:t>-</w:t>
            </w:r>
            <w:r w:rsidRPr="00F25177">
              <w:t xml:space="preserve"> and cultur</w:t>
            </w:r>
            <w:r>
              <w:t>ally</w:t>
            </w:r>
            <w:r w:rsidRPr="00F25177">
              <w:t xml:space="preserve"> appropriate,</w:t>
            </w:r>
            <w:r w:rsidRPr="0056438B">
              <w:t xml:space="preserve"> more </w:t>
            </w:r>
            <w:r w:rsidRPr="0001061F">
              <w:t xml:space="preserve">accessible and </w:t>
            </w:r>
            <w:r>
              <w:t xml:space="preserve">more </w:t>
            </w:r>
            <w:r w:rsidR="00AD7CB7">
              <w:t>responsive.</w:t>
            </w:r>
          </w:p>
          <w:p w14:paraId="59669D53" w14:textId="637072D9" w:rsidR="00996345" w:rsidRPr="0001061F" w:rsidRDefault="00996345" w:rsidP="00996345">
            <w:pPr>
              <w:pStyle w:val="TableText"/>
            </w:pPr>
            <w:r w:rsidRPr="0001061F">
              <w:t>Although the strategy proposes some key changes, these are balanced against the need to maintain long</w:t>
            </w:r>
            <w:r>
              <w:t>-</w:t>
            </w:r>
            <w:r w:rsidRPr="0001061F">
              <w:t xml:space="preserve">term continuity in health education, prevention and early intervention activities required to meet the needs of </w:t>
            </w:r>
            <w:r>
              <w:t xml:space="preserve">future </w:t>
            </w:r>
            <w:r w:rsidRPr="0001061F">
              <w:t xml:space="preserve">cohorts, as well as </w:t>
            </w:r>
            <w:r>
              <w:t xml:space="preserve">the need to accommodate </w:t>
            </w:r>
            <w:r w:rsidRPr="0001061F">
              <w:t>people</w:t>
            </w:r>
            <w:r>
              <w:t>’s</w:t>
            </w:r>
            <w:r w:rsidRPr="0001061F">
              <w:t xml:space="preserve"> different needs at </w:t>
            </w:r>
            <w:r w:rsidR="00AD7CB7">
              <w:t>different times in their lives.</w:t>
            </w:r>
          </w:p>
        </w:tc>
      </w:tr>
      <w:tr w:rsidR="00996345" w:rsidRPr="009B4A3D" w14:paraId="682FEC59" w14:textId="77777777" w:rsidTr="00996345">
        <w:trPr>
          <w:cantSplit/>
        </w:trPr>
        <w:tc>
          <w:tcPr>
            <w:tcW w:w="6889" w:type="dxa"/>
            <w:tcBorders>
              <w:top w:val="nil"/>
            </w:tcBorders>
          </w:tcPr>
          <w:p w14:paraId="4D4AAE12" w14:textId="68EA5CD5" w:rsidR="00996345" w:rsidRPr="00032721" w:rsidRDefault="00996345" w:rsidP="00AB601E">
            <w:pPr>
              <w:pStyle w:val="TableText"/>
              <w:ind w:right="284"/>
            </w:pPr>
            <w:r w:rsidRPr="00032721">
              <w:lastRenderedPageBreak/>
              <w:t xml:space="preserve">Many submissions endorsed the </w:t>
            </w:r>
            <w:r w:rsidRPr="00F25177">
              <w:t xml:space="preserve">focus to address </w:t>
            </w:r>
            <w:r w:rsidRPr="00AD7CB7">
              <w:rPr>
                <w:b/>
                <w:bCs/>
              </w:rPr>
              <w:t>equity</w:t>
            </w:r>
            <w:r w:rsidRPr="0056438B">
              <w:t xml:space="preserve"> and health inequalities for priority populations, areas of persistent gambling harm and relapse, particularly where defined by </w:t>
            </w:r>
            <w:r w:rsidR="00AD7CB7">
              <w:t>measures of social deprivation.</w:t>
            </w:r>
          </w:p>
          <w:p w14:paraId="4504C90C" w14:textId="77777777" w:rsidR="00996345" w:rsidRPr="0001061F" w:rsidRDefault="00996345" w:rsidP="00AB601E">
            <w:pPr>
              <w:pStyle w:val="TableText"/>
              <w:ind w:right="284"/>
            </w:pPr>
            <w:r w:rsidRPr="0056438B">
              <w:t xml:space="preserve">Submissions supported </w:t>
            </w:r>
            <w:r>
              <w:t xml:space="preserve">the aim to </w:t>
            </w:r>
            <w:r w:rsidRPr="0056438B">
              <w:t xml:space="preserve">develop more </w:t>
            </w:r>
            <w:r w:rsidRPr="00AD7CB7">
              <w:rPr>
                <w:b/>
                <w:bCs/>
              </w:rPr>
              <w:t>age- and</w:t>
            </w:r>
            <w:r w:rsidRPr="00AD7CB7">
              <w:rPr>
                <w:b/>
              </w:rPr>
              <w:t xml:space="preserve"> </w:t>
            </w:r>
            <w:r w:rsidRPr="00AD7CB7">
              <w:rPr>
                <w:b/>
                <w:bCs/>
              </w:rPr>
              <w:t>culturally appropriate services</w:t>
            </w:r>
            <w:r w:rsidRPr="0001061F">
              <w:t xml:space="preserve"> and models of care for Māori, Pacific, Asian and </w:t>
            </w:r>
            <w:proofErr w:type="spellStart"/>
            <w:r w:rsidRPr="0001061F">
              <w:t>rangatahi</w:t>
            </w:r>
            <w:proofErr w:type="spellEnd"/>
            <w:r w:rsidRPr="0001061F">
              <w:t xml:space="preserve"> population groups.</w:t>
            </w:r>
            <w:r>
              <w:t xml:space="preserve"> </w:t>
            </w:r>
            <w:r w:rsidRPr="0001061F">
              <w:t>Submissions noted that more work is required to ensure that general services that address gambling harm are equipped to offer culturally safe and appropriate services, as priority populations often access these services.</w:t>
            </w:r>
          </w:p>
          <w:p w14:paraId="63A1A966" w14:textId="2057F073" w:rsidR="00996345" w:rsidRPr="0001061F" w:rsidRDefault="00996345" w:rsidP="00AB601E">
            <w:pPr>
              <w:pStyle w:val="TableText"/>
              <w:ind w:right="284"/>
            </w:pPr>
            <w:bookmarkStart w:id="0" w:name="_Hlk87545169"/>
            <w:r w:rsidRPr="0001061F">
              <w:t>Many submi</w:t>
            </w:r>
            <w:r>
              <w:t>tters</w:t>
            </w:r>
            <w:r w:rsidRPr="0001061F">
              <w:t xml:space="preserve"> recommended these efforts be driven </w:t>
            </w:r>
            <w:r>
              <w:t xml:space="preserve">through </w:t>
            </w:r>
            <w:r w:rsidRPr="0001061F">
              <w:t>engag</w:t>
            </w:r>
            <w:r>
              <w:t>ement</w:t>
            </w:r>
            <w:r w:rsidRPr="0001061F">
              <w:t xml:space="preserve"> with relevant priority populations and lived experience voices, in a co</w:t>
            </w:r>
            <w:r>
              <w:t>-</w:t>
            </w:r>
            <w:r w:rsidRPr="0001061F">
              <w:t>design,</w:t>
            </w:r>
            <w:bookmarkEnd w:id="0"/>
            <w:r w:rsidRPr="0001061F">
              <w:t xml:space="preserve"> co</w:t>
            </w:r>
            <w:r w:rsidR="00AD7CB7">
              <w:noBreakHyphen/>
            </w:r>
            <w:r w:rsidRPr="0001061F">
              <w:t>comm</w:t>
            </w:r>
            <w:r w:rsidR="00AD7CB7">
              <w:t>issioning or partnership model.</w:t>
            </w:r>
          </w:p>
          <w:p w14:paraId="4BEC984D" w14:textId="5C5D6DA7" w:rsidR="00996345" w:rsidRPr="0001061F" w:rsidRDefault="00996345" w:rsidP="00AB601E">
            <w:pPr>
              <w:pStyle w:val="TableText"/>
              <w:ind w:right="284"/>
            </w:pPr>
            <w:r w:rsidRPr="0001061F">
              <w:t>Some submissions questioned how the Ministry would implement this</w:t>
            </w:r>
            <w:r>
              <w:t xml:space="preserve"> aim</w:t>
            </w:r>
            <w:r w:rsidRPr="0001061F">
              <w:t>.</w:t>
            </w:r>
          </w:p>
        </w:tc>
        <w:tc>
          <w:tcPr>
            <w:tcW w:w="7712" w:type="dxa"/>
            <w:tcBorders>
              <w:top w:val="nil"/>
            </w:tcBorders>
          </w:tcPr>
          <w:p w14:paraId="4E9BB18A" w14:textId="77777777" w:rsidR="00996345" w:rsidRPr="00032721" w:rsidRDefault="00996345" w:rsidP="00996345">
            <w:pPr>
              <w:pStyle w:val="TableText"/>
            </w:pPr>
            <w:r w:rsidRPr="0001061F">
              <w:t xml:space="preserve">The Ministry has, were necessary amended text </w:t>
            </w:r>
            <w:r>
              <w:t xml:space="preserve">within the strategy </w:t>
            </w:r>
            <w:r w:rsidRPr="0001061F">
              <w:t>to:</w:t>
            </w:r>
          </w:p>
          <w:p w14:paraId="45F6E6BB" w14:textId="6BFAFE48" w:rsidR="00996345" w:rsidRPr="0001061F" w:rsidRDefault="00996345" w:rsidP="00AD7CB7">
            <w:pPr>
              <w:pStyle w:val="TableBullet"/>
            </w:pPr>
            <w:r w:rsidRPr="00F25177">
              <w:t>clarify the implications of an equity focus</w:t>
            </w:r>
            <w:r>
              <w:t>,</w:t>
            </w:r>
            <w:r w:rsidRPr="00F25177">
              <w:t xml:space="preserve"> including expectations </w:t>
            </w:r>
            <w:r>
              <w:t xml:space="preserve">for </w:t>
            </w:r>
            <w:r w:rsidRPr="00F25177">
              <w:t>engag</w:t>
            </w:r>
            <w:r>
              <w:t>ement</w:t>
            </w:r>
            <w:r w:rsidRPr="00F25177">
              <w:t xml:space="preserve"> with </w:t>
            </w:r>
            <w:r w:rsidRPr="0056438B">
              <w:t xml:space="preserve">Māori, Pacific, Asian, </w:t>
            </w:r>
            <w:proofErr w:type="spellStart"/>
            <w:r w:rsidRPr="0056438B">
              <w:t>rangatahi</w:t>
            </w:r>
            <w:proofErr w:type="spellEnd"/>
            <w:r w:rsidRPr="0056438B">
              <w:t xml:space="preserve"> and lived</w:t>
            </w:r>
            <w:r>
              <w:t>-</w:t>
            </w:r>
            <w:r w:rsidRPr="0056438B">
              <w:t xml:space="preserve">experience communities </w:t>
            </w:r>
            <w:r>
              <w:t>in co-designing</w:t>
            </w:r>
            <w:r w:rsidRPr="0001061F">
              <w:t xml:space="preserve"> and pilot</w:t>
            </w:r>
            <w:r>
              <w:t>ing</w:t>
            </w:r>
            <w:r w:rsidRPr="0001061F">
              <w:t xml:space="preserve"> </w:t>
            </w:r>
            <w:r w:rsidR="00AD7CB7">
              <w:t>services</w:t>
            </w:r>
          </w:p>
          <w:p w14:paraId="2BFE677B" w14:textId="77777777" w:rsidR="00996345" w:rsidRDefault="00996345" w:rsidP="00AD7CB7">
            <w:pPr>
              <w:pStyle w:val="TableBullet"/>
            </w:pPr>
            <w:r w:rsidRPr="0001061F">
              <w:t>ensure all services and supports will be more culturally safe, relevant, age</w:t>
            </w:r>
            <w:r>
              <w:t>-</w:t>
            </w:r>
            <w:r w:rsidRPr="0001061F">
              <w:t xml:space="preserve">appropriate and accessible to Māori, priority populations and all </w:t>
            </w:r>
            <w:r>
              <w:t xml:space="preserve">other </w:t>
            </w:r>
            <w:r w:rsidRPr="0001061F">
              <w:t>New Zealanders when they are needed</w:t>
            </w:r>
          </w:p>
          <w:p w14:paraId="59D4A177" w14:textId="0EE8927D" w:rsidR="00996345" w:rsidRDefault="00996345" w:rsidP="00AD7CB7">
            <w:pPr>
              <w:pStyle w:val="TableBullet"/>
            </w:pPr>
            <w:r>
              <w:t>strengthen service responsiveness through providers engaging and c</w:t>
            </w:r>
            <w:r w:rsidRPr="001D53E4">
              <w:t>ollaborat</w:t>
            </w:r>
            <w:r>
              <w:t xml:space="preserve">ing </w:t>
            </w:r>
            <w:r w:rsidRPr="001D53E4">
              <w:t>with iwi and other Māori organisations</w:t>
            </w:r>
            <w:r>
              <w:t>,</w:t>
            </w:r>
            <w:r w:rsidRPr="001D53E4">
              <w:t xml:space="preserve"> Pacific and Asian</w:t>
            </w:r>
            <w:r>
              <w:t xml:space="preserve"> </w:t>
            </w:r>
            <w:r w:rsidRPr="001D53E4">
              <w:t>communities</w:t>
            </w:r>
            <w:r>
              <w:t>,</w:t>
            </w:r>
            <w:r w:rsidRPr="001D53E4">
              <w:t xml:space="preserve"> </w:t>
            </w:r>
            <w:proofErr w:type="spellStart"/>
            <w:r w:rsidRPr="001D53E4">
              <w:t>rangatahi</w:t>
            </w:r>
            <w:proofErr w:type="spellEnd"/>
            <w:r>
              <w:t>/young people</w:t>
            </w:r>
            <w:r w:rsidRPr="001D53E4">
              <w:t xml:space="preserve"> and people with lived experience of</w:t>
            </w:r>
            <w:r>
              <w:t xml:space="preserve"> </w:t>
            </w:r>
            <w:r w:rsidRPr="001D53E4">
              <w:t>gambling harm</w:t>
            </w:r>
            <w:r w:rsidR="00AD7CB7">
              <w:t>.</w:t>
            </w:r>
          </w:p>
          <w:p w14:paraId="4D432C85" w14:textId="755299A5" w:rsidR="00996345" w:rsidRPr="0001061F" w:rsidRDefault="00996345" w:rsidP="00996345">
            <w:pPr>
              <w:pStyle w:val="TableText"/>
            </w:pPr>
            <w:r w:rsidRPr="0056438B">
              <w:t>The Ministry will develop action plans for each priority population to show how</w:t>
            </w:r>
            <w:r w:rsidRPr="0001061F">
              <w:t xml:space="preserve"> these expectations will be addressed as strat</w:t>
            </w:r>
            <w:r w:rsidR="00AD7CB7">
              <w:t>egy activities are implemented.</w:t>
            </w:r>
          </w:p>
          <w:p w14:paraId="250FBF70" w14:textId="5B895712" w:rsidR="00996345" w:rsidRPr="0001061F" w:rsidRDefault="00996345" w:rsidP="00996345">
            <w:pPr>
              <w:pStyle w:val="TableText"/>
            </w:pPr>
            <w:bookmarkStart w:id="1" w:name="_Hlk87544576"/>
            <w:r w:rsidRPr="0001061F">
              <w:t xml:space="preserve">The impact of the health sector transformations, including the roles of the Māori </w:t>
            </w:r>
            <w:r w:rsidR="00AD7CB7">
              <w:t>Health Authority and local iwi–</w:t>
            </w:r>
            <w:r w:rsidRPr="0001061F">
              <w:t>Māori partnership boards, will be determined after the enabling legislation is finalised in 2022, and incorporated into our forward programme as the strategy is implemented.</w:t>
            </w:r>
            <w:bookmarkEnd w:id="1"/>
          </w:p>
        </w:tc>
      </w:tr>
      <w:tr w:rsidR="00996345" w:rsidRPr="009B4A3D" w14:paraId="186A6680" w14:textId="77777777" w:rsidTr="00996345">
        <w:trPr>
          <w:cantSplit/>
        </w:trPr>
        <w:tc>
          <w:tcPr>
            <w:tcW w:w="6889" w:type="dxa"/>
            <w:tcBorders>
              <w:top w:val="nil"/>
            </w:tcBorders>
          </w:tcPr>
          <w:p w14:paraId="1DEB939C" w14:textId="2E1F278D" w:rsidR="00996345" w:rsidRPr="0001061F" w:rsidRDefault="00996345" w:rsidP="00AB601E">
            <w:pPr>
              <w:pStyle w:val="TableText"/>
              <w:ind w:right="284"/>
            </w:pPr>
            <w:r>
              <w:t>Many s</w:t>
            </w:r>
            <w:r w:rsidRPr="00032721">
              <w:t xml:space="preserve">ubmissions supported the strategic objectives to </w:t>
            </w:r>
            <w:r w:rsidRPr="00AD7CB7">
              <w:rPr>
                <w:b/>
                <w:bCs/>
              </w:rPr>
              <w:t>create a full spectrum of services</w:t>
            </w:r>
            <w:r w:rsidRPr="0056438B">
              <w:t xml:space="preserve">, including a culturally safe workforce, to strengthen health equity and services </w:t>
            </w:r>
            <w:r w:rsidRPr="0001061F">
              <w:t xml:space="preserve">through collaboration and </w:t>
            </w:r>
            <w:r>
              <w:t>co-design</w:t>
            </w:r>
            <w:r w:rsidRPr="0001061F">
              <w:t xml:space="preserve"> with iwi</w:t>
            </w:r>
            <w:r>
              <w:t xml:space="preserve">; </w:t>
            </w:r>
            <w:r w:rsidRPr="0001061F">
              <w:t>Māori, Pacific and Asian communities</w:t>
            </w:r>
            <w:r>
              <w:t>;</w:t>
            </w:r>
            <w:r w:rsidRPr="0001061F">
              <w:t xml:space="preserve"> and </w:t>
            </w:r>
            <w:proofErr w:type="spellStart"/>
            <w:r w:rsidRPr="0001061F">
              <w:t>rangatahi</w:t>
            </w:r>
            <w:proofErr w:type="spellEnd"/>
            <w:r w:rsidRPr="0001061F">
              <w:t xml:space="preserve">. </w:t>
            </w:r>
            <w:r>
              <w:t>Achieving t</w:t>
            </w:r>
            <w:r w:rsidRPr="0001061F">
              <w:t xml:space="preserve">his would help ensure service </w:t>
            </w:r>
            <w:r w:rsidRPr="00AD7CB7">
              <w:rPr>
                <w:b/>
                <w:bCs/>
              </w:rPr>
              <w:t>models and/support</w:t>
            </w:r>
            <w:r w:rsidRPr="0001061F">
              <w:t xml:space="preserve"> are age</w:t>
            </w:r>
            <w:r>
              <w:t>-</w:t>
            </w:r>
            <w:r w:rsidRPr="0001061F">
              <w:t xml:space="preserve"> and cultur</w:t>
            </w:r>
            <w:r>
              <w:t>ally</w:t>
            </w:r>
            <w:r w:rsidRPr="0001061F">
              <w:t xml:space="preserve"> appropriate </w:t>
            </w:r>
            <w:r>
              <w:t xml:space="preserve">(for example, by addressing </w:t>
            </w:r>
            <w:r w:rsidRPr="0001061F">
              <w:t>stigma or shame, provid</w:t>
            </w:r>
            <w:r>
              <w:t>ing</w:t>
            </w:r>
            <w:r w:rsidRPr="0001061F">
              <w:t xml:space="preserve"> language support </w:t>
            </w:r>
            <w:r>
              <w:t xml:space="preserve">or developing </w:t>
            </w:r>
            <w:r w:rsidRPr="0001061F">
              <w:t>culture</w:t>
            </w:r>
            <w:r>
              <w:t>-</w:t>
            </w:r>
            <w:r w:rsidRPr="0001061F">
              <w:t>specific delivery models</w:t>
            </w:r>
            <w:r w:rsidRPr="00032721">
              <w:t>)</w:t>
            </w:r>
            <w:r w:rsidRPr="00F25177">
              <w:t>.</w:t>
            </w:r>
          </w:p>
        </w:tc>
        <w:tc>
          <w:tcPr>
            <w:tcW w:w="7712" w:type="dxa"/>
            <w:tcBorders>
              <w:top w:val="nil"/>
            </w:tcBorders>
          </w:tcPr>
          <w:p w14:paraId="718A8B1B" w14:textId="3EDE468C" w:rsidR="00996345" w:rsidRPr="0001061F" w:rsidRDefault="00996345" w:rsidP="00996345">
            <w:pPr>
              <w:pStyle w:val="TableText"/>
            </w:pPr>
            <w:r w:rsidRPr="0001061F">
              <w:t xml:space="preserve">As indicated above, the Ministry will support </w:t>
            </w:r>
            <w:r>
              <w:t xml:space="preserve">the </w:t>
            </w:r>
            <w:r w:rsidRPr="0001061F">
              <w:t>development of new services and supports, including culture</w:t>
            </w:r>
            <w:r>
              <w:t>-</w:t>
            </w:r>
            <w:r w:rsidRPr="0001061F">
              <w:t>specific models of care</w:t>
            </w:r>
            <w:r>
              <w:t>,</w:t>
            </w:r>
            <w:r w:rsidRPr="0001061F">
              <w:t xml:space="preserve"> to promote equity and address cultural, language and age barriers.</w:t>
            </w:r>
            <w:r>
              <w:t xml:space="preserve"> The Ministry will evaluate t</w:t>
            </w:r>
            <w:r w:rsidRPr="0001061F">
              <w:t xml:space="preserve">hese new models </w:t>
            </w:r>
            <w:r>
              <w:t xml:space="preserve">of working </w:t>
            </w:r>
            <w:r w:rsidRPr="0001061F">
              <w:t xml:space="preserve">to inform </w:t>
            </w:r>
            <w:r>
              <w:t xml:space="preserve">its </w:t>
            </w:r>
            <w:r w:rsidRPr="0001061F">
              <w:t xml:space="preserve">decisions about </w:t>
            </w:r>
            <w:r>
              <w:t xml:space="preserve">ongoing services and supports, which </w:t>
            </w:r>
            <w:r w:rsidRPr="0001061F">
              <w:t>will be incorporated into the relevant clinical or public health service area.</w:t>
            </w:r>
          </w:p>
          <w:p w14:paraId="6B0776EE" w14:textId="77777777" w:rsidR="00996345" w:rsidRPr="0001061F" w:rsidRDefault="00996345" w:rsidP="00996345">
            <w:pPr>
              <w:pStyle w:val="TableText"/>
            </w:pPr>
            <w:r w:rsidRPr="0001061F">
              <w:t>As note</w:t>
            </w:r>
            <w:r>
              <w:t>d</w:t>
            </w:r>
            <w:r w:rsidRPr="0001061F">
              <w:t xml:space="preserve"> below, we propose to invest in developing and expanding digital services</w:t>
            </w:r>
            <w:r>
              <w:t>.</w:t>
            </w:r>
          </w:p>
        </w:tc>
      </w:tr>
      <w:tr w:rsidR="00996345" w:rsidRPr="009B4A3D" w14:paraId="0204CF9C" w14:textId="77777777" w:rsidTr="00996345">
        <w:trPr>
          <w:cantSplit/>
        </w:trPr>
        <w:tc>
          <w:tcPr>
            <w:tcW w:w="6889" w:type="dxa"/>
          </w:tcPr>
          <w:p w14:paraId="44EAEE7A" w14:textId="4F8B5543" w:rsidR="00996345" w:rsidRPr="0001061F" w:rsidRDefault="00996345" w:rsidP="00AB601E">
            <w:pPr>
              <w:pStyle w:val="TableText"/>
              <w:ind w:right="284"/>
            </w:pPr>
            <w:r w:rsidRPr="00032721">
              <w:lastRenderedPageBreak/>
              <w:t>There were divergent</w:t>
            </w:r>
            <w:r w:rsidRPr="00F25177">
              <w:t>, sector</w:t>
            </w:r>
            <w:r>
              <w:t>-</w:t>
            </w:r>
            <w:r w:rsidRPr="00F25177">
              <w:t xml:space="preserve">specific </w:t>
            </w:r>
            <w:r w:rsidRPr="00500F95">
              <w:t>views on</w:t>
            </w:r>
            <w:r w:rsidRPr="0056438B">
              <w:rPr>
                <w:bCs/>
              </w:rPr>
              <w:t xml:space="preserve"> </w:t>
            </w:r>
            <w:r w:rsidRPr="00AD7CB7">
              <w:rPr>
                <w:b/>
                <w:bCs/>
              </w:rPr>
              <w:t>levels of funding</w:t>
            </w:r>
            <w:r w:rsidRPr="0056438B">
              <w:t xml:space="preserve">, particularly </w:t>
            </w:r>
            <w:r>
              <w:t xml:space="preserve">in terms of </w:t>
            </w:r>
            <w:r w:rsidRPr="0056438B">
              <w:t>the merits of p</w:t>
            </w:r>
            <w:r w:rsidR="00AD7CB7">
              <w:t>roposed additional investments.</w:t>
            </w:r>
          </w:p>
          <w:p w14:paraId="03CB9E15" w14:textId="77777777" w:rsidR="00996345" w:rsidRPr="00F25177" w:rsidRDefault="00996345" w:rsidP="00AB601E">
            <w:pPr>
              <w:pStyle w:val="TableText"/>
              <w:ind w:right="284"/>
            </w:pPr>
            <w:r>
              <w:t xml:space="preserve">Submissions from </w:t>
            </w:r>
            <w:r w:rsidRPr="0001061F">
              <w:t>NCGM</w:t>
            </w:r>
            <w:r>
              <w:t>s</w:t>
            </w:r>
            <w:r w:rsidRPr="0001061F">
              <w:t xml:space="preserve"> and some </w:t>
            </w:r>
            <w:r>
              <w:t xml:space="preserve">other </w:t>
            </w:r>
            <w:r w:rsidRPr="0001061F">
              <w:t>industry submissions did not support further investment</w:t>
            </w:r>
            <w:r>
              <w:t>,</w:t>
            </w:r>
            <w:r w:rsidRPr="0001061F">
              <w:t xml:space="preserve"> arguing </w:t>
            </w:r>
            <w:r>
              <w:t xml:space="preserve">that </w:t>
            </w:r>
            <w:r w:rsidRPr="0001061F">
              <w:t>the strategy had been ineffective in reducing harm and require</w:t>
            </w:r>
            <w:r>
              <w:t>d</w:t>
            </w:r>
            <w:r w:rsidRPr="0001061F">
              <w:t xml:space="preserve"> bold change, not </w:t>
            </w:r>
            <w:r>
              <w:t>‘</w:t>
            </w:r>
            <w:r w:rsidRPr="0001061F">
              <w:t>more of the same</w:t>
            </w:r>
            <w:r>
              <w:t>’</w:t>
            </w:r>
            <w:r w:rsidRPr="0001061F">
              <w:t>.</w:t>
            </w:r>
            <w:r>
              <w:t xml:space="preserve"> </w:t>
            </w:r>
            <w:r w:rsidRPr="0001061F">
              <w:t xml:space="preserve">Some submissions argued </w:t>
            </w:r>
            <w:r>
              <w:t xml:space="preserve">that the Ministry should reduce </w:t>
            </w:r>
            <w:r w:rsidRPr="0001061F">
              <w:t xml:space="preserve">funding and </w:t>
            </w:r>
            <w:r>
              <w:t xml:space="preserve">cut back </w:t>
            </w:r>
            <w:r w:rsidRPr="0001061F">
              <w:t>services, as presentations to services were declining. Some NCGM submissions expressed qualified support for additional spending</w:t>
            </w:r>
            <w:r>
              <w:t xml:space="preserve">, calling for the introduction of </w:t>
            </w:r>
            <w:r w:rsidRPr="0001061F">
              <w:t>measures to make services accountable and assess their impact in reducing gambling harm</w:t>
            </w:r>
            <w:r w:rsidRPr="00032721">
              <w:t>.</w:t>
            </w:r>
          </w:p>
          <w:p w14:paraId="357C445A" w14:textId="4E83F87D" w:rsidR="00996345" w:rsidRPr="0001061F" w:rsidRDefault="00996345" w:rsidP="00AB601E">
            <w:pPr>
              <w:pStyle w:val="TableText"/>
              <w:ind w:right="284"/>
            </w:pPr>
            <w:r w:rsidRPr="0056438B">
              <w:t xml:space="preserve">Submissions from other sectors either supported the proposed funding and </w:t>
            </w:r>
            <w:r w:rsidRPr="0001061F">
              <w:t>investment priorities or argued that much more funding would be required to effect real change or to compensate</w:t>
            </w:r>
            <w:r w:rsidR="00AD7CB7">
              <w:t xml:space="preserve"> for increased operating costs.</w:t>
            </w:r>
          </w:p>
        </w:tc>
        <w:tc>
          <w:tcPr>
            <w:tcW w:w="7712" w:type="dxa"/>
          </w:tcPr>
          <w:p w14:paraId="7B56F76D" w14:textId="77777777" w:rsidR="00996345" w:rsidRPr="0056438B" w:rsidRDefault="00996345" w:rsidP="00996345">
            <w:pPr>
              <w:pStyle w:val="TableText"/>
            </w:pPr>
            <w:r>
              <w:t>The Ministry has</w:t>
            </w:r>
            <w:r w:rsidRPr="00F25177">
              <w:t>:</w:t>
            </w:r>
          </w:p>
          <w:p w14:paraId="525EFC6B" w14:textId="15ED412E" w:rsidR="00996345" w:rsidRPr="0001061F" w:rsidRDefault="00996345" w:rsidP="00AD7CB7">
            <w:pPr>
              <w:pStyle w:val="TableBullet"/>
            </w:pPr>
            <w:r w:rsidRPr="0001061F">
              <w:t>reviewed the additional investment proposals</w:t>
            </w:r>
            <w:r>
              <w:t xml:space="preserve"> </w:t>
            </w:r>
            <w:r w:rsidRPr="0001061F">
              <w:t xml:space="preserve">and provided updated information and costs for the proposed increase (compared with </w:t>
            </w:r>
            <w:r>
              <w:t xml:space="preserve">the </w:t>
            </w:r>
            <w:r w:rsidRPr="0001061F">
              <w:t>current strategy)</w:t>
            </w:r>
          </w:p>
          <w:p w14:paraId="21067D66" w14:textId="77777777" w:rsidR="00996345" w:rsidRPr="0001061F" w:rsidRDefault="00996345" w:rsidP="00AD7CB7">
            <w:pPr>
              <w:pStyle w:val="TableBullet"/>
            </w:pPr>
            <w:r w:rsidRPr="0001061F">
              <w:t xml:space="preserve">updated the gambling industry data and levy rates section </w:t>
            </w:r>
            <w:r>
              <w:t xml:space="preserve">to </w:t>
            </w:r>
            <w:r w:rsidRPr="0001061F">
              <w:t>includ</w:t>
            </w:r>
            <w:r>
              <w:t>e</w:t>
            </w:r>
            <w:r w:rsidRPr="0001061F">
              <w:t xml:space="preserve"> updates of the data on presentations and spending and calculations of over</w:t>
            </w:r>
            <w:r>
              <w:t>-</w:t>
            </w:r>
            <w:r w:rsidRPr="0001061F">
              <w:t xml:space="preserve"> or under</w:t>
            </w:r>
            <w:r>
              <w:t>-</w:t>
            </w:r>
            <w:r w:rsidRPr="0001061F">
              <w:t>collection of the levy</w:t>
            </w:r>
          </w:p>
          <w:p w14:paraId="11057472" w14:textId="38100F3B" w:rsidR="00996345" w:rsidRDefault="00996345" w:rsidP="00AD7CB7">
            <w:pPr>
              <w:pStyle w:val="TableBullet"/>
            </w:pPr>
            <w:r w:rsidRPr="0001061F">
              <w:t xml:space="preserve">updated </w:t>
            </w:r>
            <w:r w:rsidRPr="00760DCB">
              <w:t xml:space="preserve">information </w:t>
            </w:r>
            <w:r>
              <w:t xml:space="preserve">on </w:t>
            </w:r>
            <w:r w:rsidRPr="00760DCB">
              <w:t>the gambling environment, gambling expenditure and behaviour</w:t>
            </w:r>
            <w:r w:rsidRPr="0001061F">
              <w:t xml:space="preserve"> patterns, gambling harms and </w:t>
            </w:r>
            <w:r>
              <w:t xml:space="preserve">gambling </w:t>
            </w:r>
            <w:r w:rsidR="00AD7CB7">
              <w:t>impacts</w:t>
            </w:r>
          </w:p>
          <w:p w14:paraId="1950EA58" w14:textId="77777777" w:rsidR="00996345" w:rsidRPr="0001061F" w:rsidRDefault="00996345" w:rsidP="00AD7CB7">
            <w:pPr>
              <w:pStyle w:val="TableBullet"/>
            </w:pPr>
            <w:r>
              <w:t xml:space="preserve">proposed additional investment in public health and digital services and support. </w:t>
            </w:r>
          </w:p>
          <w:p w14:paraId="503AFCE5" w14:textId="3C3AD41A" w:rsidR="00996345" w:rsidRPr="0001061F" w:rsidRDefault="00996345" w:rsidP="00996345">
            <w:pPr>
              <w:pStyle w:val="TableText"/>
            </w:pPr>
            <w:r w:rsidRPr="0001061F">
              <w:t xml:space="preserve">The Ministry proposes to increase total spending </w:t>
            </w:r>
            <w:r>
              <w:t xml:space="preserve">to </w:t>
            </w:r>
            <w:r w:rsidRPr="0001061F">
              <w:t>$</w:t>
            </w:r>
            <w:r>
              <w:t xml:space="preserve">76.410 million over the next levy period, which includes a </w:t>
            </w:r>
            <w:r w:rsidRPr="0001061F">
              <w:t xml:space="preserve">transfer </w:t>
            </w:r>
            <w:r>
              <w:t xml:space="preserve">of a $6.251 </w:t>
            </w:r>
            <w:r w:rsidRPr="0001061F">
              <w:t>million forecast underspend from the current appropriation</w:t>
            </w:r>
            <w:r w:rsidR="00AD7CB7">
              <w:t xml:space="preserve"> to 30 June 2022.</w:t>
            </w:r>
          </w:p>
        </w:tc>
      </w:tr>
      <w:tr w:rsidR="00996345" w:rsidRPr="00F74CD8" w14:paraId="63C67E1F" w14:textId="77777777" w:rsidTr="00996345">
        <w:trPr>
          <w:cantSplit/>
        </w:trPr>
        <w:tc>
          <w:tcPr>
            <w:tcW w:w="6889" w:type="dxa"/>
          </w:tcPr>
          <w:p w14:paraId="0D9D552A" w14:textId="3FDB26F4" w:rsidR="00996345" w:rsidRPr="0001061F" w:rsidRDefault="00996345" w:rsidP="00AB601E">
            <w:pPr>
              <w:pStyle w:val="TableText"/>
              <w:ind w:right="284"/>
            </w:pPr>
            <w:r w:rsidRPr="00032721">
              <w:t xml:space="preserve">Submissions from all sectors urged the Ministry to adopt a more </w:t>
            </w:r>
            <w:r w:rsidRPr="00AD7CB7">
              <w:rPr>
                <w:b/>
                <w:bCs/>
              </w:rPr>
              <w:t>holistic approach</w:t>
            </w:r>
            <w:r w:rsidRPr="0056438B">
              <w:t xml:space="preserve"> to funding and commissioning services, to recognise that gambling harm is often associated with underlying mental health and addition issues and the broader de</w:t>
            </w:r>
            <w:r w:rsidR="00AD7CB7">
              <w:t>terminants of mental wellbeing.</w:t>
            </w:r>
          </w:p>
          <w:p w14:paraId="04A1E845" w14:textId="1721D88F" w:rsidR="00996345" w:rsidRPr="0001061F" w:rsidRDefault="00996345" w:rsidP="00AB601E">
            <w:pPr>
              <w:pStyle w:val="TableText"/>
              <w:ind w:right="284"/>
            </w:pPr>
            <w:r w:rsidRPr="0001061F">
              <w:t>This was couched in various terms</w:t>
            </w:r>
            <w:r>
              <w:t>,</w:t>
            </w:r>
            <w:r w:rsidRPr="0001061F">
              <w:t xml:space="preserve"> </w:t>
            </w:r>
            <w:r>
              <w:t xml:space="preserve">including </w:t>
            </w:r>
            <w:r w:rsidRPr="0001061F">
              <w:t xml:space="preserve">calls for more holistic services, </w:t>
            </w:r>
            <w:r>
              <w:t xml:space="preserve">for </w:t>
            </w:r>
            <w:r w:rsidRPr="0001061F">
              <w:t>better integration, to remove silos or to provide more effective services and service models.</w:t>
            </w:r>
          </w:p>
        </w:tc>
        <w:tc>
          <w:tcPr>
            <w:tcW w:w="7712" w:type="dxa"/>
          </w:tcPr>
          <w:p w14:paraId="52585D8E" w14:textId="77777777" w:rsidR="00996345" w:rsidRPr="00DB10A0" w:rsidRDefault="00996345" w:rsidP="00996345">
            <w:pPr>
              <w:pStyle w:val="TableText"/>
              <w:rPr>
                <w:shd w:val="clear" w:color="auto" w:fill="FFFFFF" w:themeFill="background1"/>
              </w:rPr>
            </w:pPr>
            <w:r w:rsidRPr="00DB10A0">
              <w:rPr>
                <w:shd w:val="clear" w:color="auto" w:fill="FFFFFF" w:themeFill="background1"/>
              </w:rPr>
              <w:t xml:space="preserve">The Ministry will consider how </w:t>
            </w:r>
            <w:r>
              <w:rPr>
                <w:shd w:val="clear" w:color="auto" w:fill="FFFFFF" w:themeFill="background1"/>
              </w:rPr>
              <w:t xml:space="preserve">a </w:t>
            </w:r>
            <w:r w:rsidRPr="00DB10A0">
              <w:rPr>
                <w:shd w:val="clear" w:color="auto" w:fill="FFFFFF" w:themeFill="background1"/>
              </w:rPr>
              <w:t xml:space="preserve">more holistic </w:t>
            </w:r>
            <w:r>
              <w:rPr>
                <w:shd w:val="clear" w:color="auto" w:fill="FFFFFF" w:themeFill="background1"/>
              </w:rPr>
              <w:t xml:space="preserve">approach </w:t>
            </w:r>
            <w:r w:rsidRPr="00DB10A0">
              <w:rPr>
                <w:shd w:val="clear" w:color="auto" w:fill="FFFFFF" w:themeFill="background1"/>
              </w:rPr>
              <w:t xml:space="preserve">can be supported. The Ministry recognises there are synergies in providing comprehensive prevention and wrap around services and support for the whole person, and that persons affected by gambling harm often have co-existing issues. The intensive support new service model </w:t>
            </w:r>
            <w:r>
              <w:rPr>
                <w:shd w:val="clear" w:color="auto" w:fill="FFFFFF" w:themeFill="background1"/>
              </w:rPr>
              <w:t xml:space="preserve">to be </w:t>
            </w:r>
            <w:r w:rsidRPr="00DB10A0">
              <w:rPr>
                <w:shd w:val="clear" w:color="auto" w:fill="FFFFFF" w:themeFill="background1"/>
              </w:rPr>
              <w:t>commissioned in the current strategy period provides an opportunity to test how a more holistic wrap-around funding model might work to address more severe gambling harm.</w:t>
            </w:r>
          </w:p>
          <w:p w14:paraId="5141C8F0" w14:textId="1277D0A7" w:rsidR="00996345" w:rsidRPr="0001061F" w:rsidRDefault="00996345" w:rsidP="00AD7CB7">
            <w:pPr>
              <w:pStyle w:val="TableText"/>
            </w:pPr>
            <w:r>
              <w:t>The c</w:t>
            </w:r>
            <w:r w:rsidRPr="002B3DBB">
              <w:t>auses of harmful gambling are complex and require system change across sectors</w:t>
            </w:r>
            <w:r>
              <w:t>,</w:t>
            </w:r>
            <w:r w:rsidRPr="002B3DBB">
              <w:t xml:space="preserve"> for example, integration of gambling harm services into primary care and social services</w:t>
            </w:r>
            <w:r>
              <w:t xml:space="preserve">. </w:t>
            </w:r>
            <w:r w:rsidRPr="00032721">
              <w:t xml:space="preserve">The </w:t>
            </w:r>
            <w:r w:rsidRPr="00F25177">
              <w:t>Ministry is open to commissioning new service</w:t>
            </w:r>
            <w:r w:rsidRPr="0056438B">
              <w:t xml:space="preserve">s and facilitating support where it is related </w:t>
            </w:r>
            <w:r w:rsidRPr="002A7243">
              <w:rPr>
                <w:shd w:val="clear" w:color="auto" w:fill="FFFFFF" w:themeFill="background1"/>
              </w:rPr>
              <w:t xml:space="preserve">to gambling harm. There </w:t>
            </w:r>
            <w:r w:rsidRPr="008F4BEC">
              <w:rPr>
                <w:shd w:val="clear" w:color="auto" w:fill="FFFFFF" w:themeFill="background1"/>
              </w:rPr>
              <w:t>may be more scope to support holistic services and supports when the new systems and services framework, being developed, is implemented</w:t>
            </w:r>
            <w:r>
              <w:rPr>
                <w:shd w:val="clear" w:color="auto" w:fill="FFFFFF" w:themeFill="background1"/>
              </w:rPr>
              <w:t xml:space="preserve">, </w:t>
            </w:r>
            <w:r w:rsidRPr="008F4BEC">
              <w:rPr>
                <w:shd w:val="clear" w:color="auto" w:fill="FFFFFF" w:themeFill="background1"/>
              </w:rPr>
              <w:t>provided theses are consistent with addressing gambling harm as defined under the Act.</w:t>
            </w:r>
          </w:p>
        </w:tc>
      </w:tr>
      <w:tr w:rsidR="00996345" w:rsidRPr="009B4A3D" w14:paraId="65A3A7DC" w14:textId="77777777" w:rsidTr="00996345">
        <w:trPr>
          <w:cantSplit/>
        </w:trPr>
        <w:tc>
          <w:tcPr>
            <w:tcW w:w="6889" w:type="dxa"/>
          </w:tcPr>
          <w:p w14:paraId="50E14A6C" w14:textId="59AF6B83" w:rsidR="00996345" w:rsidRPr="0001061F" w:rsidRDefault="00996345" w:rsidP="00AB601E">
            <w:pPr>
              <w:pStyle w:val="TableText"/>
              <w:ind w:right="284"/>
            </w:pPr>
            <w:r>
              <w:lastRenderedPageBreak/>
              <w:t xml:space="preserve">Submitters’ </w:t>
            </w:r>
            <w:r w:rsidRPr="00032721">
              <w:t xml:space="preserve">opinions and preferences concerning the </w:t>
            </w:r>
            <w:r w:rsidRPr="00AD7CB7">
              <w:rPr>
                <w:b/>
                <w:bCs/>
              </w:rPr>
              <w:t>options for</w:t>
            </w:r>
            <w:r w:rsidRPr="00F25177">
              <w:rPr>
                <w:bCs/>
              </w:rPr>
              <w:t xml:space="preserve"> </w:t>
            </w:r>
            <w:r w:rsidRPr="00AD7CB7">
              <w:rPr>
                <w:b/>
                <w:bCs/>
              </w:rPr>
              <w:t>weighting expenditure and presentations</w:t>
            </w:r>
            <w:r>
              <w:rPr>
                <w:bCs/>
              </w:rPr>
              <w:t xml:space="preserve"> </w:t>
            </w:r>
            <w:r w:rsidRPr="00DB10A0">
              <w:t>varied by sector.</w:t>
            </w:r>
            <w:r w:rsidRPr="0056438B">
              <w:rPr>
                <w:bCs/>
              </w:rPr>
              <w:t xml:space="preserve"> </w:t>
            </w:r>
            <w:r w:rsidRPr="00DB10A0">
              <w:t>Gene</w:t>
            </w:r>
            <w:r>
              <w:t>r</w:t>
            </w:r>
            <w:r w:rsidRPr="00DB10A0">
              <w:t>ally speaking,</w:t>
            </w:r>
            <w:r>
              <w:rPr>
                <w:bCs/>
              </w:rPr>
              <w:t xml:space="preserve"> </w:t>
            </w:r>
            <w:r>
              <w:t>e</w:t>
            </w:r>
            <w:r w:rsidRPr="0056438B">
              <w:t>ach gambling sector supported the option that wou</w:t>
            </w:r>
            <w:r w:rsidR="00AD7CB7">
              <w:t>ld minimise their levy payment.</w:t>
            </w:r>
          </w:p>
          <w:p w14:paraId="6DF0DEEF" w14:textId="39BC6D3D" w:rsidR="00996345" w:rsidRPr="0001061F" w:rsidRDefault="00996345" w:rsidP="00AB601E">
            <w:pPr>
              <w:pStyle w:val="TableText"/>
              <w:ind w:right="284"/>
            </w:pPr>
            <w:r w:rsidRPr="0001061F">
              <w:t>Relatively few service providers commented supporting a</w:t>
            </w:r>
            <w:r>
              <w:t xml:space="preserve"> preferred</w:t>
            </w:r>
            <w:r w:rsidRPr="0001061F">
              <w:t xml:space="preserve"> levy weighting.</w:t>
            </w:r>
          </w:p>
          <w:p w14:paraId="4CA55E86" w14:textId="77777777" w:rsidR="00996345" w:rsidRPr="0001061F" w:rsidRDefault="00996345" w:rsidP="00AB601E">
            <w:pPr>
              <w:pStyle w:val="TableText"/>
              <w:ind w:right="284"/>
            </w:pPr>
            <w:r w:rsidRPr="0001061F">
              <w:t>Most</w:t>
            </w:r>
            <w:r>
              <w:t xml:space="preserve"> NCGM</w:t>
            </w:r>
            <w:r w:rsidRPr="0001061F">
              <w:t xml:space="preserve"> submission</w:t>
            </w:r>
            <w:r>
              <w:t xml:space="preserve">s, and some service providers, </w:t>
            </w:r>
            <w:r w:rsidRPr="0001061F">
              <w:t>supported maintaining the 30% expenditure weighting</w:t>
            </w:r>
            <w:r>
              <w:t>.</w:t>
            </w:r>
            <w:r w:rsidRPr="0001061F">
              <w:t xml:space="preserve"> </w:t>
            </w:r>
            <w:r>
              <w:t xml:space="preserve">A few </w:t>
            </w:r>
            <w:r w:rsidRPr="0001061F">
              <w:t>suggested it should be increased to 50% or 100%.</w:t>
            </w:r>
          </w:p>
          <w:p w14:paraId="7F282380" w14:textId="09FD92A6" w:rsidR="00996345" w:rsidRPr="0001061F" w:rsidRDefault="00996345" w:rsidP="00AB601E">
            <w:pPr>
              <w:pStyle w:val="TableText"/>
              <w:ind w:right="284"/>
            </w:pPr>
            <w:r w:rsidRPr="0001061F">
              <w:t xml:space="preserve">One third of submissions (mostly </w:t>
            </w:r>
            <w:r>
              <w:t>from the sector termed ‘</w:t>
            </w:r>
            <w:r w:rsidRPr="0001061F">
              <w:t>Gambling industry (Other)</w:t>
            </w:r>
            <w:r>
              <w:t>’,</w:t>
            </w:r>
            <w:r w:rsidRPr="0001061F">
              <w:t xml:space="preserve"> excluding NCGM</w:t>
            </w:r>
            <w:r>
              <w:t>s,</w:t>
            </w:r>
            <w:r w:rsidRPr="0001061F">
              <w:t xml:space="preserve"> and a few service providers), supported reducing the expenditure weigh</w:t>
            </w:r>
            <w:r>
              <w:t>t</w:t>
            </w:r>
            <w:r w:rsidRPr="0001061F">
              <w:t>ing to 10% o</w:t>
            </w:r>
            <w:r>
              <w:t>r</w:t>
            </w:r>
            <w:r w:rsidRPr="0001061F">
              <w:t xml:space="preserve"> 20%. </w:t>
            </w:r>
            <w:r>
              <w:t>S</w:t>
            </w:r>
            <w:r w:rsidRPr="0001061F">
              <w:t>ervice providers</w:t>
            </w:r>
            <w:r>
              <w:t>’</w:t>
            </w:r>
            <w:r w:rsidRPr="0001061F">
              <w:t xml:space="preserve"> reasoning was </w:t>
            </w:r>
            <w:r>
              <w:t xml:space="preserve">that </w:t>
            </w:r>
            <w:r w:rsidRPr="0001061F">
              <w:t>this would mean NCGM</w:t>
            </w:r>
            <w:r>
              <w:t xml:space="preserve"> providers </w:t>
            </w:r>
            <w:r w:rsidRPr="0001061F">
              <w:t xml:space="preserve">would pay a bigger share of the levy in proportion to the share of </w:t>
            </w:r>
            <w:r>
              <w:t xml:space="preserve">gambling </w:t>
            </w:r>
            <w:r w:rsidRPr="0001061F">
              <w:t>harms</w:t>
            </w:r>
            <w:r>
              <w:t xml:space="preserve"> </w:t>
            </w:r>
            <w:r w:rsidR="00AD7CB7">
              <w:t>attributed to them.</w:t>
            </w:r>
          </w:p>
        </w:tc>
        <w:tc>
          <w:tcPr>
            <w:tcW w:w="7712" w:type="dxa"/>
          </w:tcPr>
          <w:p w14:paraId="41E6EA20" w14:textId="37EB0942" w:rsidR="00996345" w:rsidRPr="00F25177" w:rsidRDefault="00996345" w:rsidP="00996345">
            <w:pPr>
              <w:pStyle w:val="TableText"/>
            </w:pPr>
            <w:r w:rsidRPr="0001061F">
              <w:t>The Ministry has retained the current weighting options</w:t>
            </w:r>
            <w:r>
              <w:t xml:space="preserve"> but</w:t>
            </w:r>
            <w:r w:rsidRPr="0001061F">
              <w:t xml:space="preserve"> updated that section with the latest available costing information</w:t>
            </w:r>
            <w:r w:rsidR="00AD7CB7">
              <w:t>.</w:t>
            </w:r>
          </w:p>
          <w:p w14:paraId="52B09495" w14:textId="75B78896" w:rsidR="00996345" w:rsidRDefault="00996345" w:rsidP="00996345">
            <w:pPr>
              <w:pStyle w:val="TableText"/>
            </w:pPr>
            <w:r>
              <w:t>In 2018, we</w:t>
            </w:r>
            <w:r w:rsidRPr="0056438B">
              <w:t xml:space="preserve"> recommended a preference for the 30/70 weighting</w:t>
            </w:r>
            <w:r>
              <w:t xml:space="preserve">, but we </w:t>
            </w:r>
            <w:r w:rsidRPr="0001061F">
              <w:t>have not yet concluded whether we will make a similar recommendation this time</w:t>
            </w:r>
            <w:r w:rsidR="00AD7CB7">
              <w:t>.</w:t>
            </w:r>
          </w:p>
          <w:p w14:paraId="5B40F27E" w14:textId="13EA1AD7" w:rsidR="00996345" w:rsidRPr="0001061F" w:rsidRDefault="00996345" w:rsidP="00996345">
            <w:pPr>
              <w:pStyle w:val="TableText"/>
            </w:pPr>
            <w:r w:rsidRPr="0001061F">
              <w:t>We will share this feedback with Ministers to inform their decision</w:t>
            </w:r>
            <w:r w:rsidR="00AD7CB7">
              <w:t>s about the levy.</w:t>
            </w:r>
          </w:p>
        </w:tc>
      </w:tr>
      <w:tr w:rsidR="00996345" w:rsidRPr="009B4A3D" w14:paraId="0D2D818D" w14:textId="77777777" w:rsidTr="00996345">
        <w:trPr>
          <w:cantSplit/>
        </w:trPr>
        <w:tc>
          <w:tcPr>
            <w:tcW w:w="6889" w:type="dxa"/>
          </w:tcPr>
          <w:p w14:paraId="526B85D4" w14:textId="042EEE3B" w:rsidR="00996345" w:rsidRPr="0001061F" w:rsidRDefault="00996345" w:rsidP="00AB601E">
            <w:pPr>
              <w:pStyle w:val="TableText"/>
              <w:ind w:right="284"/>
            </w:pPr>
            <w:r>
              <w:t>Many s</w:t>
            </w:r>
            <w:r w:rsidRPr="00032721">
              <w:t xml:space="preserve">ubmissions welcomed the addition of </w:t>
            </w:r>
            <w:proofErr w:type="spellStart"/>
            <w:r w:rsidRPr="00AD7CB7">
              <w:rPr>
                <w:b/>
                <w:bCs/>
              </w:rPr>
              <w:t>rangatahi</w:t>
            </w:r>
            <w:proofErr w:type="spellEnd"/>
            <w:r w:rsidRPr="00AD7CB7">
              <w:rPr>
                <w:b/>
                <w:bCs/>
              </w:rPr>
              <w:t>/young people</w:t>
            </w:r>
            <w:r w:rsidRPr="00F25177">
              <w:t xml:space="preserve"> as a priority population</w:t>
            </w:r>
            <w:r>
              <w:t>,</w:t>
            </w:r>
            <w:r w:rsidRPr="00F25177">
              <w:t xml:space="preserve"> and called for a strong focus on prevention and education. Several submissions emphasised </w:t>
            </w:r>
            <w:r>
              <w:t xml:space="preserve">that </w:t>
            </w:r>
            <w:r w:rsidRPr="00F25177">
              <w:t>this should be targeted</w:t>
            </w:r>
            <w:r w:rsidRPr="0056438B">
              <w:t xml:space="preserve"> and agile</w:t>
            </w:r>
            <w:r>
              <w:t>,</w:t>
            </w:r>
            <w:r w:rsidRPr="0056438B">
              <w:t xml:space="preserve"> to be relevant and appropriate </w:t>
            </w:r>
            <w:r>
              <w:t>for different</w:t>
            </w:r>
            <w:r w:rsidRPr="0056438B">
              <w:t xml:space="preserve"> </w:t>
            </w:r>
            <w:r w:rsidR="00AD7CB7">
              <w:t>groups.</w:t>
            </w:r>
          </w:p>
          <w:p w14:paraId="01F9E6DE" w14:textId="77777777" w:rsidR="00996345" w:rsidRPr="0001061F" w:rsidRDefault="00996345" w:rsidP="00AB601E">
            <w:pPr>
              <w:pStyle w:val="TableText"/>
              <w:ind w:right="284"/>
            </w:pPr>
            <w:r>
              <w:t xml:space="preserve">Feedback from </w:t>
            </w:r>
            <w:proofErr w:type="spellStart"/>
            <w:r>
              <w:t>rangatahi</w:t>
            </w:r>
            <w:proofErr w:type="spellEnd"/>
            <w:r>
              <w:t xml:space="preserve"> attending the dedicated hui called for co-design with </w:t>
            </w:r>
            <w:proofErr w:type="spellStart"/>
            <w:r>
              <w:t>rangatahi</w:t>
            </w:r>
            <w:proofErr w:type="spellEnd"/>
            <w:r>
              <w:t>, a</w:t>
            </w:r>
            <w:r w:rsidRPr="0001061F">
              <w:t xml:space="preserve"> focus on education settings</w:t>
            </w:r>
            <w:r>
              <w:t xml:space="preserve"> and the inclusion of </w:t>
            </w:r>
            <w:r w:rsidRPr="0001061F">
              <w:t xml:space="preserve">international students </w:t>
            </w:r>
            <w:r>
              <w:t>at risk of gambling harm</w:t>
            </w:r>
            <w:r w:rsidRPr="0001061F">
              <w:t>.</w:t>
            </w:r>
          </w:p>
        </w:tc>
        <w:tc>
          <w:tcPr>
            <w:tcW w:w="7712" w:type="dxa"/>
          </w:tcPr>
          <w:p w14:paraId="6B1A85BF" w14:textId="2151280F" w:rsidR="00996345" w:rsidRPr="0001061F" w:rsidRDefault="00996345" w:rsidP="00996345">
            <w:pPr>
              <w:pStyle w:val="TableText"/>
            </w:pPr>
            <w:r w:rsidRPr="0001061F">
              <w:t xml:space="preserve">The Ministry has refined the </w:t>
            </w:r>
            <w:r>
              <w:t xml:space="preserve">strategic priority action areas </w:t>
            </w:r>
            <w:r w:rsidRPr="0001061F">
              <w:t>and service plan</w:t>
            </w:r>
            <w:r>
              <w:t>,</w:t>
            </w:r>
            <w:r w:rsidRPr="0001061F">
              <w:t xml:space="preserve"> with the aim that </w:t>
            </w:r>
            <w:r>
              <w:t>‘</w:t>
            </w:r>
            <w:r w:rsidRPr="0001061F">
              <w:t>people have the information and support to make healthy choices about gambling for themselves and others</w:t>
            </w:r>
            <w:r>
              <w:t>’</w:t>
            </w:r>
            <w:r w:rsidRPr="0001061F">
              <w:t>.</w:t>
            </w:r>
            <w:r>
              <w:t xml:space="preserve"> </w:t>
            </w:r>
            <w:r w:rsidRPr="0001061F">
              <w:t xml:space="preserve">Based on advice received from </w:t>
            </w:r>
            <w:proofErr w:type="spellStart"/>
            <w:r>
              <w:t>rangatahi</w:t>
            </w:r>
            <w:proofErr w:type="spellEnd"/>
            <w:r w:rsidRPr="0001061F">
              <w:t xml:space="preserve"> and youth sector agencies</w:t>
            </w:r>
            <w:r>
              <w:t xml:space="preserve"> and</w:t>
            </w:r>
            <w:r w:rsidRPr="0001061F">
              <w:t xml:space="preserve"> given this is a new workstream within the education and awareness area</w:t>
            </w:r>
            <w:r>
              <w:t xml:space="preserve">, we </w:t>
            </w:r>
            <w:r w:rsidRPr="00344239">
              <w:t xml:space="preserve">propose to develop a </w:t>
            </w:r>
            <w:r>
              <w:t xml:space="preserve">youth-focused </w:t>
            </w:r>
            <w:r w:rsidRPr="00344239">
              <w:t xml:space="preserve">public health approach to preventing and minimising gambling harm for </w:t>
            </w:r>
            <w:proofErr w:type="spellStart"/>
            <w:r w:rsidRPr="00344239">
              <w:t>rangatahi</w:t>
            </w:r>
            <w:proofErr w:type="spellEnd"/>
            <w:r w:rsidRPr="00344239">
              <w:t>, to be implemented in schoo</w:t>
            </w:r>
            <w:r>
              <w:t>ls, ‘</w:t>
            </w:r>
            <w:r w:rsidRPr="0001061F">
              <w:t>with youth for youth</w:t>
            </w:r>
            <w:r>
              <w:t xml:space="preserve">’. This will provide </w:t>
            </w:r>
            <w:r w:rsidRPr="0001061F">
              <w:t>resources that identif</w:t>
            </w:r>
            <w:r>
              <w:t>y</w:t>
            </w:r>
            <w:r w:rsidRPr="0001061F">
              <w:t xml:space="preserve"> problematic gambling behaviours and gambling harm, </w:t>
            </w:r>
            <w:r>
              <w:t xml:space="preserve">define </w:t>
            </w:r>
            <w:r w:rsidRPr="0001061F">
              <w:t>gambling and gambling harm</w:t>
            </w:r>
            <w:r>
              <w:t>,</w:t>
            </w:r>
            <w:r w:rsidRPr="0001061F">
              <w:t xml:space="preserve"> </w:t>
            </w:r>
            <w:r>
              <w:t xml:space="preserve">and tell people </w:t>
            </w:r>
            <w:r w:rsidRPr="0001061F">
              <w:t xml:space="preserve">how </w:t>
            </w:r>
            <w:r>
              <w:t xml:space="preserve">they can </w:t>
            </w:r>
            <w:r w:rsidRPr="0001061F">
              <w:t xml:space="preserve">support others or to seek </w:t>
            </w:r>
            <w:r w:rsidRPr="00032721">
              <w:t xml:space="preserve">help for </w:t>
            </w:r>
            <w:r>
              <w:t>themselves</w:t>
            </w:r>
            <w:r w:rsidRPr="00032721">
              <w:t>.</w:t>
            </w:r>
          </w:p>
          <w:p w14:paraId="7389EBF1" w14:textId="77777777" w:rsidR="00996345" w:rsidRPr="0001061F" w:rsidRDefault="00996345" w:rsidP="00996345">
            <w:pPr>
              <w:pStyle w:val="TableText"/>
            </w:pPr>
            <w:r w:rsidRPr="0001061F">
              <w:t xml:space="preserve">We propose to work with </w:t>
            </w:r>
            <w:proofErr w:type="spellStart"/>
            <w:r w:rsidRPr="0001061F">
              <w:t>rangatahi</w:t>
            </w:r>
            <w:proofErr w:type="spellEnd"/>
            <w:r w:rsidRPr="0001061F">
              <w:t xml:space="preserve"> and youth agencies to develop and promote this resource</w:t>
            </w:r>
            <w:r>
              <w:t>.</w:t>
            </w:r>
          </w:p>
        </w:tc>
      </w:tr>
      <w:tr w:rsidR="00996345" w:rsidRPr="009B4A3D" w14:paraId="41F4EA3D" w14:textId="77777777" w:rsidTr="00996345">
        <w:trPr>
          <w:cantSplit/>
        </w:trPr>
        <w:tc>
          <w:tcPr>
            <w:tcW w:w="6889" w:type="dxa"/>
          </w:tcPr>
          <w:p w14:paraId="25CFC196" w14:textId="4F9456CC" w:rsidR="00996345" w:rsidRPr="00032721" w:rsidRDefault="00996345" w:rsidP="00AB601E">
            <w:pPr>
              <w:pStyle w:val="TableText"/>
              <w:ind w:right="284"/>
            </w:pPr>
            <w:r w:rsidRPr="00032721">
              <w:t xml:space="preserve">There was general support for </w:t>
            </w:r>
            <w:r w:rsidRPr="00AD7CB7">
              <w:rPr>
                <w:b/>
                <w:bCs/>
              </w:rPr>
              <w:t>the new service innovation activities (pilots)</w:t>
            </w:r>
            <w:r>
              <w:t>; particularly</w:t>
            </w:r>
            <w:r w:rsidRPr="00032721">
              <w:t xml:space="preserve"> </w:t>
            </w:r>
            <w:r>
              <w:t>those</w:t>
            </w:r>
            <w:r w:rsidRPr="00032721">
              <w:t xml:space="preserve"> </w:t>
            </w:r>
            <w:r>
              <w:t>aiming to address</w:t>
            </w:r>
            <w:r w:rsidRPr="00032721">
              <w:t xml:space="preserve"> inequity</w:t>
            </w:r>
            <w:r>
              <w:t>. However, some NCGM submitters felt there should be more information about how the money spent would make services fit for purpose, and submissions from service providers were concerned that the innovation pilots did not s</w:t>
            </w:r>
            <w:r w:rsidR="00AD7CB7">
              <w:t>eem to be adequately resourced.</w:t>
            </w:r>
          </w:p>
        </w:tc>
        <w:tc>
          <w:tcPr>
            <w:tcW w:w="7712" w:type="dxa"/>
            <w:shd w:val="clear" w:color="auto" w:fill="FFFFFF" w:themeFill="background1"/>
          </w:tcPr>
          <w:p w14:paraId="2E425649" w14:textId="6318F183" w:rsidR="00996345" w:rsidRPr="00B26FD2" w:rsidRDefault="00996345" w:rsidP="00996345">
            <w:pPr>
              <w:pStyle w:val="TableText"/>
            </w:pPr>
            <w:r w:rsidRPr="00B26FD2">
              <w:t xml:space="preserve">The </w:t>
            </w:r>
            <w:r>
              <w:t xml:space="preserve">Ministry proposes to </w:t>
            </w:r>
            <w:r w:rsidRPr="00B26FD2">
              <w:t xml:space="preserve">include funding to complete and evaluate these pilots, which will have begun in the current levy period, and </w:t>
            </w:r>
            <w:r>
              <w:t xml:space="preserve">to </w:t>
            </w:r>
            <w:r w:rsidRPr="00B26FD2">
              <w:t xml:space="preserve">apply learnings </w:t>
            </w:r>
            <w:r>
              <w:t xml:space="preserve">from these </w:t>
            </w:r>
            <w:r w:rsidRPr="00B26FD2">
              <w:t>into public health and clinical services</w:t>
            </w:r>
            <w:r>
              <w:t xml:space="preserve"> and supports.</w:t>
            </w:r>
          </w:p>
        </w:tc>
      </w:tr>
      <w:tr w:rsidR="00996345" w:rsidRPr="009B4A3D" w14:paraId="00ADD359" w14:textId="77777777" w:rsidTr="00996345">
        <w:trPr>
          <w:cantSplit/>
        </w:trPr>
        <w:tc>
          <w:tcPr>
            <w:tcW w:w="6889" w:type="dxa"/>
          </w:tcPr>
          <w:p w14:paraId="6BCAF715" w14:textId="77777777" w:rsidR="00996345" w:rsidRPr="0001061F" w:rsidRDefault="00996345" w:rsidP="00AB601E">
            <w:pPr>
              <w:pStyle w:val="TableText"/>
              <w:ind w:right="284"/>
            </w:pPr>
            <w:bookmarkStart w:id="2" w:name="_Hlk87545607"/>
            <w:r>
              <w:lastRenderedPageBreak/>
              <w:t xml:space="preserve">Submitters expressed </w:t>
            </w:r>
            <w:r w:rsidRPr="00032721">
              <w:t xml:space="preserve">mixed views on the </w:t>
            </w:r>
            <w:r w:rsidRPr="00AD7CB7">
              <w:rPr>
                <w:b/>
                <w:bCs/>
              </w:rPr>
              <w:t>service plan</w:t>
            </w:r>
            <w:r>
              <w:t>. G</w:t>
            </w:r>
            <w:r w:rsidRPr="002D5DB9">
              <w:t>enerally</w:t>
            </w:r>
            <w:r>
              <w:t>, there was</w:t>
            </w:r>
            <w:r w:rsidRPr="002D5DB9">
              <w:t xml:space="preserve"> support for most components, </w:t>
            </w:r>
            <w:r>
              <w:t xml:space="preserve">and </w:t>
            </w:r>
            <w:r w:rsidRPr="002D5DB9">
              <w:t xml:space="preserve">particularly activities to </w:t>
            </w:r>
            <w:r w:rsidRPr="0056438B">
              <w:t xml:space="preserve">address health inequities, including </w:t>
            </w:r>
            <w:r>
              <w:t xml:space="preserve">the prioritisation of </w:t>
            </w:r>
            <w:proofErr w:type="spellStart"/>
            <w:r w:rsidRPr="0056438B">
              <w:t>rangatahi</w:t>
            </w:r>
            <w:proofErr w:type="spellEnd"/>
            <w:r>
              <w:t>;</w:t>
            </w:r>
            <w:r w:rsidRPr="0056438B">
              <w:t xml:space="preserve"> the additional investments to develop the gambling harm and peer workforce</w:t>
            </w:r>
            <w:r>
              <w:t>;</w:t>
            </w:r>
            <w:r w:rsidRPr="0056438B">
              <w:t xml:space="preserve"> </w:t>
            </w:r>
            <w:r>
              <w:t xml:space="preserve">the initiative </w:t>
            </w:r>
            <w:r w:rsidRPr="0056438B">
              <w:t>to develop culturally appropriate and intensive</w:t>
            </w:r>
            <w:r w:rsidRPr="0001061F">
              <w:t xml:space="preserve"> support models of care</w:t>
            </w:r>
            <w:r>
              <w:t>;</w:t>
            </w:r>
            <w:r w:rsidRPr="0001061F">
              <w:t xml:space="preserve"> </w:t>
            </w:r>
            <w:r>
              <w:t xml:space="preserve">and the focuses on </w:t>
            </w:r>
            <w:r w:rsidRPr="0001061F">
              <w:t>improv</w:t>
            </w:r>
            <w:r>
              <w:t>ing</w:t>
            </w:r>
            <w:r w:rsidRPr="0001061F">
              <w:t xml:space="preserve"> access and choice, address</w:t>
            </w:r>
            <w:r>
              <w:t>ing</w:t>
            </w:r>
            <w:r w:rsidRPr="0001061F">
              <w:t xml:space="preserve"> stigma, strengthen</w:t>
            </w:r>
            <w:r>
              <w:t>ing</w:t>
            </w:r>
            <w:r w:rsidRPr="0001061F">
              <w:t xml:space="preserve"> the voice of lived experience, </w:t>
            </w:r>
            <w:r>
              <w:t xml:space="preserve">providing </w:t>
            </w:r>
            <w:r w:rsidRPr="0001061F">
              <w:t>peer support and continuing to explore technological and service innovations.</w:t>
            </w:r>
          </w:p>
          <w:p w14:paraId="6475C10F" w14:textId="722E9BFD" w:rsidR="00996345" w:rsidRPr="0001061F" w:rsidRDefault="00996345" w:rsidP="00AB601E">
            <w:pPr>
              <w:pStyle w:val="TableText"/>
              <w:ind w:right="284"/>
            </w:pPr>
            <w:r>
              <w:t xml:space="preserve">Some </w:t>
            </w:r>
            <w:r w:rsidRPr="0001061F">
              <w:t xml:space="preserve">NCGM submitters </w:t>
            </w:r>
            <w:r>
              <w:t xml:space="preserve">called for </w:t>
            </w:r>
            <w:r w:rsidRPr="0001061F">
              <w:t xml:space="preserve">an overhaul of services, </w:t>
            </w:r>
            <w:r>
              <w:t xml:space="preserve">ensuring </w:t>
            </w:r>
            <w:r w:rsidRPr="0001061F">
              <w:t xml:space="preserve">more accessible face-to-face counselling, after-hours and weekend support, </w:t>
            </w:r>
            <w:r>
              <w:t xml:space="preserve">an allowance for </w:t>
            </w:r>
            <w:r w:rsidRPr="0001061F">
              <w:t xml:space="preserve">time </w:t>
            </w:r>
            <w:r>
              <w:t xml:space="preserve">necessary </w:t>
            </w:r>
            <w:r w:rsidRPr="0001061F">
              <w:t xml:space="preserve">to travel to clients </w:t>
            </w:r>
            <w:r>
              <w:t>and</w:t>
            </w:r>
            <w:r w:rsidRPr="0001061F">
              <w:t xml:space="preserve"> longer</w:t>
            </w:r>
            <w:r>
              <w:t>-</w:t>
            </w:r>
            <w:r w:rsidRPr="0001061F">
              <w:t>term, holistic support.</w:t>
            </w:r>
            <w:bookmarkEnd w:id="2"/>
          </w:p>
        </w:tc>
        <w:tc>
          <w:tcPr>
            <w:tcW w:w="7712" w:type="dxa"/>
          </w:tcPr>
          <w:p w14:paraId="147C53F6" w14:textId="7E1E79AB" w:rsidR="00996345" w:rsidRPr="00032721" w:rsidRDefault="00996345" w:rsidP="00AD7CB7">
            <w:pPr>
              <w:pStyle w:val="TableText"/>
            </w:pPr>
            <w:r>
              <w:t>The proposed service plan provides for a range of services that we expect to make available to people who need help and support to address harms from gambling.</w:t>
            </w:r>
          </w:p>
        </w:tc>
      </w:tr>
      <w:tr w:rsidR="00996345" w:rsidRPr="009B4A3D" w14:paraId="32647C16" w14:textId="77777777" w:rsidTr="00996345">
        <w:trPr>
          <w:cantSplit/>
        </w:trPr>
        <w:tc>
          <w:tcPr>
            <w:tcW w:w="6889" w:type="dxa"/>
          </w:tcPr>
          <w:p w14:paraId="27919BAE" w14:textId="77777777" w:rsidR="00996345" w:rsidRPr="0001061F" w:rsidRDefault="00996345" w:rsidP="00AB601E">
            <w:pPr>
              <w:pStyle w:val="TableText"/>
              <w:ind w:right="284"/>
            </w:pPr>
            <w:bookmarkStart w:id="3" w:name="_Hlk87964528"/>
            <w:r>
              <w:t xml:space="preserve">Some </w:t>
            </w:r>
            <w:r w:rsidRPr="00032721">
              <w:t xml:space="preserve">NCGM submissions </w:t>
            </w:r>
            <w:r>
              <w:t>called for</w:t>
            </w:r>
            <w:r w:rsidRPr="00032721">
              <w:t xml:space="preserve"> support for leadership training (</w:t>
            </w:r>
            <w:r>
              <w:t xml:space="preserve">in regard to </w:t>
            </w:r>
            <w:r w:rsidRPr="00032721">
              <w:t>venue host responsibility)</w:t>
            </w:r>
            <w:r>
              <w:t>,</w:t>
            </w:r>
            <w:r w:rsidRPr="00F25177">
              <w:t xml:space="preserve"> </w:t>
            </w:r>
            <w:r w:rsidRPr="0056438B">
              <w:t>as well as a N</w:t>
            </w:r>
            <w:r>
              <w:t xml:space="preserve">ew </w:t>
            </w:r>
            <w:r w:rsidRPr="0056438B">
              <w:t>Z</w:t>
            </w:r>
            <w:r>
              <w:t xml:space="preserve">ealand </w:t>
            </w:r>
            <w:r w:rsidRPr="0056438B">
              <w:t>Q</w:t>
            </w:r>
            <w:r>
              <w:t xml:space="preserve">ualifications </w:t>
            </w:r>
            <w:r w:rsidRPr="0056438B">
              <w:t>A</w:t>
            </w:r>
            <w:r>
              <w:t>uthority</w:t>
            </w:r>
            <w:r w:rsidRPr="0056438B">
              <w:t xml:space="preserve"> qualification that included a harm minimisation component</w:t>
            </w:r>
            <w:r w:rsidRPr="0001061F">
              <w:t>.</w:t>
            </w:r>
          </w:p>
        </w:tc>
        <w:tc>
          <w:tcPr>
            <w:tcW w:w="7712" w:type="dxa"/>
          </w:tcPr>
          <w:p w14:paraId="180E2B58" w14:textId="6FA29015" w:rsidR="00996345" w:rsidRPr="00016786" w:rsidRDefault="00996345" w:rsidP="00996345">
            <w:pPr>
              <w:pStyle w:val="TableText"/>
            </w:pPr>
            <w:r>
              <w:t>A</w:t>
            </w:r>
            <w:r w:rsidRPr="0001061F">
              <w:t xml:space="preserve"> range of training materials </w:t>
            </w:r>
            <w:r>
              <w:t xml:space="preserve">is already </w:t>
            </w:r>
            <w:r w:rsidRPr="0001061F">
              <w:t>publicly availabl</w:t>
            </w:r>
            <w:r>
              <w:t>e;</w:t>
            </w:r>
            <w:r w:rsidRPr="0001061F">
              <w:t xml:space="preserve"> </w:t>
            </w:r>
            <w:proofErr w:type="spellStart"/>
            <w:r w:rsidRPr="0001061F">
              <w:t>T</w:t>
            </w:r>
            <w:r>
              <w:t>e</w:t>
            </w:r>
            <w:proofErr w:type="spellEnd"/>
            <w:r>
              <w:t xml:space="preserve"> </w:t>
            </w:r>
            <w:proofErr w:type="spellStart"/>
            <w:r>
              <w:t>Hiringa</w:t>
            </w:r>
            <w:proofErr w:type="spellEnd"/>
            <w:r>
              <w:t xml:space="preserve"> Hauora (</w:t>
            </w:r>
            <w:r w:rsidRPr="00FA45F8">
              <w:t>Health Promotion Agency</w:t>
            </w:r>
            <w:r>
              <w:t>)</w:t>
            </w:r>
            <w:r w:rsidRPr="0001061F">
              <w:t xml:space="preserve"> developed </w:t>
            </w:r>
            <w:r>
              <w:t xml:space="preserve">these </w:t>
            </w:r>
            <w:r w:rsidRPr="0001061F">
              <w:t>in partnership with the Department of Internal Affairs and the Ministry of Health</w:t>
            </w:r>
            <w:r>
              <w:t>,</w:t>
            </w:r>
            <w:r w:rsidRPr="0001061F">
              <w:t xml:space="preserve"> with the support and input of gaming </w:t>
            </w:r>
            <w:r w:rsidRPr="00016786">
              <w:t xml:space="preserve">societies (see </w:t>
            </w:r>
            <w:hyperlink r:id="rId11" w:history="1">
              <w:r w:rsidR="00AD7CB7" w:rsidRPr="00AD7CB7">
                <w:rPr>
                  <w:rStyle w:val="Hyperlink"/>
                </w:rPr>
                <w:t>https://gamblehost.org.nz</w:t>
              </w:r>
            </w:hyperlink>
            <w:r w:rsidRPr="00016786">
              <w:t>)</w:t>
            </w:r>
            <w:r>
              <w:t>.</w:t>
            </w:r>
          </w:p>
          <w:p w14:paraId="72A198BC" w14:textId="77777777" w:rsidR="00996345" w:rsidRPr="00032721" w:rsidRDefault="00996345" w:rsidP="00996345">
            <w:pPr>
              <w:pStyle w:val="TableText"/>
            </w:pPr>
            <w:r w:rsidRPr="00032721">
              <w:t>The Gambling Act 2003 and the Gambling (Harm Prevention and Minimisation) Regulations 2004 require that</w:t>
            </w:r>
            <w:r>
              <w:t xml:space="preserve"> a </w:t>
            </w:r>
            <w:r w:rsidRPr="00032721">
              <w:t>holder of a class 4 venue licence or casino operator’s licence must provide problem gambling awareness training</w:t>
            </w:r>
            <w:r>
              <w:t xml:space="preserve">. </w:t>
            </w:r>
            <w:r w:rsidRPr="008E0616">
              <w:t>We would be supportive of a more consistent and standardised approach to harm minimisation training.</w:t>
            </w:r>
          </w:p>
          <w:p w14:paraId="3C6D4A9D" w14:textId="77777777" w:rsidR="00996345" w:rsidRPr="0001061F" w:rsidRDefault="00996345" w:rsidP="00996345">
            <w:pPr>
              <w:pStyle w:val="TableText"/>
            </w:pPr>
            <w:r w:rsidRPr="0001061F">
              <w:t xml:space="preserve">There is an opportunity to consider these issues through the DIA’s ongoing work to minimise harm from electronic gaming machines, including the review the Gambling Act 2003 in </w:t>
            </w:r>
            <w:r w:rsidRPr="00666E43">
              <w:t xml:space="preserve">Kia </w:t>
            </w:r>
            <w:proofErr w:type="spellStart"/>
            <w:r w:rsidRPr="00666E43">
              <w:t>Manawanui</w:t>
            </w:r>
            <w:proofErr w:type="spellEnd"/>
            <w:r w:rsidRPr="0001061F">
              <w:t>.</w:t>
            </w:r>
            <w:r w:rsidRPr="00AD7CB7">
              <w:rPr>
                <w:rStyle w:val="FootnoteReference"/>
              </w:rPr>
              <w:footnoteReference w:id="2"/>
            </w:r>
          </w:p>
          <w:p w14:paraId="47D430E4" w14:textId="77777777" w:rsidR="00996345" w:rsidRPr="0001061F" w:rsidRDefault="00996345" w:rsidP="00996345">
            <w:pPr>
              <w:pStyle w:val="TableText"/>
            </w:pPr>
            <w:r w:rsidRPr="0001061F">
              <w:t>The Ministry also will continue to provide advice on preventing and minimising gambling harm, and work with DIA and other agencies who lead work in these related areas.</w:t>
            </w:r>
          </w:p>
        </w:tc>
      </w:tr>
      <w:tr w:rsidR="00996345" w14:paraId="00CF6B0E" w14:textId="77777777" w:rsidTr="00996345">
        <w:trPr>
          <w:cantSplit/>
        </w:trPr>
        <w:tc>
          <w:tcPr>
            <w:tcW w:w="6889" w:type="dxa"/>
          </w:tcPr>
          <w:p w14:paraId="53F928FD" w14:textId="6310CD43" w:rsidR="00996345" w:rsidRPr="0001061F" w:rsidRDefault="00996345" w:rsidP="00AB601E">
            <w:pPr>
              <w:pStyle w:val="TableText"/>
              <w:ind w:right="284"/>
            </w:pPr>
            <w:bookmarkStart w:id="4" w:name="_Hlk87546302"/>
            <w:bookmarkEnd w:id="3"/>
            <w:r>
              <w:lastRenderedPageBreak/>
              <w:t xml:space="preserve">Submitters made </w:t>
            </w:r>
            <w:r w:rsidRPr="00032721">
              <w:t xml:space="preserve">mixed comments about </w:t>
            </w:r>
            <w:r w:rsidRPr="00AD7CB7">
              <w:rPr>
                <w:b/>
                <w:bCs/>
              </w:rPr>
              <w:t>public health services</w:t>
            </w:r>
            <w:r w:rsidRPr="0056438B">
              <w:t xml:space="preserve">. There was broad agreement on the </w:t>
            </w:r>
            <w:r w:rsidRPr="0001061F">
              <w:t xml:space="preserve">importance of health promotion, prevention and early intervention. However, submissions from service providers and priority populations expressed concerns that </w:t>
            </w:r>
            <w:r>
              <w:t xml:space="preserve">a </w:t>
            </w:r>
            <w:r w:rsidRPr="0001061F">
              <w:t>one-size-fits all approach to health promotion did not meet the needs of priority populations</w:t>
            </w:r>
            <w:bookmarkEnd w:id="4"/>
            <w:r w:rsidRPr="0001061F">
              <w:t>. These submissions stressed the importance of engaging with specific population groups to design and develop appropriate services</w:t>
            </w:r>
            <w:r>
              <w:t xml:space="preserve"> that provide </w:t>
            </w:r>
            <w:r w:rsidRPr="0001061F">
              <w:t xml:space="preserve">language support </w:t>
            </w:r>
            <w:r>
              <w:t xml:space="preserve">where </w:t>
            </w:r>
            <w:r w:rsidRPr="0001061F">
              <w:t>required. S</w:t>
            </w:r>
            <w:r>
              <w:t>ome s</w:t>
            </w:r>
            <w:r w:rsidRPr="0001061F">
              <w:t>ubmissions from Asian</w:t>
            </w:r>
            <w:r>
              <w:t xml:space="preserve"> people with </w:t>
            </w:r>
            <w:r w:rsidRPr="0001061F">
              <w:t xml:space="preserve">lived experience and young people identified that international students and new migrants </w:t>
            </w:r>
            <w:r>
              <w:t>are</w:t>
            </w:r>
            <w:r w:rsidRPr="0001061F">
              <w:t xml:space="preserve"> vulnerable</w:t>
            </w:r>
            <w:r>
              <w:t xml:space="preserve"> to gambling harm</w:t>
            </w:r>
            <w:r w:rsidRPr="0001061F">
              <w:t>.</w:t>
            </w:r>
          </w:p>
        </w:tc>
        <w:tc>
          <w:tcPr>
            <w:tcW w:w="7712" w:type="dxa"/>
          </w:tcPr>
          <w:p w14:paraId="18A65950" w14:textId="3B2F9EC5" w:rsidR="00996345" w:rsidRPr="00F25177" w:rsidRDefault="00996345" w:rsidP="00996345">
            <w:pPr>
              <w:pStyle w:val="TableText"/>
            </w:pPr>
            <w:r w:rsidRPr="0001061F">
              <w:t>As noted below</w:t>
            </w:r>
            <w:r>
              <w:t>,</w:t>
            </w:r>
            <w:r w:rsidRPr="0001061F">
              <w:t xml:space="preserve"> the Ministry proposes to increase resources to</w:t>
            </w:r>
            <w:r w:rsidR="00AD7CB7">
              <w:t>:</w:t>
            </w:r>
          </w:p>
          <w:p w14:paraId="40BD1F04" w14:textId="77777777" w:rsidR="00996345" w:rsidRPr="0001061F" w:rsidRDefault="00996345" w:rsidP="00AD7CB7">
            <w:pPr>
              <w:pStyle w:val="TableBullet"/>
            </w:pPr>
            <w:r w:rsidRPr="0056438B">
              <w:t>ensure that</w:t>
            </w:r>
            <w:r>
              <w:t>, in designing health promotion activities,</w:t>
            </w:r>
            <w:r w:rsidRPr="0056438B">
              <w:t xml:space="preserve"> </w:t>
            </w:r>
            <w:proofErr w:type="spellStart"/>
            <w:r w:rsidRPr="0056438B">
              <w:t>Te</w:t>
            </w:r>
            <w:proofErr w:type="spellEnd"/>
            <w:r w:rsidRPr="0056438B">
              <w:t xml:space="preserve"> </w:t>
            </w:r>
            <w:proofErr w:type="spellStart"/>
            <w:r w:rsidRPr="0056438B">
              <w:t>Hiringa</w:t>
            </w:r>
            <w:proofErr w:type="spellEnd"/>
            <w:r w:rsidRPr="0056438B">
              <w:t xml:space="preserve"> Hauora</w:t>
            </w:r>
            <w:r>
              <w:t xml:space="preserve"> </w:t>
            </w:r>
            <w:r w:rsidRPr="0056438B">
              <w:t xml:space="preserve">and other providers </w:t>
            </w:r>
            <w:r>
              <w:t xml:space="preserve">are able to </w:t>
            </w:r>
            <w:r w:rsidRPr="0001061F">
              <w:t xml:space="preserve">collaborate with </w:t>
            </w:r>
            <w:r>
              <w:t xml:space="preserve">people with </w:t>
            </w:r>
            <w:r w:rsidRPr="0001061F">
              <w:t xml:space="preserve">lived experience and priority populations </w:t>
            </w:r>
          </w:p>
          <w:p w14:paraId="325BA4D6" w14:textId="385A3E38" w:rsidR="00996345" w:rsidRPr="00032721" w:rsidRDefault="00996345" w:rsidP="00AD7CB7">
            <w:pPr>
              <w:pStyle w:val="TableBullet"/>
            </w:pPr>
            <w:r w:rsidRPr="0001061F">
              <w:t xml:space="preserve">initiate a work programme to develop </w:t>
            </w:r>
            <w:r>
              <w:t>digital services and supports</w:t>
            </w:r>
            <w:r w:rsidRPr="0001061F">
              <w:t xml:space="preserve"> to improve access </w:t>
            </w:r>
            <w:r>
              <w:t xml:space="preserve">to </w:t>
            </w:r>
            <w:r w:rsidRPr="0001061F">
              <w:t xml:space="preserve">and choice </w:t>
            </w:r>
            <w:r>
              <w:t xml:space="preserve">of </w:t>
            </w:r>
            <w:r w:rsidRPr="0001061F">
              <w:t>health promotion and early intervention services</w:t>
            </w:r>
            <w:r>
              <w:t>.</w:t>
            </w:r>
          </w:p>
        </w:tc>
      </w:tr>
      <w:tr w:rsidR="00996345" w14:paraId="2311C5A8" w14:textId="77777777" w:rsidTr="00996345">
        <w:trPr>
          <w:cantSplit/>
        </w:trPr>
        <w:tc>
          <w:tcPr>
            <w:tcW w:w="6889" w:type="dxa"/>
          </w:tcPr>
          <w:p w14:paraId="304AAC3D" w14:textId="2821ED7C" w:rsidR="00996345" w:rsidRPr="0001061F" w:rsidRDefault="00996345" w:rsidP="00AB601E">
            <w:pPr>
              <w:pStyle w:val="TableText"/>
              <w:ind w:right="284"/>
            </w:pPr>
            <w:bookmarkStart w:id="5" w:name="_Hlk87546541"/>
            <w:r w:rsidRPr="00032721">
              <w:t xml:space="preserve">Many submissions, including </w:t>
            </w:r>
            <w:r>
              <w:t xml:space="preserve">some </w:t>
            </w:r>
            <w:r w:rsidRPr="00032721">
              <w:t xml:space="preserve">from each priority population, </w:t>
            </w:r>
            <w:r w:rsidRPr="00F25177">
              <w:t xml:space="preserve">strongly endorsed </w:t>
            </w:r>
            <w:r>
              <w:t xml:space="preserve">the need for </w:t>
            </w:r>
            <w:r w:rsidRPr="00244454">
              <w:t xml:space="preserve">health education providers to address </w:t>
            </w:r>
            <w:r w:rsidRPr="00244454">
              <w:rPr>
                <w:bCs/>
              </w:rPr>
              <w:t>stigma</w:t>
            </w:r>
            <w:r w:rsidRPr="00244454">
              <w:t xml:space="preserve"> as a priority</w:t>
            </w:r>
            <w:bookmarkEnd w:id="5"/>
            <w:r w:rsidRPr="00244454">
              <w:t xml:space="preserve">. </w:t>
            </w:r>
            <w:bookmarkStart w:id="6" w:name="_Hlk87549280"/>
            <w:r w:rsidRPr="00244454">
              <w:t>Submissions confirmed that stigma associated with harmful gambling creates barriers to seeking help, and to wanting to work within the gambling harm workforce.</w:t>
            </w:r>
          </w:p>
          <w:p w14:paraId="3BBE63D2" w14:textId="3DF26861" w:rsidR="00996345" w:rsidRPr="0001061F" w:rsidRDefault="00996345" w:rsidP="00AB601E">
            <w:pPr>
              <w:pStyle w:val="TableText"/>
              <w:ind w:right="284"/>
            </w:pPr>
            <w:r>
              <w:t xml:space="preserve">Submissions </w:t>
            </w:r>
            <w:r w:rsidRPr="0001061F">
              <w:t xml:space="preserve">from each priority population, and people with lived experience, </w:t>
            </w:r>
            <w:r>
              <w:t xml:space="preserve">strongly supported the aim for them </w:t>
            </w:r>
            <w:r w:rsidRPr="0001061F">
              <w:t>to engage in co</w:t>
            </w:r>
            <w:r>
              <w:t>-</w:t>
            </w:r>
            <w:r w:rsidRPr="0001061F">
              <w:t>design and lead development of this work</w:t>
            </w:r>
            <w:r>
              <w:t>, but there was some</w:t>
            </w:r>
            <w:r w:rsidRPr="0001061F">
              <w:t xml:space="preserve"> criticism that </w:t>
            </w:r>
            <w:r>
              <w:t xml:space="preserve">the </w:t>
            </w:r>
            <w:r w:rsidRPr="0001061F">
              <w:t>current one</w:t>
            </w:r>
            <w:r>
              <w:t>-</w:t>
            </w:r>
            <w:r w:rsidRPr="0001061F">
              <w:t>size</w:t>
            </w:r>
            <w:r>
              <w:t>-</w:t>
            </w:r>
            <w:r w:rsidRPr="0001061F">
              <w:t>fits</w:t>
            </w:r>
            <w:r>
              <w:t>-</w:t>
            </w:r>
            <w:r w:rsidRPr="0001061F">
              <w:t xml:space="preserve">all approach </w:t>
            </w:r>
            <w:r>
              <w:t xml:space="preserve">to public health campaigns and advice that this would </w:t>
            </w:r>
            <w:r w:rsidRPr="0001061F">
              <w:t>not work</w:t>
            </w:r>
            <w:bookmarkEnd w:id="6"/>
            <w:r>
              <w:t xml:space="preserve"> to address stigma, which has many cultural nuances</w:t>
            </w:r>
            <w:r w:rsidRPr="0001061F">
              <w:t xml:space="preserve">. </w:t>
            </w:r>
            <w:r>
              <w:t xml:space="preserve">Submitters </w:t>
            </w:r>
            <w:r w:rsidRPr="0001061F">
              <w:t xml:space="preserve">proposed the campaign be </w:t>
            </w:r>
            <w:r>
              <w:t>co</w:t>
            </w:r>
            <w:r w:rsidR="00AD7CB7">
              <w:noBreakHyphen/>
            </w:r>
            <w:r>
              <w:t>design</w:t>
            </w:r>
            <w:r w:rsidRPr="0001061F">
              <w:t>ed and community led, to develop nuanced, age</w:t>
            </w:r>
            <w:r>
              <w:t>-</w:t>
            </w:r>
            <w:r w:rsidRPr="0001061F">
              <w:t xml:space="preserve"> and cultur</w:t>
            </w:r>
            <w:r>
              <w:t>ally</w:t>
            </w:r>
            <w:r w:rsidRPr="0001061F">
              <w:t xml:space="preserve"> appropriate messages and modes of delivery relevant</w:t>
            </w:r>
            <w:r w:rsidR="00AD7CB7">
              <w:t xml:space="preserve"> to priority population groups.</w:t>
            </w:r>
          </w:p>
        </w:tc>
        <w:tc>
          <w:tcPr>
            <w:tcW w:w="7712" w:type="dxa"/>
          </w:tcPr>
          <w:p w14:paraId="12085575" w14:textId="2CEAC7A8" w:rsidR="00996345" w:rsidRDefault="00996345" w:rsidP="00996345">
            <w:pPr>
              <w:pStyle w:val="TableText"/>
            </w:pPr>
            <w:r w:rsidRPr="0001061F">
              <w:t xml:space="preserve">The Ministry has strengthened the </w:t>
            </w:r>
            <w:r>
              <w:t xml:space="preserve">strategy’s </w:t>
            </w:r>
            <w:r w:rsidRPr="0001061F">
              <w:t>de-stigmatisation initiative with additional funding</w:t>
            </w:r>
            <w:r>
              <w:t>,</w:t>
            </w:r>
            <w:r w:rsidRPr="0001061F">
              <w:t xml:space="preserve"> in </w:t>
            </w:r>
            <w:r w:rsidRPr="00032721">
              <w:t xml:space="preserve">recognition of </w:t>
            </w:r>
            <w:r>
              <w:t xml:space="preserve">the </w:t>
            </w:r>
            <w:r w:rsidRPr="00032721">
              <w:t>importance</w:t>
            </w:r>
            <w:r>
              <w:t xml:space="preserve"> of engaging effectively with the diversity of affected groups and communities.</w:t>
            </w:r>
          </w:p>
          <w:p w14:paraId="2D2FEFDD" w14:textId="2ABFBC40" w:rsidR="00996345" w:rsidRPr="0001061F" w:rsidRDefault="00996345" w:rsidP="00AD7CB7">
            <w:pPr>
              <w:pStyle w:val="TableText"/>
            </w:pPr>
            <w:r w:rsidRPr="0001061F">
              <w:t xml:space="preserve">The Ministry proposes to work closely with </w:t>
            </w:r>
            <w:proofErr w:type="spellStart"/>
            <w:r w:rsidRPr="0001061F">
              <w:t>Te</w:t>
            </w:r>
            <w:proofErr w:type="spellEnd"/>
            <w:r w:rsidRPr="0001061F">
              <w:t xml:space="preserve"> </w:t>
            </w:r>
            <w:proofErr w:type="spellStart"/>
            <w:r w:rsidRPr="0001061F">
              <w:t>Hiringa</w:t>
            </w:r>
            <w:proofErr w:type="spellEnd"/>
            <w:r w:rsidRPr="0001061F">
              <w:t xml:space="preserve"> Hauora to ensure this work is developed and co-designed with affected communities and </w:t>
            </w:r>
            <w:proofErr w:type="spellStart"/>
            <w:r w:rsidRPr="0001061F">
              <w:t>rangatahi</w:t>
            </w:r>
            <w:proofErr w:type="spellEnd"/>
            <w:r w:rsidRPr="0001061F">
              <w:t>, to meet their expectations for more agile and targeted messaging, design and delivery that is relevant and appropriate to specific communities.</w:t>
            </w:r>
          </w:p>
        </w:tc>
      </w:tr>
      <w:tr w:rsidR="00996345" w:rsidRPr="009B4A3D" w14:paraId="66D4546C" w14:textId="77777777" w:rsidTr="00996345">
        <w:trPr>
          <w:cantSplit/>
        </w:trPr>
        <w:tc>
          <w:tcPr>
            <w:tcW w:w="6889" w:type="dxa"/>
          </w:tcPr>
          <w:p w14:paraId="7BD885BC" w14:textId="179B3558" w:rsidR="00996345" w:rsidRPr="0001061F" w:rsidRDefault="00996345" w:rsidP="00AB601E">
            <w:pPr>
              <w:pStyle w:val="TableText"/>
              <w:ind w:right="284"/>
            </w:pPr>
            <w:r w:rsidRPr="00032721">
              <w:t>S</w:t>
            </w:r>
            <w:r>
              <w:t>ome s</w:t>
            </w:r>
            <w:r w:rsidRPr="00032721">
              <w:t>ubmissions from providers and priority populations (Pacific and Asian communities, in particular)</w:t>
            </w:r>
            <w:r w:rsidRPr="0056438B">
              <w:t xml:space="preserve"> expressed concern that the </w:t>
            </w:r>
            <w:r w:rsidRPr="00AD7CB7">
              <w:rPr>
                <w:b/>
                <w:bCs/>
              </w:rPr>
              <w:t>Gambling Helpline</w:t>
            </w:r>
            <w:r w:rsidRPr="0056438B">
              <w:t xml:space="preserve"> in its current form was not effective and difficult to access</w:t>
            </w:r>
            <w:r>
              <w:t xml:space="preserve"> and</w:t>
            </w:r>
            <w:r w:rsidRPr="0001061F">
              <w:t xml:space="preserve"> did not </w:t>
            </w:r>
            <w:r>
              <w:t xml:space="preserve">always </w:t>
            </w:r>
            <w:r w:rsidRPr="0001061F">
              <w:t>offer the right types of access and support (</w:t>
            </w:r>
            <w:r>
              <w:t xml:space="preserve">in terms of </w:t>
            </w:r>
            <w:r w:rsidRPr="0001061F">
              <w:t>culture</w:t>
            </w:r>
            <w:r>
              <w:t xml:space="preserve"> and </w:t>
            </w:r>
            <w:r w:rsidRPr="0001061F">
              <w:t>language). Some called for the Asian helpline to be available 24/7.</w:t>
            </w:r>
          </w:p>
        </w:tc>
        <w:tc>
          <w:tcPr>
            <w:tcW w:w="7712" w:type="dxa"/>
          </w:tcPr>
          <w:p w14:paraId="3C8F76FB" w14:textId="77777777" w:rsidR="00996345" w:rsidRPr="0001061F" w:rsidRDefault="00996345" w:rsidP="00996345">
            <w:pPr>
              <w:pStyle w:val="TableText"/>
            </w:pPr>
            <w:r w:rsidRPr="0001061F">
              <w:t xml:space="preserve">The Ministry is working with </w:t>
            </w:r>
            <w:proofErr w:type="spellStart"/>
            <w:r w:rsidRPr="0001061F">
              <w:t>Whakarongorau</w:t>
            </w:r>
            <w:proofErr w:type="spellEnd"/>
            <w:r w:rsidRPr="0001061F">
              <w:t xml:space="preserve"> Aotearoa (formerly Homecare Medical) to address </w:t>
            </w:r>
            <w:r>
              <w:t xml:space="preserve">these </w:t>
            </w:r>
            <w:r w:rsidRPr="0001061F">
              <w:t>concerns</w:t>
            </w:r>
            <w:r>
              <w:t>.</w:t>
            </w:r>
          </w:p>
        </w:tc>
      </w:tr>
      <w:tr w:rsidR="00996345" w:rsidRPr="009B4A3D" w14:paraId="1B8E3561" w14:textId="77777777" w:rsidTr="00996345">
        <w:trPr>
          <w:cantSplit/>
        </w:trPr>
        <w:tc>
          <w:tcPr>
            <w:tcW w:w="6889" w:type="dxa"/>
          </w:tcPr>
          <w:p w14:paraId="7AB799E2" w14:textId="29458DAD" w:rsidR="00996345" w:rsidRPr="0001061F" w:rsidRDefault="00996345" w:rsidP="00AB601E">
            <w:pPr>
              <w:pStyle w:val="TableText"/>
              <w:ind w:right="284"/>
            </w:pPr>
            <w:bookmarkStart w:id="7" w:name="_Hlk87549349"/>
            <w:r w:rsidRPr="00032721">
              <w:lastRenderedPageBreak/>
              <w:t>S</w:t>
            </w:r>
            <w:r>
              <w:t>ome s</w:t>
            </w:r>
            <w:r w:rsidRPr="00032721">
              <w:t>ubmissions from services, providers, NCGM</w:t>
            </w:r>
            <w:r>
              <w:t>s</w:t>
            </w:r>
            <w:r w:rsidRPr="00032721">
              <w:t xml:space="preserve"> and priority populations called for greater use </w:t>
            </w:r>
            <w:r w:rsidRPr="00075661">
              <w:t>of</w:t>
            </w:r>
            <w:r>
              <w:rPr>
                <w:bCs/>
              </w:rPr>
              <w:t xml:space="preserve"> </w:t>
            </w:r>
            <w:r w:rsidRPr="00AD7CB7">
              <w:rPr>
                <w:b/>
                <w:bCs/>
              </w:rPr>
              <w:t>online/digital services and supports and emerging technologies</w:t>
            </w:r>
            <w:r w:rsidRPr="0056438B">
              <w:t xml:space="preserve"> to address gambling harm and improve access </w:t>
            </w:r>
            <w:r>
              <w:t xml:space="preserve">to </w:t>
            </w:r>
            <w:r w:rsidRPr="0056438B">
              <w:t xml:space="preserve">and choice </w:t>
            </w:r>
            <w:r>
              <w:t>of</w:t>
            </w:r>
            <w:r w:rsidRPr="0056438B" w:rsidDel="009E6B03">
              <w:t xml:space="preserve"> </w:t>
            </w:r>
            <w:r>
              <w:t xml:space="preserve"> </w:t>
            </w:r>
            <w:r w:rsidRPr="0056438B">
              <w:t>information, services and support</w:t>
            </w:r>
            <w:bookmarkEnd w:id="7"/>
            <w:r w:rsidR="00AD7CB7">
              <w:t>.</w:t>
            </w:r>
          </w:p>
          <w:p w14:paraId="70976D75" w14:textId="584E78A3" w:rsidR="00996345" w:rsidRDefault="00996345" w:rsidP="00AB601E">
            <w:pPr>
              <w:pStyle w:val="TableText"/>
              <w:ind w:right="284"/>
            </w:pPr>
            <w:r w:rsidRPr="0001061F">
              <w:t>S</w:t>
            </w:r>
            <w:r>
              <w:t>ome s</w:t>
            </w:r>
            <w:r w:rsidRPr="0001061F">
              <w:t>ubmissions supported the multi</w:t>
            </w:r>
            <w:r>
              <w:t>-</w:t>
            </w:r>
            <w:r w:rsidRPr="0001061F">
              <w:t>venue exclusion programme and identified e</w:t>
            </w:r>
            <w:r w:rsidR="00AD7CB7">
              <w:noBreakHyphen/>
            </w:r>
            <w:r w:rsidRPr="0001061F">
              <w:t>tools as an opportunity to future proof and expand online</w:t>
            </w:r>
            <w:r>
              <w:t xml:space="preserve"> services and support</w:t>
            </w:r>
            <w:r w:rsidR="00AD7CB7">
              <w:t>.</w:t>
            </w:r>
          </w:p>
          <w:p w14:paraId="7C4F132B" w14:textId="5576D89C" w:rsidR="00996345" w:rsidRPr="0001061F" w:rsidRDefault="00996345" w:rsidP="00AB601E">
            <w:pPr>
              <w:pStyle w:val="TableText"/>
              <w:ind w:right="284"/>
            </w:pPr>
            <w:r>
              <w:t xml:space="preserve">Some submissions from </w:t>
            </w:r>
            <w:proofErr w:type="spellStart"/>
            <w:r>
              <w:t>r</w:t>
            </w:r>
            <w:r w:rsidRPr="0001061F">
              <w:t>angatahi</w:t>
            </w:r>
            <w:proofErr w:type="spellEnd"/>
            <w:r w:rsidRPr="0001061F">
              <w:t xml:space="preserve"> identified opportunities to use media such as text, chat and purpose</w:t>
            </w:r>
            <w:r>
              <w:t>-</w:t>
            </w:r>
            <w:r w:rsidRPr="0001061F">
              <w:t>specific applications</w:t>
            </w:r>
            <w:r>
              <w:t xml:space="preserve"> </w:t>
            </w:r>
            <w:r w:rsidRPr="0001061F">
              <w:t xml:space="preserve">to </w:t>
            </w:r>
            <w:r>
              <w:t xml:space="preserve">provide </w:t>
            </w:r>
            <w:r w:rsidRPr="0001061F">
              <w:t>target</w:t>
            </w:r>
            <w:r>
              <w:t>ed</w:t>
            </w:r>
            <w:r w:rsidRPr="0001061F">
              <w:t xml:space="preserve"> information and improve access and choice</w:t>
            </w:r>
            <w:r>
              <w:t>.</w:t>
            </w:r>
            <w:r w:rsidRPr="0001061F">
              <w:t xml:space="preserve"> </w:t>
            </w:r>
            <w:r>
              <w:t>S</w:t>
            </w:r>
            <w:r w:rsidRPr="0001061F">
              <w:t xml:space="preserve">ome </w:t>
            </w:r>
            <w:r>
              <w:t xml:space="preserve">submitters with </w:t>
            </w:r>
            <w:r w:rsidRPr="0001061F">
              <w:t xml:space="preserve">lived experience wanted it to be easier to set automatic limits on card spending. </w:t>
            </w:r>
            <w:r>
              <w:t xml:space="preserve">Some </w:t>
            </w:r>
            <w:r w:rsidRPr="0001061F">
              <w:t>NCGM submissions called for further investment in the multi</w:t>
            </w:r>
            <w:r>
              <w:t>-</w:t>
            </w:r>
            <w:r w:rsidRPr="0001061F">
              <w:t>venue exclusion programme and facial recognition.</w:t>
            </w:r>
          </w:p>
        </w:tc>
        <w:tc>
          <w:tcPr>
            <w:tcW w:w="7712" w:type="dxa"/>
          </w:tcPr>
          <w:p w14:paraId="009F4798" w14:textId="1F604304" w:rsidR="00996345" w:rsidRPr="0001061F" w:rsidRDefault="00996345" w:rsidP="00996345">
            <w:pPr>
              <w:pStyle w:val="TableText"/>
            </w:pPr>
            <w:r w:rsidRPr="0001061F">
              <w:t xml:space="preserve">The Ministry recognises </w:t>
            </w:r>
            <w:r>
              <w:t xml:space="preserve">that </w:t>
            </w:r>
            <w:r w:rsidRPr="0001061F">
              <w:t xml:space="preserve">e-tools and technology provide opportunities </w:t>
            </w:r>
            <w:r>
              <w:t xml:space="preserve">to </w:t>
            </w:r>
            <w:r w:rsidRPr="0001061F">
              <w:t>improve service access and choice and to prevent or manage exposure to gambling harm</w:t>
            </w:r>
            <w:r>
              <w:t>.</w:t>
            </w:r>
          </w:p>
          <w:p w14:paraId="798A4624" w14:textId="1941B42C" w:rsidR="00996345" w:rsidRPr="0001061F" w:rsidRDefault="00996345" w:rsidP="00996345">
            <w:pPr>
              <w:pStyle w:val="TableText"/>
            </w:pPr>
            <w:r w:rsidRPr="0001061F">
              <w:t>The Ministry proposes to increase investment</w:t>
            </w:r>
            <w:r>
              <w:t xml:space="preserve"> in expanding and developing digital services and supports to address gambling harm. </w:t>
            </w:r>
            <w:r w:rsidRPr="0056438B">
              <w:t>Submissions indicate</w:t>
            </w:r>
            <w:r w:rsidRPr="0001061F">
              <w:t>d there are opportunities for collaboration and innovation</w:t>
            </w:r>
            <w:r w:rsidR="00AD7CB7">
              <w:t xml:space="preserve"> between affected stakeholders.</w:t>
            </w:r>
          </w:p>
          <w:p w14:paraId="48B1CE90" w14:textId="77777777" w:rsidR="00996345" w:rsidRDefault="00996345" w:rsidP="00996345">
            <w:pPr>
              <w:pStyle w:val="TableText"/>
            </w:pPr>
            <w:r>
              <w:t>T</w:t>
            </w:r>
            <w:r w:rsidRPr="0001061F">
              <w:t>he multi-venue exclusion programme is now positioned within the public health section of the service plan.</w:t>
            </w:r>
          </w:p>
          <w:p w14:paraId="684E3683" w14:textId="77777777" w:rsidR="00996345" w:rsidRPr="00032721" w:rsidRDefault="00996345" w:rsidP="00996345">
            <w:pPr>
              <w:pStyle w:val="TableText"/>
            </w:pPr>
            <w:r w:rsidRPr="00A877BB">
              <w:t>The Ministry will not be funding industry hardware (</w:t>
            </w:r>
            <w:r>
              <w:t xml:space="preserve">since this would involve </w:t>
            </w:r>
            <w:r w:rsidRPr="00A877BB">
              <w:t xml:space="preserve">paying for assets in a non-health environment). Under the Gambling Act, it is the duty of the venue to identify and exclude problem gamblers. </w:t>
            </w:r>
            <w:r w:rsidRPr="0001061F">
              <w:t xml:space="preserve">There is an opportunity to consider these issues through the </w:t>
            </w:r>
            <w:r>
              <w:t xml:space="preserve">Department of Internal Affairs’ </w:t>
            </w:r>
            <w:r w:rsidRPr="0001061F">
              <w:t xml:space="preserve">ongoing work to minimise harm from electronic gaming machines, </w:t>
            </w:r>
            <w:r>
              <w:t xml:space="preserve">and through </w:t>
            </w:r>
            <w:r w:rsidRPr="0001061F">
              <w:t xml:space="preserve">the review </w:t>
            </w:r>
            <w:r>
              <w:t xml:space="preserve">of </w:t>
            </w:r>
            <w:r w:rsidRPr="0001061F">
              <w:t xml:space="preserve">the Gambling Act 2003 </w:t>
            </w:r>
            <w:r>
              <w:t xml:space="preserve">specified </w:t>
            </w:r>
            <w:r w:rsidRPr="0001061F">
              <w:t xml:space="preserve">in </w:t>
            </w:r>
            <w:r w:rsidRPr="00075661">
              <w:rPr>
                <w:i/>
                <w:iCs/>
              </w:rPr>
              <w:t xml:space="preserve">Kia </w:t>
            </w:r>
            <w:proofErr w:type="spellStart"/>
            <w:r w:rsidRPr="00075661">
              <w:rPr>
                <w:i/>
                <w:iCs/>
              </w:rPr>
              <w:t>Manawanui</w:t>
            </w:r>
            <w:proofErr w:type="spellEnd"/>
            <w:r w:rsidRPr="00A877BB">
              <w:t>.</w:t>
            </w:r>
          </w:p>
        </w:tc>
      </w:tr>
      <w:tr w:rsidR="00996345" w:rsidRPr="009B4A3D" w14:paraId="45A1D07F" w14:textId="77777777" w:rsidTr="00996345">
        <w:trPr>
          <w:cantSplit/>
        </w:trPr>
        <w:tc>
          <w:tcPr>
            <w:tcW w:w="6889" w:type="dxa"/>
          </w:tcPr>
          <w:p w14:paraId="39A29265" w14:textId="77777777" w:rsidR="00996345" w:rsidRPr="0001061F" w:rsidRDefault="00996345" w:rsidP="00AB601E">
            <w:pPr>
              <w:pStyle w:val="TableText"/>
              <w:ind w:right="284"/>
            </w:pPr>
            <w:r w:rsidRPr="00032721">
              <w:t xml:space="preserve">Submissions were divided </w:t>
            </w:r>
            <w:r>
              <w:t xml:space="preserve">in terms of opinions </w:t>
            </w:r>
            <w:r w:rsidRPr="00032721">
              <w:t xml:space="preserve">on the proposed </w:t>
            </w:r>
            <w:r w:rsidRPr="00AD7CB7">
              <w:rPr>
                <w:b/>
                <w:bCs/>
              </w:rPr>
              <w:t>reduction in research and evaluation</w:t>
            </w:r>
            <w:r w:rsidRPr="00F25177">
              <w:t xml:space="preserve"> funding</w:t>
            </w:r>
            <w:bookmarkStart w:id="8" w:name="_Hlk87549052"/>
            <w:r w:rsidRPr="00F25177">
              <w:t xml:space="preserve">. While industry </w:t>
            </w:r>
            <w:r w:rsidRPr="0056438B">
              <w:t xml:space="preserve">submissions tended to support the reduction, submissions from other sectors expressed concern </w:t>
            </w:r>
            <w:r>
              <w:t xml:space="preserve">that </w:t>
            </w:r>
            <w:r w:rsidRPr="0056438B">
              <w:t xml:space="preserve">the reduced funding would </w:t>
            </w:r>
            <w:r w:rsidRPr="0001061F">
              <w:t xml:space="preserve">not be sufficient to meet the research priorities and develop </w:t>
            </w:r>
            <w:r>
              <w:t xml:space="preserve">an </w:t>
            </w:r>
            <w:r w:rsidRPr="0001061F">
              <w:t xml:space="preserve">evidence base to inform future commitments, particularly given </w:t>
            </w:r>
            <w:r>
              <w:t xml:space="preserve">an identified </w:t>
            </w:r>
            <w:r w:rsidRPr="0001061F">
              <w:t xml:space="preserve">need to engage more action-oriented research. Submissions from service providers </w:t>
            </w:r>
            <w:r>
              <w:t xml:space="preserve">noted that </w:t>
            </w:r>
            <w:r w:rsidRPr="0001061F">
              <w:t>all research with priority populations should include those groups not only as participants, but also as co-leaders (</w:t>
            </w:r>
            <w:r>
              <w:t xml:space="preserve">or </w:t>
            </w:r>
            <w:r w:rsidRPr="0001061F">
              <w:t>co-design</w:t>
            </w:r>
            <w:r>
              <w:t>ers</w:t>
            </w:r>
            <w:r w:rsidRPr="0001061F">
              <w:t>)</w:t>
            </w:r>
            <w:r>
              <w:t>,</w:t>
            </w:r>
            <w:r w:rsidRPr="0001061F">
              <w:t xml:space="preserve"> to </w:t>
            </w:r>
            <w:r>
              <w:t xml:space="preserve">ensure the inclusion of </w:t>
            </w:r>
            <w:r w:rsidRPr="0001061F">
              <w:t>cultural factors that may affect the research.</w:t>
            </w:r>
          </w:p>
          <w:p w14:paraId="4FAC8661" w14:textId="072F2B0E" w:rsidR="00996345" w:rsidRPr="0001061F" w:rsidRDefault="00996345" w:rsidP="00AB601E">
            <w:pPr>
              <w:pStyle w:val="TableText"/>
              <w:ind w:right="284"/>
            </w:pPr>
            <w:r w:rsidRPr="0001061F">
              <w:t>There was cross</w:t>
            </w:r>
            <w:r>
              <w:t>-</w:t>
            </w:r>
            <w:r w:rsidRPr="0001061F">
              <w:t>sector interest in more research into online gambling, including gaming with gambling elements, and research and evaluation of intervention methods, support for affected others and NCGM venues/</w:t>
            </w:r>
            <w:r>
              <w:t>multi-venue exclusion,</w:t>
            </w:r>
            <w:r w:rsidRPr="0001061F">
              <w:t xml:space="preserve"> to identify what works best and </w:t>
            </w:r>
            <w:r>
              <w:t xml:space="preserve">the </w:t>
            </w:r>
            <w:r w:rsidRPr="0001061F">
              <w:t>drivers of persistent/relapse harmful gambling behaviour</w:t>
            </w:r>
            <w:bookmarkEnd w:id="8"/>
            <w:r w:rsidR="00AD7CB7">
              <w:t>.</w:t>
            </w:r>
          </w:p>
        </w:tc>
        <w:tc>
          <w:tcPr>
            <w:tcW w:w="7712" w:type="dxa"/>
          </w:tcPr>
          <w:p w14:paraId="28AC2024" w14:textId="1FD5845E" w:rsidR="00996345" w:rsidRPr="0001061F" w:rsidRDefault="00996345" w:rsidP="00996345">
            <w:pPr>
              <w:pStyle w:val="TableText"/>
            </w:pPr>
            <w:r w:rsidRPr="0001061F">
              <w:t xml:space="preserve">The Ministry has </w:t>
            </w:r>
            <w:r>
              <w:t xml:space="preserve">revised </w:t>
            </w:r>
            <w:r w:rsidRPr="0001061F">
              <w:t xml:space="preserve">the research and evaluation </w:t>
            </w:r>
            <w:r>
              <w:t xml:space="preserve">allocation and associated </w:t>
            </w:r>
            <w:r w:rsidRPr="0001061F">
              <w:t>priorities</w:t>
            </w:r>
            <w:r>
              <w:t>, to:</w:t>
            </w:r>
          </w:p>
          <w:p w14:paraId="6E59C3F1" w14:textId="77777777" w:rsidR="00996345" w:rsidRPr="0001061F" w:rsidRDefault="00996345" w:rsidP="00AD7CB7">
            <w:pPr>
              <w:pStyle w:val="TableBullet"/>
            </w:pPr>
            <w:r w:rsidRPr="0001061F">
              <w:t>strengthen the focus on researching young people gambling and online gambling</w:t>
            </w:r>
          </w:p>
          <w:p w14:paraId="04BEDD9B" w14:textId="7E48F8B3" w:rsidR="00996345" w:rsidRDefault="00996345" w:rsidP="00AD7CB7">
            <w:pPr>
              <w:pStyle w:val="TableBullet"/>
            </w:pPr>
            <w:r w:rsidRPr="0001061F">
              <w:t>encourage action research and evaluation me</w:t>
            </w:r>
            <w:r w:rsidR="00AD7CB7">
              <w:t>thods with affected communities</w:t>
            </w:r>
          </w:p>
          <w:p w14:paraId="294829E6" w14:textId="0DF63076" w:rsidR="00996345" w:rsidRPr="0001061F" w:rsidRDefault="00996345" w:rsidP="00AD7CB7">
            <w:pPr>
              <w:pStyle w:val="TableBullet"/>
            </w:pPr>
            <w:r>
              <w:t xml:space="preserve">provide for </w:t>
            </w:r>
            <w:r w:rsidRPr="0001061F">
              <w:t xml:space="preserve">evaluation of new </w:t>
            </w:r>
            <w:r>
              <w:t xml:space="preserve">services, including support for </w:t>
            </w:r>
            <w:proofErr w:type="spellStart"/>
            <w:r w:rsidRPr="0001061F">
              <w:t>rangatahi</w:t>
            </w:r>
            <w:proofErr w:type="spellEnd"/>
            <w:r>
              <w:t>, the de</w:t>
            </w:r>
            <w:r w:rsidR="00AD7CB7">
              <w:noBreakHyphen/>
            </w:r>
            <w:r>
              <w:t xml:space="preserve">stigmatisation initiative and new service </w:t>
            </w:r>
            <w:r w:rsidRPr="0001061F">
              <w:t>models</w:t>
            </w:r>
            <w:r>
              <w:t>.</w:t>
            </w:r>
          </w:p>
          <w:p w14:paraId="507C24EF" w14:textId="32EBEC50" w:rsidR="00996345" w:rsidRPr="0001061F" w:rsidRDefault="00996345" w:rsidP="00AD7CB7">
            <w:pPr>
              <w:pStyle w:val="TableText"/>
            </w:pPr>
            <w:r>
              <w:t xml:space="preserve">We expect there will be more </w:t>
            </w:r>
            <w:r w:rsidRPr="0001061F">
              <w:t>action-oriented research and evaluation as new services are developed</w:t>
            </w:r>
            <w:r>
              <w:t xml:space="preserve">, </w:t>
            </w:r>
            <w:bookmarkStart w:id="9" w:name="_Hlk87549138"/>
            <w:r>
              <w:t>and</w:t>
            </w:r>
            <w:r w:rsidRPr="0001061F">
              <w:t xml:space="preserve"> </w:t>
            </w:r>
            <w:r>
              <w:t xml:space="preserve">that researchers and evaluators will </w:t>
            </w:r>
            <w:r w:rsidRPr="0001061F">
              <w:t>engage more collaboratively with</w:t>
            </w:r>
            <w:r>
              <w:t xml:space="preserve"> people with</w:t>
            </w:r>
            <w:r w:rsidRPr="0001061F">
              <w:t xml:space="preserve"> lived experience and affected communities and populations</w:t>
            </w:r>
            <w:r>
              <w:t xml:space="preserve">. This would </w:t>
            </w:r>
            <w:r w:rsidRPr="0001061F">
              <w:t>inform research and evaluation design</w:t>
            </w:r>
            <w:r>
              <w:t xml:space="preserve"> by identifying </w:t>
            </w:r>
            <w:r w:rsidRPr="0001061F">
              <w:t xml:space="preserve">cultural </w:t>
            </w:r>
            <w:r>
              <w:t xml:space="preserve">and other barriers </w:t>
            </w:r>
            <w:r w:rsidRPr="0001061F">
              <w:t xml:space="preserve">and </w:t>
            </w:r>
            <w:r>
              <w:t xml:space="preserve">investigate </w:t>
            </w:r>
            <w:r w:rsidRPr="0001061F">
              <w:t xml:space="preserve">how to appropriately address them, as well as enable more effective </w:t>
            </w:r>
            <w:r>
              <w:t xml:space="preserve">engagement with and </w:t>
            </w:r>
            <w:r w:rsidRPr="0001061F">
              <w:t>reporting</w:t>
            </w:r>
            <w:r>
              <w:t xml:space="preserve"> back</w:t>
            </w:r>
            <w:r w:rsidRPr="0001061F">
              <w:t xml:space="preserve"> to communities that are the subject of the research or evaluation</w:t>
            </w:r>
            <w:r w:rsidRPr="00032721">
              <w:t>. Th</w:t>
            </w:r>
            <w:r>
              <w:t xml:space="preserve">is action-oriented methodology requires additional resources but </w:t>
            </w:r>
            <w:r w:rsidRPr="00F25177">
              <w:t xml:space="preserve">will </w:t>
            </w:r>
            <w:r>
              <w:t>improve research and evaluation outcomes.</w:t>
            </w:r>
            <w:bookmarkEnd w:id="9"/>
          </w:p>
        </w:tc>
      </w:tr>
      <w:tr w:rsidR="00996345" w:rsidRPr="009B4A3D" w14:paraId="5A71BBCF" w14:textId="77777777" w:rsidTr="00996345">
        <w:trPr>
          <w:cantSplit/>
        </w:trPr>
        <w:tc>
          <w:tcPr>
            <w:tcW w:w="6889" w:type="dxa"/>
          </w:tcPr>
          <w:p w14:paraId="6BC872A6" w14:textId="4842030E" w:rsidR="00996345" w:rsidRPr="0001061F" w:rsidRDefault="00996345" w:rsidP="00AB601E">
            <w:pPr>
              <w:pStyle w:val="TableText"/>
              <w:ind w:right="284"/>
            </w:pPr>
            <w:r w:rsidRPr="00032721">
              <w:lastRenderedPageBreak/>
              <w:t xml:space="preserve">Most NCGM submissions proposed several </w:t>
            </w:r>
            <w:r w:rsidRPr="00AD7CB7">
              <w:rPr>
                <w:b/>
                <w:bCs/>
              </w:rPr>
              <w:t>performance targets</w:t>
            </w:r>
            <w:r w:rsidRPr="00F25177">
              <w:rPr>
                <w:bCs/>
              </w:rPr>
              <w:t xml:space="preserve"> </w:t>
            </w:r>
            <w:r w:rsidRPr="0056438B">
              <w:t xml:space="preserve">in response to concerns about the efficacy of strategy spending and what they see as </w:t>
            </w:r>
            <w:r>
              <w:t>a</w:t>
            </w:r>
            <w:r w:rsidRPr="0056438B">
              <w:t xml:space="preserve"> lack of accountability or information to assess the im</w:t>
            </w:r>
            <w:r w:rsidRPr="0001061F">
              <w:t>pact of the strategy or services provided.</w:t>
            </w:r>
          </w:p>
          <w:p w14:paraId="03E33455" w14:textId="277C110C" w:rsidR="00996345" w:rsidRPr="0001061F" w:rsidRDefault="00996345" w:rsidP="00AB601E">
            <w:pPr>
              <w:pStyle w:val="TableText"/>
              <w:ind w:right="284"/>
            </w:pPr>
            <w:r w:rsidRPr="0001061F">
              <w:t>Some submissions from NCGM</w:t>
            </w:r>
            <w:r>
              <w:t>s</w:t>
            </w:r>
            <w:r w:rsidRPr="0001061F">
              <w:t xml:space="preserve">, and local government called for better sharing </w:t>
            </w:r>
            <w:r>
              <w:t xml:space="preserve">of </w:t>
            </w:r>
            <w:r w:rsidRPr="0001061F">
              <w:t xml:space="preserve">and access to available </w:t>
            </w:r>
            <w:r w:rsidRPr="00AD7CB7">
              <w:rPr>
                <w:b/>
                <w:bCs/>
              </w:rPr>
              <w:t>research, information</w:t>
            </w:r>
            <w:r w:rsidRPr="0001061F">
              <w:rPr>
                <w:bCs/>
              </w:rPr>
              <w:t xml:space="preserve"> </w:t>
            </w:r>
            <w:r w:rsidRPr="0001061F">
              <w:t>and service data</w:t>
            </w:r>
            <w:r>
              <w:t>, and to make information available in easier to understand formats.</w:t>
            </w:r>
          </w:p>
        </w:tc>
        <w:tc>
          <w:tcPr>
            <w:tcW w:w="7712" w:type="dxa"/>
          </w:tcPr>
          <w:p w14:paraId="3E5B5541" w14:textId="4C840587" w:rsidR="00996345" w:rsidRDefault="00996345" w:rsidP="00996345">
            <w:pPr>
              <w:pStyle w:val="TableText"/>
            </w:pPr>
            <w:r w:rsidRPr="0001061F">
              <w:t xml:space="preserve">The </w:t>
            </w:r>
            <w:r>
              <w:t>proposals document</w:t>
            </w:r>
            <w:r w:rsidRPr="0001061F">
              <w:t xml:space="preserve"> includes a section on how we will monitor progress and develop </w:t>
            </w:r>
            <w:r>
              <w:t xml:space="preserve">long-term </w:t>
            </w:r>
            <w:r w:rsidRPr="0001061F">
              <w:t xml:space="preserve">indicators that will align with </w:t>
            </w:r>
            <w:r>
              <w:t xml:space="preserve">indicators </w:t>
            </w:r>
            <w:r w:rsidRPr="0001061F">
              <w:t xml:space="preserve">across the </w:t>
            </w:r>
            <w:r>
              <w:t>m</w:t>
            </w:r>
            <w:r w:rsidRPr="0001061F">
              <w:t xml:space="preserve">ental </w:t>
            </w:r>
            <w:r>
              <w:t>h</w:t>
            </w:r>
            <w:r w:rsidRPr="0001061F">
              <w:t xml:space="preserve">ealth and </w:t>
            </w:r>
            <w:r>
              <w:t>a</w:t>
            </w:r>
            <w:r w:rsidRPr="0001061F">
              <w:t>ddiction sector being developed by the Mental Health and Wellbeing Commission.</w:t>
            </w:r>
          </w:p>
          <w:p w14:paraId="50E2772E" w14:textId="7FD4DF0F" w:rsidR="00996345" w:rsidRDefault="00996345" w:rsidP="00996345">
            <w:pPr>
              <w:pStyle w:val="TableText"/>
            </w:pPr>
            <w:r w:rsidRPr="0001061F">
              <w:t xml:space="preserve">We intend to consult with interested stakeholders as we develop </w:t>
            </w:r>
            <w:r>
              <w:t>these indicators.</w:t>
            </w:r>
          </w:p>
          <w:p w14:paraId="1B02EE03" w14:textId="77777777" w:rsidR="00996345" w:rsidRPr="0001061F" w:rsidRDefault="00996345" w:rsidP="00996345">
            <w:pPr>
              <w:pStyle w:val="TableText"/>
            </w:pPr>
            <w:r w:rsidRPr="0001061F">
              <w:t>Research and service data is published on the Ministry website and updated regularly</w:t>
            </w:r>
            <w:r>
              <w:t>. I</w:t>
            </w:r>
            <w:r w:rsidRPr="0001061F">
              <w:t>n addition</w:t>
            </w:r>
            <w:r>
              <w:t>,</w:t>
            </w:r>
            <w:r w:rsidRPr="0001061F">
              <w:t xml:space="preserve"> </w:t>
            </w:r>
            <w:r>
              <w:t xml:space="preserve">the Department of Internal Affairs </w:t>
            </w:r>
            <w:r w:rsidRPr="0001061F">
              <w:t>provides detailed information about the gambling industry on its website</w:t>
            </w:r>
            <w:r>
              <w:t>.</w:t>
            </w:r>
          </w:p>
        </w:tc>
      </w:tr>
      <w:tr w:rsidR="00996345" w14:paraId="6DF734A0" w14:textId="77777777" w:rsidTr="00996345">
        <w:trPr>
          <w:cantSplit/>
        </w:trPr>
        <w:tc>
          <w:tcPr>
            <w:tcW w:w="6889" w:type="dxa"/>
          </w:tcPr>
          <w:p w14:paraId="583EE26B" w14:textId="1C4B4159" w:rsidR="00996345" w:rsidRPr="0001061F" w:rsidRDefault="00996345" w:rsidP="00AB601E">
            <w:pPr>
              <w:pStyle w:val="TableText"/>
              <w:ind w:right="284"/>
            </w:pPr>
            <w:bookmarkStart w:id="10" w:name="_Hlk87547158"/>
            <w:r w:rsidRPr="00032721">
              <w:t>Many submissions, mostly</w:t>
            </w:r>
            <w:r w:rsidRPr="00F25177">
              <w:t xml:space="preserve"> </w:t>
            </w:r>
            <w:r w:rsidRPr="0056438B">
              <w:t xml:space="preserve">from service and health providers, supported the proposed investment to </w:t>
            </w:r>
            <w:r w:rsidRPr="00AD7CB7">
              <w:rPr>
                <w:b/>
                <w:bCs/>
              </w:rPr>
              <w:t>strengthen and diversify the gambling harm workforce</w:t>
            </w:r>
            <w:r>
              <w:t xml:space="preserve"> through </w:t>
            </w:r>
            <w:r w:rsidRPr="0001061F">
              <w:t xml:space="preserve">support for priority populations and peer support training, training in cultural safety, scholarships and aligning the clinical </w:t>
            </w:r>
            <w:r>
              <w:t xml:space="preserve">fulltime-equivalent (FTE) </w:t>
            </w:r>
            <w:r w:rsidRPr="0001061F">
              <w:t xml:space="preserve">rate with that used for the mental </w:t>
            </w:r>
            <w:r w:rsidR="00AD7CB7">
              <w:t>health and addiction workforce.</w:t>
            </w:r>
          </w:p>
          <w:p w14:paraId="7F810420" w14:textId="76D546F2" w:rsidR="00996345" w:rsidRPr="0001061F" w:rsidRDefault="00996345" w:rsidP="00AB601E">
            <w:pPr>
              <w:pStyle w:val="TableText"/>
              <w:ind w:right="284"/>
            </w:pPr>
            <w:r w:rsidRPr="0001061F">
              <w:t xml:space="preserve">Some submissions challenged the proposed </w:t>
            </w:r>
            <w:r w:rsidRPr="00FB1C10">
              <w:t xml:space="preserve">level 7 </w:t>
            </w:r>
            <w:r w:rsidRPr="0001061F">
              <w:t>qualification</w:t>
            </w:r>
            <w:r>
              <w:t>,</w:t>
            </w:r>
            <w:r w:rsidRPr="0001061F">
              <w:t xml:space="preserve"> arguing it would be a barrier </w:t>
            </w:r>
            <w:r>
              <w:t xml:space="preserve">to obtaining qualifications, </w:t>
            </w:r>
            <w:r w:rsidRPr="0001061F">
              <w:t>and there should be more accessible alternative pathways, including for young people. O</w:t>
            </w:r>
            <w:r w:rsidR="00AD7CB7">
              <w:t>t</w:t>
            </w:r>
            <w:r w:rsidRPr="0001061F">
              <w:t xml:space="preserve">hers suggested developing standardised gambling harm content within all addiction training, to support a range of clinical and non-clinical </w:t>
            </w:r>
            <w:r w:rsidR="00AD7CB7">
              <w:t>roles.</w:t>
            </w:r>
          </w:p>
          <w:bookmarkEnd w:id="10"/>
          <w:p w14:paraId="138836FD" w14:textId="462B91EC" w:rsidR="00996345" w:rsidRPr="0001061F" w:rsidRDefault="00996345" w:rsidP="00AB601E">
            <w:pPr>
              <w:pStyle w:val="TableText"/>
              <w:ind w:right="284"/>
            </w:pPr>
            <w:r w:rsidRPr="0001061F">
              <w:t>NCGM submissions did not support the FTE alignment investment</w:t>
            </w:r>
            <w:r>
              <w:t>,</w:t>
            </w:r>
            <w:r w:rsidRPr="0001061F">
              <w:t xml:space="preserve"> argu</w:t>
            </w:r>
            <w:r>
              <w:t>ing</w:t>
            </w:r>
            <w:r w:rsidRPr="0001061F">
              <w:t xml:space="preserve"> there was no evidence the current spending on clinical services was cost</w:t>
            </w:r>
            <w:r>
              <w:t>-</w:t>
            </w:r>
            <w:r w:rsidR="00AD7CB7">
              <w:t>effective.</w:t>
            </w:r>
          </w:p>
        </w:tc>
        <w:tc>
          <w:tcPr>
            <w:tcW w:w="7712" w:type="dxa"/>
          </w:tcPr>
          <w:p w14:paraId="6BB24905" w14:textId="77777777" w:rsidR="00996345" w:rsidRPr="0001061F" w:rsidRDefault="00996345" w:rsidP="00996345">
            <w:pPr>
              <w:pStyle w:val="TableText"/>
            </w:pPr>
            <w:r w:rsidRPr="00032721">
              <w:t xml:space="preserve">The Ministry proposes </w:t>
            </w:r>
            <w:r>
              <w:t xml:space="preserve">a package of </w:t>
            </w:r>
            <w:r w:rsidRPr="0056438B">
              <w:t xml:space="preserve">investment </w:t>
            </w:r>
            <w:r>
              <w:t xml:space="preserve">to strengthen training pathways to develop a skilled and diverse workforce, </w:t>
            </w:r>
            <w:r w:rsidRPr="0056438B">
              <w:t xml:space="preserve">and has amended </w:t>
            </w:r>
            <w:r>
              <w:t xml:space="preserve">proposals to </w:t>
            </w:r>
            <w:r w:rsidRPr="0056438B">
              <w:t>clarify that:</w:t>
            </w:r>
          </w:p>
          <w:p w14:paraId="31A83F1A" w14:textId="77777777" w:rsidR="00996345" w:rsidRDefault="00996345" w:rsidP="00AD7CB7">
            <w:pPr>
              <w:pStyle w:val="TableBullet"/>
            </w:pPr>
            <w:r w:rsidRPr="00D47C6F">
              <w:t xml:space="preserve">we will support including gambling harm content in </w:t>
            </w:r>
            <w:r>
              <w:t>l</w:t>
            </w:r>
            <w:r w:rsidRPr="00D47C6F">
              <w:t>evel 7 qualifications (and others as appropriate) to ensure they support gambling harm</w:t>
            </w:r>
            <w:r>
              <w:t xml:space="preserve"> clinical</w:t>
            </w:r>
            <w:r w:rsidRPr="00D47C6F">
              <w:t xml:space="preserve"> workforce </w:t>
            </w:r>
            <w:r>
              <w:t>staff</w:t>
            </w:r>
          </w:p>
          <w:p w14:paraId="1E898CB5" w14:textId="1089F80F" w:rsidR="00996345" w:rsidRPr="00D47C6F" w:rsidRDefault="00996345" w:rsidP="00AD7CB7">
            <w:pPr>
              <w:pStyle w:val="TableBullet"/>
            </w:pPr>
            <w:r w:rsidRPr="0070359C">
              <w:t xml:space="preserve">we recognise that currently relevant qualifications available to those wanting to enter the workforce do not include a focus on preventing and minimising gambling harm, and we intend to address this gap </w:t>
            </w:r>
            <w:r>
              <w:t xml:space="preserve">with investment in </w:t>
            </w:r>
            <w:r w:rsidRPr="00D47C6F">
              <w:t xml:space="preserve">the clinical and non-clinical workforce, including </w:t>
            </w:r>
            <w:r>
              <w:t>scholarships for peer roles and lower-level qualifications</w:t>
            </w:r>
          </w:p>
          <w:p w14:paraId="1DE7C171" w14:textId="17FE0B74" w:rsidR="00996345" w:rsidRPr="00032721" w:rsidRDefault="00996345" w:rsidP="00AD7CB7">
            <w:pPr>
              <w:pStyle w:val="TableBullet"/>
            </w:pPr>
            <w:r w:rsidRPr="0001061F">
              <w:t xml:space="preserve">the proposed scholarships and peer support training will encourage </w:t>
            </w:r>
            <w:r>
              <w:t xml:space="preserve">a more diverse workforce, targeting </w:t>
            </w:r>
            <w:r w:rsidRPr="0001061F">
              <w:t xml:space="preserve">priority populations and </w:t>
            </w:r>
            <w:r>
              <w:t xml:space="preserve">people </w:t>
            </w:r>
            <w:r w:rsidRPr="0001061F">
              <w:t>with lived experience</w:t>
            </w:r>
            <w:r>
              <w:t>.</w:t>
            </w:r>
          </w:p>
          <w:p w14:paraId="5EF4BCAD" w14:textId="080A16DE" w:rsidR="00996345" w:rsidRPr="0056438B" w:rsidRDefault="00996345" w:rsidP="00996345">
            <w:pPr>
              <w:pStyle w:val="TableText"/>
            </w:pPr>
            <w:r w:rsidRPr="0056438B">
              <w:t xml:space="preserve">The Ministry policy is to support pay </w:t>
            </w:r>
            <w:r>
              <w:t>parity</w:t>
            </w:r>
            <w:r w:rsidRPr="0056438B">
              <w:t xml:space="preserve"> across all mental health and addiction services </w:t>
            </w:r>
            <w:r>
              <w:t>and</w:t>
            </w:r>
            <w:r w:rsidRPr="0056438B">
              <w:t xml:space="preserve"> consistent FTE rates for providers.</w:t>
            </w:r>
            <w:r>
              <w:t xml:space="preserve"> Our proposed </w:t>
            </w:r>
            <w:r w:rsidRPr="0056438B">
              <w:t>investment will address disparity in clinical rates between gamblin</w:t>
            </w:r>
            <w:r w:rsidRPr="0001061F">
              <w:t xml:space="preserve">g harm and addiction services, which is our key approach to support recruitment and retention. We consider that the proposals to address stigma, </w:t>
            </w:r>
            <w:r>
              <w:t xml:space="preserve">and to support and develop the gambling harm workforce more broadly, as described above, </w:t>
            </w:r>
            <w:r w:rsidRPr="00032721">
              <w:t>will</w:t>
            </w:r>
            <w:r>
              <w:t xml:space="preserve"> help to </w:t>
            </w:r>
            <w:r w:rsidRPr="00032721">
              <w:t>mak</w:t>
            </w:r>
            <w:r>
              <w:t>e</w:t>
            </w:r>
            <w:r w:rsidRPr="00032721">
              <w:t xml:space="preserve"> the gambling harm workforce more attractive.</w:t>
            </w:r>
          </w:p>
        </w:tc>
      </w:tr>
      <w:tr w:rsidR="00996345" w:rsidRPr="009B4A3D" w14:paraId="6FEE98A4" w14:textId="77777777" w:rsidTr="00996345">
        <w:trPr>
          <w:cantSplit/>
        </w:trPr>
        <w:tc>
          <w:tcPr>
            <w:tcW w:w="6889" w:type="dxa"/>
          </w:tcPr>
          <w:p w14:paraId="3FAAE106" w14:textId="0CA0C418" w:rsidR="00996345" w:rsidRPr="0001061F" w:rsidRDefault="00996345" w:rsidP="00AB601E">
            <w:pPr>
              <w:pStyle w:val="TableText"/>
              <w:ind w:right="284"/>
            </w:pPr>
            <w:bookmarkStart w:id="11" w:name="_Hlk87964575"/>
            <w:r w:rsidRPr="00032721">
              <w:lastRenderedPageBreak/>
              <w:t>A broad range of submissions expressed concerns about</w:t>
            </w:r>
            <w:r w:rsidRPr="00F25177">
              <w:t xml:space="preserve"> </w:t>
            </w:r>
            <w:r w:rsidRPr="00AD7CB7">
              <w:rPr>
                <w:b/>
                <w:bCs/>
              </w:rPr>
              <w:t>the ubiquity of online gambling</w:t>
            </w:r>
            <w:r w:rsidRPr="0001061F">
              <w:t xml:space="preserve"> and games that include gambling elements, and the unregulated nature of access to overseas </w:t>
            </w:r>
            <w:r>
              <w:t xml:space="preserve">gambling </w:t>
            </w:r>
            <w:r w:rsidR="00AD7CB7">
              <w:t>websites.</w:t>
            </w:r>
          </w:p>
          <w:p w14:paraId="1987899C" w14:textId="0E8F8478" w:rsidR="00996345" w:rsidRPr="0001061F" w:rsidRDefault="00996345" w:rsidP="00AB601E">
            <w:pPr>
              <w:pStyle w:val="TableText"/>
              <w:ind w:right="284"/>
            </w:pPr>
            <w:r w:rsidRPr="0001061F">
              <w:t>This area remains a significant threat of harm, particularly for young people</w:t>
            </w:r>
            <w:r>
              <w:t xml:space="preserve"> and for</w:t>
            </w:r>
            <w:r w:rsidRPr="0001061F">
              <w:t xml:space="preserve"> Māori</w:t>
            </w:r>
            <w:r>
              <w:t>,</w:t>
            </w:r>
            <w:r w:rsidRPr="0001061F">
              <w:t xml:space="preserve"> Pacific and Asian communities, and submissions noted this had been exacerbated during COVID-19 related restrictions.</w:t>
            </w:r>
          </w:p>
          <w:p w14:paraId="7FB6E4C2" w14:textId="77777777" w:rsidR="00996345" w:rsidRPr="0001061F" w:rsidRDefault="00996345" w:rsidP="00AB601E">
            <w:pPr>
              <w:pStyle w:val="TableText"/>
              <w:ind w:right="284"/>
            </w:pPr>
            <w:r w:rsidRPr="0001061F">
              <w:t>Submissions also expressed concern that the unregulated nature of online gambling offshore meant this mode of gambling was not contributing its fair share of levy payments for harm caused to people in New Zealand.</w:t>
            </w:r>
          </w:p>
        </w:tc>
        <w:tc>
          <w:tcPr>
            <w:tcW w:w="7712" w:type="dxa"/>
          </w:tcPr>
          <w:p w14:paraId="2672E46F" w14:textId="77777777" w:rsidR="00996345" w:rsidRPr="0001061F" w:rsidRDefault="00996345" w:rsidP="00996345">
            <w:pPr>
              <w:pStyle w:val="TableText"/>
            </w:pPr>
            <w:r w:rsidRPr="0001061F">
              <w:t>The Strategy identifies that anyone affected by harm from any form of gambling, including online gambling, is eligible to access help and support services, and that research into the harmful effects of online gambling will remain a priority research area.</w:t>
            </w:r>
          </w:p>
          <w:p w14:paraId="20B236D7" w14:textId="0997F5F0" w:rsidR="00996345" w:rsidRPr="0001061F" w:rsidRDefault="00996345" w:rsidP="00996345">
            <w:pPr>
              <w:pStyle w:val="TableText"/>
            </w:pPr>
            <w:r w:rsidRPr="0001061F">
              <w:t>In terms of controls</w:t>
            </w:r>
            <w:r>
              <w:t xml:space="preserve"> on online gambling</w:t>
            </w:r>
            <w:r w:rsidRPr="0001061F">
              <w:t>, the proposed strategic framework recognises the different agencies who have key roles to address gambling harm, noting that the gambling regulatory framework is governed by a different process led by the Department of Internal Affairs. For example,</w:t>
            </w:r>
            <w:r>
              <w:t xml:space="preserve"> the </w:t>
            </w:r>
            <w:r w:rsidRPr="0001061F">
              <w:t xml:space="preserve"> role </w:t>
            </w:r>
            <w:r>
              <w:t xml:space="preserve">of the Department of Internal Affairs </w:t>
            </w:r>
            <w:r w:rsidRPr="0001061F">
              <w:t xml:space="preserve">contributes to strategic objective 3, to </w:t>
            </w:r>
            <w:r>
              <w:t>s</w:t>
            </w:r>
            <w:r w:rsidRPr="0070359C">
              <w:t>trengthen leadership and accountability to achieve equity</w:t>
            </w:r>
            <w:r>
              <w:t>, which includes the priority action to i</w:t>
            </w:r>
            <w:r w:rsidRPr="0070359C">
              <w:t>dentify improvements to the legislative and regulatory framework to reduce gambling-related harm</w:t>
            </w:r>
            <w:r w:rsidRPr="0001061F">
              <w:t xml:space="preserve">. </w:t>
            </w:r>
            <w:r>
              <w:t>We note the whole of government action plan</w:t>
            </w:r>
            <w:r w:rsidRPr="0001061F">
              <w:t xml:space="preserve"> </w:t>
            </w:r>
            <w:r w:rsidRPr="00760DCB">
              <w:rPr>
                <w:i/>
                <w:iCs/>
              </w:rPr>
              <w:t xml:space="preserve">Kia </w:t>
            </w:r>
            <w:proofErr w:type="spellStart"/>
            <w:r w:rsidRPr="00760DCB">
              <w:rPr>
                <w:i/>
                <w:iCs/>
              </w:rPr>
              <w:t>Manawanui</w:t>
            </w:r>
            <w:proofErr w:type="spellEnd"/>
            <w:r w:rsidRPr="00760DCB">
              <w:rPr>
                <w:i/>
                <w:iCs/>
              </w:rPr>
              <w:t xml:space="preserve"> Aotearoa: Long- term pathway to mental wellbeing</w:t>
            </w:r>
            <w:r w:rsidRPr="0001061F">
              <w:t xml:space="preserve"> </w:t>
            </w:r>
            <w:r>
              <w:t>commits to</w:t>
            </w:r>
            <w:r w:rsidRPr="0001061F">
              <w:t xml:space="preserve"> a review of the Gambling Act 2003, with particular </w:t>
            </w:r>
            <w:r>
              <w:t xml:space="preserve">reference to </w:t>
            </w:r>
            <w:r w:rsidRPr="0001061F">
              <w:t xml:space="preserve">preventing and minimising harm from online gambling </w:t>
            </w:r>
            <w:r w:rsidR="00AD7CB7">
              <w:t>and electronic gaming machines.</w:t>
            </w:r>
          </w:p>
        </w:tc>
      </w:tr>
      <w:tr w:rsidR="00996345" w:rsidRPr="009B4A3D" w14:paraId="5E1D5815" w14:textId="77777777" w:rsidTr="00996345">
        <w:trPr>
          <w:cantSplit/>
        </w:trPr>
        <w:tc>
          <w:tcPr>
            <w:tcW w:w="6889" w:type="dxa"/>
          </w:tcPr>
          <w:p w14:paraId="2F62B0CF" w14:textId="44C03F3E" w:rsidR="00996345" w:rsidRPr="0001061F" w:rsidRDefault="00996345" w:rsidP="00AB601E">
            <w:pPr>
              <w:pStyle w:val="TableText"/>
              <w:ind w:right="284"/>
            </w:pPr>
            <w:bookmarkStart w:id="12" w:name="_Hlk87547858"/>
            <w:r w:rsidRPr="00032721">
              <w:t>Submissions mostly from NCGM</w:t>
            </w:r>
            <w:r>
              <w:t>s</w:t>
            </w:r>
            <w:r w:rsidRPr="00032721">
              <w:t xml:space="preserve">, </w:t>
            </w:r>
            <w:r w:rsidRPr="00F25177">
              <w:t xml:space="preserve">services and </w:t>
            </w:r>
            <w:r>
              <w:t xml:space="preserve">people with </w:t>
            </w:r>
            <w:r w:rsidRPr="00F25177">
              <w:t xml:space="preserve">lived experience </w:t>
            </w:r>
            <w:r w:rsidRPr="0056438B">
              <w:t xml:space="preserve">also sought </w:t>
            </w:r>
            <w:r w:rsidRPr="00296598">
              <w:rPr>
                <w:b/>
                <w:bCs/>
              </w:rPr>
              <w:t>changes to the broader gambling policy, legislative or regulatory frameworks</w:t>
            </w:r>
            <w:r w:rsidRPr="0001061F">
              <w:t>. This was expressed through calls to reduce class 4 venues and machine numbers</w:t>
            </w:r>
            <w:r w:rsidRPr="00032721">
              <w:t xml:space="preserve">, to </w:t>
            </w:r>
            <w:r w:rsidRPr="00F25177">
              <w:t>strengthen local authority roles</w:t>
            </w:r>
            <w:r w:rsidRPr="0056438B">
              <w:t xml:space="preserve">, </w:t>
            </w:r>
            <w:r>
              <w:t xml:space="preserve">to strengthen </w:t>
            </w:r>
            <w:r w:rsidRPr="0056438B">
              <w:t xml:space="preserve">host responsibility training and accountability, to further limit advertising and sponsorship and </w:t>
            </w:r>
            <w:r>
              <w:t xml:space="preserve">to </w:t>
            </w:r>
            <w:r w:rsidRPr="0056438B">
              <w:t xml:space="preserve">set tighter controls </w:t>
            </w:r>
            <w:r>
              <w:t xml:space="preserve">(for example, </w:t>
            </w:r>
            <w:r w:rsidRPr="0056438B">
              <w:t>age limits to prevent underage access</w:t>
            </w:r>
            <w:bookmarkEnd w:id="12"/>
            <w:r>
              <w:t>)</w:t>
            </w:r>
            <w:r w:rsidRPr="0056438B">
              <w:t xml:space="preserve">. </w:t>
            </w:r>
            <w:r w:rsidRPr="0001061F">
              <w:t>Some</w:t>
            </w:r>
            <w:r>
              <w:t xml:space="preserve"> </w:t>
            </w:r>
            <w:r w:rsidRPr="0001061F">
              <w:t>called for new community funding models</w:t>
            </w:r>
            <w:r>
              <w:t>,</w:t>
            </w:r>
            <w:r w:rsidRPr="0001061F">
              <w:t xml:space="preserve"> and suggested th</w:t>
            </w:r>
            <w:r>
              <w:t>at</w:t>
            </w:r>
            <w:r w:rsidRPr="0001061F">
              <w:t xml:space="preserve"> gambling harm controls should be strengthened to align with those imposed on the sale of alcohol.</w:t>
            </w:r>
          </w:p>
        </w:tc>
        <w:tc>
          <w:tcPr>
            <w:tcW w:w="7712" w:type="dxa"/>
          </w:tcPr>
          <w:p w14:paraId="7825B7F5" w14:textId="1E470AE3" w:rsidR="00996345" w:rsidRPr="00F25177" w:rsidRDefault="00996345" w:rsidP="00996345">
            <w:pPr>
              <w:pStyle w:val="TableText"/>
            </w:pPr>
            <w:r w:rsidRPr="0001061F">
              <w:t xml:space="preserve">The Ministry recognises these concerns, but </w:t>
            </w:r>
            <w:r>
              <w:t xml:space="preserve">notes that, like </w:t>
            </w:r>
            <w:r w:rsidRPr="0001061F">
              <w:t xml:space="preserve">online gambling controls </w:t>
            </w:r>
            <w:r>
              <w:t xml:space="preserve">(discussed </w:t>
            </w:r>
            <w:r w:rsidRPr="0001061F">
              <w:t>above</w:t>
            </w:r>
            <w:r>
              <w:t>)</w:t>
            </w:r>
            <w:r w:rsidRPr="0001061F">
              <w:t xml:space="preserve">, they are </w:t>
            </w:r>
            <w:r>
              <w:t xml:space="preserve">best </w:t>
            </w:r>
            <w:r w:rsidRPr="0001061F">
              <w:t>addressed at a systems response level, as provide</w:t>
            </w:r>
            <w:r>
              <w:t>d</w:t>
            </w:r>
            <w:r w:rsidRPr="0001061F">
              <w:t xml:space="preserve"> in the strategic framework, not through the service plan</w:t>
            </w:r>
            <w:r>
              <w:t>,</w:t>
            </w:r>
            <w:r w:rsidRPr="0001061F">
              <w:t xml:space="preserve"> which provides for public health and clinical services, research and evaluation</w:t>
            </w:r>
            <w:r w:rsidRPr="00032721">
              <w:t>.</w:t>
            </w:r>
          </w:p>
          <w:p w14:paraId="5A0F2C23" w14:textId="77777777" w:rsidR="00996345" w:rsidRPr="0001061F" w:rsidRDefault="00996345" w:rsidP="00996345">
            <w:pPr>
              <w:pStyle w:val="TableText"/>
            </w:pPr>
            <w:r w:rsidRPr="0056438B">
              <w:t>As these concerns mostly relate to the gambling regulatory framework itself, they require a different process</w:t>
            </w:r>
            <w:r>
              <w:t>,</w:t>
            </w:r>
            <w:r w:rsidRPr="0056438B">
              <w:t xml:space="preserve"> </w:t>
            </w:r>
            <w:r>
              <w:t>which the Department of Internal Affairs leads.</w:t>
            </w:r>
            <w:r w:rsidRPr="0001061F">
              <w:t xml:space="preserve"> As noted above, there is an opportunity to consider several of these issues through the </w:t>
            </w:r>
            <w:r>
              <w:t>Department of Internal Affairs</w:t>
            </w:r>
            <w:r w:rsidRPr="0001061F">
              <w:t xml:space="preserve">’ ongoing work to minimise harm from electronic gaming machines, </w:t>
            </w:r>
            <w:r>
              <w:t>and through</w:t>
            </w:r>
            <w:r w:rsidRPr="0001061F">
              <w:t xml:space="preserve"> the review of the Gambling Act 2003 </w:t>
            </w:r>
            <w:r>
              <w:t xml:space="preserve">specified </w:t>
            </w:r>
            <w:r w:rsidRPr="0001061F">
              <w:t xml:space="preserve">in </w:t>
            </w:r>
            <w:r w:rsidRPr="0057302F">
              <w:rPr>
                <w:i/>
                <w:iCs/>
              </w:rPr>
              <w:t xml:space="preserve">Kia </w:t>
            </w:r>
            <w:proofErr w:type="spellStart"/>
            <w:r w:rsidRPr="0057302F">
              <w:rPr>
                <w:i/>
                <w:iCs/>
              </w:rPr>
              <w:t>Manawanui</w:t>
            </w:r>
            <w:proofErr w:type="spellEnd"/>
            <w:r w:rsidRPr="0001061F">
              <w:t>.</w:t>
            </w:r>
          </w:p>
          <w:p w14:paraId="131D178E" w14:textId="26796661" w:rsidR="00996345" w:rsidRPr="0001061F" w:rsidRDefault="00996345" w:rsidP="00996345">
            <w:pPr>
              <w:pStyle w:val="TableText"/>
            </w:pPr>
            <w:r w:rsidRPr="0001061F">
              <w:t xml:space="preserve">The Ministry also will continue to provide advice on preventing and minimising gambling harm, and work with </w:t>
            </w:r>
            <w:r>
              <w:t>the Department of Internal Affairs</w:t>
            </w:r>
            <w:r w:rsidRPr="0001061F" w:rsidDel="001579AC">
              <w:t xml:space="preserve"> </w:t>
            </w:r>
            <w:r w:rsidRPr="0001061F">
              <w:t xml:space="preserve">and other agencies who </w:t>
            </w:r>
            <w:r>
              <w:t xml:space="preserve">work in this area, particularly to </w:t>
            </w:r>
            <w:r w:rsidRPr="0001061F">
              <w:t>ensure</w:t>
            </w:r>
            <w:r w:rsidRPr="00E67C58">
              <w:t xml:space="preserve"> that people have the information and support to make healthy choices about gambling for themselves and others</w:t>
            </w:r>
            <w:r>
              <w:t>.</w:t>
            </w:r>
          </w:p>
        </w:tc>
      </w:tr>
      <w:bookmarkEnd w:id="11"/>
      <w:tr w:rsidR="00996345" w:rsidRPr="009B4A3D" w14:paraId="2038DF64" w14:textId="77777777" w:rsidTr="00996345">
        <w:trPr>
          <w:cantSplit/>
        </w:trPr>
        <w:tc>
          <w:tcPr>
            <w:tcW w:w="6889" w:type="dxa"/>
          </w:tcPr>
          <w:p w14:paraId="26C911FF" w14:textId="77777777" w:rsidR="00996345" w:rsidRPr="0001061F" w:rsidRDefault="00996345" w:rsidP="00AB601E">
            <w:pPr>
              <w:pStyle w:val="TableText"/>
              <w:ind w:right="284"/>
            </w:pPr>
            <w:r w:rsidRPr="00032721">
              <w:t>Submissions representing priority populations, health and service providers called for m</w:t>
            </w:r>
            <w:r w:rsidRPr="0056438B">
              <w:t xml:space="preserve">ore effective </w:t>
            </w:r>
            <w:r w:rsidRPr="00296598">
              <w:rPr>
                <w:b/>
                <w:bCs/>
              </w:rPr>
              <w:t>health promotion</w:t>
            </w:r>
            <w:r w:rsidRPr="0056438B">
              <w:t xml:space="preserve"> and prevention services, </w:t>
            </w:r>
            <w:r>
              <w:t xml:space="preserve">and </w:t>
            </w:r>
            <w:r w:rsidRPr="0056438B">
              <w:t>face-to-face support for vulnerable groups/priority populations.</w:t>
            </w:r>
          </w:p>
        </w:tc>
        <w:tc>
          <w:tcPr>
            <w:tcW w:w="7712" w:type="dxa"/>
          </w:tcPr>
          <w:p w14:paraId="0AC41A7D" w14:textId="1A596EC2" w:rsidR="00996345" w:rsidRPr="00032721" w:rsidRDefault="00996345" w:rsidP="00996345">
            <w:pPr>
              <w:pStyle w:val="TableText"/>
            </w:pPr>
            <w:r w:rsidRPr="0001061F">
              <w:t xml:space="preserve">The Ministry has amended the service plan to prioritise greater use of lived experience input </w:t>
            </w:r>
            <w:r>
              <w:t>to inform the development and delivery of services and supports</w:t>
            </w:r>
            <w:r w:rsidRPr="0001061F">
              <w:t xml:space="preserve">, and to </w:t>
            </w:r>
            <w:r>
              <w:t xml:space="preserve">trial more </w:t>
            </w:r>
            <w:r w:rsidRPr="0001061F">
              <w:t xml:space="preserve">effective ways of reaching and supporting </w:t>
            </w:r>
            <w:r>
              <w:t>priority</w:t>
            </w:r>
            <w:r w:rsidRPr="0001061F">
              <w:t xml:space="preserve"> groups. </w:t>
            </w:r>
            <w:r>
              <w:t xml:space="preserve">We </w:t>
            </w:r>
            <w:r w:rsidRPr="0001061F">
              <w:t xml:space="preserve">will also consider findings from the peer support pilot support and apply </w:t>
            </w:r>
            <w:r>
              <w:t xml:space="preserve">any lessons learnt as we </w:t>
            </w:r>
            <w:r w:rsidRPr="0001061F">
              <w:t xml:space="preserve">develop </w:t>
            </w:r>
            <w:r>
              <w:t xml:space="preserve">and expand </w:t>
            </w:r>
            <w:r w:rsidRPr="0001061F">
              <w:t>the peer workforce.</w:t>
            </w:r>
          </w:p>
        </w:tc>
      </w:tr>
      <w:tr w:rsidR="00996345" w:rsidRPr="009B4A3D" w14:paraId="24696B54" w14:textId="77777777" w:rsidTr="00996345">
        <w:trPr>
          <w:cantSplit/>
        </w:trPr>
        <w:tc>
          <w:tcPr>
            <w:tcW w:w="6889" w:type="dxa"/>
          </w:tcPr>
          <w:p w14:paraId="40DEB8B9" w14:textId="48A38F71" w:rsidR="00996345" w:rsidRPr="0001061F" w:rsidRDefault="00996345" w:rsidP="00AB601E">
            <w:pPr>
              <w:pStyle w:val="TableText"/>
              <w:ind w:right="284"/>
            </w:pPr>
            <w:r>
              <w:lastRenderedPageBreak/>
              <w:t>Many s</w:t>
            </w:r>
            <w:r w:rsidRPr="00032721">
              <w:t xml:space="preserve">ubmissions </w:t>
            </w:r>
            <w:r>
              <w:t xml:space="preserve">highlighted </w:t>
            </w:r>
            <w:r w:rsidRPr="00032721">
              <w:t xml:space="preserve">the role and value of </w:t>
            </w:r>
            <w:r w:rsidRPr="00F25177">
              <w:rPr>
                <w:bCs/>
              </w:rPr>
              <w:t>lived experience</w:t>
            </w:r>
            <w:r>
              <w:t>;</w:t>
            </w:r>
            <w:r w:rsidRPr="0056438B">
              <w:t xml:space="preserve"> for example</w:t>
            </w:r>
            <w:r>
              <w:t>,</w:t>
            </w:r>
            <w:r w:rsidRPr="0056438B">
              <w:t xml:space="preserve"> in providing </w:t>
            </w:r>
            <w:r w:rsidRPr="0001061F">
              <w:t>culturally appropriate peer support and inform</w:t>
            </w:r>
            <w:r>
              <w:t>ing</w:t>
            </w:r>
            <w:r w:rsidRPr="0001061F">
              <w:t xml:space="preserve"> the co</w:t>
            </w:r>
            <w:r w:rsidR="00AB601E">
              <w:noBreakHyphen/>
            </w:r>
            <w:r w:rsidRPr="0001061F">
              <w:t xml:space="preserve">design of clinical and public health services </w:t>
            </w:r>
            <w:r>
              <w:t xml:space="preserve">including </w:t>
            </w:r>
            <w:proofErr w:type="spellStart"/>
            <w:r>
              <w:t>k</w:t>
            </w:r>
            <w:r w:rsidRPr="0001061F">
              <w:t>aupapa</w:t>
            </w:r>
            <w:proofErr w:type="spellEnd"/>
            <w:r w:rsidRPr="0001061F">
              <w:t xml:space="preserve"> M</w:t>
            </w:r>
            <w:r>
              <w:t>ā</w:t>
            </w:r>
            <w:r w:rsidRPr="0001061F">
              <w:t xml:space="preserve">ori </w:t>
            </w:r>
            <w:r>
              <w:t>services and services informed by Pacific and Asian worldviews.</w:t>
            </w:r>
          </w:p>
          <w:p w14:paraId="3B61704B" w14:textId="77777777" w:rsidR="00996345" w:rsidRPr="0001061F" w:rsidRDefault="00996345" w:rsidP="00AB601E">
            <w:pPr>
              <w:pStyle w:val="TableText"/>
              <w:ind w:right="284"/>
            </w:pPr>
            <w:r w:rsidRPr="0001061F">
              <w:t>Submissions from the Asian hui recommended support to establish community-based peer support for people affected by gambling harm and addiction issues.</w:t>
            </w:r>
          </w:p>
        </w:tc>
        <w:tc>
          <w:tcPr>
            <w:tcW w:w="7712" w:type="dxa"/>
          </w:tcPr>
          <w:p w14:paraId="241DB3FB" w14:textId="4B304050" w:rsidR="00996345" w:rsidRPr="00F25177" w:rsidRDefault="00996345" w:rsidP="00996345">
            <w:pPr>
              <w:pStyle w:val="TableText"/>
            </w:pPr>
            <w:r w:rsidRPr="0001061F">
              <w:t>The Ministry has established the Lived Experience Advisory Group to participate in the co</w:t>
            </w:r>
            <w:r w:rsidR="00296598">
              <w:noBreakHyphen/>
            </w:r>
            <w:r w:rsidRPr="0001061F">
              <w:t xml:space="preserve">design process </w:t>
            </w:r>
            <w:r>
              <w:t xml:space="preserve">developing </w:t>
            </w:r>
            <w:r w:rsidRPr="0001061F">
              <w:t>the future direction, development, implementation and evaluation of the gambling harm work programme</w:t>
            </w:r>
            <w:r w:rsidR="00296598">
              <w:t>.</w:t>
            </w:r>
          </w:p>
          <w:p w14:paraId="228E69A5" w14:textId="3ACCFF8E" w:rsidR="00996345" w:rsidRPr="0001061F" w:rsidRDefault="00996345" w:rsidP="00996345">
            <w:pPr>
              <w:pStyle w:val="TableText"/>
            </w:pPr>
            <w:r w:rsidRPr="0001061F">
              <w:t>The Ministry has also commissioned a peer-led organisation to lead the development of a</w:t>
            </w:r>
            <w:r>
              <w:t>n</w:t>
            </w:r>
            <w:r w:rsidRPr="0001061F">
              <w:t xml:space="preserve"> Auckland-based peer workforce for </w:t>
            </w:r>
            <w:r>
              <w:t xml:space="preserve">services and support to address gambling harm. </w:t>
            </w:r>
            <w:r w:rsidRPr="0001061F">
              <w:t xml:space="preserve"> The peer workforce model will be informed by a co-design process. The pilot will initially focus on Māori and Pacific peers with lived experience of gambling harm and experience of accessing gambling harm services.</w:t>
            </w:r>
            <w:r>
              <w:t xml:space="preserve"> </w:t>
            </w:r>
            <w:r w:rsidRPr="0001061F">
              <w:t>An external process and outcome evaluation will run parallel to the pilot. The pilot and evaluation will inform the future development of peer</w:t>
            </w:r>
            <w:r w:rsidR="00296598">
              <w:t xml:space="preserve"> roles across the wider sector.</w:t>
            </w:r>
          </w:p>
          <w:p w14:paraId="4C77A107" w14:textId="77777777" w:rsidR="00996345" w:rsidRPr="0001061F" w:rsidRDefault="00996345" w:rsidP="00996345">
            <w:pPr>
              <w:pStyle w:val="TableText"/>
            </w:pPr>
            <w:r w:rsidRPr="0001061F">
              <w:t>The level of resources advised in the consultation document are appropriate for the next levy period</w:t>
            </w:r>
            <w:r w:rsidRPr="00032721">
              <w:t>.</w:t>
            </w:r>
            <w:r>
              <w:t xml:space="preserve"> </w:t>
            </w:r>
            <w:r w:rsidRPr="0056438B">
              <w:t xml:space="preserve">As noted above, we are also proposing scholarships to support people with lived experience to enter the </w:t>
            </w:r>
            <w:r>
              <w:t xml:space="preserve">gambling harm </w:t>
            </w:r>
            <w:r w:rsidRPr="0001061F">
              <w:t>workforce</w:t>
            </w:r>
            <w:r>
              <w:t>.</w:t>
            </w:r>
          </w:p>
        </w:tc>
      </w:tr>
    </w:tbl>
    <w:p w14:paraId="24060251" w14:textId="77777777" w:rsidR="008F15C3" w:rsidRDefault="008F15C3" w:rsidP="00296598">
      <w:pPr>
        <w:rPr>
          <w:lang w:eastAsia="en-NZ"/>
        </w:rPr>
      </w:pPr>
    </w:p>
    <w:p w14:paraId="31AD8610" w14:textId="77777777" w:rsidR="00CA1671" w:rsidRPr="00DD748F" w:rsidRDefault="00CA1671" w:rsidP="00CA1671">
      <w:pPr>
        <w:spacing w:before="480"/>
        <w:jc w:val="center"/>
        <w:rPr>
          <w:rFonts w:ascii="Cambria" w:hAnsi="Cambria"/>
        </w:rPr>
      </w:pPr>
      <w:r w:rsidRPr="00DD748F">
        <w:rPr>
          <w:rFonts w:ascii="Cambria" w:hAnsi="Cambria"/>
          <w:noProof/>
          <w:lang w:eastAsia="en-NZ"/>
        </w:rPr>
        <w:drawing>
          <wp:inline distT="0" distB="0" distL="0" distR="0" wp14:anchorId="494D1BD1" wp14:editId="764783D3">
            <wp:extent cx="1346835" cy="664845"/>
            <wp:effectExtent l="0" t="0" r="5715" b="1905"/>
            <wp:docPr id="14" name="Picture 1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Ministry of Health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14:paraId="68FCE795" w14:textId="62EDF846" w:rsidR="00CA1671" w:rsidRDefault="00CA1671" w:rsidP="00CA1671">
      <w:pPr>
        <w:spacing w:before="240"/>
        <w:jc w:val="center"/>
        <w:rPr>
          <w:lang w:eastAsia="en-NZ"/>
        </w:rPr>
      </w:pPr>
      <w:r>
        <w:t>December 2021</w:t>
      </w:r>
      <w:r w:rsidRPr="00DD748F">
        <w:br/>
      </w:r>
      <w:r w:rsidRPr="00DD748F">
        <w:rPr>
          <w:lang w:eastAsia="en-NZ"/>
        </w:rPr>
        <w:t>HP</w:t>
      </w:r>
      <w:r w:rsidR="001E0865">
        <w:rPr>
          <w:lang w:eastAsia="en-NZ"/>
        </w:rPr>
        <w:t xml:space="preserve"> 8015</w:t>
      </w:r>
    </w:p>
    <w:p w14:paraId="0E2161B1" w14:textId="77777777" w:rsidR="00CA1671" w:rsidRPr="00A141D4" w:rsidRDefault="00CA1671" w:rsidP="00296598">
      <w:pPr>
        <w:rPr>
          <w:lang w:eastAsia="en-NZ"/>
        </w:rPr>
      </w:pPr>
    </w:p>
    <w:sectPr w:rsidR="00CA1671" w:rsidRPr="00A141D4" w:rsidSect="00996345">
      <w:footerReference w:type="even" r:id="rId13"/>
      <w:footerReference w:type="default" r:id="rId14"/>
      <w:headerReference w:type="first" r:id="rId15"/>
      <w:footerReference w:type="first" r:id="rId16"/>
      <w:pgSz w:w="16838" w:h="11906" w:orient="landscape" w:code="9"/>
      <w:pgMar w:top="851" w:right="1134" w:bottom="1134" w:left="1134"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AE01E" w14:textId="77777777" w:rsidR="00936657" w:rsidRDefault="00936657">
      <w:r>
        <w:separator/>
      </w:r>
    </w:p>
  </w:endnote>
  <w:endnote w:type="continuationSeparator" w:id="0">
    <w:p w14:paraId="38E63434" w14:textId="77777777" w:rsidR="00936657" w:rsidRDefault="00936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8F15C3" w14:paraId="3E8638C8" w14:textId="77777777" w:rsidTr="007D72F9">
      <w:trPr>
        <w:cantSplit/>
      </w:trPr>
      <w:tc>
        <w:tcPr>
          <w:tcW w:w="567" w:type="dxa"/>
          <w:vAlign w:val="center"/>
        </w:tcPr>
        <w:p w14:paraId="32A08582" w14:textId="77777777" w:rsidR="008F15C3" w:rsidRPr="00525FFB" w:rsidRDefault="008F15C3" w:rsidP="008F15C3">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A1671">
            <w:rPr>
              <w:rStyle w:val="PageNumber"/>
              <w:noProof/>
              <w:sz w:val="22"/>
              <w:szCs w:val="22"/>
            </w:rPr>
            <w:t>2</w:t>
          </w:r>
          <w:r w:rsidRPr="00525FFB">
            <w:rPr>
              <w:rStyle w:val="PageNumber"/>
              <w:sz w:val="22"/>
              <w:szCs w:val="22"/>
            </w:rPr>
            <w:fldChar w:fldCharType="end"/>
          </w:r>
        </w:p>
      </w:tc>
      <w:tc>
        <w:tcPr>
          <w:tcW w:w="9356" w:type="dxa"/>
          <w:vAlign w:val="center"/>
        </w:tcPr>
        <w:p w14:paraId="532E9E92" w14:textId="0970CC1E" w:rsidR="008F15C3" w:rsidRDefault="008F15C3" w:rsidP="00AF4D9A">
          <w:pPr>
            <w:pStyle w:val="RectoFooter"/>
            <w:jc w:val="left"/>
          </w:pPr>
          <w:r>
            <w:t>submissions on the strategy consultation document</w:t>
          </w:r>
          <w:r>
            <w:br/>
            <w:t>a summary of key themes and the Ministry of health’s response</w:t>
          </w:r>
        </w:p>
      </w:tc>
    </w:tr>
  </w:tbl>
  <w:p w14:paraId="3E3D2028" w14:textId="77777777" w:rsidR="008F15C3" w:rsidRPr="00525FFB" w:rsidRDefault="008F15C3"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034"/>
      <w:gridCol w:w="567"/>
    </w:tblGrid>
    <w:tr w:rsidR="008F15C3" w14:paraId="329040F6" w14:textId="77777777" w:rsidTr="008F15C3">
      <w:trPr>
        <w:cantSplit/>
      </w:trPr>
      <w:tc>
        <w:tcPr>
          <w:tcW w:w="14034" w:type="dxa"/>
          <w:vAlign w:val="center"/>
        </w:tcPr>
        <w:p w14:paraId="49B10DE2" w14:textId="77777777" w:rsidR="008F15C3" w:rsidRDefault="008F15C3" w:rsidP="008F15C3">
          <w:pPr>
            <w:pStyle w:val="RectoFooter"/>
          </w:pPr>
          <w:r>
            <w:t>submissions on the strategy consultation document</w:t>
          </w:r>
          <w:r>
            <w:br/>
            <w:t>a summary of key themes and the Ministry of health’s response</w:t>
          </w:r>
        </w:p>
      </w:tc>
      <w:tc>
        <w:tcPr>
          <w:tcW w:w="567" w:type="dxa"/>
          <w:vAlign w:val="center"/>
        </w:tcPr>
        <w:p w14:paraId="286E827A" w14:textId="77777777" w:rsidR="008F15C3" w:rsidRPr="00525FFB" w:rsidRDefault="008F15C3" w:rsidP="008F15C3">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A1671">
            <w:rPr>
              <w:rStyle w:val="PageNumber"/>
              <w:noProof/>
              <w:sz w:val="22"/>
              <w:szCs w:val="22"/>
            </w:rPr>
            <w:t>9</w:t>
          </w:r>
          <w:r w:rsidRPr="00525FFB">
            <w:rPr>
              <w:rStyle w:val="PageNumber"/>
              <w:sz w:val="22"/>
              <w:szCs w:val="22"/>
            </w:rPr>
            <w:fldChar w:fldCharType="end"/>
          </w:r>
        </w:p>
      </w:tc>
    </w:tr>
  </w:tbl>
  <w:p w14:paraId="01637F7F" w14:textId="77777777" w:rsidR="008F15C3" w:rsidRPr="00525FFB" w:rsidRDefault="008F15C3"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034"/>
      <w:gridCol w:w="567"/>
    </w:tblGrid>
    <w:tr w:rsidR="008F15C3" w14:paraId="21D7E1BB" w14:textId="77777777" w:rsidTr="00A141D4">
      <w:trPr>
        <w:cantSplit/>
      </w:trPr>
      <w:tc>
        <w:tcPr>
          <w:tcW w:w="14034" w:type="dxa"/>
          <w:vAlign w:val="center"/>
        </w:tcPr>
        <w:p w14:paraId="0A280F73" w14:textId="729B5A85" w:rsidR="008F15C3" w:rsidRDefault="008F15C3" w:rsidP="00A141D4">
          <w:pPr>
            <w:pStyle w:val="RectoFooter"/>
          </w:pPr>
          <w:r>
            <w:t>submissions on the strategy consultation document</w:t>
          </w:r>
          <w:r>
            <w:br/>
            <w:t>a summary of key themes and the Ministry of health’s response</w:t>
          </w:r>
        </w:p>
      </w:tc>
      <w:tc>
        <w:tcPr>
          <w:tcW w:w="567" w:type="dxa"/>
          <w:vAlign w:val="center"/>
        </w:tcPr>
        <w:p w14:paraId="3DE55418" w14:textId="77777777" w:rsidR="008F15C3" w:rsidRPr="00525FFB" w:rsidRDefault="008F15C3" w:rsidP="008F15C3">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CA1671">
            <w:rPr>
              <w:rStyle w:val="PageNumber"/>
              <w:noProof/>
              <w:sz w:val="22"/>
              <w:szCs w:val="22"/>
            </w:rPr>
            <w:t>1</w:t>
          </w:r>
          <w:r w:rsidRPr="00525FFB">
            <w:rPr>
              <w:rStyle w:val="PageNumber"/>
              <w:sz w:val="22"/>
              <w:szCs w:val="22"/>
            </w:rPr>
            <w:fldChar w:fldCharType="end"/>
          </w:r>
        </w:p>
      </w:tc>
    </w:tr>
  </w:tbl>
  <w:p w14:paraId="71FB8192" w14:textId="77777777" w:rsidR="008F15C3" w:rsidRPr="00113C1B" w:rsidRDefault="008F15C3"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0959" w14:textId="77777777" w:rsidR="00936657" w:rsidRPr="00680D2D" w:rsidRDefault="00936657" w:rsidP="00680D2D">
      <w:pPr>
        <w:pStyle w:val="Footer"/>
      </w:pPr>
    </w:p>
  </w:footnote>
  <w:footnote w:type="continuationSeparator" w:id="0">
    <w:p w14:paraId="144E6F5F" w14:textId="77777777" w:rsidR="00936657" w:rsidRDefault="00936657">
      <w:r>
        <w:continuationSeparator/>
      </w:r>
    </w:p>
  </w:footnote>
  <w:footnote w:id="1">
    <w:p w14:paraId="7438C73A" w14:textId="6F9EE850" w:rsidR="008F15C3" w:rsidRPr="00F60342" w:rsidRDefault="008F15C3" w:rsidP="00AD7CB7">
      <w:pPr>
        <w:pStyle w:val="FootnoteText"/>
        <w:rPr>
          <w:lang w:val="en-US"/>
        </w:rPr>
      </w:pPr>
      <w:r w:rsidRPr="00AD7CB7">
        <w:rPr>
          <w:rStyle w:val="FootnoteReference"/>
        </w:rPr>
        <w:footnoteRef/>
      </w:r>
      <w:r>
        <w:tab/>
        <w:t xml:space="preserve">Ministry of Health. 2021. </w:t>
      </w:r>
      <w:r w:rsidRPr="007F6E61">
        <w:rPr>
          <w:i/>
          <w:iCs/>
          <w:lang w:val="en-US"/>
        </w:rPr>
        <w:t>Kia</w:t>
      </w:r>
      <w:r w:rsidRPr="00FB5A52">
        <w:rPr>
          <w:i/>
          <w:iCs/>
        </w:rPr>
        <w:t xml:space="preserve"> </w:t>
      </w:r>
      <w:proofErr w:type="spellStart"/>
      <w:r w:rsidRPr="00FB5A52">
        <w:rPr>
          <w:i/>
          <w:iCs/>
        </w:rPr>
        <w:t>Manawanui</w:t>
      </w:r>
      <w:proofErr w:type="spellEnd"/>
      <w:r w:rsidRPr="007F6E61">
        <w:rPr>
          <w:i/>
          <w:iCs/>
          <w:lang w:val="en-US"/>
        </w:rPr>
        <w:t xml:space="preserve"> Aotearoa</w:t>
      </w:r>
      <w:r>
        <w:rPr>
          <w:i/>
          <w:iCs/>
          <w:lang w:val="en-US"/>
        </w:rPr>
        <w:t>:</w:t>
      </w:r>
      <w:r w:rsidRPr="007F6E61">
        <w:rPr>
          <w:i/>
          <w:iCs/>
          <w:lang w:val="en-US"/>
        </w:rPr>
        <w:t xml:space="preserve"> Long-term pathway to mental wellbeing</w:t>
      </w:r>
      <w:r>
        <w:rPr>
          <w:lang w:val="en-US"/>
        </w:rPr>
        <w:t>. Wellington: Ministry of Health.</w:t>
      </w:r>
    </w:p>
  </w:footnote>
  <w:footnote w:id="2">
    <w:p w14:paraId="413FF215" w14:textId="6D7600FD" w:rsidR="008F15C3" w:rsidRDefault="008F15C3" w:rsidP="00AD7CB7">
      <w:pPr>
        <w:pStyle w:val="FootnoteText"/>
      </w:pPr>
      <w:r w:rsidRPr="00AD7CB7">
        <w:rPr>
          <w:rStyle w:val="FootnoteReference"/>
        </w:rPr>
        <w:footnoteRef/>
      </w:r>
      <w:r>
        <w:tab/>
        <w:t xml:space="preserve">One action specified in </w:t>
      </w:r>
      <w:r w:rsidRPr="00504375">
        <w:rPr>
          <w:i/>
          <w:iCs/>
        </w:rPr>
        <w:t xml:space="preserve">Kia </w:t>
      </w:r>
      <w:proofErr w:type="spellStart"/>
      <w:r w:rsidRPr="00504375">
        <w:rPr>
          <w:i/>
          <w:iCs/>
        </w:rPr>
        <w:t>Manawanui</w:t>
      </w:r>
      <w:proofErr w:type="spellEnd"/>
      <w:r>
        <w:t xml:space="preserve"> is to ‘Review the Gambling Act 2003, with particular reference to preventing and minimising harm from online gambling and electronic gaming machines’: Ministry of Health. 2021. </w:t>
      </w:r>
      <w:r w:rsidRPr="00666E43">
        <w:rPr>
          <w:i/>
          <w:iCs/>
        </w:rPr>
        <w:t xml:space="preserve">Kia </w:t>
      </w:r>
      <w:proofErr w:type="spellStart"/>
      <w:r w:rsidRPr="00666E43">
        <w:rPr>
          <w:i/>
          <w:iCs/>
        </w:rPr>
        <w:t>Manawanui</w:t>
      </w:r>
      <w:proofErr w:type="spellEnd"/>
      <w:r w:rsidRPr="00666E43">
        <w:rPr>
          <w:i/>
          <w:iCs/>
        </w:rPr>
        <w:t xml:space="preserve"> Aotearoa: Long-term pathway to mental wellbeing</w:t>
      </w:r>
      <w:r>
        <w:t xml:space="preserve">. </w:t>
      </w:r>
      <w:r>
        <w:rPr>
          <w:lang w:val="en-US"/>
        </w:rPr>
        <w:t>Wellington: Ministry of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93"/>
      <w:gridCol w:w="7393"/>
    </w:tblGrid>
    <w:tr w:rsidR="00CA1671" w14:paraId="3AD20A41" w14:textId="77777777" w:rsidTr="00CA1671">
      <w:trPr>
        <w:cantSplit/>
      </w:trPr>
      <w:tc>
        <w:tcPr>
          <w:tcW w:w="7393" w:type="dxa"/>
        </w:tcPr>
        <w:p w14:paraId="1A318D88" w14:textId="0A631B50" w:rsidR="00CA1671" w:rsidRDefault="00CA1671" w:rsidP="00CA1671">
          <w:pPr>
            <w:pStyle w:val="Header"/>
            <w:spacing w:after="0" w:line="240" w:lineRule="auto"/>
          </w:pPr>
          <w:r>
            <w:rPr>
              <w:noProof/>
              <w:lang w:eastAsia="en-NZ"/>
            </w:rPr>
            <w:drawing>
              <wp:inline distT="0" distB="0" distL="0" distR="0" wp14:anchorId="171B7653" wp14:editId="2B3026DF">
                <wp:extent cx="2028825" cy="713926"/>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781" r="62187"/>
                        <a:stretch/>
                      </pic:blipFill>
                      <pic:spPr bwMode="auto">
                        <a:xfrm>
                          <a:off x="0" y="0"/>
                          <a:ext cx="2035856" cy="716400"/>
                        </a:xfrm>
                        <a:prstGeom prst="rect">
                          <a:avLst/>
                        </a:prstGeom>
                        <a:ln>
                          <a:noFill/>
                        </a:ln>
                        <a:extLst>
                          <a:ext uri="{53640926-AAD7-44D8-BBD7-CCE9431645EC}">
                            <a14:shadowObscured xmlns:a14="http://schemas.microsoft.com/office/drawing/2010/main"/>
                          </a:ext>
                        </a:extLst>
                      </pic:spPr>
                    </pic:pic>
                  </a:graphicData>
                </a:graphic>
              </wp:inline>
            </w:drawing>
          </w:r>
        </w:p>
      </w:tc>
      <w:tc>
        <w:tcPr>
          <w:tcW w:w="7393" w:type="dxa"/>
        </w:tcPr>
        <w:p w14:paraId="7A0F5F90" w14:textId="7B3ED4AF" w:rsidR="00CA1671" w:rsidRDefault="00CA1671" w:rsidP="00CA1671">
          <w:pPr>
            <w:pStyle w:val="Header"/>
            <w:spacing w:after="0" w:line="240" w:lineRule="auto"/>
            <w:jc w:val="right"/>
          </w:pPr>
          <w:r>
            <w:rPr>
              <w:noProof/>
              <w:lang w:eastAsia="en-NZ"/>
            </w:rPr>
            <w:drawing>
              <wp:inline distT="0" distB="0" distL="0" distR="0" wp14:anchorId="3472255A" wp14:editId="34572E84">
                <wp:extent cx="1152525" cy="713926"/>
                <wp:effectExtent l="0" t="0" r="0" b="0"/>
                <wp:docPr id="3" name="Picture 3"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istry of Health logo"/>
                        <pic:cNvPicPr/>
                      </pic:nvPicPr>
                      <pic:blipFill rotWithShape="1">
                        <a:blip r:embed="rId1" cstate="print">
                          <a:extLst>
                            <a:ext uri="{28A0092B-C50C-407E-A947-70E740481C1C}">
                              <a14:useLocalDpi xmlns:a14="http://schemas.microsoft.com/office/drawing/2010/main" val="0"/>
                            </a:ext>
                          </a:extLst>
                        </a:blip>
                        <a:srcRect l="75760" r="8884"/>
                        <a:stretch/>
                      </pic:blipFill>
                      <pic:spPr bwMode="auto">
                        <a:xfrm>
                          <a:off x="0" y="0"/>
                          <a:ext cx="1156519" cy="7164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FFB66FC" w14:textId="77777777" w:rsidR="00CA1671" w:rsidRDefault="00CA1671" w:rsidP="00CA1671">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0B644E0"/>
    <w:multiLevelType w:val="hybridMultilevel"/>
    <w:tmpl w:val="2ED06D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7"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9"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D24EAD"/>
    <w:multiLevelType w:val="hybridMultilevel"/>
    <w:tmpl w:val="FB8CF2C0"/>
    <w:lvl w:ilvl="0" w:tplc="14090001">
      <w:start w:val="1"/>
      <w:numFmt w:val="bullet"/>
      <w:lvlText w:val=""/>
      <w:lvlJc w:val="left"/>
      <w:pPr>
        <w:ind w:left="771" w:hanging="360"/>
      </w:pPr>
      <w:rPr>
        <w:rFonts w:ascii="Symbol" w:hAnsi="Symbol" w:hint="default"/>
      </w:rPr>
    </w:lvl>
    <w:lvl w:ilvl="1" w:tplc="14090003" w:tentative="1">
      <w:start w:val="1"/>
      <w:numFmt w:val="bullet"/>
      <w:lvlText w:val="o"/>
      <w:lvlJc w:val="left"/>
      <w:pPr>
        <w:ind w:left="1491" w:hanging="360"/>
      </w:pPr>
      <w:rPr>
        <w:rFonts w:ascii="Courier New" w:hAnsi="Courier New" w:cs="Courier New" w:hint="default"/>
      </w:rPr>
    </w:lvl>
    <w:lvl w:ilvl="2" w:tplc="14090005" w:tentative="1">
      <w:start w:val="1"/>
      <w:numFmt w:val="bullet"/>
      <w:lvlText w:val=""/>
      <w:lvlJc w:val="left"/>
      <w:pPr>
        <w:ind w:left="2211" w:hanging="360"/>
      </w:pPr>
      <w:rPr>
        <w:rFonts w:ascii="Wingdings" w:hAnsi="Wingdings" w:hint="default"/>
      </w:rPr>
    </w:lvl>
    <w:lvl w:ilvl="3" w:tplc="14090001" w:tentative="1">
      <w:start w:val="1"/>
      <w:numFmt w:val="bullet"/>
      <w:lvlText w:val=""/>
      <w:lvlJc w:val="left"/>
      <w:pPr>
        <w:ind w:left="2931" w:hanging="360"/>
      </w:pPr>
      <w:rPr>
        <w:rFonts w:ascii="Symbol" w:hAnsi="Symbol" w:hint="default"/>
      </w:rPr>
    </w:lvl>
    <w:lvl w:ilvl="4" w:tplc="14090003" w:tentative="1">
      <w:start w:val="1"/>
      <w:numFmt w:val="bullet"/>
      <w:lvlText w:val="o"/>
      <w:lvlJc w:val="left"/>
      <w:pPr>
        <w:ind w:left="3651" w:hanging="360"/>
      </w:pPr>
      <w:rPr>
        <w:rFonts w:ascii="Courier New" w:hAnsi="Courier New" w:cs="Courier New" w:hint="default"/>
      </w:rPr>
    </w:lvl>
    <w:lvl w:ilvl="5" w:tplc="14090005" w:tentative="1">
      <w:start w:val="1"/>
      <w:numFmt w:val="bullet"/>
      <w:lvlText w:val=""/>
      <w:lvlJc w:val="left"/>
      <w:pPr>
        <w:ind w:left="4371" w:hanging="360"/>
      </w:pPr>
      <w:rPr>
        <w:rFonts w:ascii="Wingdings" w:hAnsi="Wingdings" w:hint="default"/>
      </w:rPr>
    </w:lvl>
    <w:lvl w:ilvl="6" w:tplc="14090001" w:tentative="1">
      <w:start w:val="1"/>
      <w:numFmt w:val="bullet"/>
      <w:lvlText w:val=""/>
      <w:lvlJc w:val="left"/>
      <w:pPr>
        <w:ind w:left="5091" w:hanging="360"/>
      </w:pPr>
      <w:rPr>
        <w:rFonts w:ascii="Symbol" w:hAnsi="Symbol" w:hint="default"/>
      </w:rPr>
    </w:lvl>
    <w:lvl w:ilvl="7" w:tplc="14090003" w:tentative="1">
      <w:start w:val="1"/>
      <w:numFmt w:val="bullet"/>
      <w:lvlText w:val="o"/>
      <w:lvlJc w:val="left"/>
      <w:pPr>
        <w:ind w:left="5811" w:hanging="360"/>
      </w:pPr>
      <w:rPr>
        <w:rFonts w:ascii="Courier New" w:hAnsi="Courier New" w:cs="Courier New" w:hint="default"/>
      </w:rPr>
    </w:lvl>
    <w:lvl w:ilvl="8" w:tplc="14090005" w:tentative="1">
      <w:start w:val="1"/>
      <w:numFmt w:val="bullet"/>
      <w:lvlText w:val=""/>
      <w:lvlJc w:val="left"/>
      <w:pPr>
        <w:ind w:left="6531" w:hanging="360"/>
      </w:pPr>
      <w:rPr>
        <w:rFonts w:ascii="Wingdings" w:hAnsi="Wingdings" w:hint="default"/>
      </w:rPr>
    </w:lvl>
  </w:abstractNum>
  <w:abstractNum w:abstractNumId="14" w15:restartNumberingAfterBreak="0">
    <w:nsid w:val="23DC7796"/>
    <w:multiLevelType w:val="multilevel"/>
    <w:tmpl w:val="38243F0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821312"/>
    <w:multiLevelType w:val="hybridMultilevel"/>
    <w:tmpl w:val="AB6CD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7" w15:restartNumberingAfterBreak="0">
    <w:nsid w:val="28ED43C5"/>
    <w:multiLevelType w:val="hybridMultilevel"/>
    <w:tmpl w:val="62D036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9"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20"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21" w15:restartNumberingAfterBreak="0">
    <w:nsid w:val="335C7FAF"/>
    <w:multiLevelType w:val="hybridMultilevel"/>
    <w:tmpl w:val="BFC80AB2"/>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start w:val="1"/>
      <w:numFmt w:val="bullet"/>
      <w:lvlText w:val=""/>
      <w:lvlJc w:val="left"/>
      <w:pPr>
        <w:ind w:left="1942" w:hanging="360"/>
      </w:pPr>
      <w:rPr>
        <w:rFonts w:ascii="Wingdings" w:hAnsi="Wingdings" w:hint="default"/>
      </w:rPr>
    </w:lvl>
    <w:lvl w:ilvl="3" w:tplc="14090001">
      <w:start w:val="1"/>
      <w:numFmt w:val="bullet"/>
      <w:lvlText w:val=""/>
      <w:lvlJc w:val="left"/>
      <w:pPr>
        <w:ind w:left="2662" w:hanging="360"/>
      </w:pPr>
      <w:rPr>
        <w:rFonts w:ascii="Symbol" w:hAnsi="Symbol" w:hint="default"/>
      </w:rPr>
    </w:lvl>
    <w:lvl w:ilvl="4" w:tplc="14090003">
      <w:start w:val="1"/>
      <w:numFmt w:val="bullet"/>
      <w:lvlText w:val="o"/>
      <w:lvlJc w:val="left"/>
      <w:pPr>
        <w:ind w:left="3382" w:hanging="360"/>
      </w:pPr>
      <w:rPr>
        <w:rFonts w:ascii="Courier New" w:hAnsi="Courier New" w:cs="Courier New" w:hint="default"/>
      </w:rPr>
    </w:lvl>
    <w:lvl w:ilvl="5" w:tplc="14090005">
      <w:start w:val="1"/>
      <w:numFmt w:val="bullet"/>
      <w:lvlText w:val=""/>
      <w:lvlJc w:val="left"/>
      <w:pPr>
        <w:ind w:left="4102" w:hanging="360"/>
      </w:pPr>
      <w:rPr>
        <w:rFonts w:ascii="Wingdings" w:hAnsi="Wingdings" w:hint="default"/>
      </w:rPr>
    </w:lvl>
    <w:lvl w:ilvl="6" w:tplc="14090001">
      <w:start w:val="1"/>
      <w:numFmt w:val="bullet"/>
      <w:lvlText w:val=""/>
      <w:lvlJc w:val="left"/>
      <w:pPr>
        <w:ind w:left="4822" w:hanging="360"/>
      </w:pPr>
      <w:rPr>
        <w:rFonts w:ascii="Symbol" w:hAnsi="Symbol" w:hint="default"/>
      </w:rPr>
    </w:lvl>
    <w:lvl w:ilvl="7" w:tplc="14090003">
      <w:start w:val="1"/>
      <w:numFmt w:val="bullet"/>
      <w:lvlText w:val="o"/>
      <w:lvlJc w:val="left"/>
      <w:pPr>
        <w:ind w:left="5542" w:hanging="360"/>
      </w:pPr>
      <w:rPr>
        <w:rFonts w:ascii="Courier New" w:hAnsi="Courier New" w:cs="Courier New" w:hint="default"/>
      </w:rPr>
    </w:lvl>
    <w:lvl w:ilvl="8" w:tplc="14090005">
      <w:start w:val="1"/>
      <w:numFmt w:val="bullet"/>
      <w:lvlText w:val=""/>
      <w:lvlJc w:val="left"/>
      <w:pPr>
        <w:ind w:left="6262" w:hanging="360"/>
      </w:pPr>
      <w:rPr>
        <w:rFonts w:ascii="Wingdings" w:hAnsi="Wingdings" w:hint="default"/>
      </w:rPr>
    </w:lvl>
  </w:abstractNum>
  <w:abstractNum w:abstractNumId="22" w15:restartNumberingAfterBreak="0">
    <w:nsid w:val="336E525D"/>
    <w:multiLevelType w:val="hybridMultilevel"/>
    <w:tmpl w:val="194CD9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4021"/>
    <w:multiLevelType w:val="hybridMultilevel"/>
    <w:tmpl w:val="1DD02498"/>
    <w:lvl w:ilvl="0" w:tplc="C658AE2A">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8" w15:restartNumberingAfterBreak="0">
    <w:nsid w:val="4D561C80"/>
    <w:multiLevelType w:val="hybridMultilevel"/>
    <w:tmpl w:val="424E13E6"/>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cs="Courier New" w:hint="default"/>
      </w:rPr>
    </w:lvl>
    <w:lvl w:ilvl="2" w:tplc="14090005">
      <w:start w:val="1"/>
      <w:numFmt w:val="bullet"/>
      <w:lvlText w:val=""/>
      <w:lvlJc w:val="left"/>
      <w:pPr>
        <w:ind w:left="1942" w:hanging="360"/>
      </w:pPr>
      <w:rPr>
        <w:rFonts w:ascii="Wingdings" w:hAnsi="Wingdings" w:hint="default"/>
      </w:rPr>
    </w:lvl>
    <w:lvl w:ilvl="3" w:tplc="14090001">
      <w:start w:val="1"/>
      <w:numFmt w:val="bullet"/>
      <w:lvlText w:val=""/>
      <w:lvlJc w:val="left"/>
      <w:pPr>
        <w:ind w:left="2662" w:hanging="360"/>
      </w:pPr>
      <w:rPr>
        <w:rFonts w:ascii="Symbol" w:hAnsi="Symbol" w:hint="default"/>
      </w:rPr>
    </w:lvl>
    <w:lvl w:ilvl="4" w:tplc="14090003">
      <w:start w:val="1"/>
      <w:numFmt w:val="bullet"/>
      <w:lvlText w:val="o"/>
      <w:lvlJc w:val="left"/>
      <w:pPr>
        <w:ind w:left="3382" w:hanging="360"/>
      </w:pPr>
      <w:rPr>
        <w:rFonts w:ascii="Courier New" w:hAnsi="Courier New" w:cs="Courier New" w:hint="default"/>
      </w:rPr>
    </w:lvl>
    <w:lvl w:ilvl="5" w:tplc="14090005">
      <w:start w:val="1"/>
      <w:numFmt w:val="bullet"/>
      <w:lvlText w:val=""/>
      <w:lvlJc w:val="left"/>
      <w:pPr>
        <w:ind w:left="4102" w:hanging="360"/>
      </w:pPr>
      <w:rPr>
        <w:rFonts w:ascii="Wingdings" w:hAnsi="Wingdings" w:hint="default"/>
      </w:rPr>
    </w:lvl>
    <w:lvl w:ilvl="6" w:tplc="14090001">
      <w:start w:val="1"/>
      <w:numFmt w:val="bullet"/>
      <w:lvlText w:val=""/>
      <w:lvlJc w:val="left"/>
      <w:pPr>
        <w:ind w:left="4822" w:hanging="360"/>
      </w:pPr>
      <w:rPr>
        <w:rFonts w:ascii="Symbol" w:hAnsi="Symbol" w:hint="default"/>
      </w:rPr>
    </w:lvl>
    <w:lvl w:ilvl="7" w:tplc="14090003">
      <w:start w:val="1"/>
      <w:numFmt w:val="bullet"/>
      <w:lvlText w:val="o"/>
      <w:lvlJc w:val="left"/>
      <w:pPr>
        <w:ind w:left="5542" w:hanging="360"/>
      </w:pPr>
      <w:rPr>
        <w:rFonts w:ascii="Courier New" w:hAnsi="Courier New" w:cs="Courier New" w:hint="default"/>
      </w:rPr>
    </w:lvl>
    <w:lvl w:ilvl="8" w:tplc="14090005">
      <w:start w:val="1"/>
      <w:numFmt w:val="bullet"/>
      <w:lvlText w:val=""/>
      <w:lvlJc w:val="left"/>
      <w:pPr>
        <w:ind w:left="6262" w:hanging="360"/>
      </w:pPr>
      <w:rPr>
        <w:rFonts w:ascii="Wingdings" w:hAnsi="Wingdings" w:hint="default"/>
      </w:rPr>
    </w:lvl>
  </w:abstractNum>
  <w:abstractNum w:abstractNumId="2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30" w15:restartNumberingAfterBreak="0">
    <w:nsid w:val="50EE1319"/>
    <w:multiLevelType w:val="hybridMultilevel"/>
    <w:tmpl w:val="EA44E4A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1"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33"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34" w15:restartNumberingAfterBreak="0">
    <w:nsid w:val="5E01276B"/>
    <w:multiLevelType w:val="hybridMultilevel"/>
    <w:tmpl w:val="DCC29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9"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40"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41"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42" w15:restartNumberingAfterBreak="0">
    <w:nsid w:val="72963B18"/>
    <w:multiLevelType w:val="hybridMultilevel"/>
    <w:tmpl w:val="6E367F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3B42048"/>
    <w:multiLevelType w:val="hybridMultilevel"/>
    <w:tmpl w:val="40EE4A7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44"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46"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abstractNum w:abstractNumId="48"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9"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7"/>
  </w:num>
  <w:num w:numId="2">
    <w:abstractNumId w:val="38"/>
  </w:num>
  <w:num w:numId="3">
    <w:abstractNumId w:val="36"/>
  </w:num>
  <w:num w:numId="4">
    <w:abstractNumId w:val="26"/>
  </w:num>
  <w:num w:numId="5">
    <w:abstractNumId w:val="35"/>
  </w:num>
  <w:num w:numId="6">
    <w:abstractNumId w:val="12"/>
  </w:num>
  <w:num w:numId="7">
    <w:abstractNumId w:val="47"/>
  </w:num>
  <w:num w:numId="8">
    <w:abstractNumId w:val="1"/>
  </w:num>
  <w:num w:numId="9">
    <w:abstractNumId w:val="23"/>
  </w:num>
  <w:num w:numId="10">
    <w:abstractNumId w:val="0"/>
  </w:num>
  <w:num w:numId="11">
    <w:abstractNumId w:val="25"/>
  </w:num>
  <w:num w:numId="12">
    <w:abstractNumId w:val="49"/>
  </w:num>
  <w:num w:numId="13">
    <w:abstractNumId w:val="18"/>
  </w:num>
  <w:num w:numId="14">
    <w:abstractNumId w:val="3"/>
  </w:num>
  <w:num w:numId="15">
    <w:abstractNumId w:val="46"/>
  </w:num>
  <w:num w:numId="16">
    <w:abstractNumId w:val="2"/>
  </w:num>
  <w:num w:numId="17">
    <w:abstractNumId w:val="44"/>
  </w:num>
  <w:num w:numId="18">
    <w:abstractNumId w:val="4"/>
  </w:num>
  <w:num w:numId="19">
    <w:abstractNumId w:val="9"/>
  </w:num>
  <w:num w:numId="20">
    <w:abstractNumId w:val="7"/>
  </w:num>
  <w:num w:numId="21">
    <w:abstractNumId w:val="10"/>
  </w:num>
  <w:num w:numId="22">
    <w:abstractNumId w:val="31"/>
  </w:num>
  <w:num w:numId="23">
    <w:abstractNumId w:val="14"/>
  </w:num>
  <w:num w:numId="24">
    <w:abstractNumId w:val="40"/>
  </w:num>
  <w:num w:numId="25">
    <w:abstractNumId w:val="16"/>
  </w:num>
  <w:num w:numId="26">
    <w:abstractNumId w:val="29"/>
  </w:num>
  <w:num w:numId="27">
    <w:abstractNumId w:val="8"/>
  </w:num>
  <w:num w:numId="28">
    <w:abstractNumId w:val="6"/>
  </w:num>
  <w:num w:numId="29">
    <w:abstractNumId w:val="33"/>
  </w:num>
  <w:num w:numId="30">
    <w:abstractNumId w:val="32"/>
  </w:num>
  <w:num w:numId="31">
    <w:abstractNumId w:val="48"/>
  </w:num>
  <w:num w:numId="32">
    <w:abstractNumId w:val="19"/>
  </w:num>
  <w:num w:numId="33">
    <w:abstractNumId w:val="41"/>
  </w:num>
  <w:num w:numId="34">
    <w:abstractNumId w:val="39"/>
  </w:num>
  <w:num w:numId="35">
    <w:abstractNumId w:val="27"/>
  </w:num>
  <w:num w:numId="36">
    <w:abstractNumId w:val="11"/>
  </w:num>
  <w:num w:numId="37">
    <w:abstractNumId w:val="45"/>
  </w:num>
  <w:num w:numId="38">
    <w:abstractNumId w:val="20"/>
  </w:num>
  <w:num w:numId="39">
    <w:abstractNumId w:val="5"/>
  </w:num>
  <w:num w:numId="40">
    <w:abstractNumId w:val="42"/>
  </w:num>
  <w:num w:numId="41">
    <w:abstractNumId w:val="22"/>
  </w:num>
  <w:num w:numId="42">
    <w:abstractNumId w:val="21"/>
  </w:num>
  <w:num w:numId="43">
    <w:abstractNumId w:val="13"/>
  </w:num>
  <w:num w:numId="44">
    <w:abstractNumId w:val="30"/>
  </w:num>
  <w:num w:numId="45">
    <w:abstractNumId w:val="34"/>
  </w:num>
  <w:num w:numId="46">
    <w:abstractNumId w:val="17"/>
  </w:num>
  <w:num w:numId="47">
    <w:abstractNumId w:val="28"/>
  </w:num>
  <w:num w:numId="48">
    <w:abstractNumId w:val="15"/>
  </w:num>
  <w:num w:numId="49">
    <w:abstractNumId w:val="43"/>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2049">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637"/>
    <w:rsid w:val="000C3F39"/>
    <w:rsid w:val="000C3FA7"/>
    <w:rsid w:val="000C68D3"/>
    <w:rsid w:val="000D0170"/>
    <w:rsid w:val="000D7D05"/>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4D6"/>
    <w:rsid w:val="001A7FBC"/>
    <w:rsid w:val="001B4220"/>
    <w:rsid w:val="001B546D"/>
    <w:rsid w:val="001C0545"/>
    <w:rsid w:val="001E086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598"/>
    <w:rsid w:val="00296F98"/>
    <w:rsid w:val="002A1A6C"/>
    <w:rsid w:val="002A35E8"/>
    <w:rsid w:val="002A38BC"/>
    <w:rsid w:val="002A725E"/>
    <w:rsid w:val="002B34DC"/>
    <w:rsid w:val="002C1F8F"/>
    <w:rsid w:val="002C3EA2"/>
    <w:rsid w:val="002E1EE5"/>
    <w:rsid w:val="003005BD"/>
    <w:rsid w:val="003013F3"/>
    <w:rsid w:val="003030F4"/>
    <w:rsid w:val="00304224"/>
    <w:rsid w:val="003046F0"/>
    <w:rsid w:val="00306307"/>
    <w:rsid w:val="00307CE5"/>
    <w:rsid w:val="00313594"/>
    <w:rsid w:val="0031520E"/>
    <w:rsid w:val="00324371"/>
    <w:rsid w:val="00334085"/>
    <w:rsid w:val="00343CC9"/>
    <w:rsid w:val="00351AC8"/>
    <w:rsid w:val="00356A45"/>
    <w:rsid w:val="003579BD"/>
    <w:rsid w:val="00362BE9"/>
    <w:rsid w:val="00363CA9"/>
    <w:rsid w:val="00367836"/>
    <w:rsid w:val="00370161"/>
    <w:rsid w:val="0037123E"/>
    <w:rsid w:val="003717C9"/>
    <w:rsid w:val="003731B9"/>
    <w:rsid w:val="00373F1D"/>
    <w:rsid w:val="003740BD"/>
    <w:rsid w:val="0037452C"/>
    <w:rsid w:val="00377C88"/>
    <w:rsid w:val="00377F02"/>
    <w:rsid w:val="0038143C"/>
    <w:rsid w:val="003873C4"/>
    <w:rsid w:val="003A0523"/>
    <w:rsid w:val="003A128B"/>
    <w:rsid w:val="003A21EA"/>
    <w:rsid w:val="003A779C"/>
    <w:rsid w:val="003B098C"/>
    <w:rsid w:val="003B145F"/>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0058"/>
    <w:rsid w:val="004845E0"/>
    <w:rsid w:val="0048760A"/>
    <w:rsid w:val="00490048"/>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47E8D"/>
    <w:rsid w:val="00554E9C"/>
    <w:rsid w:val="00555074"/>
    <w:rsid w:val="005559D9"/>
    <w:rsid w:val="00560222"/>
    <w:rsid w:val="00563001"/>
    <w:rsid w:val="00577711"/>
    <w:rsid w:val="00582EA7"/>
    <w:rsid w:val="0058606E"/>
    <w:rsid w:val="00587DF4"/>
    <w:rsid w:val="00590D07"/>
    <w:rsid w:val="005950A6"/>
    <w:rsid w:val="005958F2"/>
    <w:rsid w:val="00597F47"/>
    <w:rsid w:val="005B2223"/>
    <w:rsid w:val="005D3D35"/>
    <w:rsid w:val="005E2D49"/>
    <w:rsid w:val="005E43D6"/>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25AB"/>
    <w:rsid w:val="00686753"/>
    <w:rsid w:val="006A2250"/>
    <w:rsid w:val="006C11A7"/>
    <w:rsid w:val="006C1FB8"/>
    <w:rsid w:val="006C407C"/>
    <w:rsid w:val="006C583E"/>
    <w:rsid w:val="006D1FA2"/>
    <w:rsid w:val="006D2458"/>
    <w:rsid w:val="006E096B"/>
    <w:rsid w:val="006F544C"/>
    <w:rsid w:val="00703A7E"/>
    <w:rsid w:val="00737F49"/>
    <w:rsid w:val="00740786"/>
    <w:rsid w:val="0074188F"/>
    <w:rsid w:val="00760E80"/>
    <w:rsid w:val="00761961"/>
    <w:rsid w:val="00766D1F"/>
    <w:rsid w:val="00771B0E"/>
    <w:rsid w:val="00782BB8"/>
    <w:rsid w:val="00783974"/>
    <w:rsid w:val="00783D9C"/>
    <w:rsid w:val="00787E4A"/>
    <w:rsid w:val="00790152"/>
    <w:rsid w:val="00790BE7"/>
    <w:rsid w:val="007A21D3"/>
    <w:rsid w:val="007B2E12"/>
    <w:rsid w:val="007B45B9"/>
    <w:rsid w:val="007B5379"/>
    <w:rsid w:val="007C3953"/>
    <w:rsid w:val="007D28E6"/>
    <w:rsid w:val="007D54FF"/>
    <w:rsid w:val="007D72F9"/>
    <w:rsid w:val="007E2415"/>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9659D"/>
    <w:rsid w:val="008B5992"/>
    <w:rsid w:val="008B76D8"/>
    <w:rsid w:val="008C6C9F"/>
    <w:rsid w:val="008D2C1F"/>
    <w:rsid w:val="008E18DB"/>
    <w:rsid w:val="008F15C3"/>
    <w:rsid w:val="008F2E4A"/>
    <w:rsid w:val="008F7A81"/>
    <w:rsid w:val="0090028B"/>
    <w:rsid w:val="00902F19"/>
    <w:rsid w:val="009126F6"/>
    <w:rsid w:val="00914BAC"/>
    <w:rsid w:val="00920A63"/>
    <w:rsid w:val="00923D37"/>
    <w:rsid w:val="00925481"/>
    <w:rsid w:val="0092659B"/>
    <w:rsid w:val="00935BE4"/>
    <w:rsid w:val="00936657"/>
    <w:rsid w:val="009401CC"/>
    <w:rsid w:val="0094065C"/>
    <w:rsid w:val="00940661"/>
    <w:rsid w:val="00942757"/>
    <w:rsid w:val="00946F08"/>
    <w:rsid w:val="00947E2E"/>
    <w:rsid w:val="0095076C"/>
    <w:rsid w:val="00952AF0"/>
    <w:rsid w:val="00953F5C"/>
    <w:rsid w:val="009602C6"/>
    <w:rsid w:val="00973036"/>
    <w:rsid w:val="009842E4"/>
    <w:rsid w:val="009874FB"/>
    <w:rsid w:val="00993F56"/>
    <w:rsid w:val="009948F8"/>
    <w:rsid w:val="00996345"/>
    <w:rsid w:val="009A3D52"/>
    <w:rsid w:val="009B5859"/>
    <w:rsid w:val="009C39E2"/>
    <w:rsid w:val="009C5D77"/>
    <w:rsid w:val="009E07A9"/>
    <w:rsid w:val="009F1222"/>
    <w:rsid w:val="009F1BFF"/>
    <w:rsid w:val="009F4949"/>
    <w:rsid w:val="009F4CBC"/>
    <w:rsid w:val="00A00055"/>
    <w:rsid w:val="00A0032E"/>
    <w:rsid w:val="00A00DBD"/>
    <w:rsid w:val="00A0199B"/>
    <w:rsid w:val="00A0526A"/>
    <w:rsid w:val="00A05C6B"/>
    <w:rsid w:val="00A06776"/>
    <w:rsid w:val="00A141D4"/>
    <w:rsid w:val="00A14C1E"/>
    <w:rsid w:val="00A2337F"/>
    <w:rsid w:val="00A27B28"/>
    <w:rsid w:val="00A31F67"/>
    <w:rsid w:val="00A3574F"/>
    <w:rsid w:val="00A35D73"/>
    <w:rsid w:val="00A3619A"/>
    <w:rsid w:val="00A401D7"/>
    <w:rsid w:val="00A41A77"/>
    <w:rsid w:val="00A655A6"/>
    <w:rsid w:val="00A7037D"/>
    <w:rsid w:val="00A71902"/>
    <w:rsid w:val="00A77BEB"/>
    <w:rsid w:val="00A821D8"/>
    <w:rsid w:val="00A8585C"/>
    <w:rsid w:val="00A92321"/>
    <w:rsid w:val="00AA7466"/>
    <w:rsid w:val="00AB0789"/>
    <w:rsid w:val="00AB1FC9"/>
    <w:rsid w:val="00AB601E"/>
    <w:rsid w:val="00AD7CB7"/>
    <w:rsid w:val="00AE227E"/>
    <w:rsid w:val="00AE57D5"/>
    <w:rsid w:val="00AE710D"/>
    <w:rsid w:val="00AF4D9A"/>
    <w:rsid w:val="00AF78CC"/>
    <w:rsid w:val="00B102DF"/>
    <w:rsid w:val="00B21131"/>
    <w:rsid w:val="00B220C1"/>
    <w:rsid w:val="00B237AF"/>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3ACE"/>
    <w:rsid w:val="00B94CCA"/>
    <w:rsid w:val="00B958CC"/>
    <w:rsid w:val="00B96CEA"/>
    <w:rsid w:val="00BC0865"/>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460C3"/>
    <w:rsid w:val="00C5449C"/>
    <w:rsid w:val="00C60C5C"/>
    <w:rsid w:val="00C63124"/>
    <w:rsid w:val="00C8457A"/>
    <w:rsid w:val="00C903AA"/>
    <w:rsid w:val="00CA1671"/>
    <w:rsid w:val="00CA19A9"/>
    <w:rsid w:val="00CA2A9E"/>
    <w:rsid w:val="00CB6D93"/>
    <w:rsid w:val="00CB6E4F"/>
    <w:rsid w:val="00CC140B"/>
    <w:rsid w:val="00CC3C38"/>
    <w:rsid w:val="00CD373C"/>
    <w:rsid w:val="00CD58FD"/>
    <w:rsid w:val="00CD6D75"/>
    <w:rsid w:val="00CE636E"/>
    <w:rsid w:val="00CE6792"/>
    <w:rsid w:val="00CE689C"/>
    <w:rsid w:val="00CE689F"/>
    <w:rsid w:val="00CF035D"/>
    <w:rsid w:val="00CF580E"/>
    <w:rsid w:val="00CF7EBD"/>
    <w:rsid w:val="00D0569E"/>
    <w:rsid w:val="00D1061D"/>
    <w:rsid w:val="00D20584"/>
    <w:rsid w:val="00D20C0C"/>
    <w:rsid w:val="00D24A2A"/>
    <w:rsid w:val="00D24DF2"/>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8751C"/>
    <w:rsid w:val="00D96F46"/>
    <w:rsid w:val="00DA050F"/>
    <w:rsid w:val="00DA12D6"/>
    <w:rsid w:val="00DA1DDB"/>
    <w:rsid w:val="00DA28EE"/>
    <w:rsid w:val="00DA30E7"/>
    <w:rsid w:val="00DA5318"/>
    <w:rsid w:val="00DA56D5"/>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45EDF"/>
    <w:rsid w:val="00E473D0"/>
    <w:rsid w:val="00E5257C"/>
    <w:rsid w:val="00E5476D"/>
    <w:rsid w:val="00E54AB1"/>
    <w:rsid w:val="00E6667B"/>
    <w:rsid w:val="00E81103"/>
    <w:rsid w:val="00E836A0"/>
    <w:rsid w:val="00E92CBA"/>
    <w:rsid w:val="00E93AE4"/>
    <w:rsid w:val="00E960C8"/>
    <w:rsid w:val="00EA5579"/>
    <w:rsid w:val="00EB1603"/>
    <w:rsid w:val="00EB1B10"/>
    <w:rsid w:val="00EB2459"/>
    <w:rsid w:val="00EB461E"/>
    <w:rsid w:val="00EC31C4"/>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66E8C"/>
    <w:rsid w:val="00F74042"/>
    <w:rsid w:val="00F75AA1"/>
    <w:rsid w:val="00F77311"/>
    <w:rsid w:val="00F824C7"/>
    <w:rsid w:val="00F9005E"/>
    <w:rsid w:val="00F91308"/>
    <w:rsid w:val="00FA5B0D"/>
    <w:rsid w:val="00FA6AD2"/>
    <w:rsid w:val="00FB0159"/>
    <w:rsid w:val="00FB5A52"/>
    <w:rsid w:val="00FC237B"/>
    <w:rsid w:val="00FC3B66"/>
    <w:rsid w:val="00FC4D37"/>
    <w:rsid w:val="00FD04E0"/>
    <w:rsid w:val="00FD55A7"/>
    <w:rsid w:val="00FE363D"/>
    <w:rsid w:val="00FE54F2"/>
    <w:rsid w:val="00FF2719"/>
    <w:rsid w:val="00FF379D"/>
    <w:rsid w:val="00FF3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6"/>
    </o:shapedefaults>
    <o:shapelayout v:ext="edit">
      <o:idmap v:ext="edit" data="1"/>
    </o:shapelayout>
  </w:shapeDefaults>
  <w:decimalSymbol w:val="."/>
  <w:listSeparator w:val=","/>
  <w14:docId w14:val="77DB76D3"/>
  <w15:docId w15:val="{832680F5-95EC-47C6-9169-6B65F436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1"/>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1"/>
    <w:qFormat/>
    <w:rsid w:val="00953F5C"/>
    <w:pPr>
      <w:keepNext/>
      <w:spacing w:before="240" w:after="120"/>
      <w:outlineLvl w:val="1"/>
    </w:pPr>
    <w:rPr>
      <w:rFonts w:cs="Arial"/>
      <w:b/>
      <w:bCs/>
      <w:iCs/>
      <w:sz w:val="24"/>
      <w:szCs w:val="28"/>
    </w:rPr>
  </w:style>
  <w:style w:type="paragraph" w:styleId="Heading3">
    <w:name w:val="heading 3"/>
    <w:basedOn w:val="Normal"/>
    <w:next w:val="Normal"/>
    <w:link w:val="Heading3Char"/>
    <w:uiPriority w:val="1"/>
    <w:qFormat/>
    <w:rsid w:val="00940661"/>
    <w:pPr>
      <w:keepNext/>
      <w:ind w:left="567"/>
      <w:outlineLvl w:val="2"/>
    </w:pPr>
    <w:rPr>
      <w:rFonts w:cs="Arial"/>
      <w:b/>
      <w:bCs/>
      <w:szCs w:val="26"/>
    </w:rPr>
  </w:style>
  <w:style w:type="paragraph" w:styleId="Heading4">
    <w:name w:val="heading 4"/>
    <w:basedOn w:val="Normal"/>
    <w:next w:val="Normal"/>
    <w:link w:val="Heading4Char"/>
    <w:uiPriority w:val="1"/>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1"/>
    <w:unhideWhenUsed/>
    <w:qFormat/>
    <w:rsid w:val="004800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94066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996345"/>
    <w:pPr>
      <w:keepNext/>
      <w:keepLines/>
      <w:spacing w:before="200" w:after="120" w:line="276" w:lineRule="auto"/>
      <w:ind w:left="1296" w:hanging="1296"/>
      <w:outlineLvl w:val="6"/>
    </w:pPr>
    <w:rPr>
      <w:rFonts w:ascii="Calibri" w:eastAsia="MS Gothic" w:hAnsi="Calibri"/>
      <w:i/>
      <w:iCs/>
      <w:color w:val="404040"/>
      <w:lang w:val="en-GB"/>
    </w:rPr>
  </w:style>
  <w:style w:type="paragraph" w:styleId="Heading8">
    <w:name w:val="heading 8"/>
    <w:basedOn w:val="Normal"/>
    <w:next w:val="Normal"/>
    <w:link w:val="Heading8Char"/>
    <w:uiPriority w:val="1"/>
    <w:unhideWhenUsed/>
    <w:qFormat/>
    <w:rsid w:val="00996345"/>
    <w:pPr>
      <w:keepNext/>
      <w:keepLines/>
      <w:spacing w:before="480" w:after="240" w:line="240" w:lineRule="auto"/>
      <w:outlineLvl w:val="7"/>
    </w:pPr>
    <w:rPr>
      <w:rFonts w:eastAsia="MS Gothic"/>
      <w:color w:val="0A6AB4"/>
      <w:spacing w:val="-10"/>
      <w:sz w:val="36"/>
    </w:rPr>
  </w:style>
  <w:style w:type="paragraph" w:styleId="Heading9">
    <w:name w:val="heading 9"/>
    <w:basedOn w:val="Normal"/>
    <w:next w:val="Normal"/>
    <w:link w:val="Heading9Char"/>
    <w:uiPriority w:val="1"/>
    <w:unhideWhenUsed/>
    <w:qFormat/>
    <w:rsid w:val="00996345"/>
    <w:pPr>
      <w:keepNext/>
      <w:keepLines/>
      <w:spacing w:before="200" w:after="120" w:line="276" w:lineRule="auto"/>
      <w:ind w:left="1584" w:hanging="1584"/>
      <w:outlineLvl w:val="8"/>
    </w:pPr>
    <w:rPr>
      <w:rFonts w:ascii="Calibri" w:eastAsia="MS Gothic" w:hAnsi="Calibri"/>
      <w:i/>
      <w:iCs/>
      <w:color w:val="4040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rsid w:val="00660619"/>
    <w:pPr>
      <w:spacing w:before="60" w:line="228" w:lineRule="auto"/>
      <w:ind w:left="284" w:hanging="284"/>
    </w:pPr>
    <w:rPr>
      <w:sz w:val="17"/>
      <w:szCs w:val="20"/>
    </w:rPr>
  </w:style>
  <w:style w:type="character" w:styleId="FootnoteReference">
    <w:name w:val="footnote reference"/>
    <w:uiPriority w:val="99"/>
    <w:rsid w:val="00240554"/>
    <w:rPr>
      <w:vertAlign w:val="superscript"/>
    </w:rPr>
  </w:style>
  <w:style w:type="paragraph" w:styleId="Header">
    <w:name w:val="header"/>
    <w:basedOn w:val="Normal"/>
    <w:link w:val="HeaderChar"/>
    <w:qFormat/>
    <w:rsid w:val="00CB6D93"/>
    <w:pPr>
      <w:spacing w:after="480"/>
    </w:pPr>
  </w:style>
  <w:style w:type="paragraph" w:styleId="Footer">
    <w:name w:val="footer"/>
    <w:basedOn w:val="Normal"/>
    <w:link w:val="FooterChar"/>
    <w:uiPriority w:val="99"/>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qFormat/>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940661"/>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CF035D"/>
    <w:pPr>
      <w:spacing w:before="60" w:after="60"/>
    </w:pPr>
    <w:rPr>
      <w:sz w:val="18"/>
    </w:rPr>
  </w:style>
  <w:style w:type="paragraph" w:customStyle="1" w:styleId="Source">
    <w:name w:val="Source"/>
    <w:basedOn w:val="Normal"/>
    <w:next w:val="Normal"/>
    <w:qFormat/>
    <w:rsid w:val="002222BC"/>
    <w:pPr>
      <w:pBdr>
        <w:bottom w:val="single" w:sz="18" w:space="6" w:color="808080"/>
      </w:pBdr>
    </w:pPr>
    <w:rPr>
      <w:rFonts w:ascii="Arial" w:hAnsi="Arial"/>
      <w:sz w:val="18"/>
    </w:rPr>
  </w:style>
  <w:style w:type="paragraph" w:customStyle="1" w:styleId="References">
    <w:name w:val="References"/>
    <w:basedOn w:val="Normal"/>
    <w:qFormat/>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940661"/>
    <w:rPr>
      <w:rFonts w:ascii="Segoe UI" w:hAnsi="Segoe UI"/>
      <w:sz w:val="21"/>
      <w:szCs w:val="24"/>
      <w:lang w:eastAsia="en-US"/>
    </w:rPr>
  </w:style>
  <w:style w:type="character" w:customStyle="1" w:styleId="Heading4Char">
    <w:name w:val="Heading 4 Char"/>
    <w:basedOn w:val="DefaultParagraphFont"/>
    <w:link w:val="Heading4"/>
    <w:uiPriority w:val="1"/>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F035D"/>
    <w:pPr>
      <w:numPr>
        <w:numId w:val="4"/>
      </w:numPr>
      <w:spacing w:before="0"/>
      <w:ind w:left="284" w:hanging="284"/>
    </w:pPr>
    <w:rPr>
      <w:szCs w:val="20"/>
    </w:rPr>
  </w:style>
  <w:style w:type="paragraph" w:styleId="Title">
    <w:name w:val="Title"/>
    <w:basedOn w:val="Normal"/>
    <w:next w:val="Normal"/>
    <w:link w:val="TitleChar"/>
    <w:uiPriority w:val="99"/>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99"/>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1"/>
    <w:rsid w:val="00953F5C"/>
    <w:rPr>
      <w:rFonts w:ascii="Segoe UI" w:hAnsi="Segoe UI" w:cs="Arial"/>
      <w:b/>
      <w:bCs/>
      <w:iCs/>
      <w:sz w:val="24"/>
      <w:szCs w:val="28"/>
      <w:lang w:eastAsia="en-US"/>
    </w:rPr>
  </w:style>
  <w:style w:type="character" w:customStyle="1" w:styleId="FooterChar">
    <w:name w:val="Footer Char"/>
    <w:basedOn w:val="DefaultParagraphFont"/>
    <w:link w:val="Footer"/>
    <w:uiPriority w:val="99"/>
    <w:rsid w:val="00242284"/>
    <w:rPr>
      <w:rFonts w:ascii="Segoe UI" w:hAnsi="Segoe UI"/>
      <w:szCs w:val="24"/>
      <w:lang w:eastAsia="en-US"/>
    </w:rPr>
  </w:style>
  <w:style w:type="character" w:customStyle="1" w:styleId="HeaderChar">
    <w:name w:val="Header Char"/>
    <w:basedOn w:val="DefaultParagraphFont"/>
    <w:link w:val="Header"/>
    <w:rsid w:val="00CB6D93"/>
    <w:rPr>
      <w:rFonts w:ascii="Segoe UI" w:hAnsi="Segoe UI"/>
      <w:sz w:val="21"/>
      <w:szCs w:val="24"/>
      <w:lang w:eastAsia="en-US"/>
    </w:rPr>
  </w:style>
  <w:style w:type="character" w:customStyle="1" w:styleId="Heading1Char">
    <w:name w:val="Heading 1 Char"/>
    <w:basedOn w:val="DefaultParagraphFont"/>
    <w:link w:val="Heading1"/>
    <w:uiPriority w:val="1"/>
    <w:rsid w:val="00A401D7"/>
    <w:rPr>
      <w:rFonts w:ascii="Segoe UI" w:hAnsi="Segoe UI" w:cs="Arial"/>
      <w:b/>
      <w:bCs/>
      <w:sz w:val="28"/>
      <w:szCs w:val="48"/>
      <w:lang w:eastAsia="en-US"/>
    </w:rPr>
  </w:style>
  <w:style w:type="paragraph" w:styleId="Revision">
    <w:name w:val="Revision"/>
    <w:hidden/>
    <w:uiPriority w:val="99"/>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1"/>
    <w:rsid w:val="00480058"/>
    <w:rPr>
      <w:rFonts w:asciiTheme="majorHAnsi" w:eastAsiaTheme="majorEastAsia" w:hAnsiTheme="majorHAnsi" w:cstheme="majorBidi"/>
      <w:color w:val="243F60" w:themeColor="accent1" w:themeShade="7F"/>
      <w:sz w:val="21"/>
      <w:szCs w:val="24"/>
      <w:lang w:eastAsia="en-US"/>
    </w:rPr>
  </w:style>
  <w:style w:type="character" w:customStyle="1" w:styleId="Heading6Char">
    <w:name w:val="Heading 6 Char"/>
    <w:basedOn w:val="DefaultParagraphFont"/>
    <w:link w:val="Heading6"/>
    <w:uiPriority w:val="1"/>
    <w:rsid w:val="00940661"/>
    <w:rPr>
      <w:rFonts w:asciiTheme="majorHAnsi" w:eastAsiaTheme="majorEastAsia" w:hAnsiTheme="majorHAnsi" w:cstheme="majorBidi"/>
      <w:i/>
      <w:iCs/>
      <w:color w:val="243F60" w:themeColor="accent1" w:themeShade="7F"/>
      <w:sz w:val="21"/>
      <w:szCs w:val="24"/>
      <w:lang w:eastAsia="en-US"/>
    </w:rPr>
  </w:style>
  <w:style w:type="paragraph" w:customStyle="1" w:styleId="Roman">
    <w:name w:val="Roman"/>
    <w:basedOn w:val="Normal"/>
    <w:qFormat/>
    <w:rsid w:val="00940661"/>
    <w:pPr>
      <w:spacing w:before="90" w:line="240" w:lineRule="auto"/>
      <w:ind w:left="1701" w:hanging="567"/>
    </w:pPr>
    <w:rPr>
      <w:rFonts w:eastAsia="Arial Unicode MS"/>
      <w:szCs w:val="20"/>
      <w:lang w:eastAsia="en-GB"/>
    </w:rPr>
  </w:style>
  <w:style w:type="character" w:customStyle="1" w:styleId="Heading7Char">
    <w:name w:val="Heading 7 Char"/>
    <w:basedOn w:val="DefaultParagraphFont"/>
    <w:link w:val="Heading7"/>
    <w:uiPriority w:val="1"/>
    <w:rsid w:val="00996345"/>
    <w:rPr>
      <w:rFonts w:ascii="Calibri" w:eastAsia="MS Gothic" w:hAnsi="Calibri"/>
      <w:i/>
      <w:iCs/>
      <w:color w:val="404040"/>
      <w:sz w:val="21"/>
      <w:szCs w:val="24"/>
      <w:lang w:val="en-GB" w:eastAsia="en-US"/>
    </w:rPr>
  </w:style>
  <w:style w:type="character" w:customStyle="1" w:styleId="Heading8Char">
    <w:name w:val="Heading 8 Char"/>
    <w:basedOn w:val="DefaultParagraphFont"/>
    <w:link w:val="Heading8"/>
    <w:uiPriority w:val="1"/>
    <w:rsid w:val="00996345"/>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1"/>
    <w:rsid w:val="00996345"/>
    <w:rPr>
      <w:rFonts w:ascii="Calibri" w:eastAsia="MS Gothic" w:hAnsi="Calibri"/>
      <w:i/>
      <w:iCs/>
      <w:color w:val="404040"/>
      <w:sz w:val="21"/>
      <w:szCs w:val="24"/>
      <w:lang w:val="en-GB" w:eastAsia="en-US"/>
    </w:rPr>
  </w:style>
  <w:style w:type="character" w:customStyle="1" w:styleId="Heading3Char">
    <w:name w:val="Heading 3 Char"/>
    <w:basedOn w:val="DefaultParagraphFont"/>
    <w:link w:val="Heading3"/>
    <w:uiPriority w:val="1"/>
    <w:rsid w:val="00996345"/>
    <w:rPr>
      <w:rFonts w:ascii="Segoe UI" w:hAnsi="Segoe UI" w:cs="Arial"/>
      <w:b/>
      <w:bCs/>
      <w:sz w:val="21"/>
      <w:szCs w:val="26"/>
      <w:lang w:eastAsia="en-US"/>
    </w:rPr>
  </w:style>
  <w:style w:type="paragraph" w:styleId="TOC3">
    <w:name w:val="toc 3"/>
    <w:basedOn w:val="Normal"/>
    <w:next w:val="Normal"/>
    <w:rsid w:val="00996345"/>
    <w:pPr>
      <w:tabs>
        <w:tab w:val="right" w:pos="8080"/>
      </w:tabs>
      <w:spacing w:before="120" w:line="240" w:lineRule="auto"/>
      <w:ind w:left="1276" w:right="567" w:hanging="1276"/>
    </w:pPr>
    <w:rPr>
      <w:szCs w:val="20"/>
      <w:lang w:eastAsia="en-GB"/>
    </w:rPr>
  </w:style>
  <w:style w:type="paragraph" w:styleId="Quote">
    <w:name w:val="Quote"/>
    <w:basedOn w:val="Normal"/>
    <w:next w:val="Normal"/>
    <w:link w:val="QuoteChar"/>
    <w:qFormat/>
    <w:rsid w:val="00996345"/>
    <w:pPr>
      <w:spacing w:before="120" w:line="240" w:lineRule="auto"/>
      <w:ind w:left="284" w:right="284"/>
    </w:pPr>
    <w:rPr>
      <w:szCs w:val="20"/>
      <w:lang w:eastAsia="en-GB"/>
    </w:rPr>
  </w:style>
  <w:style w:type="character" w:customStyle="1" w:styleId="QuoteChar">
    <w:name w:val="Quote Char"/>
    <w:basedOn w:val="DefaultParagraphFont"/>
    <w:link w:val="Quote"/>
    <w:rsid w:val="00996345"/>
    <w:rPr>
      <w:rFonts w:ascii="Segoe UI" w:hAnsi="Segoe UI"/>
      <w:sz w:val="21"/>
      <w:lang w:eastAsia="en-GB"/>
    </w:rPr>
  </w:style>
  <w:style w:type="paragraph" w:customStyle="1" w:styleId="Imprint">
    <w:name w:val="Imprint"/>
    <w:basedOn w:val="Normal"/>
    <w:next w:val="Normal"/>
    <w:qFormat/>
    <w:rsid w:val="00996345"/>
    <w:pPr>
      <w:spacing w:after="240" w:line="240" w:lineRule="auto"/>
    </w:pPr>
    <w:rPr>
      <w:sz w:val="20"/>
      <w:szCs w:val="20"/>
      <w:lang w:eastAsia="en-GB"/>
    </w:rPr>
  </w:style>
  <w:style w:type="paragraph" w:customStyle="1" w:styleId="VersoFooter">
    <w:name w:val="Verso Footer"/>
    <w:basedOn w:val="Footer"/>
    <w:rsid w:val="00996345"/>
    <w:pPr>
      <w:tabs>
        <w:tab w:val="clear" w:pos="8647"/>
        <w:tab w:val="clear" w:pos="9356"/>
      </w:tabs>
      <w:spacing w:line="240" w:lineRule="auto"/>
    </w:pPr>
    <w:rPr>
      <w:sz w:val="15"/>
      <w:szCs w:val="20"/>
      <w:lang w:eastAsia="en-GB"/>
    </w:rPr>
  </w:style>
  <w:style w:type="paragraph" w:customStyle="1" w:styleId="IntroHead">
    <w:name w:val="IntroHead"/>
    <w:basedOn w:val="Heading1"/>
    <w:next w:val="Normal"/>
    <w:qFormat/>
    <w:rsid w:val="00996345"/>
    <w:pPr>
      <w:pageBreakBefore/>
      <w:spacing w:before="0" w:after="360" w:line="240" w:lineRule="auto"/>
      <w:outlineLvl w:val="9"/>
    </w:pPr>
    <w:rPr>
      <w:rFonts w:ascii="Georgia" w:hAnsi="Georgia" w:cs="Times New Roman"/>
      <w:b w:val="0"/>
      <w:bCs w:val="0"/>
      <w:color w:val="23305D"/>
      <w:spacing w:val="-10"/>
      <w:sz w:val="72"/>
      <w:szCs w:val="20"/>
      <w:lang w:eastAsia="en-GB"/>
    </w:rPr>
  </w:style>
  <w:style w:type="paragraph" w:customStyle="1" w:styleId="Subhead">
    <w:name w:val="Subhead"/>
    <w:basedOn w:val="Normal"/>
    <w:next w:val="Normal"/>
    <w:qFormat/>
    <w:rsid w:val="00996345"/>
    <w:pPr>
      <w:spacing w:before="840" w:line="240" w:lineRule="auto"/>
      <w:ind w:right="3402"/>
    </w:pPr>
    <w:rPr>
      <w:rFonts w:ascii="Segoe UI Semibold" w:hAnsi="Segoe UI Semibold" w:cs="Segoe UI Semibold"/>
      <w:sz w:val="26"/>
      <w:szCs w:val="26"/>
      <w:lang w:eastAsia="en-GB"/>
    </w:rPr>
  </w:style>
  <w:style w:type="paragraph" w:customStyle="1" w:styleId="TableDash">
    <w:name w:val="TableDash"/>
    <w:basedOn w:val="TableText"/>
    <w:qFormat/>
    <w:rsid w:val="00996345"/>
    <w:pPr>
      <w:numPr>
        <w:numId w:val="11"/>
      </w:numPr>
      <w:spacing w:before="40" w:after="0"/>
    </w:pPr>
    <w:rPr>
      <w:szCs w:val="22"/>
      <w:lang w:eastAsia="en-GB"/>
    </w:rPr>
  </w:style>
  <w:style w:type="paragraph" w:customStyle="1" w:styleId="Year">
    <w:name w:val="Year"/>
    <w:basedOn w:val="Subhead"/>
    <w:next w:val="Subhead"/>
    <w:qFormat/>
    <w:rsid w:val="00996345"/>
    <w:pPr>
      <w:pBdr>
        <w:bottom w:val="single" w:sz="24" w:space="6" w:color="auto"/>
      </w:pBdr>
    </w:pPr>
    <w:rPr>
      <w:sz w:val="56"/>
    </w:rPr>
  </w:style>
  <w:style w:type="paragraph" w:customStyle="1" w:styleId="Introductoryparagraph">
    <w:name w:val="Introductory paragraph"/>
    <w:basedOn w:val="Normal"/>
    <w:next w:val="Normal"/>
    <w:qFormat/>
    <w:rsid w:val="00996345"/>
    <w:pPr>
      <w:spacing w:after="240" w:line="216" w:lineRule="auto"/>
      <w:ind w:right="1134"/>
    </w:pPr>
    <w:rPr>
      <w:rFonts w:ascii="Segoe UI Light" w:hAnsi="Segoe UI Light"/>
      <w:color w:val="404040" w:themeColor="text1" w:themeTint="BF"/>
      <w:sz w:val="44"/>
      <w:szCs w:val="20"/>
      <w:lang w:eastAsia="en-GB"/>
    </w:rPr>
  </w:style>
  <w:style w:type="paragraph" w:customStyle="1" w:styleId="Shadedboxheading">
    <w:name w:val="Shaded box heading"/>
    <w:basedOn w:val="BoxHeading"/>
    <w:next w:val="Shadedboxtext"/>
    <w:qFormat/>
    <w:rsid w:val="00996345"/>
    <w:pPr>
      <w:keepNext/>
      <w:spacing w:before="240"/>
    </w:pPr>
    <w:rPr>
      <w:rFonts w:eastAsia="Arial Unicode MS"/>
      <w:sz w:val="24"/>
      <w:szCs w:val="24"/>
    </w:rPr>
  </w:style>
  <w:style w:type="paragraph" w:customStyle="1" w:styleId="Shadedboxtext">
    <w:name w:val="Shaded box text"/>
    <w:basedOn w:val="Normal"/>
    <w:qFormat/>
    <w:rsid w:val="00996345"/>
    <w:pPr>
      <w:spacing w:line="228" w:lineRule="auto"/>
      <w:ind w:right="142"/>
    </w:pPr>
    <w:rPr>
      <w:rFonts w:eastAsia="Arial Unicode M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amblehost.org.n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6CD1E0-E068-45AD-88F4-4FBC6C08B89C}">
  <ds:schemaRefs>
    <ds:schemaRef ds:uri="http://schemas.openxmlformats.org/officeDocument/2006/bibliography"/>
  </ds:schemaRefs>
</ds:datastoreItem>
</file>

<file path=customXml/itemProps2.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3.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4CB951-6F69-4E40-AD3A-CFD37072A6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Factsheet template</Template>
  <TotalTime>13</TotalTime>
  <Pages>10</Pages>
  <Words>4373</Words>
  <Characters>24929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Submissions on the Strategy Consultation Document</vt:lpstr>
    </vt:vector>
  </TitlesOfParts>
  <Company>Ministry of Health</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on the Strategy Consultation Document</dc:title>
  <dc:creator>Ministry of Health</dc:creator>
  <cp:lastModifiedBy>Ministry of Health</cp:lastModifiedBy>
  <cp:revision>4</cp:revision>
  <cp:lastPrinted>2014-10-20T03:59:00Z</cp:lastPrinted>
  <dcterms:created xsi:type="dcterms:W3CDTF">2021-12-19T23:38:00Z</dcterms:created>
  <dcterms:modified xsi:type="dcterms:W3CDTF">2021-12-19T23:56:00Z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