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1855" w14:textId="77777777" w:rsidR="00C86248" w:rsidRDefault="007179EA" w:rsidP="00926083">
      <w:pPr>
        <w:pStyle w:val="Title"/>
      </w:pPr>
      <w:r>
        <w:t>Strategy to Prevent and Minimise Gambling Harm</w:t>
      </w:r>
    </w:p>
    <w:p w14:paraId="2FE133BF" w14:textId="77777777" w:rsidR="00D27922" w:rsidRDefault="007179EA" w:rsidP="00D27922">
      <w:pPr>
        <w:pStyle w:val="Subhead"/>
      </w:pPr>
      <w:r>
        <w:t>2022/23 to 2024/25</w:t>
      </w:r>
    </w:p>
    <w:p w14:paraId="6D8AE912" w14:textId="77777777" w:rsidR="00466303" w:rsidRPr="00466303" w:rsidRDefault="007179EA" w:rsidP="00466303">
      <w:pPr>
        <w:pStyle w:val="Year"/>
      </w:pPr>
      <w:r>
        <w:t>Proposal document</w:t>
      </w:r>
    </w:p>
    <w:p w14:paraId="051C4AB5" w14:textId="77777777" w:rsidR="00C05132" w:rsidRDefault="00C05132" w:rsidP="00A06BE4"/>
    <w:p w14:paraId="296ABC46"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7EC59DF2"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179EA">
        <w:rPr>
          <w:rFonts w:cs="Segoe UI"/>
        </w:rPr>
        <w:t>2021</w:t>
      </w:r>
      <w:r w:rsidR="00442C1C" w:rsidRPr="00C05132">
        <w:rPr>
          <w:rFonts w:cs="Segoe UI"/>
        </w:rPr>
        <w:t xml:space="preserve">. </w:t>
      </w:r>
      <w:r w:rsidR="007179EA">
        <w:rPr>
          <w:rFonts w:cs="Segoe UI"/>
          <w:i/>
        </w:rPr>
        <w:t>Strategy to Prevent and Minimise Gambling Harm 2022/23 to 2024/25: Proposal document</w:t>
      </w:r>
      <w:r w:rsidR="00442C1C" w:rsidRPr="00C05132">
        <w:rPr>
          <w:rFonts w:cs="Segoe UI"/>
        </w:rPr>
        <w:t>. Wellington: Ministry of Health.</w:t>
      </w:r>
    </w:p>
    <w:p w14:paraId="7E4948EB" w14:textId="43B2C3A2" w:rsidR="00C86248" w:rsidRDefault="00C86248">
      <w:pPr>
        <w:pStyle w:val="Imprint"/>
      </w:pPr>
      <w:r>
        <w:t xml:space="preserve">Published in </w:t>
      </w:r>
      <w:r w:rsidR="00D8682C">
        <w:t>December</w:t>
      </w:r>
      <w:r w:rsidR="007179EA">
        <w:t xml:space="preserve"> 2021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C7F50E3" w14:textId="3EA81BCD" w:rsidR="00082CD6" w:rsidRPr="009C0F2D" w:rsidRDefault="00D863D0" w:rsidP="00082CD6">
      <w:pPr>
        <w:pStyle w:val="Imprint"/>
      </w:pPr>
      <w:r>
        <w:t>ISBN</w:t>
      </w:r>
      <w:r w:rsidR="00442C1C">
        <w:t xml:space="preserve"> </w:t>
      </w:r>
      <w:r w:rsidR="001164CD" w:rsidRPr="001164CD">
        <w:t>978-1-99-110012-2</w:t>
      </w:r>
      <w:r w:rsidR="002B7BEC">
        <w:t xml:space="preserve"> </w:t>
      </w:r>
      <w:r>
        <w:t>(</w:t>
      </w:r>
      <w:r w:rsidR="00442C1C">
        <w:t>online</w:t>
      </w:r>
      <w:r>
        <w:t>)</w:t>
      </w:r>
      <w:r w:rsidR="00082CD6">
        <w:br/>
      </w:r>
      <w:r w:rsidR="00082CD6" w:rsidRPr="009C0F2D">
        <w:t xml:space="preserve">HP </w:t>
      </w:r>
      <w:r w:rsidR="003D2AE4">
        <w:t>8014</w:t>
      </w:r>
    </w:p>
    <w:p w14:paraId="1B4EF580" w14:textId="77777777" w:rsidR="00C86248" w:rsidRDefault="008C64C4" w:rsidP="00D27922">
      <w:pPr>
        <w:spacing w:before="360"/>
      </w:pPr>
      <w:r>
        <w:rPr>
          <w:noProof/>
          <w:lang w:eastAsia="en-NZ"/>
        </w:rPr>
        <w:drawing>
          <wp:inline distT="0" distB="0" distL="0" distR="0" wp14:anchorId="505E7A7F" wp14:editId="316D8DA4">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F2CEB98"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6AB701CC" w14:textId="77777777" w:rsidTr="00A63DFF">
        <w:trPr>
          <w:cantSplit/>
        </w:trPr>
        <w:tc>
          <w:tcPr>
            <w:tcW w:w="1526" w:type="dxa"/>
          </w:tcPr>
          <w:p w14:paraId="3956F39F"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4C848D4" wp14:editId="629E9B7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7CCE69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09CCF23D" w14:textId="77777777" w:rsidR="007E74F1" w:rsidRPr="001F45A7" w:rsidRDefault="007E74F1" w:rsidP="006E2886">
      <w:pPr>
        <w:pStyle w:val="Imprint"/>
      </w:pPr>
    </w:p>
    <w:p w14:paraId="1675BCB2"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3DD4A46C" w14:textId="77777777" w:rsidR="00C86248" w:rsidRDefault="00C86248" w:rsidP="00025A6F">
      <w:pPr>
        <w:pStyle w:val="IntroHead"/>
      </w:pPr>
      <w:bookmarkStart w:id="0" w:name="_Toc405792991"/>
      <w:bookmarkStart w:id="1" w:name="_Toc405793224"/>
      <w:r>
        <w:lastRenderedPageBreak/>
        <w:t>Contents</w:t>
      </w:r>
      <w:bookmarkEnd w:id="0"/>
      <w:bookmarkEnd w:id="1"/>
    </w:p>
    <w:p w14:paraId="1A40BCFF" w14:textId="17004AA8" w:rsidR="00C55EA2" w:rsidRDefault="00C55EA2">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0885036" w:history="1">
        <w:r w:rsidRPr="00567D31">
          <w:rPr>
            <w:rStyle w:val="Hyperlink"/>
            <w:noProof/>
          </w:rPr>
          <w:t>1</w:t>
        </w:r>
        <w:r>
          <w:rPr>
            <w:rFonts w:asciiTheme="minorHAnsi" w:eastAsiaTheme="minorEastAsia" w:hAnsiTheme="minorHAnsi" w:cstheme="minorBidi"/>
            <w:noProof/>
            <w:sz w:val="22"/>
            <w:szCs w:val="22"/>
            <w:lang w:eastAsia="en-NZ"/>
          </w:rPr>
          <w:tab/>
        </w:r>
        <w:r w:rsidRPr="00567D31">
          <w:rPr>
            <w:rStyle w:val="Hyperlink"/>
            <w:noProof/>
          </w:rPr>
          <w:t>Introduction</w:t>
        </w:r>
        <w:r>
          <w:rPr>
            <w:noProof/>
            <w:webHidden/>
          </w:rPr>
          <w:tab/>
        </w:r>
        <w:r>
          <w:rPr>
            <w:noProof/>
            <w:webHidden/>
          </w:rPr>
          <w:fldChar w:fldCharType="begin"/>
        </w:r>
        <w:r>
          <w:rPr>
            <w:noProof/>
            <w:webHidden/>
          </w:rPr>
          <w:instrText xml:space="preserve"> PAGEREF _Toc90885036 \h </w:instrText>
        </w:r>
        <w:r>
          <w:rPr>
            <w:noProof/>
            <w:webHidden/>
          </w:rPr>
        </w:r>
        <w:r>
          <w:rPr>
            <w:noProof/>
            <w:webHidden/>
          </w:rPr>
          <w:fldChar w:fldCharType="separate"/>
        </w:r>
        <w:r w:rsidR="00451900">
          <w:rPr>
            <w:noProof/>
            <w:webHidden/>
          </w:rPr>
          <w:t>1</w:t>
        </w:r>
        <w:r>
          <w:rPr>
            <w:noProof/>
            <w:webHidden/>
          </w:rPr>
          <w:fldChar w:fldCharType="end"/>
        </w:r>
      </w:hyperlink>
    </w:p>
    <w:p w14:paraId="409F4326" w14:textId="33D47663" w:rsidR="00C55EA2" w:rsidRDefault="00C55EA2">
      <w:pPr>
        <w:pStyle w:val="TOC2"/>
        <w:rPr>
          <w:rFonts w:asciiTheme="minorHAnsi" w:eastAsiaTheme="minorEastAsia" w:hAnsiTheme="minorHAnsi" w:cstheme="minorBidi"/>
          <w:noProof/>
          <w:sz w:val="22"/>
          <w:szCs w:val="22"/>
          <w:lang w:eastAsia="en-NZ"/>
        </w:rPr>
      </w:pPr>
      <w:hyperlink w:anchor="_Toc90885037" w:history="1">
        <w:r w:rsidRPr="00567D31">
          <w:rPr>
            <w:rStyle w:val="Hyperlink"/>
            <w:noProof/>
          </w:rPr>
          <w:t>Structure of this document</w:t>
        </w:r>
        <w:r>
          <w:rPr>
            <w:noProof/>
            <w:webHidden/>
          </w:rPr>
          <w:tab/>
        </w:r>
        <w:r>
          <w:rPr>
            <w:noProof/>
            <w:webHidden/>
          </w:rPr>
          <w:fldChar w:fldCharType="begin"/>
        </w:r>
        <w:r>
          <w:rPr>
            <w:noProof/>
            <w:webHidden/>
          </w:rPr>
          <w:instrText xml:space="preserve"> PAGEREF _Toc90885037 \h </w:instrText>
        </w:r>
        <w:r>
          <w:rPr>
            <w:noProof/>
            <w:webHidden/>
          </w:rPr>
        </w:r>
        <w:r>
          <w:rPr>
            <w:noProof/>
            <w:webHidden/>
          </w:rPr>
          <w:fldChar w:fldCharType="separate"/>
        </w:r>
        <w:r w:rsidR="00451900">
          <w:rPr>
            <w:noProof/>
            <w:webHidden/>
          </w:rPr>
          <w:t>3</w:t>
        </w:r>
        <w:r>
          <w:rPr>
            <w:noProof/>
            <w:webHidden/>
          </w:rPr>
          <w:fldChar w:fldCharType="end"/>
        </w:r>
      </w:hyperlink>
    </w:p>
    <w:p w14:paraId="38DFF1B4" w14:textId="263FD3BA" w:rsidR="00C55EA2" w:rsidRDefault="00C55EA2">
      <w:pPr>
        <w:pStyle w:val="TOC2"/>
        <w:rPr>
          <w:rFonts w:asciiTheme="minorHAnsi" w:eastAsiaTheme="minorEastAsia" w:hAnsiTheme="minorHAnsi" w:cstheme="minorBidi"/>
          <w:noProof/>
          <w:sz w:val="22"/>
          <w:szCs w:val="22"/>
          <w:lang w:eastAsia="en-NZ"/>
        </w:rPr>
      </w:pPr>
      <w:hyperlink w:anchor="_Toc90885038" w:history="1">
        <w:r w:rsidRPr="00567D31">
          <w:rPr>
            <w:rStyle w:val="Hyperlink"/>
            <w:noProof/>
          </w:rPr>
          <w:t>Next steps</w:t>
        </w:r>
        <w:r>
          <w:rPr>
            <w:noProof/>
            <w:webHidden/>
          </w:rPr>
          <w:tab/>
        </w:r>
        <w:r>
          <w:rPr>
            <w:noProof/>
            <w:webHidden/>
          </w:rPr>
          <w:fldChar w:fldCharType="begin"/>
        </w:r>
        <w:r>
          <w:rPr>
            <w:noProof/>
            <w:webHidden/>
          </w:rPr>
          <w:instrText xml:space="preserve"> PAGEREF _Toc90885038 \h </w:instrText>
        </w:r>
        <w:r>
          <w:rPr>
            <w:noProof/>
            <w:webHidden/>
          </w:rPr>
        </w:r>
        <w:r>
          <w:rPr>
            <w:noProof/>
            <w:webHidden/>
          </w:rPr>
          <w:fldChar w:fldCharType="separate"/>
        </w:r>
        <w:r w:rsidR="00451900">
          <w:rPr>
            <w:noProof/>
            <w:webHidden/>
          </w:rPr>
          <w:t>4</w:t>
        </w:r>
        <w:r>
          <w:rPr>
            <w:noProof/>
            <w:webHidden/>
          </w:rPr>
          <w:fldChar w:fldCharType="end"/>
        </w:r>
      </w:hyperlink>
    </w:p>
    <w:p w14:paraId="02486B9F" w14:textId="153F107B" w:rsidR="00C55EA2" w:rsidRDefault="00C55EA2">
      <w:pPr>
        <w:pStyle w:val="TOC1"/>
        <w:rPr>
          <w:rFonts w:asciiTheme="minorHAnsi" w:eastAsiaTheme="minorEastAsia" w:hAnsiTheme="minorHAnsi" w:cstheme="minorBidi"/>
          <w:noProof/>
          <w:sz w:val="22"/>
          <w:szCs w:val="22"/>
          <w:lang w:eastAsia="en-NZ"/>
        </w:rPr>
      </w:pPr>
      <w:hyperlink w:anchor="_Toc90885039" w:history="1">
        <w:r w:rsidRPr="00567D31">
          <w:rPr>
            <w:rStyle w:val="Hyperlink"/>
            <w:noProof/>
          </w:rPr>
          <w:t>2</w:t>
        </w:r>
        <w:r>
          <w:rPr>
            <w:rFonts w:asciiTheme="minorHAnsi" w:eastAsiaTheme="minorEastAsia" w:hAnsiTheme="minorHAnsi" w:cstheme="minorBidi"/>
            <w:noProof/>
            <w:sz w:val="22"/>
            <w:szCs w:val="22"/>
            <w:lang w:eastAsia="en-NZ"/>
          </w:rPr>
          <w:tab/>
        </w:r>
        <w:r w:rsidRPr="00567D31">
          <w:rPr>
            <w:rStyle w:val="Hyperlink"/>
            <w:noProof/>
          </w:rPr>
          <w:t>Strategic overview</w:t>
        </w:r>
        <w:r>
          <w:rPr>
            <w:noProof/>
            <w:webHidden/>
          </w:rPr>
          <w:tab/>
        </w:r>
        <w:r>
          <w:rPr>
            <w:noProof/>
            <w:webHidden/>
          </w:rPr>
          <w:fldChar w:fldCharType="begin"/>
        </w:r>
        <w:r>
          <w:rPr>
            <w:noProof/>
            <w:webHidden/>
          </w:rPr>
          <w:instrText xml:space="preserve"> PAGEREF _Toc90885039 \h </w:instrText>
        </w:r>
        <w:r>
          <w:rPr>
            <w:noProof/>
            <w:webHidden/>
          </w:rPr>
        </w:r>
        <w:r>
          <w:rPr>
            <w:noProof/>
            <w:webHidden/>
          </w:rPr>
          <w:fldChar w:fldCharType="separate"/>
        </w:r>
        <w:r w:rsidR="00451900">
          <w:rPr>
            <w:noProof/>
            <w:webHidden/>
          </w:rPr>
          <w:t>5</w:t>
        </w:r>
        <w:r>
          <w:rPr>
            <w:noProof/>
            <w:webHidden/>
          </w:rPr>
          <w:fldChar w:fldCharType="end"/>
        </w:r>
      </w:hyperlink>
    </w:p>
    <w:p w14:paraId="2F557573" w14:textId="407FEF0D" w:rsidR="00C55EA2" w:rsidRDefault="00C55EA2">
      <w:pPr>
        <w:pStyle w:val="TOC2"/>
        <w:rPr>
          <w:rFonts w:asciiTheme="minorHAnsi" w:eastAsiaTheme="minorEastAsia" w:hAnsiTheme="minorHAnsi" w:cstheme="minorBidi"/>
          <w:noProof/>
          <w:sz w:val="22"/>
          <w:szCs w:val="22"/>
          <w:lang w:eastAsia="en-NZ"/>
        </w:rPr>
      </w:pPr>
      <w:hyperlink w:anchor="_Toc90885040" w:history="1">
        <w:r w:rsidRPr="00567D31">
          <w:rPr>
            <w:rStyle w:val="Hyperlink"/>
            <w:noProof/>
          </w:rPr>
          <w:t>Participation in gambling</w:t>
        </w:r>
        <w:r>
          <w:rPr>
            <w:noProof/>
            <w:webHidden/>
          </w:rPr>
          <w:tab/>
        </w:r>
        <w:r>
          <w:rPr>
            <w:noProof/>
            <w:webHidden/>
          </w:rPr>
          <w:fldChar w:fldCharType="begin"/>
        </w:r>
        <w:r>
          <w:rPr>
            <w:noProof/>
            <w:webHidden/>
          </w:rPr>
          <w:instrText xml:space="preserve"> PAGEREF _Toc90885040 \h </w:instrText>
        </w:r>
        <w:r>
          <w:rPr>
            <w:noProof/>
            <w:webHidden/>
          </w:rPr>
        </w:r>
        <w:r>
          <w:rPr>
            <w:noProof/>
            <w:webHidden/>
          </w:rPr>
          <w:fldChar w:fldCharType="separate"/>
        </w:r>
        <w:r w:rsidR="00451900">
          <w:rPr>
            <w:noProof/>
            <w:webHidden/>
          </w:rPr>
          <w:t>5</w:t>
        </w:r>
        <w:r>
          <w:rPr>
            <w:noProof/>
            <w:webHidden/>
          </w:rPr>
          <w:fldChar w:fldCharType="end"/>
        </w:r>
      </w:hyperlink>
    </w:p>
    <w:p w14:paraId="7C878994" w14:textId="0ACCE7B2" w:rsidR="00C55EA2" w:rsidRDefault="00C55EA2">
      <w:pPr>
        <w:pStyle w:val="TOC2"/>
        <w:rPr>
          <w:rFonts w:asciiTheme="minorHAnsi" w:eastAsiaTheme="minorEastAsia" w:hAnsiTheme="minorHAnsi" w:cstheme="minorBidi"/>
          <w:noProof/>
          <w:sz w:val="22"/>
          <w:szCs w:val="22"/>
          <w:lang w:eastAsia="en-NZ"/>
        </w:rPr>
      </w:pPr>
      <w:hyperlink w:anchor="_Toc90885041" w:history="1">
        <w:r w:rsidRPr="00567D31">
          <w:rPr>
            <w:rStyle w:val="Hyperlink"/>
            <w:noProof/>
          </w:rPr>
          <w:t>The nature of gambling harm</w:t>
        </w:r>
        <w:r>
          <w:rPr>
            <w:noProof/>
            <w:webHidden/>
          </w:rPr>
          <w:tab/>
        </w:r>
        <w:r>
          <w:rPr>
            <w:noProof/>
            <w:webHidden/>
          </w:rPr>
          <w:fldChar w:fldCharType="begin"/>
        </w:r>
        <w:r>
          <w:rPr>
            <w:noProof/>
            <w:webHidden/>
          </w:rPr>
          <w:instrText xml:space="preserve"> PAGEREF _Toc90885041 \h </w:instrText>
        </w:r>
        <w:r>
          <w:rPr>
            <w:noProof/>
            <w:webHidden/>
          </w:rPr>
        </w:r>
        <w:r>
          <w:rPr>
            <w:noProof/>
            <w:webHidden/>
          </w:rPr>
          <w:fldChar w:fldCharType="separate"/>
        </w:r>
        <w:r w:rsidR="00451900">
          <w:rPr>
            <w:noProof/>
            <w:webHidden/>
          </w:rPr>
          <w:t>9</w:t>
        </w:r>
        <w:r>
          <w:rPr>
            <w:noProof/>
            <w:webHidden/>
          </w:rPr>
          <w:fldChar w:fldCharType="end"/>
        </w:r>
      </w:hyperlink>
    </w:p>
    <w:p w14:paraId="76B5EA93" w14:textId="6A8DFB70" w:rsidR="00C55EA2" w:rsidRDefault="00C55EA2">
      <w:pPr>
        <w:pStyle w:val="TOC2"/>
        <w:rPr>
          <w:rFonts w:asciiTheme="minorHAnsi" w:eastAsiaTheme="minorEastAsia" w:hAnsiTheme="minorHAnsi" w:cstheme="minorBidi"/>
          <w:noProof/>
          <w:sz w:val="22"/>
          <w:szCs w:val="22"/>
          <w:lang w:eastAsia="en-NZ"/>
        </w:rPr>
      </w:pPr>
      <w:hyperlink w:anchor="_Toc90885042" w:history="1">
        <w:r w:rsidRPr="00567D31">
          <w:rPr>
            <w:rStyle w:val="Hyperlink"/>
            <w:noProof/>
          </w:rPr>
          <w:t>Service delivery 2019/20 to 2021/22</w:t>
        </w:r>
        <w:r>
          <w:rPr>
            <w:noProof/>
            <w:webHidden/>
          </w:rPr>
          <w:tab/>
        </w:r>
        <w:r>
          <w:rPr>
            <w:noProof/>
            <w:webHidden/>
          </w:rPr>
          <w:fldChar w:fldCharType="begin"/>
        </w:r>
        <w:r>
          <w:rPr>
            <w:noProof/>
            <w:webHidden/>
          </w:rPr>
          <w:instrText xml:space="preserve"> PAGEREF _Toc90885042 \h </w:instrText>
        </w:r>
        <w:r>
          <w:rPr>
            <w:noProof/>
            <w:webHidden/>
          </w:rPr>
        </w:r>
        <w:r>
          <w:rPr>
            <w:noProof/>
            <w:webHidden/>
          </w:rPr>
          <w:fldChar w:fldCharType="separate"/>
        </w:r>
        <w:r w:rsidR="00451900">
          <w:rPr>
            <w:noProof/>
            <w:webHidden/>
          </w:rPr>
          <w:t>17</w:t>
        </w:r>
        <w:r>
          <w:rPr>
            <w:noProof/>
            <w:webHidden/>
          </w:rPr>
          <w:fldChar w:fldCharType="end"/>
        </w:r>
      </w:hyperlink>
    </w:p>
    <w:p w14:paraId="3BF4F453" w14:textId="1FDBCA20" w:rsidR="00C55EA2" w:rsidRDefault="00C55EA2">
      <w:pPr>
        <w:pStyle w:val="TOC1"/>
        <w:rPr>
          <w:rFonts w:asciiTheme="minorHAnsi" w:eastAsiaTheme="minorEastAsia" w:hAnsiTheme="minorHAnsi" w:cstheme="minorBidi"/>
          <w:noProof/>
          <w:sz w:val="22"/>
          <w:szCs w:val="22"/>
          <w:lang w:eastAsia="en-NZ"/>
        </w:rPr>
      </w:pPr>
      <w:hyperlink w:anchor="_Toc90885043" w:history="1">
        <w:r w:rsidRPr="00567D31">
          <w:rPr>
            <w:rStyle w:val="Hyperlink"/>
            <w:noProof/>
          </w:rPr>
          <w:t>3</w:t>
        </w:r>
        <w:r>
          <w:rPr>
            <w:rFonts w:asciiTheme="minorHAnsi" w:eastAsiaTheme="minorEastAsia" w:hAnsiTheme="minorHAnsi" w:cstheme="minorBidi"/>
            <w:noProof/>
            <w:sz w:val="22"/>
            <w:szCs w:val="22"/>
            <w:lang w:eastAsia="en-NZ"/>
          </w:rPr>
          <w:tab/>
        </w:r>
        <w:r w:rsidRPr="00567D31">
          <w:rPr>
            <w:rStyle w:val="Hyperlink"/>
            <w:noProof/>
          </w:rPr>
          <w:t>The strategic plan</w:t>
        </w:r>
        <w:r>
          <w:rPr>
            <w:noProof/>
            <w:webHidden/>
          </w:rPr>
          <w:tab/>
        </w:r>
        <w:r>
          <w:rPr>
            <w:noProof/>
            <w:webHidden/>
          </w:rPr>
          <w:fldChar w:fldCharType="begin"/>
        </w:r>
        <w:r>
          <w:rPr>
            <w:noProof/>
            <w:webHidden/>
          </w:rPr>
          <w:instrText xml:space="preserve"> PAGEREF _Toc90885043 \h </w:instrText>
        </w:r>
        <w:r>
          <w:rPr>
            <w:noProof/>
            <w:webHidden/>
          </w:rPr>
        </w:r>
        <w:r>
          <w:rPr>
            <w:noProof/>
            <w:webHidden/>
          </w:rPr>
          <w:fldChar w:fldCharType="separate"/>
        </w:r>
        <w:r w:rsidR="00451900">
          <w:rPr>
            <w:noProof/>
            <w:webHidden/>
          </w:rPr>
          <w:t>20</w:t>
        </w:r>
        <w:r>
          <w:rPr>
            <w:noProof/>
            <w:webHidden/>
          </w:rPr>
          <w:fldChar w:fldCharType="end"/>
        </w:r>
      </w:hyperlink>
    </w:p>
    <w:p w14:paraId="3F4DF5C9" w14:textId="099A15DC" w:rsidR="00C55EA2" w:rsidRDefault="00C55EA2">
      <w:pPr>
        <w:pStyle w:val="TOC2"/>
        <w:rPr>
          <w:rFonts w:asciiTheme="minorHAnsi" w:eastAsiaTheme="minorEastAsia" w:hAnsiTheme="minorHAnsi" w:cstheme="minorBidi"/>
          <w:noProof/>
          <w:sz w:val="22"/>
          <w:szCs w:val="22"/>
          <w:lang w:eastAsia="en-NZ"/>
        </w:rPr>
      </w:pPr>
      <w:hyperlink w:anchor="_Toc90885044" w:history="1">
        <w:r w:rsidRPr="00567D31">
          <w:rPr>
            <w:rStyle w:val="Hyperlink"/>
            <w:noProof/>
          </w:rPr>
          <w:t>The strategic environment</w:t>
        </w:r>
        <w:r>
          <w:rPr>
            <w:noProof/>
            <w:webHidden/>
          </w:rPr>
          <w:tab/>
        </w:r>
        <w:r>
          <w:rPr>
            <w:noProof/>
            <w:webHidden/>
          </w:rPr>
          <w:fldChar w:fldCharType="begin"/>
        </w:r>
        <w:r>
          <w:rPr>
            <w:noProof/>
            <w:webHidden/>
          </w:rPr>
          <w:instrText xml:space="preserve"> PAGEREF _Toc90885044 \h </w:instrText>
        </w:r>
        <w:r>
          <w:rPr>
            <w:noProof/>
            <w:webHidden/>
          </w:rPr>
        </w:r>
        <w:r>
          <w:rPr>
            <w:noProof/>
            <w:webHidden/>
          </w:rPr>
          <w:fldChar w:fldCharType="separate"/>
        </w:r>
        <w:r w:rsidR="00451900">
          <w:rPr>
            <w:noProof/>
            <w:webHidden/>
          </w:rPr>
          <w:t>20</w:t>
        </w:r>
        <w:r>
          <w:rPr>
            <w:noProof/>
            <w:webHidden/>
          </w:rPr>
          <w:fldChar w:fldCharType="end"/>
        </w:r>
      </w:hyperlink>
    </w:p>
    <w:p w14:paraId="2CDAED7F" w14:textId="37B6408E" w:rsidR="00C55EA2" w:rsidRDefault="00C55EA2">
      <w:pPr>
        <w:pStyle w:val="TOC2"/>
        <w:rPr>
          <w:rFonts w:asciiTheme="minorHAnsi" w:eastAsiaTheme="minorEastAsia" w:hAnsiTheme="minorHAnsi" w:cstheme="minorBidi"/>
          <w:noProof/>
          <w:sz w:val="22"/>
          <w:szCs w:val="22"/>
          <w:lang w:eastAsia="en-NZ"/>
        </w:rPr>
      </w:pPr>
      <w:hyperlink w:anchor="_Toc90885045" w:history="1">
        <w:r w:rsidRPr="00567D31">
          <w:rPr>
            <w:rStyle w:val="Hyperlink"/>
            <w:noProof/>
          </w:rPr>
          <w:t>Focusing on public health</w:t>
        </w:r>
        <w:r>
          <w:rPr>
            <w:noProof/>
            <w:webHidden/>
          </w:rPr>
          <w:tab/>
        </w:r>
        <w:r>
          <w:rPr>
            <w:noProof/>
            <w:webHidden/>
          </w:rPr>
          <w:fldChar w:fldCharType="begin"/>
        </w:r>
        <w:r>
          <w:rPr>
            <w:noProof/>
            <w:webHidden/>
          </w:rPr>
          <w:instrText xml:space="preserve"> PAGEREF _Toc90885045 \h </w:instrText>
        </w:r>
        <w:r>
          <w:rPr>
            <w:noProof/>
            <w:webHidden/>
          </w:rPr>
        </w:r>
        <w:r>
          <w:rPr>
            <w:noProof/>
            <w:webHidden/>
          </w:rPr>
          <w:fldChar w:fldCharType="separate"/>
        </w:r>
        <w:r w:rsidR="00451900">
          <w:rPr>
            <w:noProof/>
            <w:webHidden/>
          </w:rPr>
          <w:t>23</w:t>
        </w:r>
        <w:r>
          <w:rPr>
            <w:noProof/>
            <w:webHidden/>
          </w:rPr>
          <w:fldChar w:fldCharType="end"/>
        </w:r>
      </w:hyperlink>
    </w:p>
    <w:p w14:paraId="65D5F3EE" w14:textId="13A759ED" w:rsidR="00C55EA2" w:rsidRDefault="00C55EA2">
      <w:pPr>
        <w:pStyle w:val="TOC2"/>
        <w:rPr>
          <w:rFonts w:asciiTheme="minorHAnsi" w:eastAsiaTheme="minorEastAsia" w:hAnsiTheme="minorHAnsi" w:cstheme="minorBidi"/>
          <w:noProof/>
          <w:sz w:val="22"/>
          <w:szCs w:val="22"/>
          <w:lang w:eastAsia="en-NZ"/>
        </w:rPr>
      </w:pPr>
      <w:hyperlink w:anchor="_Toc90885046" w:history="1">
        <w:r w:rsidRPr="00567D31">
          <w:rPr>
            <w:rStyle w:val="Hyperlink"/>
            <w:noProof/>
          </w:rPr>
          <w:t>Gambling harm as an equity issue</w:t>
        </w:r>
        <w:r>
          <w:rPr>
            <w:noProof/>
            <w:webHidden/>
          </w:rPr>
          <w:tab/>
        </w:r>
        <w:r>
          <w:rPr>
            <w:noProof/>
            <w:webHidden/>
          </w:rPr>
          <w:fldChar w:fldCharType="begin"/>
        </w:r>
        <w:r>
          <w:rPr>
            <w:noProof/>
            <w:webHidden/>
          </w:rPr>
          <w:instrText xml:space="preserve"> PAGEREF _Toc90885046 \h </w:instrText>
        </w:r>
        <w:r>
          <w:rPr>
            <w:noProof/>
            <w:webHidden/>
          </w:rPr>
        </w:r>
        <w:r>
          <w:rPr>
            <w:noProof/>
            <w:webHidden/>
          </w:rPr>
          <w:fldChar w:fldCharType="separate"/>
        </w:r>
        <w:r w:rsidR="00451900">
          <w:rPr>
            <w:noProof/>
            <w:webHidden/>
          </w:rPr>
          <w:t>24</w:t>
        </w:r>
        <w:r>
          <w:rPr>
            <w:noProof/>
            <w:webHidden/>
          </w:rPr>
          <w:fldChar w:fldCharType="end"/>
        </w:r>
      </w:hyperlink>
    </w:p>
    <w:p w14:paraId="5BFBE6A6" w14:textId="082F5AF4" w:rsidR="00C55EA2" w:rsidRDefault="00C55EA2">
      <w:pPr>
        <w:pStyle w:val="TOC2"/>
        <w:rPr>
          <w:rFonts w:asciiTheme="minorHAnsi" w:eastAsiaTheme="minorEastAsia" w:hAnsiTheme="minorHAnsi" w:cstheme="minorBidi"/>
          <w:noProof/>
          <w:sz w:val="22"/>
          <w:szCs w:val="22"/>
          <w:lang w:eastAsia="en-NZ"/>
        </w:rPr>
      </w:pPr>
      <w:hyperlink w:anchor="_Toc90885047" w:history="1">
        <w:r w:rsidRPr="00567D31">
          <w:rPr>
            <w:rStyle w:val="Hyperlink"/>
            <w:noProof/>
          </w:rPr>
          <w:t>The proposed strategic framework</w:t>
        </w:r>
        <w:r>
          <w:rPr>
            <w:noProof/>
            <w:webHidden/>
          </w:rPr>
          <w:tab/>
        </w:r>
        <w:r>
          <w:rPr>
            <w:noProof/>
            <w:webHidden/>
          </w:rPr>
          <w:fldChar w:fldCharType="begin"/>
        </w:r>
        <w:r>
          <w:rPr>
            <w:noProof/>
            <w:webHidden/>
          </w:rPr>
          <w:instrText xml:space="preserve"> PAGEREF _Toc90885047 \h </w:instrText>
        </w:r>
        <w:r>
          <w:rPr>
            <w:noProof/>
            <w:webHidden/>
          </w:rPr>
        </w:r>
        <w:r>
          <w:rPr>
            <w:noProof/>
            <w:webHidden/>
          </w:rPr>
          <w:fldChar w:fldCharType="separate"/>
        </w:r>
        <w:r w:rsidR="00451900">
          <w:rPr>
            <w:noProof/>
            <w:webHidden/>
          </w:rPr>
          <w:t>26</w:t>
        </w:r>
        <w:r>
          <w:rPr>
            <w:noProof/>
            <w:webHidden/>
          </w:rPr>
          <w:fldChar w:fldCharType="end"/>
        </w:r>
      </w:hyperlink>
    </w:p>
    <w:p w14:paraId="69CC4B70" w14:textId="56581B6E" w:rsidR="00C55EA2" w:rsidRDefault="00C55EA2">
      <w:pPr>
        <w:pStyle w:val="TOC2"/>
        <w:rPr>
          <w:rFonts w:asciiTheme="minorHAnsi" w:eastAsiaTheme="minorEastAsia" w:hAnsiTheme="minorHAnsi" w:cstheme="minorBidi"/>
          <w:noProof/>
          <w:sz w:val="22"/>
          <w:szCs w:val="22"/>
          <w:lang w:eastAsia="en-NZ"/>
        </w:rPr>
      </w:pPr>
      <w:hyperlink w:anchor="_Toc90885048" w:history="1">
        <w:r w:rsidRPr="00567D31">
          <w:rPr>
            <w:rStyle w:val="Hyperlink"/>
            <w:noProof/>
          </w:rPr>
          <w:t>Elements of the new framework</w:t>
        </w:r>
        <w:r>
          <w:rPr>
            <w:noProof/>
            <w:webHidden/>
          </w:rPr>
          <w:tab/>
        </w:r>
        <w:r>
          <w:rPr>
            <w:noProof/>
            <w:webHidden/>
          </w:rPr>
          <w:fldChar w:fldCharType="begin"/>
        </w:r>
        <w:r>
          <w:rPr>
            <w:noProof/>
            <w:webHidden/>
          </w:rPr>
          <w:instrText xml:space="preserve"> PAGEREF _Toc90885048 \h </w:instrText>
        </w:r>
        <w:r>
          <w:rPr>
            <w:noProof/>
            <w:webHidden/>
          </w:rPr>
        </w:r>
        <w:r>
          <w:rPr>
            <w:noProof/>
            <w:webHidden/>
          </w:rPr>
          <w:fldChar w:fldCharType="separate"/>
        </w:r>
        <w:r w:rsidR="00451900">
          <w:rPr>
            <w:noProof/>
            <w:webHidden/>
          </w:rPr>
          <w:t>30</w:t>
        </w:r>
        <w:r>
          <w:rPr>
            <w:noProof/>
            <w:webHidden/>
          </w:rPr>
          <w:fldChar w:fldCharType="end"/>
        </w:r>
      </w:hyperlink>
    </w:p>
    <w:p w14:paraId="5D76FF6C" w14:textId="4C11D832" w:rsidR="00C55EA2" w:rsidRDefault="00C55EA2">
      <w:pPr>
        <w:pStyle w:val="TOC2"/>
        <w:rPr>
          <w:rFonts w:asciiTheme="minorHAnsi" w:eastAsiaTheme="minorEastAsia" w:hAnsiTheme="minorHAnsi" w:cstheme="minorBidi"/>
          <w:noProof/>
          <w:sz w:val="22"/>
          <w:szCs w:val="22"/>
          <w:lang w:eastAsia="en-NZ"/>
        </w:rPr>
      </w:pPr>
      <w:hyperlink w:anchor="_Toc90885049" w:history="1">
        <w:r w:rsidRPr="00567D31">
          <w:rPr>
            <w:rStyle w:val="Hyperlink"/>
            <w:noProof/>
          </w:rPr>
          <w:t>Priority populations</w:t>
        </w:r>
        <w:r>
          <w:rPr>
            <w:noProof/>
            <w:webHidden/>
          </w:rPr>
          <w:tab/>
        </w:r>
        <w:r>
          <w:rPr>
            <w:noProof/>
            <w:webHidden/>
          </w:rPr>
          <w:fldChar w:fldCharType="begin"/>
        </w:r>
        <w:r>
          <w:rPr>
            <w:noProof/>
            <w:webHidden/>
          </w:rPr>
          <w:instrText xml:space="preserve"> PAGEREF _Toc90885049 \h </w:instrText>
        </w:r>
        <w:r>
          <w:rPr>
            <w:noProof/>
            <w:webHidden/>
          </w:rPr>
        </w:r>
        <w:r>
          <w:rPr>
            <w:noProof/>
            <w:webHidden/>
          </w:rPr>
          <w:fldChar w:fldCharType="separate"/>
        </w:r>
        <w:r w:rsidR="00451900">
          <w:rPr>
            <w:noProof/>
            <w:webHidden/>
          </w:rPr>
          <w:t>38</w:t>
        </w:r>
        <w:r>
          <w:rPr>
            <w:noProof/>
            <w:webHidden/>
          </w:rPr>
          <w:fldChar w:fldCharType="end"/>
        </w:r>
      </w:hyperlink>
    </w:p>
    <w:p w14:paraId="3931B61D" w14:textId="054084EF" w:rsidR="00C55EA2" w:rsidRDefault="00C55EA2">
      <w:pPr>
        <w:pStyle w:val="TOC2"/>
        <w:rPr>
          <w:rFonts w:asciiTheme="minorHAnsi" w:eastAsiaTheme="minorEastAsia" w:hAnsiTheme="minorHAnsi" w:cstheme="minorBidi"/>
          <w:noProof/>
          <w:sz w:val="22"/>
          <w:szCs w:val="22"/>
          <w:lang w:eastAsia="en-NZ"/>
        </w:rPr>
      </w:pPr>
      <w:hyperlink w:anchor="_Toc90885050" w:history="1">
        <w:r w:rsidRPr="00567D31">
          <w:rPr>
            <w:rStyle w:val="Hyperlink"/>
            <w:noProof/>
          </w:rPr>
          <w:t>What needs to change</w:t>
        </w:r>
        <w:r>
          <w:rPr>
            <w:noProof/>
            <w:webHidden/>
          </w:rPr>
          <w:tab/>
        </w:r>
        <w:r>
          <w:rPr>
            <w:noProof/>
            <w:webHidden/>
          </w:rPr>
          <w:fldChar w:fldCharType="begin"/>
        </w:r>
        <w:r>
          <w:rPr>
            <w:noProof/>
            <w:webHidden/>
          </w:rPr>
          <w:instrText xml:space="preserve"> PAGEREF _Toc90885050 \h </w:instrText>
        </w:r>
        <w:r>
          <w:rPr>
            <w:noProof/>
            <w:webHidden/>
          </w:rPr>
        </w:r>
        <w:r>
          <w:rPr>
            <w:noProof/>
            <w:webHidden/>
          </w:rPr>
          <w:fldChar w:fldCharType="separate"/>
        </w:r>
        <w:r w:rsidR="00451900">
          <w:rPr>
            <w:noProof/>
            <w:webHidden/>
          </w:rPr>
          <w:t>40</w:t>
        </w:r>
        <w:r>
          <w:rPr>
            <w:noProof/>
            <w:webHidden/>
          </w:rPr>
          <w:fldChar w:fldCharType="end"/>
        </w:r>
      </w:hyperlink>
    </w:p>
    <w:p w14:paraId="4324553F" w14:textId="6EC7987C" w:rsidR="00C55EA2" w:rsidRDefault="00C55EA2">
      <w:pPr>
        <w:pStyle w:val="TOC2"/>
        <w:rPr>
          <w:rFonts w:asciiTheme="minorHAnsi" w:eastAsiaTheme="minorEastAsia" w:hAnsiTheme="minorHAnsi" w:cstheme="minorBidi"/>
          <w:noProof/>
          <w:sz w:val="22"/>
          <w:szCs w:val="22"/>
          <w:lang w:eastAsia="en-NZ"/>
        </w:rPr>
      </w:pPr>
      <w:hyperlink w:anchor="_Toc90885051" w:history="1">
        <w:r w:rsidRPr="00567D31">
          <w:rPr>
            <w:rStyle w:val="Hyperlink"/>
            <w:noProof/>
          </w:rPr>
          <w:t>How we will measure progress</w:t>
        </w:r>
        <w:r>
          <w:rPr>
            <w:noProof/>
            <w:webHidden/>
          </w:rPr>
          <w:tab/>
        </w:r>
        <w:r>
          <w:rPr>
            <w:noProof/>
            <w:webHidden/>
          </w:rPr>
          <w:fldChar w:fldCharType="begin"/>
        </w:r>
        <w:r>
          <w:rPr>
            <w:noProof/>
            <w:webHidden/>
          </w:rPr>
          <w:instrText xml:space="preserve"> PAGEREF _Toc90885051 \h </w:instrText>
        </w:r>
        <w:r>
          <w:rPr>
            <w:noProof/>
            <w:webHidden/>
          </w:rPr>
        </w:r>
        <w:r>
          <w:rPr>
            <w:noProof/>
            <w:webHidden/>
          </w:rPr>
          <w:fldChar w:fldCharType="separate"/>
        </w:r>
        <w:r w:rsidR="00451900">
          <w:rPr>
            <w:noProof/>
            <w:webHidden/>
          </w:rPr>
          <w:t>41</w:t>
        </w:r>
        <w:r>
          <w:rPr>
            <w:noProof/>
            <w:webHidden/>
          </w:rPr>
          <w:fldChar w:fldCharType="end"/>
        </w:r>
      </w:hyperlink>
    </w:p>
    <w:p w14:paraId="63E71C24" w14:textId="605487C2" w:rsidR="00C55EA2" w:rsidRDefault="00C55EA2">
      <w:pPr>
        <w:pStyle w:val="TOC1"/>
        <w:rPr>
          <w:rFonts w:asciiTheme="minorHAnsi" w:eastAsiaTheme="minorEastAsia" w:hAnsiTheme="minorHAnsi" w:cstheme="minorBidi"/>
          <w:noProof/>
          <w:sz w:val="22"/>
          <w:szCs w:val="22"/>
          <w:lang w:eastAsia="en-NZ"/>
        </w:rPr>
      </w:pPr>
      <w:hyperlink w:anchor="_Toc90885052" w:history="1">
        <w:r w:rsidRPr="00567D31">
          <w:rPr>
            <w:rStyle w:val="Hyperlink"/>
            <w:noProof/>
          </w:rPr>
          <w:t>4</w:t>
        </w:r>
        <w:r>
          <w:rPr>
            <w:rFonts w:asciiTheme="minorHAnsi" w:eastAsiaTheme="minorEastAsia" w:hAnsiTheme="minorHAnsi" w:cstheme="minorBidi"/>
            <w:noProof/>
            <w:sz w:val="22"/>
            <w:szCs w:val="22"/>
            <w:lang w:eastAsia="en-NZ"/>
          </w:rPr>
          <w:tab/>
        </w:r>
        <w:r w:rsidRPr="00567D31">
          <w:rPr>
            <w:rStyle w:val="Hyperlink"/>
            <w:noProof/>
          </w:rPr>
          <w:t>Draft service plan 2022/23 to 2024/25</w:t>
        </w:r>
        <w:r>
          <w:rPr>
            <w:noProof/>
            <w:webHidden/>
          </w:rPr>
          <w:tab/>
        </w:r>
        <w:r>
          <w:rPr>
            <w:noProof/>
            <w:webHidden/>
          </w:rPr>
          <w:fldChar w:fldCharType="begin"/>
        </w:r>
        <w:r>
          <w:rPr>
            <w:noProof/>
            <w:webHidden/>
          </w:rPr>
          <w:instrText xml:space="preserve"> PAGEREF _Toc90885052 \h </w:instrText>
        </w:r>
        <w:r>
          <w:rPr>
            <w:noProof/>
            <w:webHidden/>
          </w:rPr>
        </w:r>
        <w:r>
          <w:rPr>
            <w:noProof/>
            <w:webHidden/>
          </w:rPr>
          <w:fldChar w:fldCharType="separate"/>
        </w:r>
        <w:r w:rsidR="00451900">
          <w:rPr>
            <w:noProof/>
            <w:webHidden/>
          </w:rPr>
          <w:t>42</w:t>
        </w:r>
        <w:r>
          <w:rPr>
            <w:noProof/>
            <w:webHidden/>
          </w:rPr>
          <w:fldChar w:fldCharType="end"/>
        </w:r>
      </w:hyperlink>
    </w:p>
    <w:p w14:paraId="342F6B25" w14:textId="787E0C67" w:rsidR="00C55EA2" w:rsidRDefault="00C55EA2">
      <w:pPr>
        <w:pStyle w:val="TOC2"/>
        <w:rPr>
          <w:rFonts w:asciiTheme="minorHAnsi" w:eastAsiaTheme="minorEastAsia" w:hAnsiTheme="minorHAnsi" w:cstheme="minorBidi"/>
          <w:noProof/>
          <w:sz w:val="22"/>
          <w:szCs w:val="22"/>
          <w:lang w:eastAsia="en-NZ"/>
        </w:rPr>
      </w:pPr>
      <w:hyperlink w:anchor="_Toc90885053" w:history="1">
        <w:r w:rsidRPr="00567D31">
          <w:rPr>
            <w:rStyle w:val="Hyperlink"/>
            <w:noProof/>
          </w:rPr>
          <w:t>Purpose of the service plan</w:t>
        </w:r>
        <w:r>
          <w:rPr>
            <w:noProof/>
            <w:webHidden/>
          </w:rPr>
          <w:tab/>
        </w:r>
        <w:r>
          <w:rPr>
            <w:noProof/>
            <w:webHidden/>
          </w:rPr>
          <w:fldChar w:fldCharType="begin"/>
        </w:r>
        <w:r>
          <w:rPr>
            <w:noProof/>
            <w:webHidden/>
          </w:rPr>
          <w:instrText xml:space="preserve"> PAGEREF _Toc90885053 \h </w:instrText>
        </w:r>
        <w:r>
          <w:rPr>
            <w:noProof/>
            <w:webHidden/>
          </w:rPr>
        </w:r>
        <w:r>
          <w:rPr>
            <w:noProof/>
            <w:webHidden/>
          </w:rPr>
          <w:fldChar w:fldCharType="separate"/>
        </w:r>
        <w:r w:rsidR="00451900">
          <w:rPr>
            <w:noProof/>
            <w:webHidden/>
          </w:rPr>
          <w:t>42</w:t>
        </w:r>
        <w:r>
          <w:rPr>
            <w:noProof/>
            <w:webHidden/>
          </w:rPr>
          <w:fldChar w:fldCharType="end"/>
        </w:r>
      </w:hyperlink>
    </w:p>
    <w:p w14:paraId="1A2E2AA8" w14:textId="46FAD038" w:rsidR="00C55EA2" w:rsidRDefault="00C55EA2">
      <w:pPr>
        <w:pStyle w:val="TOC2"/>
        <w:rPr>
          <w:rFonts w:asciiTheme="minorHAnsi" w:eastAsiaTheme="minorEastAsia" w:hAnsiTheme="minorHAnsi" w:cstheme="minorBidi"/>
          <w:noProof/>
          <w:sz w:val="22"/>
          <w:szCs w:val="22"/>
          <w:lang w:eastAsia="en-NZ"/>
        </w:rPr>
      </w:pPr>
      <w:hyperlink w:anchor="_Toc90885054" w:history="1">
        <w:r w:rsidRPr="00567D31">
          <w:rPr>
            <w:rStyle w:val="Hyperlink"/>
            <w:noProof/>
          </w:rPr>
          <w:t>Indicative budget for 2022/23 to 2024/25</w:t>
        </w:r>
        <w:r>
          <w:rPr>
            <w:noProof/>
            <w:webHidden/>
          </w:rPr>
          <w:tab/>
        </w:r>
        <w:r>
          <w:rPr>
            <w:noProof/>
            <w:webHidden/>
          </w:rPr>
          <w:fldChar w:fldCharType="begin"/>
        </w:r>
        <w:r>
          <w:rPr>
            <w:noProof/>
            <w:webHidden/>
          </w:rPr>
          <w:instrText xml:space="preserve"> PAGEREF _Toc90885054 \h </w:instrText>
        </w:r>
        <w:r>
          <w:rPr>
            <w:noProof/>
            <w:webHidden/>
          </w:rPr>
        </w:r>
        <w:r>
          <w:rPr>
            <w:noProof/>
            <w:webHidden/>
          </w:rPr>
          <w:fldChar w:fldCharType="separate"/>
        </w:r>
        <w:r w:rsidR="00451900">
          <w:rPr>
            <w:noProof/>
            <w:webHidden/>
          </w:rPr>
          <w:t>48</w:t>
        </w:r>
        <w:r>
          <w:rPr>
            <w:noProof/>
            <w:webHidden/>
          </w:rPr>
          <w:fldChar w:fldCharType="end"/>
        </w:r>
      </w:hyperlink>
    </w:p>
    <w:p w14:paraId="78273C0E" w14:textId="323CF310" w:rsidR="00C55EA2" w:rsidRDefault="00C55EA2">
      <w:pPr>
        <w:pStyle w:val="TOC2"/>
        <w:rPr>
          <w:rFonts w:asciiTheme="minorHAnsi" w:eastAsiaTheme="minorEastAsia" w:hAnsiTheme="minorHAnsi" w:cstheme="minorBidi"/>
          <w:noProof/>
          <w:sz w:val="22"/>
          <w:szCs w:val="22"/>
          <w:lang w:eastAsia="en-NZ"/>
        </w:rPr>
      </w:pPr>
      <w:hyperlink w:anchor="_Toc90885055" w:history="1">
        <w:r w:rsidRPr="00567D31">
          <w:rPr>
            <w:rStyle w:val="Hyperlink"/>
            <w:noProof/>
          </w:rPr>
          <w:t>Public health services</w:t>
        </w:r>
        <w:r>
          <w:rPr>
            <w:noProof/>
            <w:webHidden/>
          </w:rPr>
          <w:tab/>
        </w:r>
        <w:r>
          <w:rPr>
            <w:noProof/>
            <w:webHidden/>
          </w:rPr>
          <w:fldChar w:fldCharType="begin"/>
        </w:r>
        <w:r>
          <w:rPr>
            <w:noProof/>
            <w:webHidden/>
          </w:rPr>
          <w:instrText xml:space="preserve"> PAGEREF _Toc90885055 \h </w:instrText>
        </w:r>
        <w:r>
          <w:rPr>
            <w:noProof/>
            <w:webHidden/>
          </w:rPr>
        </w:r>
        <w:r>
          <w:rPr>
            <w:noProof/>
            <w:webHidden/>
          </w:rPr>
          <w:fldChar w:fldCharType="separate"/>
        </w:r>
        <w:r w:rsidR="00451900">
          <w:rPr>
            <w:noProof/>
            <w:webHidden/>
          </w:rPr>
          <w:t>50</w:t>
        </w:r>
        <w:r>
          <w:rPr>
            <w:noProof/>
            <w:webHidden/>
          </w:rPr>
          <w:fldChar w:fldCharType="end"/>
        </w:r>
      </w:hyperlink>
    </w:p>
    <w:p w14:paraId="1437DACD" w14:textId="6F65BC31" w:rsidR="00C55EA2" w:rsidRDefault="00C55EA2">
      <w:pPr>
        <w:pStyle w:val="TOC2"/>
        <w:rPr>
          <w:rFonts w:asciiTheme="minorHAnsi" w:eastAsiaTheme="minorEastAsia" w:hAnsiTheme="minorHAnsi" w:cstheme="minorBidi"/>
          <w:noProof/>
          <w:sz w:val="22"/>
          <w:szCs w:val="22"/>
          <w:lang w:eastAsia="en-NZ"/>
        </w:rPr>
      </w:pPr>
      <w:hyperlink w:anchor="_Toc90885056" w:history="1">
        <w:r w:rsidRPr="00567D31">
          <w:rPr>
            <w:rStyle w:val="Hyperlink"/>
            <w:noProof/>
          </w:rPr>
          <w:t>Clinical intervention and support services</w:t>
        </w:r>
        <w:r>
          <w:rPr>
            <w:noProof/>
            <w:webHidden/>
          </w:rPr>
          <w:tab/>
        </w:r>
        <w:r>
          <w:rPr>
            <w:noProof/>
            <w:webHidden/>
          </w:rPr>
          <w:fldChar w:fldCharType="begin"/>
        </w:r>
        <w:r>
          <w:rPr>
            <w:noProof/>
            <w:webHidden/>
          </w:rPr>
          <w:instrText xml:space="preserve"> PAGEREF _Toc90885056 \h </w:instrText>
        </w:r>
        <w:r>
          <w:rPr>
            <w:noProof/>
            <w:webHidden/>
          </w:rPr>
        </w:r>
        <w:r>
          <w:rPr>
            <w:noProof/>
            <w:webHidden/>
          </w:rPr>
          <w:fldChar w:fldCharType="separate"/>
        </w:r>
        <w:r w:rsidR="00451900">
          <w:rPr>
            <w:noProof/>
            <w:webHidden/>
          </w:rPr>
          <w:t>57</w:t>
        </w:r>
        <w:r>
          <w:rPr>
            <w:noProof/>
            <w:webHidden/>
          </w:rPr>
          <w:fldChar w:fldCharType="end"/>
        </w:r>
      </w:hyperlink>
    </w:p>
    <w:p w14:paraId="3DD1ABBC" w14:textId="4DFF6298" w:rsidR="00C55EA2" w:rsidRDefault="00C55EA2">
      <w:pPr>
        <w:pStyle w:val="TOC2"/>
        <w:rPr>
          <w:rFonts w:asciiTheme="minorHAnsi" w:eastAsiaTheme="minorEastAsia" w:hAnsiTheme="minorHAnsi" w:cstheme="minorBidi"/>
          <w:noProof/>
          <w:sz w:val="22"/>
          <w:szCs w:val="22"/>
          <w:lang w:eastAsia="en-NZ"/>
        </w:rPr>
      </w:pPr>
      <w:hyperlink w:anchor="_Toc90885057" w:history="1">
        <w:r w:rsidRPr="00567D31">
          <w:rPr>
            <w:rStyle w:val="Hyperlink"/>
            <w:noProof/>
          </w:rPr>
          <w:t>Research and evaluation</w:t>
        </w:r>
        <w:r>
          <w:rPr>
            <w:noProof/>
            <w:webHidden/>
          </w:rPr>
          <w:tab/>
        </w:r>
        <w:r>
          <w:rPr>
            <w:noProof/>
            <w:webHidden/>
          </w:rPr>
          <w:fldChar w:fldCharType="begin"/>
        </w:r>
        <w:r>
          <w:rPr>
            <w:noProof/>
            <w:webHidden/>
          </w:rPr>
          <w:instrText xml:space="preserve"> PAGEREF _Toc90885057 \h </w:instrText>
        </w:r>
        <w:r>
          <w:rPr>
            <w:noProof/>
            <w:webHidden/>
          </w:rPr>
        </w:r>
        <w:r>
          <w:rPr>
            <w:noProof/>
            <w:webHidden/>
          </w:rPr>
          <w:fldChar w:fldCharType="separate"/>
        </w:r>
        <w:r w:rsidR="00451900">
          <w:rPr>
            <w:noProof/>
            <w:webHidden/>
          </w:rPr>
          <w:t>61</w:t>
        </w:r>
        <w:r>
          <w:rPr>
            <w:noProof/>
            <w:webHidden/>
          </w:rPr>
          <w:fldChar w:fldCharType="end"/>
        </w:r>
      </w:hyperlink>
    </w:p>
    <w:p w14:paraId="2FB62D28" w14:textId="289C166C" w:rsidR="00C55EA2" w:rsidRDefault="00C55EA2">
      <w:pPr>
        <w:pStyle w:val="TOC2"/>
        <w:rPr>
          <w:rFonts w:asciiTheme="minorHAnsi" w:eastAsiaTheme="minorEastAsia" w:hAnsiTheme="minorHAnsi" w:cstheme="minorBidi"/>
          <w:noProof/>
          <w:sz w:val="22"/>
          <w:szCs w:val="22"/>
          <w:lang w:eastAsia="en-NZ"/>
        </w:rPr>
      </w:pPr>
      <w:hyperlink w:anchor="_Toc90885058" w:history="1">
        <w:r w:rsidRPr="00567D31">
          <w:rPr>
            <w:rStyle w:val="Hyperlink"/>
            <w:noProof/>
          </w:rPr>
          <w:t>New services and innovation</w:t>
        </w:r>
        <w:r>
          <w:rPr>
            <w:noProof/>
            <w:webHidden/>
          </w:rPr>
          <w:tab/>
        </w:r>
        <w:r>
          <w:rPr>
            <w:noProof/>
            <w:webHidden/>
          </w:rPr>
          <w:fldChar w:fldCharType="begin"/>
        </w:r>
        <w:r>
          <w:rPr>
            <w:noProof/>
            <w:webHidden/>
          </w:rPr>
          <w:instrText xml:space="preserve"> PAGEREF _Toc90885058 \h </w:instrText>
        </w:r>
        <w:r>
          <w:rPr>
            <w:noProof/>
            <w:webHidden/>
          </w:rPr>
        </w:r>
        <w:r>
          <w:rPr>
            <w:noProof/>
            <w:webHidden/>
          </w:rPr>
          <w:fldChar w:fldCharType="separate"/>
        </w:r>
        <w:r w:rsidR="00451900">
          <w:rPr>
            <w:noProof/>
            <w:webHidden/>
          </w:rPr>
          <w:t>63</w:t>
        </w:r>
        <w:r>
          <w:rPr>
            <w:noProof/>
            <w:webHidden/>
          </w:rPr>
          <w:fldChar w:fldCharType="end"/>
        </w:r>
      </w:hyperlink>
    </w:p>
    <w:p w14:paraId="7AEF138C" w14:textId="4C589A1A" w:rsidR="00C55EA2" w:rsidRDefault="00C55EA2">
      <w:pPr>
        <w:pStyle w:val="TOC2"/>
        <w:rPr>
          <w:rFonts w:asciiTheme="minorHAnsi" w:eastAsiaTheme="minorEastAsia" w:hAnsiTheme="minorHAnsi" w:cstheme="minorBidi"/>
          <w:noProof/>
          <w:sz w:val="22"/>
          <w:szCs w:val="22"/>
          <w:lang w:eastAsia="en-NZ"/>
        </w:rPr>
      </w:pPr>
      <w:hyperlink w:anchor="_Toc90885059" w:history="1">
        <w:r w:rsidRPr="00567D31">
          <w:rPr>
            <w:rStyle w:val="Hyperlink"/>
            <w:noProof/>
          </w:rPr>
          <w:t>Ministry of Health operating costs</w:t>
        </w:r>
        <w:r>
          <w:rPr>
            <w:noProof/>
            <w:webHidden/>
          </w:rPr>
          <w:tab/>
        </w:r>
        <w:r>
          <w:rPr>
            <w:noProof/>
            <w:webHidden/>
          </w:rPr>
          <w:fldChar w:fldCharType="begin"/>
        </w:r>
        <w:r>
          <w:rPr>
            <w:noProof/>
            <w:webHidden/>
          </w:rPr>
          <w:instrText xml:space="preserve"> PAGEREF _Toc90885059 \h </w:instrText>
        </w:r>
        <w:r>
          <w:rPr>
            <w:noProof/>
            <w:webHidden/>
          </w:rPr>
        </w:r>
        <w:r>
          <w:rPr>
            <w:noProof/>
            <w:webHidden/>
          </w:rPr>
          <w:fldChar w:fldCharType="separate"/>
        </w:r>
        <w:r w:rsidR="00451900">
          <w:rPr>
            <w:noProof/>
            <w:webHidden/>
          </w:rPr>
          <w:t>68</w:t>
        </w:r>
        <w:r>
          <w:rPr>
            <w:noProof/>
            <w:webHidden/>
          </w:rPr>
          <w:fldChar w:fldCharType="end"/>
        </w:r>
      </w:hyperlink>
    </w:p>
    <w:p w14:paraId="40CDCEA8" w14:textId="2C573FE0" w:rsidR="00C55EA2" w:rsidRDefault="00C55EA2">
      <w:pPr>
        <w:pStyle w:val="TOC1"/>
        <w:rPr>
          <w:rFonts w:asciiTheme="minorHAnsi" w:eastAsiaTheme="minorEastAsia" w:hAnsiTheme="minorHAnsi" w:cstheme="minorBidi"/>
          <w:noProof/>
          <w:sz w:val="22"/>
          <w:szCs w:val="22"/>
          <w:lang w:eastAsia="en-NZ"/>
        </w:rPr>
      </w:pPr>
      <w:hyperlink w:anchor="_Toc90885060" w:history="1">
        <w:r w:rsidRPr="00567D31">
          <w:rPr>
            <w:rStyle w:val="Hyperlink"/>
            <w:noProof/>
          </w:rPr>
          <w:t>5</w:t>
        </w:r>
        <w:r>
          <w:rPr>
            <w:rFonts w:asciiTheme="minorHAnsi" w:eastAsiaTheme="minorEastAsia" w:hAnsiTheme="minorHAnsi" w:cstheme="minorBidi"/>
            <w:noProof/>
            <w:sz w:val="22"/>
            <w:szCs w:val="22"/>
            <w:lang w:eastAsia="en-NZ"/>
          </w:rPr>
          <w:tab/>
        </w:r>
        <w:r w:rsidRPr="00567D31">
          <w:rPr>
            <w:rStyle w:val="Hyperlink"/>
            <w:noProof/>
          </w:rPr>
          <w:t>Draft levy rates for 2022/23 to 2024/25</w:t>
        </w:r>
        <w:r>
          <w:rPr>
            <w:noProof/>
            <w:webHidden/>
          </w:rPr>
          <w:tab/>
        </w:r>
        <w:r>
          <w:rPr>
            <w:noProof/>
            <w:webHidden/>
          </w:rPr>
          <w:fldChar w:fldCharType="begin"/>
        </w:r>
        <w:r>
          <w:rPr>
            <w:noProof/>
            <w:webHidden/>
          </w:rPr>
          <w:instrText xml:space="preserve"> PAGEREF _Toc90885060 \h </w:instrText>
        </w:r>
        <w:r>
          <w:rPr>
            <w:noProof/>
            <w:webHidden/>
          </w:rPr>
        </w:r>
        <w:r>
          <w:rPr>
            <w:noProof/>
            <w:webHidden/>
          </w:rPr>
          <w:fldChar w:fldCharType="separate"/>
        </w:r>
        <w:r w:rsidR="00451900">
          <w:rPr>
            <w:noProof/>
            <w:webHidden/>
          </w:rPr>
          <w:t>69</w:t>
        </w:r>
        <w:r>
          <w:rPr>
            <w:noProof/>
            <w:webHidden/>
          </w:rPr>
          <w:fldChar w:fldCharType="end"/>
        </w:r>
      </w:hyperlink>
    </w:p>
    <w:p w14:paraId="327DD2FB" w14:textId="18F72FBE" w:rsidR="00C55EA2" w:rsidRDefault="00C55EA2">
      <w:pPr>
        <w:pStyle w:val="TOC2"/>
        <w:rPr>
          <w:rFonts w:asciiTheme="minorHAnsi" w:eastAsiaTheme="minorEastAsia" w:hAnsiTheme="minorHAnsi" w:cstheme="minorBidi"/>
          <w:noProof/>
          <w:sz w:val="22"/>
          <w:szCs w:val="22"/>
          <w:lang w:eastAsia="en-NZ"/>
        </w:rPr>
      </w:pPr>
      <w:hyperlink w:anchor="_Toc90885061" w:history="1">
        <w:r w:rsidRPr="00567D31">
          <w:rPr>
            <w:rStyle w:val="Hyperlink"/>
            <w:noProof/>
          </w:rPr>
          <w:t>Process for setting the levy rates</w:t>
        </w:r>
        <w:r>
          <w:rPr>
            <w:noProof/>
            <w:webHidden/>
          </w:rPr>
          <w:tab/>
        </w:r>
        <w:r>
          <w:rPr>
            <w:noProof/>
            <w:webHidden/>
          </w:rPr>
          <w:fldChar w:fldCharType="begin"/>
        </w:r>
        <w:r>
          <w:rPr>
            <w:noProof/>
            <w:webHidden/>
          </w:rPr>
          <w:instrText xml:space="preserve"> PAGEREF _Toc90885061 \h </w:instrText>
        </w:r>
        <w:r>
          <w:rPr>
            <w:noProof/>
            <w:webHidden/>
          </w:rPr>
        </w:r>
        <w:r>
          <w:rPr>
            <w:noProof/>
            <w:webHidden/>
          </w:rPr>
          <w:fldChar w:fldCharType="separate"/>
        </w:r>
        <w:r w:rsidR="00451900">
          <w:rPr>
            <w:noProof/>
            <w:webHidden/>
          </w:rPr>
          <w:t>69</w:t>
        </w:r>
        <w:r>
          <w:rPr>
            <w:noProof/>
            <w:webHidden/>
          </w:rPr>
          <w:fldChar w:fldCharType="end"/>
        </w:r>
      </w:hyperlink>
    </w:p>
    <w:p w14:paraId="2013B9C2" w14:textId="40804ADC" w:rsidR="00C55EA2" w:rsidRDefault="00C55EA2">
      <w:pPr>
        <w:pStyle w:val="TOC2"/>
        <w:rPr>
          <w:rFonts w:asciiTheme="minorHAnsi" w:eastAsiaTheme="minorEastAsia" w:hAnsiTheme="minorHAnsi" w:cstheme="minorBidi"/>
          <w:noProof/>
          <w:sz w:val="22"/>
          <w:szCs w:val="22"/>
          <w:lang w:eastAsia="en-NZ"/>
        </w:rPr>
      </w:pPr>
      <w:hyperlink w:anchor="_Toc90885062" w:history="1">
        <w:r w:rsidRPr="00567D31">
          <w:rPr>
            <w:rStyle w:val="Hyperlink"/>
            <w:noProof/>
          </w:rPr>
          <w:t>The levy formula</w:t>
        </w:r>
        <w:r>
          <w:rPr>
            <w:noProof/>
            <w:webHidden/>
          </w:rPr>
          <w:tab/>
        </w:r>
        <w:r>
          <w:rPr>
            <w:noProof/>
            <w:webHidden/>
          </w:rPr>
          <w:fldChar w:fldCharType="begin"/>
        </w:r>
        <w:r>
          <w:rPr>
            <w:noProof/>
            <w:webHidden/>
          </w:rPr>
          <w:instrText xml:space="preserve"> PAGEREF _Toc90885062 \h </w:instrText>
        </w:r>
        <w:r>
          <w:rPr>
            <w:noProof/>
            <w:webHidden/>
          </w:rPr>
        </w:r>
        <w:r>
          <w:rPr>
            <w:noProof/>
            <w:webHidden/>
          </w:rPr>
          <w:fldChar w:fldCharType="separate"/>
        </w:r>
        <w:r w:rsidR="00451900">
          <w:rPr>
            <w:noProof/>
            <w:webHidden/>
          </w:rPr>
          <w:t>70</w:t>
        </w:r>
        <w:r>
          <w:rPr>
            <w:noProof/>
            <w:webHidden/>
          </w:rPr>
          <w:fldChar w:fldCharType="end"/>
        </w:r>
      </w:hyperlink>
    </w:p>
    <w:p w14:paraId="2FCA0166" w14:textId="58005F38" w:rsidR="00C55EA2" w:rsidRDefault="00C55EA2">
      <w:pPr>
        <w:pStyle w:val="TOC2"/>
        <w:rPr>
          <w:rFonts w:asciiTheme="minorHAnsi" w:eastAsiaTheme="minorEastAsia" w:hAnsiTheme="minorHAnsi" w:cstheme="minorBidi"/>
          <w:noProof/>
          <w:sz w:val="22"/>
          <w:szCs w:val="22"/>
          <w:lang w:eastAsia="en-NZ"/>
        </w:rPr>
      </w:pPr>
      <w:hyperlink w:anchor="_Toc90885063" w:history="1">
        <w:r w:rsidRPr="00567D31">
          <w:rPr>
            <w:rStyle w:val="Hyperlink"/>
            <w:noProof/>
          </w:rPr>
          <w:t>Options</w:t>
        </w:r>
        <w:r>
          <w:rPr>
            <w:noProof/>
            <w:webHidden/>
          </w:rPr>
          <w:tab/>
        </w:r>
        <w:r>
          <w:rPr>
            <w:noProof/>
            <w:webHidden/>
          </w:rPr>
          <w:fldChar w:fldCharType="begin"/>
        </w:r>
        <w:r>
          <w:rPr>
            <w:noProof/>
            <w:webHidden/>
          </w:rPr>
          <w:instrText xml:space="preserve"> PAGEREF _Toc90885063 \h </w:instrText>
        </w:r>
        <w:r>
          <w:rPr>
            <w:noProof/>
            <w:webHidden/>
          </w:rPr>
        </w:r>
        <w:r>
          <w:rPr>
            <w:noProof/>
            <w:webHidden/>
          </w:rPr>
          <w:fldChar w:fldCharType="separate"/>
        </w:r>
        <w:r w:rsidR="00451900">
          <w:rPr>
            <w:noProof/>
            <w:webHidden/>
          </w:rPr>
          <w:t>80</w:t>
        </w:r>
        <w:r>
          <w:rPr>
            <w:noProof/>
            <w:webHidden/>
          </w:rPr>
          <w:fldChar w:fldCharType="end"/>
        </w:r>
      </w:hyperlink>
    </w:p>
    <w:p w14:paraId="73A46930" w14:textId="5A94E0EA" w:rsidR="00C55EA2" w:rsidRDefault="00C55EA2">
      <w:pPr>
        <w:pStyle w:val="TOC1"/>
        <w:rPr>
          <w:rFonts w:asciiTheme="minorHAnsi" w:eastAsiaTheme="minorEastAsia" w:hAnsiTheme="minorHAnsi" w:cstheme="minorBidi"/>
          <w:noProof/>
          <w:sz w:val="22"/>
          <w:szCs w:val="22"/>
          <w:lang w:eastAsia="en-NZ"/>
        </w:rPr>
      </w:pPr>
      <w:hyperlink w:anchor="_Toc90885064" w:history="1">
        <w:r w:rsidRPr="00567D31">
          <w:rPr>
            <w:rStyle w:val="Hyperlink"/>
            <w:noProof/>
          </w:rPr>
          <w:t>Appendices</w:t>
        </w:r>
        <w:r>
          <w:rPr>
            <w:noProof/>
            <w:webHidden/>
          </w:rPr>
          <w:tab/>
        </w:r>
        <w:r>
          <w:rPr>
            <w:noProof/>
            <w:webHidden/>
          </w:rPr>
          <w:fldChar w:fldCharType="begin"/>
        </w:r>
        <w:r>
          <w:rPr>
            <w:noProof/>
            <w:webHidden/>
          </w:rPr>
          <w:instrText xml:space="preserve"> PAGEREF _Toc90885064 \h </w:instrText>
        </w:r>
        <w:r>
          <w:rPr>
            <w:noProof/>
            <w:webHidden/>
          </w:rPr>
        </w:r>
        <w:r>
          <w:rPr>
            <w:noProof/>
            <w:webHidden/>
          </w:rPr>
          <w:fldChar w:fldCharType="separate"/>
        </w:r>
        <w:r w:rsidR="00451900">
          <w:rPr>
            <w:noProof/>
            <w:webHidden/>
          </w:rPr>
          <w:t>82</w:t>
        </w:r>
        <w:r>
          <w:rPr>
            <w:noProof/>
            <w:webHidden/>
          </w:rPr>
          <w:fldChar w:fldCharType="end"/>
        </w:r>
      </w:hyperlink>
    </w:p>
    <w:p w14:paraId="05644D0E" w14:textId="42ABE073" w:rsidR="00C55EA2" w:rsidRDefault="00C55EA2">
      <w:pPr>
        <w:pStyle w:val="TOC2"/>
        <w:rPr>
          <w:rFonts w:asciiTheme="minorHAnsi" w:eastAsiaTheme="minorEastAsia" w:hAnsiTheme="minorHAnsi" w:cstheme="minorBidi"/>
          <w:noProof/>
          <w:sz w:val="22"/>
          <w:szCs w:val="22"/>
          <w:lang w:eastAsia="en-NZ"/>
        </w:rPr>
      </w:pPr>
      <w:hyperlink w:anchor="_Toc90885065" w:history="1">
        <w:r w:rsidRPr="00567D31">
          <w:rPr>
            <w:rStyle w:val="Hyperlink"/>
            <w:noProof/>
          </w:rPr>
          <w:t>Appendix 1: Aligning with other strategic documents</w:t>
        </w:r>
        <w:r>
          <w:rPr>
            <w:noProof/>
            <w:webHidden/>
          </w:rPr>
          <w:tab/>
        </w:r>
        <w:r>
          <w:rPr>
            <w:noProof/>
            <w:webHidden/>
          </w:rPr>
          <w:fldChar w:fldCharType="begin"/>
        </w:r>
        <w:r>
          <w:rPr>
            <w:noProof/>
            <w:webHidden/>
          </w:rPr>
          <w:instrText xml:space="preserve"> PAGEREF _Toc90885065 \h </w:instrText>
        </w:r>
        <w:r>
          <w:rPr>
            <w:noProof/>
            <w:webHidden/>
          </w:rPr>
        </w:r>
        <w:r>
          <w:rPr>
            <w:noProof/>
            <w:webHidden/>
          </w:rPr>
          <w:fldChar w:fldCharType="separate"/>
        </w:r>
        <w:r w:rsidR="00451900">
          <w:rPr>
            <w:noProof/>
            <w:webHidden/>
          </w:rPr>
          <w:t>82</w:t>
        </w:r>
        <w:r>
          <w:rPr>
            <w:noProof/>
            <w:webHidden/>
          </w:rPr>
          <w:fldChar w:fldCharType="end"/>
        </w:r>
      </w:hyperlink>
    </w:p>
    <w:p w14:paraId="73ECB3E0" w14:textId="498E7F8D" w:rsidR="00C55EA2" w:rsidRDefault="00C55EA2">
      <w:pPr>
        <w:pStyle w:val="TOC2"/>
        <w:rPr>
          <w:rFonts w:asciiTheme="minorHAnsi" w:eastAsiaTheme="minorEastAsia" w:hAnsiTheme="minorHAnsi" w:cstheme="minorBidi"/>
          <w:noProof/>
          <w:sz w:val="22"/>
          <w:szCs w:val="22"/>
          <w:lang w:eastAsia="en-NZ"/>
        </w:rPr>
      </w:pPr>
      <w:hyperlink w:anchor="_Toc90885066" w:history="1">
        <w:r w:rsidRPr="00567D31">
          <w:rPr>
            <w:rStyle w:val="Hyperlink"/>
            <w:noProof/>
          </w:rPr>
          <w:t>Appendix 2: Bringing our principles to life</w:t>
        </w:r>
        <w:r>
          <w:rPr>
            <w:noProof/>
            <w:webHidden/>
          </w:rPr>
          <w:tab/>
        </w:r>
        <w:r>
          <w:rPr>
            <w:noProof/>
            <w:webHidden/>
          </w:rPr>
          <w:fldChar w:fldCharType="begin"/>
        </w:r>
        <w:r>
          <w:rPr>
            <w:noProof/>
            <w:webHidden/>
          </w:rPr>
          <w:instrText xml:space="preserve"> PAGEREF _Toc90885066 \h </w:instrText>
        </w:r>
        <w:r>
          <w:rPr>
            <w:noProof/>
            <w:webHidden/>
          </w:rPr>
        </w:r>
        <w:r>
          <w:rPr>
            <w:noProof/>
            <w:webHidden/>
          </w:rPr>
          <w:fldChar w:fldCharType="separate"/>
        </w:r>
        <w:r w:rsidR="00451900">
          <w:rPr>
            <w:noProof/>
            <w:webHidden/>
          </w:rPr>
          <w:t>85</w:t>
        </w:r>
        <w:r>
          <w:rPr>
            <w:noProof/>
            <w:webHidden/>
          </w:rPr>
          <w:fldChar w:fldCharType="end"/>
        </w:r>
      </w:hyperlink>
    </w:p>
    <w:p w14:paraId="5ABD9581" w14:textId="3A84387F" w:rsidR="00C55EA2" w:rsidRDefault="00C55EA2">
      <w:pPr>
        <w:pStyle w:val="TOC2"/>
        <w:rPr>
          <w:rFonts w:asciiTheme="minorHAnsi" w:eastAsiaTheme="minorEastAsia" w:hAnsiTheme="minorHAnsi" w:cstheme="minorBidi"/>
          <w:noProof/>
          <w:sz w:val="22"/>
          <w:szCs w:val="22"/>
          <w:lang w:eastAsia="en-NZ"/>
        </w:rPr>
      </w:pPr>
      <w:hyperlink w:anchor="_Toc90885067" w:history="1">
        <w:r w:rsidRPr="00567D31">
          <w:rPr>
            <w:rStyle w:val="Hyperlink"/>
            <w:noProof/>
          </w:rPr>
          <w:t>Appendix 3: Key continuities</w:t>
        </w:r>
        <w:r>
          <w:rPr>
            <w:noProof/>
            <w:webHidden/>
          </w:rPr>
          <w:tab/>
        </w:r>
        <w:r>
          <w:rPr>
            <w:noProof/>
            <w:webHidden/>
          </w:rPr>
          <w:fldChar w:fldCharType="begin"/>
        </w:r>
        <w:r>
          <w:rPr>
            <w:noProof/>
            <w:webHidden/>
          </w:rPr>
          <w:instrText xml:space="preserve"> PAGEREF _Toc90885067 \h </w:instrText>
        </w:r>
        <w:r>
          <w:rPr>
            <w:noProof/>
            <w:webHidden/>
          </w:rPr>
        </w:r>
        <w:r>
          <w:rPr>
            <w:noProof/>
            <w:webHidden/>
          </w:rPr>
          <w:fldChar w:fldCharType="separate"/>
        </w:r>
        <w:r w:rsidR="00451900">
          <w:rPr>
            <w:noProof/>
            <w:webHidden/>
          </w:rPr>
          <w:t>87</w:t>
        </w:r>
        <w:r>
          <w:rPr>
            <w:noProof/>
            <w:webHidden/>
          </w:rPr>
          <w:fldChar w:fldCharType="end"/>
        </w:r>
      </w:hyperlink>
    </w:p>
    <w:p w14:paraId="361D5CE4" w14:textId="09DBEBE8" w:rsidR="00C55EA2" w:rsidRDefault="00C55EA2">
      <w:pPr>
        <w:pStyle w:val="TOC1"/>
        <w:rPr>
          <w:rFonts w:asciiTheme="minorHAnsi" w:eastAsiaTheme="minorEastAsia" w:hAnsiTheme="minorHAnsi" w:cstheme="minorBidi"/>
          <w:noProof/>
          <w:sz w:val="22"/>
          <w:szCs w:val="22"/>
          <w:lang w:eastAsia="en-NZ"/>
        </w:rPr>
      </w:pPr>
      <w:hyperlink w:anchor="_Toc90885068" w:history="1">
        <w:r w:rsidRPr="00567D31">
          <w:rPr>
            <w:rStyle w:val="Hyperlink"/>
            <w:noProof/>
          </w:rPr>
          <w:t>List of abbreviations</w:t>
        </w:r>
        <w:r>
          <w:rPr>
            <w:noProof/>
            <w:webHidden/>
          </w:rPr>
          <w:tab/>
        </w:r>
        <w:r>
          <w:rPr>
            <w:noProof/>
            <w:webHidden/>
          </w:rPr>
          <w:fldChar w:fldCharType="begin"/>
        </w:r>
        <w:r>
          <w:rPr>
            <w:noProof/>
            <w:webHidden/>
          </w:rPr>
          <w:instrText xml:space="preserve"> PAGEREF _Toc90885068 \h </w:instrText>
        </w:r>
        <w:r>
          <w:rPr>
            <w:noProof/>
            <w:webHidden/>
          </w:rPr>
        </w:r>
        <w:r>
          <w:rPr>
            <w:noProof/>
            <w:webHidden/>
          </w:rPr>
          <w:fldChar w:fldCharType="separate"/>
        </w:r>
        <w:r w:rsidR="00451900">
          <w:rPr>
            <w:noProof/>
            <w:webHidden/>
          </w:rPr>
          <w:t>88</w:t>
        </w:r>
        <w:r>
          <w:rPr>
            <w:noProof/>
            <w:webHidden/>
          </w:rPr>
          <w:fldChar w:fldCharType="end"/>
        </w:r>
      </w:hyperlink>
    </w:p>
    <w:p w14:paraId="1D6F658C" w14:textId="1F81674E" w:rsidR="002B76A7" w:rsidRDefault="00C55EA2" w:rsidP="00CF16AC">
      <w:pPr>
        <w:pStyle w:val="TOC1"/>
        <w:spacing w:before="540"/>
      </w:pPr>
      <w:r>
        <w:rPr>
          <w:b/>
        </w:rPr>
        <w:lastRenderedPageBreak/>
        <w:fldChar w:fldCharType="end"/>
      </w:r>
      <w:r w:rsidR="002B76A7">
        <w:t>List of Tables</w:t>
      </w:r>
    </w:p>
    <w:p w14:paraId="55977849" w14:textId="251AC208" w:rsidR="00CF16AC"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CF16AC">
        <w:rPr>
          <w:noProof/>
        </w:rPr>
        <w:t>Table 1:</w:t>
      </w:r>
      <w:r w:rsidR="00CF16AC">
        <w:rPr>
          <w:noProof/>
        </w:rPr>
        <w:tab/>
        <w:t>Summary of service and investment priorities</w:t>
      </w:r>
      <w:r w:rsidR="00CF16AC">
        <w:rPr>
          <w:noProof/>
        </w:rPr>
        <w:tab/>
      </w:r>
      <w:r w:rsidR="00CF16AC">
        <w:rPr>
          <w:noProof/>
        </w:rPr>
        <w:fldChar w:fldCharType="begin"/>
      </w:r>
      <w:r w:rsidR="00CF16AC">
        <w:rPr>
          <w:noProof/>
        </w:rPr>
        <w:instrText xml:space="preserve"> PAGEREF _Toc90626951 \h </w:instrText>
      </w:r>
      <w:r w:rsidR="00CF16AC">
        <w:rPr>
          <w:noProof/>
        </w:rPr>
      </w:r>
      <w:r w:rsidR="00CF16AC">
        <w:rPr>
          <w:noProof/>
        </w:rPr>
        <w:fldChar w:fldCharType="separate"/>
      </w:r>
      <w:r w:rsidR="00451900">
        <w:rPr>
          <w:noProof/>
        </w:rPr>
        <w:t>43</w:t>
      </w:r>
      <w:r w:rsidR="00CF16AC">
        <w:rPr>
          <w:noProof/>
        </w:rPr>
        <w:fldChar w:fldCharType="end"/>
      </w:r>
    </w:p>
    <w:p w14:paraId="2EEE6CDA" w14:textId="244E35D2" w:rsidR="00CF16AC" w:rsidRDefault="00CF16AC">
      <w:pPr>
        <w:pStyle w:val="TOC3"/>
        <w:rPr>
          <w:rFonts w:asciiTheme="minorHAnsi" w:eastAsiaTheme="minorEastAsia" w:hAnsiTheme="minorHAnsi" w:cstheme="minorBidi"/>
          <w:noProof/>
          <w:sz w:val="22"/>
          <w:szCs w:val="22"/>
          <w:lang w:eastAsia="en-NZ"/>
        </w:rPr>
      </w:pPr>
      <w:r>
        <w:rPr>
          <w:noProof/>
        </w:rPr>
        <w:t>Table 2:</w:t>
      </w:r>
      <w:r>
        <w:rPr>
          <w:noProof/>
        </w:rPr>
        <w:tab/>
        <w:t>Service plan activity by strategic objectives</w:t>
      </w:r>
      <w:r>
        <w:rPr>
          <w:noProof/>
        </w:rPr>
        <w:tab/>
      </w:r>
      <w:r>
        <w:rPr>
          <w:noProof/>
        </w:rPr>
        <w:fldChar w:fldCharType="begin"/>
      </w:r>
      <w:r>
        <w:rPr>
          <w:noProof/>
        </w:rPr>
        <w:instrText xml:space="preserve"> PAGEREF _Toc90626952 \h </w:instrText>
      </w:r>
      <w:r>
        <w:rPr>
          <w:noProof/>
        </w:rPr>
      </w:r>
      <w:r>
        <w:rPr>
          <w:noProof/>
        </w:rPr>
        <w:fldChar w:fldCharType="separate"/>
      </w:r>
      <w:r w:rsidR="00451900">
        <w:rPr>
          <w:noProof/>
        </w:rPr>
        <w:t>46</w:t>
      </w:r>
      <w:r>
        <w:rPr>
          <w:noProof/>
        </w:rPr>
        <w:fldChar w:fldCharType="end"/>
      </w:r>
    </w:p>
    <w:p w14:paraId="0BD2A2FE" w14:textId="5744F1A5" w:rsidR="00CF16AC" w:rsidRDefault="00CF16AC">
      <w:pPr>
        <w:pStyle w:val="TOC3"/>
        <w:rPr>
          <w:rFonts w:asciiTheme="minorHAnsi" w:eastAsiaTheme="minorEastAsia" w:hAnsiTheme="minorHAnsi" w:cstheme="minorBidi"/>
          <w:noProof/>
          <w:sz w:val="22"/>
          <w:szCs w:val="22"/>
          <w:lang w:eastAsia="en-NZ"/>
        </w:rPr>
      </w:pPr>
      <w:r>
        <w:rPr>
          <w:noProof/>
        </w:rPr>
        <w:t>Table 3:</w:t>
      </w:r>
      <w:r>
        <w:rPr>
          <w:noProof/>
        </w:rPr>
        <w:tab/>
        <w:t>Budget to prevent and minimise gambling harm (GST exclusive), 2022/23 to 2024/25</w:t>
      </w:r>
      <w:r>
        <w:rPr>
          <w:noProof/>
        </w:rPr>
        <w:tab/>
      </w:r>
      <w:r>
        <w:rPr>
          <w:noProof/>
        </w:rPr>
        <w:fldChar w:fldCharType="begin"/>
      </w:r>
      <w:r>
        <w:rPr>
          <w:noProof/>
        </w:rPr>
        <w:instrText xml:space="preserve"> PAGEREF _Toc90626953 \h </w:instrText>
      </w:r>
      <w:r>
        <w:rPr>
          <w:noProof/>
        </w:rPr>
      </w:r>
      <w:r>
        <w:rPr>
          <w:noProof/>
        </w:rPr>
        <w:fldChar w:fldCharType="separate"/>
      </w:r>
      <w:r w:rsidR="00451900">
        <w:rPr>
          <w:noProof/>
        </w:rPr>
        <w:t>48</w:t>
      </w:r>
      <w:r>
        <w:rPr>
          <w:noProof/>
        </w:rPr>
        <w:fldChar w:fldCharType="end"/>
      </w:r>
    </w:p>
    <w:p w14:paraId="2AC39BCD" w14:textId="447AF84C" w:rsidR="00CF16AC" w:rsidRDefault="00CF16AC">
      <w:pPr>
        <w:pStyle w:val="TOC3"/>
        <w:rPr>
          <w:rFonts w:asciiTheme="minorHAnsi" w:eastAsiaTheme="minorEastAsia" w:hAnsiTheme="minorHAnsi" w:cstheme="minorBidi"/>
          <w:noProof/>
          <w:sz w:val="22"/>
          <w:szCs w:val="22"/>
          <w:lang w:eastAsia="en-NZ"/>
        </w:rPr>
      </w:pPr>
      <w:r>
        <w:rPr>
          <w:noProof/>
        </w:rPr>
        <w:t>Table 4:</w:t>
      </w:r>
      <w:r>
        <w:rPr>
          <w:noProof/>
        </w:rPr>
        <w:tab/>
        <w:t>Proposed budget changes compared with current levy period (over three</w:t>
      </w:r>
      <w:r w:rsidR="0018228E">
        <w:rPr>
          <w:noProof/>
        </w:rPr>
        <w:t> years</w:t>
      </w:r>
      <w:r>
        <w:rPr>
          <w:noProof/>
        </w:rPr>
        <w:t>)</w:t>
      </w:r>
      <w:r>
        <w:rPr>
          <w:noProof/>
        </w:rPr>
        <w:tab/>
      </w:r>
      <w:r>
        <w:rPr>
          <w:noProof/>
        </w:rPr>
        <w:fldChar w:fldCharType="begin"/>
      </w:r>
      <w:r>
        <w:rPr>
          <w:noProof/>
        </w:rPr>
        <w:instrText xml:space="preserve"> PAGEREF _Toc90626954 \h </w:instrText>
      </w:r>
      <w:r>
        <w:rPr>
          <w:noProof/>
        </w:rPr>
      </w:r>
      <w:r>
        <w:rPr>
          <w:noProof/>
        </w:rPr>
        <w:fldChar w:fldCharType="separate"/>
      </w:r>
      <w:r w:rsidR="00451900">
        <w:rPr>
          <w:noProof/>
        </w:rPr>
        <w:t>49</w:t>
      </w:r>
      <w:r>
        <w:rPr>
          <w:noProof/>
        </w:rPr>
        <w:fldChar w:fldCharType="end"/>
      </w:r>
    </w:p>
    <w:p w14:paraId="2D3CE3C9" w14:textId="1F43499C" w:rsidR="00CF16AC" w:rsidRDefault="00CF16AC">
      <w:pPr>
        <w:pStyle w:val="TOC3"/>
        <w:rPr>
          <w:rFonts w:asciiTheme="minorHAnsi" w:eastAsiaTheme="minorEastAsia" w:hAnsiTheme="minorHAnsi" w:cstheme="minorBidi"/>
          <w:noProof/>
          <w:sz w:val="22"/>
          <w:szCs w:val="22"/>
          <w:lang w:eastAsia="en-NZ"/>
        </w:rPr>
      </w:pPr>
      <w:r>
        <w:rPr>
          <w:noProof/>
        </w:rPr>
        <w:t>Table 5:</w:t>
      </w:r>
      <w:r>
        <w:rPr>
          <w:noProof/>
        </w:rPr>
        <w:tab/>
        <w:t>Summary of public health key actions</w:t>
      </w:r>
      <w:r>
        <w:rPr>
          <w:noProof/>
        </w:rPr>
        <w:tab/>
      </w:r>
      <w:r>
        <w:rPr>
          <w:noProof/>
        </w:rPr>
        <w:fldChar w:fldCharType="begin"/>
      </w:r>
      <w:r>
        <w:rPr>
          <w:noProof/>
        </w:rPr>
        <w:instrText xml:space="preserve"> PAGEREF _Toc90626955 \h </w:instrText>
      </w:r>
      <w:r>
        <w:rPr>
          <w:noProof/>
        </w:rPr>
      </w:r>
      <w:r>
        <w:rPr>
          <w:noProof/>
        </w:rPr>
        <w:fldChar w:fldCharType="separate"/>
      </w:r>
      <w:r w:rsidR="00451900">
        <w:rPr>
          <w:noProof/>
        </w:rPr>
        <w:t>51</w:t>
      </w:r>
      <w:r>
        <w:rPr>
          <w:noProof/>
        </w:rPr>
        <w:fldChar w:fldCharType="end"/>
      </w:r>
    </w:p>
    <w:p w14:paraId="13FB6778" w14:textId="0503F445" w:rsidR="00CF16AC" w:rsidRDefault="00CF16AC">
      <w:pPr>
        <w:pStyle w:val="TOC3"/>
        <w:rPr>
          <w:rFonts w:asciiTheme="minorHAnsi" w:eastAsiaTheme="minorEastAsia" w:hAnsiTheme="minorHAnsi" w:cstheme="minorBidi"/>
          <w:noProof/>
          <w:sz w:val="22"/>
          <w:szCs w:val="22"/>
          <w:lang w:eastAsia="en-NZ"/>
        </w:rPr>
      </w:pPr>
      <w:r>
        <w:rPr>
          <w:noProof/>
        </w:rPr>
        <w:t>Table 6:</w:t>
      </w:r>
      <w:r>
        <w:rPr>
          <w:noProof/>
        </w:rPr>
        <w:tab/>
        <w:t>Public health budget (GST exclusive), by service area, 2022/23 to 2024/25</w:t>
      </w:r>
      <w:r>
        <w:rPr>
          <w:noProof/>
        </w:rPr>
        <w:tab/>
      </w:r>
      <w:r>
        <w:rPr>
          <w:noProof/>
        </w:rPr>
        <w:fldChar w:fldCharType="begin"/>
      </w:r>
      <w:r>
        <w:rPr>
          <w:noProof/>
        </w:rPr>
        <w:instrText xml:space="preserve"> PAGEREF _Toc90626956 \h </w:instrText>
      </w:r>
      <w:r>
        <w:rPr>
          <w:noProof/>
        </w:rPr>
      </w:r>
      <w:r>
        <w:rPr>
          <w:noProof/>
        </w:rPr>
        <w:fldChar w:fldCharType="separate"/>
      </w:r>
      <w:r w:rsidR="00451900">
        <w:rPr>
          <w:noProof/>
        </w:rPr>
        <w:t>52</w:t>
      </w:r>
      <w:r>
        <w:rPr>
          <w:noProof/>
        </w:rPr>
        <w:fldChar w:fldCharType="end"/>
      </w:r>
    </w:p>
    <w:p w14:paraId="2EBD2B14" w14:textId="44BC61DC" w:rsidR="00CF16AC" w:rsidRDefault="00CF16AC">
      <w:pPr>
        <w:pStyle w:val="TOC3"/>
        <w:rPr>
          <w:rFonts w:asciiTheme="minorHAnsi" w:eastAsiaTheme="minorEastAsia" w:hAnsiTheme="minorHAnsi" w:cstheme="minorBidi"/>
          <w:noProof/>
          <w:sz w:val="22"/>
          <w:szCs w:val="22"/>
          <w:lang w:eastAsia="en-NZ"/>
        </w:rPr>
      </w:pPr>
      <w:r>
        <w:rPr>
          <w:noProof/>
        </w:rPr>
        <w:t>Table 7:</w:t>
      </w:r>
      <w:r>
        <w:rPr>
          <w:noProof/>
        </w:rPr>
        <w:tab/>
        <w:t>Intervention services budget (GST exclusive), by service area, 2022/23 to 2024/25</w:t>
      </w:r>
      <w:r>
        <w:rPr>
          <w:noProof/>
        </w:rPr>
        <w:tab/>
      </w:r>
      <w:r>
        <w:rPr>
          <w:noProof/>
        </w:rPr>
        <w:fldChar w:fldCharType="begin"/>
      </w:r>
      <w:r>
        <w:rPr>
          <w:noProof/>
        </w:rPr>
        <w:instrText xml:space="preserve"> PAGEREF _Toc90626957 \h </w:instrText>
      </w:r>
      <w:r>
        <w:rPr>
          <w:noProof/>
        </w:rPr>
      </w:r>
      <w:r>
        <w:rPr>
          <w:noProof/>
        </w:rPr>
        <w:fldChar w:fldCharType="separate"/>
      </w:r>
      <w:r w:rsidR="00451900">
        <w:rPr>
          <w:noProof/>
        </w:rPr>
        <w:t>58</w:t>
      </w:r>
      <w:r>
        <w:rPr>
          <w:noProof/>
        </w:rPr>
        <w:fldChar w:fldCharType="end"/>
      </w:r>
    </w:p>
    <w:p w14:paraId="2A2A78DB" w14:textId="30B67365" w:rsidR="00CF16AC" w:rsidRDefault="00CF16AC">
      <w:pPr>
        <w:pStyle w:val="TOC3"/>
        <w:rPr>
          <w:rFonts w:asciiTheme="minorHAnsi" w:eastAsiaTheme="minorEastAsia" w:hAnsiTheme="minorHAnsi" w:cstheme="minorBidi"/>
          <w:noProof/>
          <w:sz w:val="22"/>
          <w:szCs w:val="22"/>
          <w:lang w:eastAsia="en-NZ"/>
        </w:rPr>
      </w:pPr>
      <w:r>
        <w:rPr>
          <w:noProof/>
        </w:rPr>
        <w:t>Table 8</w:t>
      </w:r>
      <w:r>
        <w:rPr>
          <w:rFonts w:cstheme="minorHAnsi"/>
          <w:noProof/>
        </w:rPr>
        <w:t>:</w:t>
      </w:r>
      <w:r>
        <w:rPr>
          <w:rFonts w:cstheme="minorHAnsi"/>
          <w:noProof/>
        </w:rPr>
        <w:tab/>
      </w:r>
      <w:r w:rsidRPr="00B00D60">
        <w:rPr>
          <w:rFonts w:cstheme="minorHAnsi"/>
          <w:noProof/>
        </w:rPr>
        <w:t>Research and evaluation budget (GST exclusive),</w:t>
      </w:r>
      <w:r>
        <w:rPr>
          <w:noProof/>
        </w:rPr>
        <w:t xml:space="preserve"> 2022/23 to 2024/25</w:t>
      </w:r>
      <w:r>
        <w:rPr>
          <w:noProof/>
        </w:rPr>
        <w:tab/>
      </w:r>
      <w:r>
        <w:rPr>
          <w:noProof/>
        </w:rPr>
        <w:fldChar w:fldCharType="begin"/>
      </w:r>
      <w:r>
        <w:rPr>
          <w:noProof/>
        </w:rPr>
        <w:instrText xml:space="preserve"> PAGEREF _Toc90626958 \h </w:instrText>
      </w:r>
      <w:r>
        <w:rPr>
          <w:noProof/>
        </w:rPr>
      </w:r>
      <w:r>
        <w:rPr>
          <w:noProof/>
        </w:rPr>
        <w:fldChar w:fldCharType="separate"/>
      </w:r>
      <w:r w:rsidR="00451900">
        <w:rPr>
          <w:noProof/>
        </w:rPr>
        <w:t>62</w:t>
      </w:r>
      <w:r>
        <w:rPr>
          <w:noProof/>
        </w:rPr>
        <w:fldChar w:fldCharType="end"/>
      </w:r>
    </w:p>
    <w:p w14:paraId="3A6B3430" w14:textId="58F81FCE" w:rsidR="00CF16AC" w:rsidRDefault="00CF16AC">
      <w:pPr>
        <w:pStyle w:val="TOC3"/>
        <w:rPr>
          <w:rFonts w:asciiTheme="minorHAnsi" w:eastAsiaTheme="minorEastAsia" w:hAnsiTheme="minorHAnsi" w:cstheme="minorBidi"/>
          <w:noProof/>
          <w:sz w:val="22"/>
          <w:szCs w:val="22"/>
          <w:lang w:eastAsia="en-NZ"/>
        </w:rPr>
      </w:pPr>
      <w:r>
        <w:rPr>
          <w:noProof/>
        </w:rPr>
        <w:t>Table 9:</w:t>
      </w:r>
      <w:r>
        <w:rPr>
          <w:noProof/>
        </w:rPr>
        <w:tab/>
        <w:t>Budget for new services and innovation (GST exclusive), 2022/23 to 2024/25</w:t>
      </w:r>
      <w:r>
        <w:rPr>
          <w:noProof/>
        </w:rPr>
        <w:tab/>
      </w:r>
      <w:r>
        <w:rPr>
          <w:noProof/>
        </w:rPr>
        <w:fldChar w:fldCharType="begin"/>
      </w:r>
      <w:r>
        <w:rPr>
          <w:noProof/>
        </w:rPr>
        <w:instrText xml:space="preserve"> PAGEREF _Toc90626959 \h </w:instrText>
      </w:r>
      <w:r>
        <w:rPr>
          <w:noProof/>
        </w:rPr>
      </w:r>
      <w:r>
        <w:rPr>
          <w:noProof/>
        </w:rPr>
        <w:fldChar w:fldCharType="separate"/>
      </w:r>
      <w:r w:rsidR="00451900">
        <w:rPr>
          <w:noProof/>
        </w:rPr>
        <w:t>64</w:t>
      </w:r>
      <w:r>
        <w:rPr>
          <w:noProof/>
        </w:rPr>
        <w:fldChar w:fldCharType="end"/>
      </w:r>
    </w:p>
    <w:p w14:paraId="3DBDEBFB" w14:textId="223FAB32" w:rsidR="00CF16AC" w:rsidRDefault="00CF16AC">
      <w:pPr>
        <w:pStyle w:val="TOC3"/>
        <w:rPr>
          <w:rFonts w:asciiTheme="minorHAnsi" w:eastAsiaTheme="minorEastAsia" w:hAnsiTheme="minorHAnsi" w:cstheme="minorBidi"/>
          <w:noProof/>
          <w:sz w:val="22"/>
          <w:szCs w:val="22"/>
          <w:lang w:eastAsia="en-NZ"/>
        </w:rPr>
      </w:pPr>
      <w:r>
        <w:rPr>
          <w:noProof/>
        </w:rPr>
        <w:t>Table 10:</w:t>
      </w:r>
      <w:r>
        <w:rPr>
          <w:noProof/>
        </w:rPr>
        <w:tab/>
        <w:t>Budget for Ministry operating costs (GST exclusive), 2022/23 to 2024/25</w:t>
      </w:r>
      <w:r>
        <w:rPr>
          <w:noProof/>
        </w:rPr>
        <w:tab/>
      </w:r>
      <w:r>
        <w:rPr>
          <w:noProof/>
        </w:rPr>
        <w:fldChar w:fldCharType="begin"/>
      </w:r>
      <w:r>
        <w:rPr>
          <w:noProof/>
        </w:rPr>
        <w:instrText xml:space="preserve"> PAGEREF _Toc90626960 \h </w:instrText>
      </w:r>
      <w:r>
        <w:rPr>
          <w:noProof/>
        </w:rPr>
      </w:r>
      <w:r>
        <w:rPr>
          <w:noProof/>
        </w:rPr>
        <w:fldChar w:fldCharType="separate"/>
      </w:r>
      <w:r w:rsidR="00451900">
        <w:rPr>
          <w:noProof/>
        </w:rPr>
        <w:t>68</w:t>
      </w:r>
      <w:r>
        <w:rPr>
          <w:noProof/>
        </w:rPr>
        <w:fldChar w:fldCharType="end"/>
      </w:r>
    </w:p>
    <w:p w14:paraId="3A12CE28" w14:textId="6B4DF1A0" w:rsidR="00CF16AC" w:rsidRDefault="00CF16AC">
      <w:pPr>
        <w:pStyle w:val="TOC3"/>
        <w:rPr>
          <w:rFonts w:asciiTheme="minorHAnsi" w:eastAsiaTheme="minorEastAsia" w:hAnsiTheme="minorHAnsi" w:cstheme="minorBidi"/>
          <w:noProof/>
          <w:sz w:val="22"/>
          <w:szCs w:val="22"/>
          <w:lang w:eastAsia="en-NZ"/>
        </w:rPr>
      </w:pPr>
      <w:r>
        <w:rPr>
          <w:noProof/>
        </w:rPr>
        <w:t>Table 11:</w:t>
      </w:r>
      <w:r>
        <w:rPr>
          <w:noProof/>
        </w:rPr>
        <w:tab/>
        <w:t>Gambling expenditure and proportions from the four main gambling sectors, 2009/10 to 2019/20</w:t>
      </w:r>
      <w:r>
        <w:rPr>
          <w:noProof/>
        </w:rPr>
        <w:tab/>
      </w:r>
      <w:r>
        <w:rPr>
          <w:noProof/>
        </w:rPr>
        <w:fldChar w:fldCharType="begin"/>
      </w:r>
      <w:r>
        <w:rPr>
          <w:noProof/>
        </w:rPr>
        <w:instrText xml:space="preserve"> PAGEREF _Toc90626961 \h </w:instrText>
      </w:r>
      <w:r>
        <w:rPr>
          <w:noProof/>
        </w:rPr>
      </w:r>
      <w:r>
        <w:rPr>
          <w:noProof/>
        </w:rPr>
        <w:fldChar w:fldCharType="separate"/>
      </w:r>
      <w:r w:rsidR="00451900">
        <w:rPr>
          <w:noProof/>
        </w:rPr>
        <w:t>72</w:t>
      </w:r>
      <w:r>
        <w:rPr>
          <w:noProof/>
        </w:rPr>
        <w:fldChar w:fldCharType="end"/>
      </w:r>
    </w:p>
    <w:p w14:paraId="7E7BA36D" w14:textId="0EAC744D" w:rsidR="00CF16AC" w:rsidRDefault="00CF16AC">
      <w:pPr>
        <w:pStyle w:val="TOC3"/>
        <w:rPr>
          <w:rFonts w:asciiTheme="minorHAnsi" w:eastAsiaTheme="minorEastAsia" w:hAnsiTheme="minorHAnsi" w:cstheme="minorBidi"/>
          <w:noProof/>
          <w:sz w:val="22"/>
          <w:szCs w:val="22"/>
          <w:lang w:eastAsia="en-NZ"/>
        </w:rPr>
      </w:pPr>
      <w:r>
        <w:rPr>
          <w:noProof/>
        </w:rPr>
        <w:t>Table 12:</w:t>
      </w:r>
      <w:r>
        <w:rPr>
          <w:noProof/>
        </w:rPr>
        <w:tab/>
        <w:t>Presentations and proportions attributed to the four main gambling sectors, 2011/12 to 2020/21</w:t>
      </w:r>
      <w:r>
        <w:rPr>
          <w:noProof/>
        </w:rPr>
        <w:tab/>
      </w:r>
      <w:r>
        <w:rPr>
          <w:noProof/>
        </w:rPr>
        <w:fldChar w:fldCharType="begin"/>
      </w:r>
      <w:r>
        <w:rPr>
          <w:noProof/>
        </w:rPr>
        <w:instrText xml:space="preserve"> PAGEREF _Toc90626962 \h </w:instrText>
      </w:r>
      <w:r>
        <w:rPr>
          <w:noProof/>
        </w:rPr>
      </w:r>
      <w:r>
        <w:rPr>
          <w:noProof/>
        </w:rPr>
        <w:fldChar w:fldCharType="separate"/>
      </w:r>
      <w:r w:rsidR="00451900">
        <w:rPr>
          <w:noProof/>
        </w:rPr>
        <w:t>73</w:t>
      </w:r>
      <w:r>
        <w:rPr>
          <w:noProof/>
        </w:rPr>
        <w:fldChar w:fldCharType="end"/>
      </w:r>
    </w:p>
    <w:p w14:paraId="68399710" w14:textId="6F306882" w:rsidR="00CF16AC" w:rsidRDefault="00CF16AC">
      <w:pPr>
        <w:pStyle w:val="TOC3"/>
        <w:rPr>
          <w:rFonts w:asciiTheme="minorHAnsi" w:eastAsiaTheme="minorEastAsia" w:hAnsiTheme="minorHAnsi" w:cstheme="minorBidi"/>
          <w:noProof/>
          <w:sz w:val="22"/>
          <w:szCs w:val="22"/>
          <w:lang w:eastAsia="en-NZ"/>
        </w:rPr>
      </w:pPr>
      <w:r>
        <w:rPr>
          <w:noProof/>
        </w:rPr>
        <w:t>Table 13:</w:t>
      </w:r>
      <w:r>
        <w:rPr>
          <w:noProof/>
        </w:rPr>
        <w:tab/>
        <w:t>Forecast expenditure by sector (GST-inclusive), 2022/23 to 2024/25</w:t>
      </w:r>
      <w:r>
        <w:rPr>
          <w:noProof/>
        </w:rPr>
        <w:tab/>
      </w:r>
      <w:r>
        <w:rPr>
          <w:noProof/>
        </w:rPr>
        <w:fldChar w:fldCharType="begin"/>
      </w:r>
      <w:r>
        <w:rPr>
          <w:noProof/>
        </w:rPr>
        <w:instrText xml:space="preserve"> PAGEREF _Toc90626963 \h </w:instrText>
      </w:r>
      <w:r>
        <w:rPr>
          <w:noProof/>
        </w:rPr>
      </w:r>
      <w:r>
        <w:rPr>
          <w:noProof/>
        </w:rPr>
        <w:fldChar w:fldCharType="separate"/>
      </w:r>
      <w:r w:rsidR="00451900">
        <w:rPr>
          <w:noProof/>
        </w:rPr>
        <w:t>76</w:t>
      </w:r>
      <w:r>
        <w:rPr>
          <w:noProof/>
        </w:rPr>
        <w:fldChar w:fldCharType="end"/>
      </w:r>
    </w:p>
    <w:p w14:paraId="0465346E" w14:textId="6660ADE3" w:rsidR="00CF16AC" w:rsidRDefault="00CF16AC">
      <w:pPr>
        <w:pStyle w:val="TOC3"/>
        <w:rPr>
          <w:rFonts w:asciiTheme="minorHAnsi" w:eastAsiaTheme="minorEastAsia" w:hAnsiTheme="minorHAnsi" w:cstheme="minorBidi"/>
          <w:noProof/>
          <w:sz w:val="22"/>
          <w:szCs w:val="22"/>
          <w:lang w:eastAsia="en-NZ"/>
        </w:rPr>
      </w:pPr>
      <w:r>
        <w:rPr>
          <w:noProof/>
        </w:rPr>
        <w:t>Table 14:</w:t>
      </w:r>
      <w:r>
        <w:rPr>
          <w:noProof/>
        </w:rPr>
        <w:tab/>
        <w:t>Estimated underpayment or overpayment of problem gambling levy, 2004/05 to 2021/22, by sector</w:t>
      </w:r>
      <w:r>
        <w:rPr>
          <w:noProof/>
        </w:rPr>
        <w:tab/>
      </w:r>
      <w:r>
        <w:rPr>
          <w:noProof/>
        </w:rPr>
        <w:fldChar w:fldCharType="begin"/>
      </w:r>
      <w:r>
        <w:rPr>
          <w:noProof/>
        </w:rPr>
        <w:instrText xml:space="preserve"> PAGEREF _Toc90626964 \h </w:instrText>
      </w:r>
      <w:r>
        <w:rPr>
          <w:noProof/>
        </w:rPr>
      </w:r>
      <w:r>
        <w:rPr>
          <w:noProof/>
        </w:rPr>
        <w:fldChar w:fldCharType="separate"/>
      </w:r>
      <w:r w:rsidR="00451900">
        <w:rPr>
          <w:noProof/>
        </w:rPr>
        <w:t>78</w:t>
      </w:r>
      <w:r>
        <w:rPr>
          <w:noProof/>
        </w:rPr>
        <w:fldChar w:fldCharType="end"/>
      </w:r>
    </w:p>
    <w:p w14:paraId="39991DDA" w14:textId="462C8C11" w:rsidR="00CF16AC" w:rsidRDefault="00CF16AC">
      <w:pPr>
        <w:pStyle w:val="TOC3"/>
        <w:rPr>
          <w:rFonts w:asciiTheme="minorHAnsi" w:eastAsiaTheme="minorEastAsia" w:hAnsiTheme="minorHAnsi" w:cstheme="minorBidi"/>
          <w:noProof/>
          <w:sz w:val="22"/>
          <w:szCs w:val="22"/>
          <w:lang w:eastAsia="en-NZ"/>
        </w:rPr>
      </w:pPr>
      <w:r>
        <w:rPr>
          <w:noProof/>
        </w:rPr>
        <w:t>Table 15:</w:t>
      </w:r>
      <w:r>
        <w:rPr>
          <w:noProof/>
        </w:rPr>
        <w:tab/>
        <w:t>Share of expenditure and presentations by sector, 2020/21</w:t>
      </w:r>
      <w:r>
        <w:rPr>
          <w:noProof/>
        </w:rPr>
        <w:tab/>
      </w:r>
      <w:r>
        <w:rPr>
          <w:noProof/>
        </w:rPr>
        <w:fldChar w:fldCharType="begin"/>
      </w:r>
      <w:r>
        <w:rPr>
          <w:noProof/>
        </w:rPr>
        <w:instrText xml:space="preserve"> PAGEREF _Toc90626965 \h </w:instrText>
      </w:r>
      <w:r>
        <w:rPr>
          <w:noProof/>
        </w:rPr>
      </w:r>
      <w:r>
        <w:rPr>
          <w:noProof/>
        </w:rPr>
        <w:fldChar w:fldCharType="separate"/>
      </w:r>
      <w:r w:rsidR="00451900">
        <w:rPr>
          <w:noProof/>
        </w:rPr>
        <w:t>78</w:t>
      </w:r>
      <w:r>
        <w:rPr>
          <w:noProof/>
        </w:rPr>
        <w:fldChar w:fldCharType="end"/>
      </w:r>
    </w:p>
    <w:p w14:paraId="421B0F62" w14:textId="28A3CAB0" w:rsidR="00CF16AC" w:rsidRDefault="00CF16AC">
      <w:pPr>
        <w:pStyle w:val="TOC3"/>
        <w:rPr>
          <w:rFonts w:asciiTheme="minorHAnsi" w:eastAsiaTheme="minorEastAsia" w:hAnsiTheme="minorHAnsi" w:cstheme="minorBidi"/>
          <w:noProof/>
          <w:sz w:val="22"/>
          <w:szCs w:val="22"/>
          <w:lang w:eastAsia="en-NZ"/>
        </w:rPr>
      </w:pPr>
      <w:r>
        <w:rPr>
          <w:noProof/>
        </w:rPr>
        <w:t>Table 16:</w:t>
      </w:r>
      <w:r>
        <w:rPr>
          <w:noProof/>
        </w:rPr>
        <w:tab/>
        <w:t>Estimated levy rates and payments ($m) per sector, 5/95 weighting</w:t>
      </w:r>
      <w:r>
        <w:rPr>
          <w:noProof/>
        </w:rPr>
        <w:tab/>
      </w:r>
      <w:r>
        <w:rPr>
          <w:noProof/>
        </w:rPr>
        <w:fldChar w:fldCharType="begin"/>
      </w:r>
      <w:r>
        <w:rPr>
          <w:noProof/>
        </w:rPr>
        <w:instrText xml:space="preserve"> PAGEREF _Toc90626966 \h </w:instrText>
      </w:r>
      <w:r>
        <w:rPr>
          <w:noProof/>
        </w:rPr>
      </w:r>
      <w:r>
        <w:rPr>
          <w:noProof/>
        </w:rPr>
        <w:fldChar w:fldCharType="separate"/>
      </w:r>
      <w:r w:rsidR="00451900">
        <w:rPr>
          <w:noProof/>
        </w:rPr>
        <w:t>80</w:t>
      </w:r>
      <w:r>
        <w:rPr>
          <w:noProof/>
        </w:rPr>
        <w:fldChar w:fldCharType="end"/>
      </w:r>
    </w:p>
    <w:p w14:paraId="2329FE9E" w14:textId="535A2CF5" w:rsidR="00CF16AC" w:rsidRDefault="00CF16AC">
      <w:pPr>
        <w:pStyle w:val="TOC3"/>
        <w:rPr>
          <w:rFonts w:asciiTheme="minorHAnsi" w:eastAsiaTheme="minorEastAsia" w:hAnsiTheme="minorHAnsi" w:cstheme="minorBidi"/>
          <w:noProof/>
          <w:sz w:val="22"/>
          <w:szCs w:val="22"/>
          <w:lang w:eastAsia="en-NZ"/>
        </w:rPr>
      </w:pPr>
      <w:r>
        <w:rPr>
          <w:noProof/>
        </w:rPr>
        <w:t>Table 17:</w:t>
      </w:r>
      <w:r>
        <w:rPr>
          <w:noProof/>
        </w:rPr>
        <w:tab/>
        <w:t>Estimated levy rates and payments ($m) per sector, 10/90 weighting</w:t>
      </w:r>
      <w:r>
        <w:rPr>
          <w:noProof/>
        </w:rPr>
        <w:tab/>
      </w:r>
      <w:r>
        <w:rPr>
          <w:noProof/>
        </w:rPr>
        <w:fldChar w:fldCharType="begin"/>
      </w:r>
      <w:r>
        <w:rPr>
          <w:noProof/>
        </w:rPr>
        <w:instrText xml:space="preserve"> PAGEREF _Toc90626967 \h </w:instrText>
      </w:r>
      <w:r>
        <w:rPr>
          <w:noProof/>
        </w:rPr>
      </w:r>
      <w:r>
        <w:rPr>
          <w:noProof/>
        </w:rPr>
        <w:fldChar w:fldCharType="separate"/>
      </w:r>
      <w:r w:rsidR="00451900">
        <w:rPr>
          <w:noProof/>
        </w:rPr>
        <w:t>80</w:t>
      </w:r>
      <w:r>
        <w:rPr>
          <w:noProof/>
        </w:rPr>
        <w:fldChar w:fldCharType="end"/>
      </w:r>
    </w:p>
    <w:p w14:paraId="1D19A8FA" w14:textId="332CC5BB" w:rsidR="00CF16AC" w:rsidRDefault="00CF16AC">
      <w:pPr>
        <w:pStyle w:val="TOC3"/>
        <w:rPr>
          <w:rFonts w:asciiTheme="minorHAnsi" w:eastAsiaTheme="minorEastAsia" w:hAnsiTheme="minorHAnsi" w:cstheme="minorBidi"/>
          <w:noProof/>
          <w:sz w:val="22"/>
          <w:szCs w:val="22"/>
          <w:lang w:eastAsia="en-NZ"/>
        </w:rPr>
      </w:pPr>
      <w:r>
        <w:rPr>
          <w:noProof/>
        </w:rPr>
        <w:t>Table 18:</w:t>
      </w:r>
      <w:r>
        <w:rPr>
          <w:noProof/>
        </w:rPr>
        <w:tab/>
        <w:t>Estimated levy rates and payments ($m) per sector, 20/80 weighting</w:t>
      </w:r>
      <w:r>
        <w:rPr>
          <w:noProof/>
        </w:rPr>
        <w:tab/>
      </w:r>
      <w:r>
        <w:rPr>
          <w:noProof/>
        </w:rPr>
        <w:fldChar w:fldCharType="begin"/>
      </w:r>
      <w:r>
        <w:rPr>
          <w:noProof/>
        </w:rPr>
        <w:instrText xml:space="preserve"> PAGEREF _Toc90626968 \h </w:instrText>
      </w:r>
      <w:r>
        <w:rPr>
          <w:noProof/>
        </w:rPr>
      </w:r>
      <w:r>
        <w:rPr>
          <w:noProof/>
        </w:rPr>
        <w:fldChar w:fldCharType="separate"/>
      </w:r>
      <w:r w:rsidR="00451900">
        <w:rPr>
          <w:noProof/>
        </w:rPr>
        <w:t>80</w:t>
      </w:r>
      <w:r>
        <w:rPr>
          <w:noProof/>
        </w:rPr>
        <w:fldChar w:fldCharType="end"/>
      </w:r>
    </w:p>
    <w:p w14:paraId="7C742D6C" w14:textId="4130C80A" w:rsidR="00CF16AC" w:rsidRDefault="00CF16AC">
      <w:pPr>
        <w:pStyle w:val="TOC3"/>
        <w:rPr>
          <w:rFonts w:asciiTheme="minorHAnsi" w:eastAsiaTheme="minorEastAsia" w:hAnsiTheme="minorHAnsi" w:cstheme="minorBidi"/>
          <w:noProof/>
          <w:sz w:val="22"/>
          <w:szCs w:val="22"/>
          <w:lang w:eastAsia="en-NZ"/>
        </w:rPr>
      </w:pPr>
      <w:r>
        <w:rPr>
          <w:noProof/>
        </w:rPr>
        <w:t>Table 19:</w:t>
      </w:r>
      <w:r>
        <w:rPr>
          <w:noProof/>
        </w:rPr>
        <w:tab/>
        <w:t>Estimated levy rates and payments ($m) per sector, 30/70 weighting</w:t>
      </w:r>
      <w:r>
        <w:rPr>
          <w:noProof/>
        </w:rPr>
        <w:tab/>
      </w:r>
      <w:r>
        <w:rPr>
          <w:noProof/>
        </w:rPr>
        <w:fldChar w:fldCharType="begin"/>
      </w:r>
      <w:r>
        <w:rPr>
          <w:noProof/>
        </w:rPr>
        <w:instrText xml:space="preserve"> PAGEREF _Toc90626969 \h </w:instrText>
      </w:r>
      <w:r>
        <w:rPr>
          <w:noProof/>
        </w:rPr>
      </w:r>
      <w:r>
        <w:rPr>
          <w:noProof/>
        </w:rPr>
        <w:fldChar w:fldCharType="separate"/>
      </w:r>
      <w:r w:rsidR="00451900">
        <w:rPr>
          <w:noProof/>
        </w:rPr>
        <w:t>81</w:t>
      </w:r>
      <w:r>
        <w:rPr>
          <w:noProof/>
        </w:rPr>
        <w:fldChar w:fldCharType="end"/>
      </w:r>
    </w:p>
    <w:p w14:paraId="0FFF87B1" w14:textId="7D9F982F" w:rsidR="00CF16AC" w:rsidRDefault="00CF16AC">
      <w:pPr>
        <w:pStyle w:val="TOC3"/>
        <w:rPr>
          <w:rFonts w:asciiTheme="minorHAnsi" w:eastAsiaTheme="minorEastAsia" w:hAnsiTheme="minorHAnsi" w:cstheme="minorBidi"/>
          <w:noProof/>
          <w:sz w:val="22"/>
          <w:szCs w:val="22"/>
          <w:lang w:eastAsia="en-NZ"/>
        </w:rPr>
      </w:pPr>
      <w:r>
        <w:rPr>
          <w:noProof/>
        </w:rPr>
        <w:t>Table 20:</w:t>
      </w:r>
      <w:r>
        <w:rPr>
          <w:noProof/>
        </w:rPr>
        <w:tab/>
        <w:t>Expressing the principles through the strategic framework and service plan</w:t>
      </w:r>
      <w:r>
        <w:rPr>
          <w:noProof/>
        </w:rPr>
        <w:tab/>
      </w:r>
      <w:r>
        <w:rPr>
          <w:noProof/>
        </w:rPr>
        <w:fldChar w:fldCharType="begin"/>
      </w:r>
      <w:r>
        <w:rPr>
          <w:noProof/>
        </w:rPr>
        <w:instrText xml:space="preserve"> PAGEREF _Toc90626970 \h </w:instrText>
      </w:r>
      <w:r>
        <w:rPr>
          <w:noProof/>
        </w:rPr>
      </w:r>
      <w:r>
        <w:rPr>
          <w:noProof/>
        </w:rPr>
        <w:fldChar w:fldCharType="separate"/>
      </w:r>
      <w:r w:rsidR="00451900">
        <w:rPr>
          <w:noProof/>
        </w:rPr>
        <w:t>85</w:t>
      </w:r>
      <w:r>
        <w:rPr>
          <w:noProof/>
        </w:rPr>
        <w:fldChar w:fldCharType="end"/>
      </w:r>
    </w:p>
    <w:p w14:paraId="590543BA" w14:textId="46B90170" w:rsidR="00CF16AC" w:rsidRDefault="00CF16AC">
      <w:pPr>
        <w:pStyle w:val="TOC3"/>
        <w:rPr>
          <w:rFonts w:asciiTheme="minorHAnsi" w:eastAsiaTheme="minorEastAsia" w:hAnsiTheme="minorHAnsi" w:cstheme="minorBidi"/>
          <w:noProof/>
          <w:sz w:val="22"/>
          <w:szCs w:val="22"/>
          <w:lang w:eastAsia="en-NZ"/>
        </w:rPr>
      </w:pPr>
      <w:r>
        <w:rPr>
          <w:noProof/>
        </w:rPr>
        <w:t>Table 21:</w:t>
      </w:r>
      <w:r>
        <w:rPr>
          <w:noProof/>
        </w:rPr>
        <w:tab/>
        <w:t>Operating the principles in practice</w:t>
      </w:r>
      <w:r>
        <w:rPr>
          <w:noProof/>
        </w:rPr>
        <w:tab/>
      </w:r>
      <w:r>
        <w:rPr>
          <w:noProof/>
        </w:rPr>
        <w:fldChar w:fldCharType="begin"/>
      </w:r>
      <w:r>
        <w:rPr>
          <w:noProof/>
        </w:rPr>
        <w:instrText xml:space="preserve"> PAGEREF _Toc90626971 \h </w:instrText>
      </w:r>
      <w:r>
        <w:rPr>
          <w:noProof/>
        </w:rPr>
      </w:r>
      <w:r>
        <w:rPr>
          <w:noProof/>
        </w:rPr>
        <w:fldChar w:fldCharType="separate"/>
      </w:r>
      <w:r w:rsidR="00451900">
        <w:rPr>
          <w:noProof/>
        </w:rPr>
        <w:t>86</w:t>
      </w:r>
      <w:r>
        <w:rPr>
          <w:noProof/>
        </w:rPr>
        <w:fldChar w:fldCharType="end"/>
      </w:r>
    </w:p>
    <w:p w14:paraId="3A0419C7" w14:textId="34EA46FF" w:rsidR="00CF16AC" w:rsidRDefault="00CF16AC">
      <w:pPr>
        <w:pStyle w:val="TOC3"/>
        <w:rPr>
          <w:rFonts w:asciiTheme="minorHAnsi" w:eastAsiaTheme="minorEastAsia" w:hAnsiTheme="minorHAnsi" w:cstheme="minorBidi"/>
          <w:noProof/>
          <w:sz w:val="22"/>
          <w:szCs w:val="22"/>
          <w:lang w:eastAsia="en-NZ"/>
        </w:rPr>
      </w:pPr>
      <w:r>
        <w:rPr>
          <w:noProof/>
        </w:rPr>
        <w:t>Table 22:</w:t>
      </w:r>
      <w:r>
        <w:rPr>
          <w:noProof/>
        </w:rPr>
        <w:tab/>
        <w:t>Relationship of previous strategic objectives to new objectives</w:t>
      </w:r>
      <w:r>
        <w:rPr>
          <w:noProof/>
        </w:rPr>
        <w:tab/>
      </w:r>
      <w:r>
        <w:rPr>
          <w:noProof/>
        </w:rPr>
        <w:fldChar w:fldCharType="begin"/>
      </w:r>
      <w:r>
        <w:rPr>
          <w:noProof/>
        </w:rPr>
        <w:instrText xml:space="preserve"> PAGEREF _Toc90626972 \h </w:instrText>
      </w:r>
      <w:r>
        <w:rPr>
          <w:noProof/>
        </w:rPr>
      </w:r>
      <w:r>
        <w:rPr>
          <w:noProof/>
        </w:rPr>
        <w:fldChar w:fldCharType="separate"/>
      </w:r>
      <w:r w:rsidR="00451900">
        <w:rPr>
          <w:noProof/>
        </w:rPr>
        <w:t>87</w:t>
      </w:r>
      <w:r>
        <w:rPr>
          <w:noProof/>
        </w:rPr>
        <w:fldChar w:fldCharType="end"/>
      </w:r>
    </w:p>
    <w:p w14:paraId="4A5DADA6" w14:textId="77777777" w:rsidR="002B76A7" w:rsidRDefault="002B76A7" w:rsidP="003A5FEA">
      <w:r>
        <w:fldChar w:fldCharType="end"/>
      </w:r>
    </w:p>
    <w:p w14:paraId="06DBA8A7" w14:textId="77777777" w:rsidR="0033448B" w:rsidRDefault="0033448B" w:rsidP="0033448B">
      <w:pPr>
        <w:pStyle w:val="TOC1"/>
        <w:keepNext/>
      </w:pPr>
      <w:r>
        <w:lastRenderedPageBreak/>
        <w:t>List of Figures</w:t>
      </w:r>
    </w:p>
    <w:p w14:paraId="33E1BEFF" w14:textId="48C84CBD" w:rsidR="00CF16AC" w:rsidRDefault="0033448B" w:rsidP="00CF16AC">
      <w:pPr>
        <w:pStyle w:val="TOC3"/>
        <w:keepNext/>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CF16AC">
        <w:rPr>
          <w:noProof/>
        </w:rPr>
        <w:t>Figure 1:</w:t>
      </w:r>
      <w:r w:rsidR="00CF16AC">
        <w:rPr>
          <w:noProof/>
        </w:rPr>
        <w:tab/>
        <w:t>Inflation-adjusted expenditure (2020) per capita (adults aged over 18</w:t>
      </w:r>
      <w:r w:rsidR="0018228E">
        <w:rPr>
          <w:noProof/>
        </w:rPr>
        <w:t> years</w:t>
      </w:r>
      <w:r w:rsidR="00CF16AC">
        <w:rPr>
          <w:noProof/>
        </w:rPr>
        <w:t>), by type of gambling, 2010/11–2019/20</w:t>
      </w:r>
      <w:r w:rsidR="00CF16AC">
        <w:rPr>
          <w:noProof/>
        </w:rPr>
        <w:tab/>
      </w:r>
      <w:r w:rsidR="00CF16AC">
        <w:rPr>
          <w:noProof/>
        </w:rPr>
        <w:fldChar w:fldCharType="begin"/>
      </w:r>
      <w:r w:rsidR="00CF16AC">
        <w:rPr>
          <w:noProof/>
        </w:rPr>
        <w:instrText xml:space="preserve"> PAGEREF _Toc90626994 \h </w:instrText>
      </w:r>
      <w:r w:rsidR="00CF16AC">
        <w:rPr>
          <w:noProof/>
        </w:rPr>
      </w:r>
      <w:r w:rsidR="00CF16AC">
        <w:rPr>
          <w:noProof/>
        </w:rPr>
        <w:fldChar w:fldCharType="separate"/>
      </w:r>
      <w:r w:rsidR="00451900">
        <w:rPr>
          <w:noProof/>
        </w:rPr>
        <w:t>9</w:t>
      </w:r>
      <w:r w:rsidR="00CF16AC">
        <w:rPr>
          <w:noProof/>
        </w:rPr>
        <w:fldChar w:fldCharType="end"/>
      </w:r>
    </w:p>
    <w:p w14:paraId="76691C8B" w14:textId="4FE29DD3" w:rsidR="00CF16AC" w:rsidRDefault="00CF16AC" w:rsidP="00CF16AC">
      <w:pPr>
        <w:pStyle w:val="TOC3"/>
        <w:keepNext/>
        <w:rPr>
          <w:rFonts w:asciiTheme="minorHAnsi" w:eastAsiaTheme="minorEastAsia" w:hAnsiTheme="minorHAnsi" w:cstheme="minorBidi"/>
          <w:noProof/>
          <w:sz w:val="22"/>
          <w:szCs w:val="22"/>
          <w:lang w:eastAsia="en-NZ"/>
        </w:rPr>
      </w:pPr>
      <w:r>
        <w:rPr>
          <w:noProof/>
        </w:rPr>
        <w:t>Figure 2:</w:t>
      </w:r>
      <w:r>
        <w:rPr>
          <w:noProof/>
        </w:rPr>
        <w:tab/>
        <w:t>Clients accessing Ministry-funded services (excluding brief interventions)</w:t>
      </w:r>
      <w:r>
        <w:rPr>
          <w:noProof/>
        </w:rPr>
        <w:tab/>
      </w:r>
      <w:r>
        <w:rPr>
          <w:noProof/>
        </w:rPr>
        <w:fldChar w:fldCharType="begin"/>
      </w:r>
      <w:r>
        <w:rPr>
          <w:noProof/>
        </w:rPr>
        <w:instrText xml:space="preserve"> PAGEREF _Toc90626995 \h </w:instrText>
      </w:r>
      <w:r>
        <w:rPr>
          <w:noProof/>
        </w:rPr>
      </w:r>
      <w:r>
        <w:rPr>
          <w:noProof/>
        </w:rPr>
        <w:fldChar w:fldCharType="separate"/>
      </w:r>
      <w:r w:rsidR="00451900">
        <w:rPr>
          <w:noProof/>
        </w:rPr>
        <w:t>17</w:t>
      </w:r>
      <w:r>
        <w:rPr>
          <w:noProof/>
        </w:rPr>
        <w:fldChar w:fldCharType="end"/>
      </w:r>
    </w:p>
    <w:p w14:paraId="3978ED84" w14:textId="40323652" w:rsidR="00CF16AC" w:rsidRDefault="00CF16AC">
      <w:pPr>
        <w:pStyle w:val="TOC3"/>
        <w:rPr>
          <w:rFonts w:asciiTheme="minorHAnsi" w:eastAsiaTheme="minorEastAsia" w:hAnsiTheme="minorHAnsi" w:cstheme="minorBidi"/>
          <w:noProof/>
          <w:sz w:val="22"/>
          <w:szCs w:val="22"/>
          <w:lang w:eastAsia="en-NZ"/>
        </w:rPr>
      </w:pPr>
      <w:r>
        <w:rPr>
          <w:noProof/>
        </w:rPr>
        <w:t>Figure 3:</w:t>
      </w:r>
      <w:r>
        <w:rPr>
          <w:noProof/>
        </w:rPr>
        <w:tab/>
        <w:t>Continuum of gambling behaviour and responses</w:t>
      </w:r>
      <w:r>
        <w:rPr>
          <w:noProof/>
        </w:rPr>
        <w:tab/>
      </w:r>
      <w:r>
        <w:rPr>
          <w:noProof/>
        </w:rPr>
        <w:fldChar w:fldCharType="begin"/>
      </w:r>
      <w:r>
        <w:rPr>
          <w:noProof/>
        </w:rPr>
        <w:instrText xml:space="preserve"> PAGEREF _Toc90626996 \h </w:instrText>
      </w:r>
      <w:r>
        <w:rPr>
          <w:noProof/>
        </w:rPr>
      </w:r>
      <w:r>
        <w:rPr>
          <w:noProof/>
        </w:rPr>
        <w:fldChar w:fldCharType="separate"/>
      </w:r>
      <w:r w:rsidR="00451900">
        <w:rPr>
          <w:noProof/>
        </w:rPr>
        <w:t>24</w:t>
      </w:r>
      <w:r>
        <w:rPr>
          <w:noProof/>
        </w:rPr>
        <w:fldChar w:fldCharType="end"/>
      </w:r>
    </w:p>
    <w:p w14:paraId="6F3CC5E1" w14:textId="736C7C04" w:rsidR="00CF16AC" w:rsidRDefault="00CF16AC">
      <w:pPr>
        <w:pStyle w:val="TOC3"/>
        <w:rPr>
          <w:rFonts w:asciiTheme="minorHAnsi" w:eastAsiaTheme="minorEastAsia" w:hAnsiTheme="minorHAnsi" w:cstheme="minorBidi"/>
          <w:noProof/>
          <w:sz w:val="22"/>
          <w:szCs w:val="22"/>
          <w:lang w:eastAsia="en-NZ"/>
        </w:rPr>
      </w:pPr>
      <w:r>
        <w:rPr>
          <w:noProof/>
        </w:rPr>
        <w:t>Figure 4:</w:t>
      </w:r>
      <w:r>
        <w:rPr>
          <w:noProof/>
        </w:rPr>
        <w:tab/>
        <w:t>Draft strategic framework outcomes and objectives</w:t>
      </w:r>
      <w:r>
        <w:rPr>
          <w:noProof/>
        </w:rPr>
        <w:tab/>
      </w:r>
      <w:r>
        <w:rPr>
          <w:noProof/>
        </w:rPr>
        <w:fldChar w:fldCharType="begin"/>
      </w:r>
      <w:r>
        <w:rPr>
          <w:noProof/>
        </w:rPr>
        <w:instrText xml:space="preserve"> PAGEREF _Toc90626997 \h </w:instrText>
      </w:r>
      <w:r>
        <w:rPr>
          <w:noProof/>
        </w:rPr>
      </w:r>
      <w:r>
        <w:rPr>
          <w:noProof/>
        </w:rPr>
        <w:fldChar w:fldCharType="separate"/>
      </w:r>
      <w:r w:rsidR="00451900">
        <w:rPr>
          <w:noProof/>
        </w:rPr>
        <w:t>39</w:t>
      </w:r>
      <w:r>
        <w:rPr>
          <w:noProof/>
        </w:rPr>
        <w:fldChar w:fldCharType="end"/>
      </w:r>
    </w:p>
    <w:p w14:paraId="09803C48" w14:textId="77777777" w:rsidR="0033448B" w:rsidRPr="000A0158" w:rsidRDefault="0033448B" w:rsidP="0033448B">
      <w:r>
        <w:fldChar w:fldCharType="end"/>
      </w:r>
    </w:p>
    <w:p w14:paraId="17954D3B" w14:textId="77777777" w:rsidR="00FB0A5B" w:rsidRDefault="00FB0A5B" w:rsidP="003A5FEA"/>
    <w:p w14:paraId="55C09751"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5879D1D2" w14:textId="77777777" w:rsidR="00A073CF" w:rsidRDefault="00A073CF" w:rsidP="00A073CF"/>
    <w:p w14:paraId="5473457F" w14:textId="77777777" w:rsidR="00A073CF" w:rsidRPr="00A073CF" w:rsidRDefault="00A073CF" w:rsidP="00A073CF">
      <w:pPr>
        <w:sectPr w:rsidR="00A073CF" w:rsidRPr="00A073CF" w:rsidSect="00925892">
          <w:footerReference w:type="even" r:id="rId19"/>
          <w:pgSz w:w="11907" w:h="16840" w:code="9"/>
          <w:pgMar w:top="1418" w:right="1701" w:bottom="1134" w:left="1843" w:header="284" w:footer="425" w:gutter="284"/>
          <w:pgNumType w:fmt="lowerRoman"/>
          <w:cols w:space="720"/>
        </w:sectPr>
      </w:pPr>
    </w:p>
    <w:p w14:paraId="653DFBAA" w14:textId="77777777" w:rsidR="008C2973" w:rsidRDefault="002B7BEC" w:rsidP="00A05704">
      <w:pPr>
        <w:pStyle w:val="Heading1"/>
      </w:pPr>
      <w:bookmarkStart w:id="2" w:name="_Toc90885036"/>
      <w:r>
        <w:lastRenderedPageBreak/>
        <w:t>Introduction</w:t>
      </w:r>
      <w:bookmarkEnd w:id="2"/>
    </w:p>
    <w:p w14:paraId="15ECA37E" w14:textId="77777777" w:rsidR="007179EA" w:rsidRDefault="007179EA" w:rsidP="00BC6B27">
      <w:pPr>
        <w:rPr>
          <w:rFonts w:eastAsiaTheme="minorHAnsi"/>
          <w:lang w:eastAsia="en-US"/>
        </w:rPr>
      </w:pPr>
      <w:r w:rsidRPr="00E676C7">
        <w:rPr>
          <w:rFonts w:eastAsiaTheme="minorHAnsi"/>
          <w:lang w:eastAsia="en-US"/>
        </w:rPr>
        <w:t xml:space="preserve">The Gambling Act 2003 sets out requirements for an </w:t>
      </w:r>
      <w:r w:rsidR="00BC6B27">
        <w:rPr>
          <w:rFonts w:eastAsiaTheme="minorHAnsi"/>
          <w:lang w:eastAsia="en-US"/>
        </w:rPr>
        <w:t>‘</w:t>
      </w:r>
      <w:r w:rsidRPr="00E676C7">
        <w:rPr>
          <w:rFonts w:eastAsiaTheme="minorHAnsi"/>
          <w:lang w:eastAsia="en-US"/>
        </w:rPr>
        <w:t>integrated problem gambling strat</w:t>
      </w:r>
      <w:r>
        <w:rPr>
          <w:rFonts w:eastAsiaTheme="minorHAnsi"/>
          <w:lang w:eastAsia="en-US"/>
        </w:rPr>
        <w:t>egy focused on public health</w:t>
      </w:r>
      <w:r w:rsidR="00BC6B27">
        <w:rPr>
          <w:rFonts w:eastAsiaTheme="minorHAnsi"/>
          <w:lang w:eastAsia="en-US"/>
        </w:rPr>
        <w:t>’</w:t>
      </w:r>
      <w:r>
        <w:rPr>
          <w:rFonts w:eastAsiaTheme="minorHAnsi"/>
          <w:lang w:eastAsia="en-US"/>
        </w:rPr>
        <w:t xml:space="preserve">. </w:t>
      </w:r>
      <w:r w:rsidRPr="00E676C7">
        <w:rPr>
          <w:rFonts w:eastAsiaTheme="minorHAnsi"/>
          <w:lang w:eastAsia="en-US"/>
        </w:rPr>
        <w:t>The Ministry of Health</w:t>
      </w:r>
      <w:r>
        <w:rPr>
          <w:rFonts w:eastAsiaTheme="minorHAnsi"/>
          <w:lang w:eastAsia="en-US"/>
        </w:rPr>
        <w:t xml:space="preserve"> </w:t>
      </w:r>
      <w:r w:rsidRPr="00E676C7">
        <w:rPr>
          <w:rFonts w:eastAsiaTheme="minorHAnsi"/>
          <w:lang w:eastAsia="en-US"/>
        </w:rPr>
        <w:t>is responsible f</w:t>
      </w:r>
      <w:r>
        <w:rPr>
          <w:rFonts w:eastAsiaTheme="minorHAnsi"/>
          <w:lang w:eastAsia="en-US"/>
        </w:rPr>
        <w:t>or developing and refreshing this</w:t>
      </w:r>
      <w:r w:rsidRPr="00E676C7">
        <w:rPr>
          <w:rFonts w:eastAsiaTheme="minorHAnsi"/>
          <w:lang w:eastAsia="en-US"/>
        </w:rPr>
        <w:t xml:space="preserve"> strategy at three-yearly intervals, and for implementing it. The Act specifies</w:t>
      </w:r>
      <w:r>
        <w:rPr>
          <w:rFonts w:eastAsiaTheme="minorHAnsi"/>
          <w:lang w:eastAsia="en-US"/>
        </w:rPr>
        <w:t xml:space="preserve"> a two-stage </w:t>
      </w:r>
      <w:r w:rsidRPr="00E676C7">
        <w:rPr>
          <w:rFonts w:eastAsiaTheme="minorHAnsi"/>
          <w:lang w:eastAsia="en-US"/>
        </w:rPr>
        <w:t xml:space="preserve">consultation </w:t>
      </w:r>
      <w:r>
        <w:rPr>
          <w:rFonts w:eastAsiaTheme="minorHAnsi"/>
          <w:lang w:eastAsia="en-US"/>
        </w:rPr>
        <w:t xml:space="preserve">process to develop </w:t>
      </w:r>
      <w:r w:rsidRPr="00E676C7">
        <w:rPr>
          <w:rFonts w:eastAsiaTheme="minorHAnsi"/>
          <w:lang w:eastAsia="en-US"/>
        </w:rPr>
        <w:t>the strat</w:t>
      </w:r>
      <w:r>
        <w:rPr>
          <w:rFonts w:eastAsiaTheme="minorHAnsi"/>
          <w:lang w:eastAsia="en-US"/>
        </w:rPr>
        <w:t>egy and the levy rates.</w:t>
      </w:r>
    </w:p>
    <w:p w14:paraId="3248E07B" w14:textId="77777777" w:rsidR="007179EA" w:rsidRDefault="007179EA" w:rsidP="00BC6B27">
      <w:pPr>
        <w:rPr>
          <w:rFonts w:eastAsiaTheme="minorHAnsi"/>
          <w:lang w:eastAsia="en-US"/>
        </w:rPr>
      </w:pPr>
    </w:p>
    <w:p w14:paraId="30D8A201" w14:textId="77777777" w:rsidR="007179EA" w:rsidRDefault="007179EA" w:rsidP="00BC6B27">
      <w:pPr>
        <w:rPr>
          <w:rFonts w:eastAsiaTheme="minorHAnsi"/>
          <w:lang w:eastAsia="en-US"/>
        </w:rPr>
      </w:pPr>
      <w:r>
        <w:rPr>
          <w:rFonts w:eastAsiaTheme="minorHAnsi"/>
          <w:lang w:eastAsia="en-US"/>
        </w:rPr>
        <w:t xml:space="preserve">Earlier this year, the Ministry produced a </w:t>
      </w:r>
      <w:r w:rsidRPr="00E676C7">
        <w:rPr>
          <w:rFonts w:eastAsiaTheme="minorHAnsi"/>
          <w:lang w:eastAsia="en-US"/>
        </w:rPr>
        <w:t xml:space="preserve">draft </w:t>
      </w:r>
      <w:r w:rsidRPr="00977918">
        <w:rPr>
          <w:rFonts w:eastAsiaTheme="minorHAnsi"/>
          <w:i/>
          <w:lang w:eastAsia="en-US"/>
        </w:rPr>
        <w:t>Strategy to Prevent and Minimise Gambling Harm for 20</w:t>
      </w:r>
      <w:r>
        <w:rPr>
          <w:rFonts w:eastAsiaTheme="minorHAnsi"/>
          <w:i/>
          <w:lang w:eastAsia="en-US"/>
        </w:rPr>
        <w:t>22/23</w:t>
      </w:r>
      <w:r w:rsidRPr="00977918">
        <w:rPr>
          <w:rFonts w:eastAsiaTheme="minorHAnsi"/>
          <w:i/>
          <w:lang w:eastAsia="en-US"/>
        </w:rPr>
        <w:t xml:space="preserve"> to 202</w:t>
      </w:r>
      <w:r>
        <w:rPr>
          <w:rFonts w:eastAsiaTheme="minorHAnsi"/>
          <w:i/>
          <w:lang w:eastAsia="en-US"/>
        </w:rPr>
        <w:t>4</w:t>
      </w:r>
      <w:r w:rsidRPr="00977918">
        <w:rPr>
          <w:rFonts w:eastAsiaTheme="minorHAnsi"/>
          <w:i/>
          <w:lang w:eastAsia="en-US"/>
        </w:rPr>
        <w:t>/2</w:t>
      </w:r>
      <w:r>
        <w:rPr>
          <w:rFonts w:eastAsiaTheme="minorHAnsi"/>
          <w:i/>
          <w:lang w:eastAsia="en-US"/>
        </w:rPr>
        <w:t>5</w:t>
      </w:r>
      <w:r w:rsidRPr="00977918">
        <w:rPr>
          <w:rFonts w:eastAsiaTheme="minorHAnsi"/>
          <w:i/>
          <w:lang w:eastAsia="en-US"/>
        </w:rPr>
        <w:t xml:space="preserve"> consultation document</w:t>
      </w:r>
      <w:r>
        <w:rPr>
          <w:rFonts w:eastAsiaTheme="minorHAnsi"/>
          <w:lang w:eastAsia="en-US"/>
        </w:rPr>
        <w:t>, including</w:t>
      </w:r>
      <w:r w:rsidRPr="00E676C7">
        <w:rPr>
          <w:rFonts w:eastAsiaTheme="minorHAnsi"/>
          <w:lang w:eastAsia="en-US"/>
        </w:rPr>
        <w:t xml:space="preserve"> draft levy rates</w:t>
      </w:r>
      <w:r>
        <w:rPr>
          <w:rFonts w:eastAsiaTheme="minorHAnsi"/>
          <w:lang w:eastAsia="en-US"/>
        </w:rPr>
        <w:t xml:space="preserve">; held 10 online hui; and invited submissions. It engaged </w:t>
      </w:r>
      <w:r w:rsidRPr="00977918">
        <w:rPr>
          <w:rFonts w:eastAsiaTheme="minorHAnsi"/>
          <w:lang w:eastAsia="en-US"/>
        </w:rPr>
        <w:t>Allen + Clarke</w:t>
      </w:r>
      <w:r>
        <w:rPr>
          <w:rFonts w:eastAsiaTheme="minorHAnsi"/>
          <w:lang w:eastAsia="en-US"/>
        </w:rPr>
        <w:t>, an independent consultancy firm, to analyse the written and hui submissions and provide a report analysing these (the submissions analysis report).</w:t>
      </w:r>
    </w:p>
    <w:p w14:paraId="01CBD99B" w14:textId="77777777" w:rsidR="007179EA" w:rsidRDefault="007179EA" w:rsidP="00BC6B27">
      <w:pPr>
        <w:rPr>
          <w:rFonts w:eastAsiaTheme="minorHAnsi"/>
          <w:lang w:eastAsia="en-US"/>
        </w:rPr>
      </w:pPr>
    </w:p>
    <w:p w14:paraId="0467CF9A" w14:textId="77777777" w:rsidR="007179EA" w:rsidRPr="00B50D48" w:rsidRDefault="007179EA" w:rsidP="00BC6B27">
      <w:pPr>
        <w:rPr>
          <w:rFonts w:eastAsiaTheme="minorHAnsi"/>
          <w:lang w:eastAsia="en-US"/>
        </w:rPr>
      </w:pPr>
      <w:r w:rsidRPr="003B3FDE">
        <w:rPr>
          <w:rFonts w:eastAsiaTheme="minorHAnsi"/>
          <w:lang w:eastAsia="en-US"/>
        </w:rPr>
        <w:t>This proposals document sets out the Ministry</w:t>
      </w:r>
      <w:r w:rsidR="00BC6B27">
        <w:rPr>
          <w:rFonts w:eastAsiaTheme="minorHAnsi"/>
          <w:lang w:eastAsia="en-US"/>
        </w:rPr>
        <w:t>’</w:t>
      </w:r>
      <w:r w:rsidRPr="003B3FDE">
        <w:rPr>
          <w:rFonts w:eastAsiaTheme="minorHAnsi"/>
          <w:lang w:eastAsia="en-US"/>
        </w:rPr>
        <w:t xml:space="preserve">s response, </w:t>
      </w:r>
      <w:r>
        <w:rPr>
          <w:rFonts w:eastAsiaTheme="minorHAnsi"/>
          <w:lang w:eastAsia="en-US"/>
        </w:rPr>
        <w:t xml:space="preserve">the Ministry </w:t>
      </w:r>
      <w:r w:rsidRPr="003B3FDE">
        <w:rPr>
          <w:rFonts w:eastAsiaTheme="minorHAnsi"/>
          <w:lang w:eastAsia="en-US"/>
        </w:rPr>
        <w:t>having considered</w:t>
      </w:r>
      <w:r>
        <w:rPr>
          <w:rFonts w:eastAsiaTheme="minorHAnsi"/>
          <w:lang w:eastAsia="en-US"/>
        </w:rPr>
        <w:t>:</w:t>
      </w:r>
    </w:p>
    <w:p w14:paraId="1D93F495" w14:textId="77777777" w:rsidR="007179EA" w:rsidRDefault="007179EA" w:rsidP="00BC6B27">
      <w:pPr>
        <w:pStyle w:val="Bullet"/>
        <w:rPr>
          <w:rFonts w:eastAsiaTheme="minorHAnsi"/>
        </w:rPr>
      </w:pPr>
      <w:r w:rsidRPr="00977918">
        <w:rPr>
          <w:rFonts w:eastAsiaTheme="minorHAnsi"/>
        </w:rPr>
        <w:t>the submissions on the consultation document</w:t>
      </w:r>
      <w:r>
        <w:rPr>
          <w:rFonts w:eastAsiaTheme="minorHAnsi"/>
        </w:rPr>
        <w:t>, including those received at the online hui</w:t>
      </w:r>
    </w:p>
    <w:p w14:paraId="501AB3FD" w14:textId="77777777" w:rsidR="007179EA" w:rsidRPr="00947137" w:rsidRDefault="007179EA" w:rsidP="00BC6B27">
      <w:pPr>
        <w:pStyle w:val="Bullet"/>
        <w:rPr>
          <w:rFonts w:eastAsiaTheme="minorHAnsi"/>
        </w:rPr>
      </w:pPr>
      <w:r w:rsidRPr="00977918">
        <w:rPr>
          <w:rFonts w:eastAsiaTheme="minorHAnsi"/>
        </w:rPr>
        <w:t>the Allen</w:t>
      </w:r>
      <w:r>
        <w:rPr>
          <w:rFonts w:eastAsiaTheme="minorHAnsi"/>
        </w:rPr>
        <w:t xml:space="preserve"> </w:t>
      </w:r>
      <w:r w:rsidRPr="00977918">
        <w:rPr>
          <w:rFonts w:eastAsiaTheme="minorHAnsi"/>
        </w:rPr>
        <w:t>+</w:t>
      </w:r>
      <w:r>
        <w:rPr>
          <w:rFonts w:eastAsiaTheme="minorHAnsi"/>
        </w:rPr>
        <w:t xml:space="preserve"> </w:t>
      </w:r>
      <w:r w:rsidRPr="00977918">
        <w:rPr>
          <w:rFonts w:eastAsiaTheme="minorHAnsi"/>
        </w:rPr>
        <w:t xml:space="preserve">Clarke </w:t>
      </w:r>
      <w:r>
        <w:rPr>
          <w:rFonts w:eastAsiaTheme="minorHAnsi"/>
        </w:rPr>
        <w:t xml:space="preserve">independent </w:t>
      </w:r>
      <w:r w:rsidRPr="00977918">
        <w:rPr>
          <w:rFonts w:eastAsiaTheme="minorHAnsi"/>
        </w:rPr>
        <w:t>report</w:t>
      </w:r>
      <w:r>
        <w:rPr>
          <w:rFonts w:eastAsiaTheme="minorHAnsi"/>
        </w:rPr>
        <w:t xml:space="preserve"> analysing these submissions</w:t>
      </w:r>
      <w:r w:rsidRPr="00BC6B27">
        <w:rPr>
          <w:rStyle w:val="FootnoteReference"/>
          <w:rFonts w:eastAsiaTheme="minorHAnsi"/>
        </w:rPr>
        <w:footnoteReference w:id="1"/>
      </w:r>
    </w:p>
    <w:p w14:paraId="2B77C086" w14:textId="77777777" w:rsidR="00BC6B27" w:rsidRDefault="007179EA" w:rsidP="00BC6B27">
      <w:pPr>
        <w:pStyle w:val="Bullet"/>
        <w:rPr>
          <w:rFonts w:eastAsiaTheme="minorHAnsi"/>
          <w:lang w:eastAsia="en-US"/>
        </w:rPr>
      </w:pPr>
      <w:r w:rsidRPr="003B3FDE">
        <w:rPr>
          <w:rFonts w:eastAsiaTheme="minorHAnsi"/>
          <w:lang w:eastAsia="en-US"/>
        </w:rPr>
        <w:t xml:space="preserve">the </w:t>
      </w:r>
      <w:r>
        <w:rPr>
          <w:rFonts w:eastAsiaTheme="minorHAnsi"/>
          <w:lang w:eastAsia="en-US"/>
        </w:rPr>
        <w:t xml:space="preserve">2021 </w:t>
      </w:r>
      <w:r w:rsidRPr="00977918">
        <w:rPr>
          <w:rFonts w:eastAsiaTheme="minorHAnsi"/>
          <w:i/>
          <w:lang w:eastAsia="en-US"/>
        </w:rPr>
        <w:t>Gambling Harm Needs Assessme</w:t>
      </w:r>
      <w:r>
        <w:rPr>
          <w:rFonts w:eastAsiaTheme="minorHAnsi"/>
          <w:i/>
          <w:lang w:eastAsia="en-US"/>
        </w:rPr>
        <w:t>nt</w:t>
      </w:r>
      <w:r w:rsidRPr="00BC6B27">
        <w:rPr>
          <w:rStyle w:val="FootnoteReference"/>
          <w:rFonts w:eastAsiaTheme="minorHAnsi"/>
        </w:rPr>
        <w:footnoteReference w:id="2"/>
      </w:r>
      <w:r>
        <w:rPr>
          <w:rFonts w:eastAsiaTheme="minorHAnsi"/>
          <w:lang w:eastAsia="en-US"/>
        </w:rPr>
        <w:t xml:space="preserve"> and available research.</w:t>
      </w:r>
    </w:p>
    <w:p w14:paraId="2C219B1D" w14:textId="77777777" w:rsidR="007179EA" w:rsidRDefault="007179EA" w:rsidP="00BC6B27">
      <w:pPr>
        <w:rPr>
          <w:rFonts w:eastAsiaTheme="minorHAnsi"/>
          <w:lang w:eastAsia="en-US"/>
        </w:rPr>
      </w:pPr>
    </w:p>
    <w:p w14:paraId="2048777C" w14:textId="77777777" w:rsidR="007179EA" w:rsidRPr="00221E02" w:rsidRDefault="007179EA" w:rsidP="00BC6B27">
      <w:pPr>
        <w:rPr>
          <w:rFonts w:eastAsiaTheme="minorHAnsi"/>
          <w:lang w:eastAsia="en-US"/>
        </w:rPr>
      </w:pPr>
      <w:r>
        <w:rPr>
          <w:rFonts w:eastAsiaTheme="minorHAnsi"/>
          <w:lang w:eastAsia="en-US"/>
        </w:rPr>
        <w:t>T</w:t>
      </w:r>
      <w:r w:rsidRPr="00221E02">
        <w:rPr>
          <w:rFonts w:eastAsiaTheme="minorHAnsi"/>
          <w:lang w:eastAsia="en-US"/>
        </w:rPr>
        <w:t xml:space="preserve">he Ministry acknowledges </w:t>
      </w:r>
      <w:r>
        <w:rPr>
          <w:rFonts w:eastAsiaTheme="minorHAnsi"/>
          <w:lang w:eastAsia="en-US"/>
        </w:rPr>
        <w:t xml:space="preserve">that the multiple stories reflected in the submissions received represent a </w:t>
      </w:r>
      <w:r w:rsidRPr="00221E02">
        <w:rPr>
          <w:rFonts w:eastAsiaTheme="minorHAnsi"/>
          <w:lang w:eastAsia="en-US"/>
        </w:rPr>
        <w:t xml:space="preserve">range of </w:t>
      </w:r>
      <w:r>
        <w:rPr>
          <w:rFonts w:eastAsiaTheme="minorHAnsi"/>
          <w:lang w:eastAsia="en-US"/>
        </w:rPr>
        <w:t xml:space="preserve">differing </w:t>
      </w:r>
      <w:r w:rsidRPr="00221E02">
        <w:rPr>
          <w:rFonts w:eastAsiaTheme="minorHAnsi"/>
          <w:lang w:eastAsia="en-US"/>
        </w:rPr>
        <w:t xml:space="preserve">perspectives </w:t>
      </w:r>
      <w:r>
        <w:rPr>
          <w:rFonts w:eastAsiaTheme="minorHAnsi"/>
          <w:lang w:eastAsia="en-US"/>
        </w:rPr>
        <w:t xml:space="preserve">about </w:t>
      </w:r>
      <w:r w:rsidRPr="00221E02">
        <w:rPr>
          <w:rFonts w:eastAsiaTheme="minorHAnsi"/>
          <w:lang w:eastAsia="en-US"/>
        </w:rPr>
        <w:t>gambling and gambling harm minimisation</w:t>
      </w:r>
      <w:r>
        <w:rPr>
          <w:rFonts w:eastAsiaTheme="minorHAnsi"/>
          <w:lang w:eastAsia="en-US"/>
        </w:rPr>
        <w:t>. The analysis revealed several common themes, varying according to the point of view of the submitter. Themes included the following.</w:t>
      </w:r>
    </w:p>
    <w:p w14:paraId="171CA29F" w14:textId="77777777" w:rsidR="007179EA" w:rsidRPr="00C7286C" w:rsidRDefault="007179EA" w:rsidP="00BC6B27">
      <w:pPr>
        <w:pStyle w:val="Bullet"/>
        <w:rPr>
          <w:rFonts w:eastAsiaTheme="minorHAnsi"/>
        </w:rPr>
      </w:pPr>
      <w:r>
        <w:rPr>
          <w:rFonts w:eastAsiaTheme="minorHAnsi"/>
        </w:rPr>
        <w:t>S</w:t>
      </w:r>
      <w:r w:rsidRPr="00C7286C">
        <w:rPr>
          <w:rFonts w:eastAsiaTheme="minorHAnsi"/>
        </w:rPr>
        <w:t xml:space="preserve">ubmissions across the board supported the overall </w:t>
      </w:r>
      <w:r>
        <w:rPr>
          <w:rFonts w:eastAsiaTheme="minorHAnsi"/>
        </w:rPr>
        <w:t>s</w:t>
      </w:r>
      <w:r w:rsidRPr="00C7286C">
        <w:rPr>
          <w:rFonts w:eastAsiaTheme="minorHAnsi"/>
        </w:rPr>
        <w:t>trategy goal and</w:t>
      </w:r>
      <w:r>
        <w:rPr>
          <w:rFonts w:eastAsiaTheme="minorHAnsi"/>
        </w:rPr>
        <w:t xml:space="preserve"> related </w:t>
      </w:r>
      <w:r w:rsidRPr="00C7286C">
        <w:rPr>
          <w:rFonts w:eastAsiaTheme="minorHAnsi"/>
        </w:rPr>
        <w:t>objectives to promote equity and wellbeing by preventing and reducing gambling related harm.</w:t>
      </w:r>
    </w:p>
    <w:p w14:paraId="409767AE" w14:textId="77777777" w:rsidR="007179EA" w:rsidRPr="00977918" w:rsidRDefault="007179EA" w:rsidP="00BC6B27">
      <w:pPr>
        <w:pStyle w:val="Bullet"/>
        <w:rPr>
          <w:rFonts w:eastAsiaTheme="minorHAnsi"/>
        </w:rPr>
      </w:pPr>
      <w:r>
        <w:rPr>
          <w:rFonts w:eastAsiaTheme="minorHAnsi"/>
        </w:rPr>
        <w:t xml:space="preserve">Submissions from </w:t>
      </w:r>
      <w:r w:rsidRPr="00221E02">
        <w:rPr>
          <w:rFonts w:eastAsiaTheme="minorHAnsi"/>
        </w:rPr>
        <w:t>individual</w:t>
      </w:r>
      <w:r>
        <w:rPr>
          <w:rFonts w:eastAsiaTheme="minorHAnsi"/>
        </w:rPr>
        <w:t>s</w:t>
      </w:r>
      <w:r w:rsidRPr="00221E02">
        <w:rPr>
          <w:rFonts w:eastAsiaTheme="minorHAnsi"/>
        </w:rPr>
        <w:t xml:space="preserve"> </w:t>
      </w:r>
      <w:r>
        <w:rPr>
          <w:rFonts w:eastAsiaTheme="minorHAnsi"/>
        </w:rPr>
        <w:t xml:space="preserve">with </w:t>
      </w:r>
      <w:r w:rsidRPr="00221E02">
        <w:rPr>
          <w:rFonts w:eastAsiaTheme="minorHAnsi"/>
        </w:rPr>
        <w:t xml:space="preserve">personal experience of gambling harm </w:t>
      </w:r>
      <w:r>
        <w:rPr>
          <w:rFonts w:eastAsiaTheme="minorHAnsi"/>
        </w:rPr>
        <w:t xml:space="preserve">focused on the need to </w:t>
      </w:r>
      <w:r w:rsidRPr="00221E02">
        <w:rPr>
          <w:rFonts w:eastAsiaTheme="minorHAnsi"/>
        </w:rPr>
        <w:t>reduc</w:t>
      </w:r>
      <w:r>
        <w:rPr>
          <w:rFonts w:eastAsiaTheme="minorHAnsi"/>
        </w:rPr>
        <w:t>e</w:t>
      </w:r>
      <w:r w:rsidRPr="00221E02">
        <w:rPr>
          <w:rFonts w:eastAsiaTheme="minorHAnsi"/>
        </w:rPr>
        <w:t xml:space="preserve"> the potential for harm</w:t>
      </w:r>
      <w:r>
        <w:rPr>
          <w:rFonts w:eastAsiaTheme="minorHAnsi"/>
        </w:rPr>
        <w:t xml:space="preserve"> and to improve access to services and support, so people who gamble and affected others can get the right help</w:t>
      </w:r>
      <w:r w:rsidR="00BC6B27">
        <w:rPr>
          <w:rFonts w:eastAsiaTheme="minorHAnsi"/>
        </w:rPr>
        <w:t xml:space="preserve"> and support when they need it.</w:t>
      </w:r>
    </w:p>
    <w:p w14:paraId="0B7167B7" w14:textId="77777777" w:rsidR="007179EA" w:rsidRPr="00977918" w:rsidRDefault="007179EA" w:rsidP="00BC6B27">
      <w:pPr>
        <w:pStyle w:val="Bullet"/>
        <w:rPr>
          <w:rFonts w:eastAsiaTheme="minorHAnsi"/>
        </w:rPr>
      </w:pPr>
      <w:r>
        <w:rPr>
          <w:rFonts w:eastAsiaTheme="minorHAnsi"/>
        </w:rPr>
        <w:t xml:space="preserve">Submissions from </w:t>
      </w:r>
      <w:r w:rsidRPr="00221E02">
        <w:rPr>
          <w:rFonts w:eastAsiaTheme="minorHAnsi"/>
        </w:rPr>
        <w:t xml:space="preserve">the </w:t>
      </w:r>
      <w:r>
        <w:rPr>
          <w:rFonts w:eastAsiaTheme="minorHAnsi"/>
        </w:rPr>
        <w:t>n</w:t>
      </w:r>
      <w:r w:rsidRPr="00221E02">
        <w:rPr>
          <w:rFonts w:eastAsiaTheme="minorHAnsi"/>
        </w:rPr>
        <w:t>on-casino gaming machine</w:t>
      </w:r>
      <w:r>
        <w:rPr>
          <w:rFonts w:eastAsiaTheme="minorHAnsi"/>
        </w:rPr>
        <w:t>s</w:t>
      </w:r>
      <w:r w:rsidRPr="00221E02">
        <w:rPr>
          <w:rFonts w:eastAsiaTheme="minorHAnsi"/>
        </w:rPr>
        <w:t xml:space="preserve"> (NCGM</w:t>
      </w:r>
      <w:r>
        <w:rPr>
          <w:rFonts w:eastAsiaTheme="minorHAnsi"/>
        </w:rPr>
        <w:t>) sector a</w:t>
      </w:r>
      <w:r w:rsidRPr="00221E02">
        <w:rPr>
          <w:rFonts w:eastAsiaTheme="minorHAnsi"/>
        </w:rPr>
        <w:t xml:space="preserve">nd </w:t>
      </w:r>
      <w:r>
        <w:rPr>
          <w:rFonts w:eastAsiaTheme="minorHAnsi"/>
        </w:rPr>
        <w:t>the g</w:t>
      </w:r>
      <w:r w:rsidRPr="00221E02">
        <w:rPr>
          <w:rFonts w:eastAsiaTheme="minorHAnsi"/>
        </w:rPr>
        <w:t xml:space="preserve">ambling </w:t>
      </w:r>
      <w:r>
        <w:rPr>
          <w:rFonts w:eastAsiaTheme="minorHAnsi"/>
        </w:rPr>
        <w:t>i</w:t>
      </w:r>
      <w:r w:rsidRPr="00221E02">
        <w:rPr>
          <w:rFonts w:eastAsiaTheme="minorHAnsi"/>
        </w:rPr>
        <w:t xml:space="preserve">ndustry (other) sector </w:t>
      </w:r>
      <w:r>
        <w:rPr>
          <w:rFonts w:eastAsiaTheme="minorHAnsi"/>
        </w:rPr>
        <w:t xml:space="preserve">presented the views of </w:t>
      </w:r>
      <w:r w:rsidRPr="00221E02">
        <w:rPr>
          <w:rFonts w:eastAsiaTheme="minorHAnsi"/>
        </w:rPr>
        <w:t>legitimate businesses operating in the entertainment space</w:t>
      </w:r>
      <w:r>
        <w:rPr>
          <w:rFonts w:eastAsiaTheme="minorHAnsi"/>
        </w:rPr>
        <w:t>.</w:t>
      </w:r>
    </w:p>
    <w:p w14:paraId="18A4815E" w14:textId="77777777" w:rsidR="007179EA" w:rsidRDefault="007179EA" w:rsidP="00BC6B27">
      <w:pPr>
        <w:pStyle w:val="Bullet"/>
        <w:rPr>
          <w:rFonts w:eastAsiaTheme="minorHAnsi"/>
        </w:rPr>
      </w:pPr>
      <w:r>
        <w:rPr>
          <w:rFonts w:eastAsiaTheme="minorHAnsi"/>
        </w:rPr>
        <w:t>Submissions from s</w:t>
      </w:r>
      <w:r w:rsidRPr="00221E02">
        <w:rPr>
          <w:rFonts w:eastAsiaTheme="minorHAnsi"/>
        </w:rPr>
        <w:t xml:space="preserve">ervice </w:t>
      </w:r>
      <w:r>
        <w:rPr>
          <w:rFonts w:eastAsiaTheme="minorHAnsi"/>
        </w:rPr>
        <w:t>p</w:t>
      </w:r>
      <w:r w:rsidRPr="00221E02">
        <w:rPr>
          <w:rFonts w:eastAsiaTheme="minorHAnsi"/>
        </w:rPr>
        <w:t>rovider</w:t>
      </w:r>
      <w:r>
        <w:rPr>
          <w:rFonts w:eastAsiaTheme="minorHAnsi"/>
        </w:rPr>
        <w:t>s</w:t>
      </w:r>
      <w:r w:rsidRPr="00221E02">
        <w:rPr>
          <w:rFonts w:eastAsiaTheme="minorHAnsi"/>
        </w:rPr>
        <w:t xml:space="preserve"> </w:t>
      </w:r>
      <w:r>
        <w:rPr>
          <w:rFonts w:eastAsiaTheme="minorHAnsi"/>
        </w:rPr>
        <w:t>and the h</w:t>
      </w:r>
      <w:r w:rsidRPr="00221E02">
        <w:rPr>
          <w:rFonts w:eastAsiaTheme="minorHAnsi"/>
        </w:rPr>
        <w:t xml:space="preserve">ealth and </w:t>
      </w:r>
      <w:r>
        <w:rPr>
          <w:rFonts w:eastAsiaTheme="minorHAnsi"/>
        </w:rPr>
        <w:t>l</w:t>
      </w:r>
      <w:r w:rsidRPr="00221E02">
        <w:rPr>
          <w:rFonts w:eastAsiaTheme="minorHAnsi"/>
        </w:rPr>
        <w:t xml:space="preserve">ocal </w:t>
      </w:r>
      <w:r>
        <w:rPr>
          <w:rFonts w:eastAsiaTheme="minorHAnsi"/>
        </w:rPr>
        <w:t>g</w:t>
      </w:r>
      <w:r w:rsidRPr="00221E02">
        <w:rPr>
          <w:rFonts w:eastAsiaTheme="minorHAnsi"/>
        </w:rPr>
        <w:t>overnment sectors</w:t>
      </w:r>
      <w:r>
        <w:rPr>
          <w:rFonts w:eastAsiaTheme="minorHAnsi"/>
        </w:rPr>
        <w:t>,</w:t>
      </w:r>
      <w:r w:rsidRPr="00221E02">
        <w:rPr>
          <w:rFonts w:eastAsiaTheme="minorHAnsi"/>
        </w:rPr>
        <w:t xml:space="preserve"> and some individual submissions</w:t>
      </w:r>
      <w:r>
        <w:rPr>
          <w:rFonts w:eastAsiaTheme="minorHAnsi"/>
        </w:rPr>
        <w:t>,</w:t>
      </w:r>
      <w:r w:rsidRPr="00221E02">
        <w:rPr>
          <w:rFonts w:eastAsiaTheme="minorHAnsi"/>
        </w:rPr>
        <w:t xml:space="preserve"> </w:t>
      </w:r>
      <w:r>
        <w:rPr>
          <w:rFonts w:eastAsiaTheme="minorHAnsi"/>
        </w:rPr>
        <w:t xml:space="preserve">reflected their views to help </w:t>
      </w:r>
      <w:r w:rsidRPr="00221E02">
        <w:rPr>
          <w:rFonts w:eastAsiaTheme="minorHAnsi"/>
        </w:rPr>
        <w:t>people whose gambling is causing harm</w:t>
      </w:r>
      <w:r>
        <w:rPr>
          <w:rFonts w:eastAsiaTheme="minorHAnsi"/>
        </w:rPr>
        <w:t>.</w:t>
      </w:r>
    </w:p>
    <w:p w14:paraId="7A03BB3A" w14:textId="77777777" w:rsidR="007179EA" w:rsidRDefault="007179EA" w:rsidP="005B24AB">
      <w:pPr>
        <w:rPr>
          <w:rFonts w:eastAsiaTheme="minorHAnsi"/>
          <w:lang w:eastAsia="en-US"/>
        </w:rPr>
      </w:pPr>
    </w:p>
    <w:p w14:paraId="7C32963B" w14:textId="77777777" w:rsidR="00BC6B27" w:rsidRDefault="007179EA" w:rsidP="005B24AB">
      <w:pPr>
        <w:keepNext/>
        <w:keepLines/>
        <w:rPr>
          <w:rFonts w:eastAsiaTheme="minorHAnsi"/>
          <w:lang w:eastAsia="en-US"/>
        </w:rPr>
      </w:pPr>
      <w:r w:rsidRPr="00221E02">
        <w:rPr>
          <w:rFonts w:eastAsiaTheme="minorHAnsi"/>
          <w:lang w:eastAsia="en-US"/>
        </w:rPr>
        <w:lastRenderedPageBreak/>
        <w:t>At</w:t>
      </w:r>
      <w:r w:rsidR="00204811">
        <w:rPr>
          <w:rFonts w:eastAsiaTheme="minorHAnsi"/>
          <w:lang w:eastAsia="en-US"/>
        </w:rPr>
        <w:t xml:space="preserve"> </w:t>
      </w:r>
      <w:r w:rsidR="00046A83">
        <w:rPr>
          <w:rFonts w:eastAsiaTheme="minorHAnsi"/>
          <w:lang w:eastAsia="en-US"/>
        </w:rPr>
        <w:t>times</w:t>
      </w:r>
      <w:r w:rsidRPr="00221E02">
        <w:rPr>
          <w:rFonts w:eastAsiaTheme="minorHAnsi"/>
          <w:lang w:eastAsia="en-US"/>
        </w:rPr>
        <w:t xml:space="preserve">, these </w:t>
      </w:r>
      <w:r>
        <w:rPr>
          <w:rFonts w:eastAsiaTheme="minorHAnsi"/>
          <w:lang w:eastAsia="en-US"/>
        </w:rPr>
        <w:t xml:space="preserve">points of view </w:t>
      </w:r>
      <w:r w:rsidRPr="00221E02">
        <w:rPr>
          <w:rFonts w:eastAsiaTheme="minorHAnsi"/>
          <w:lang w:eastAsia="en-US"/>
        </w:rPr>
        <w:t>c</w:t>
      </w:r>
      <w:r>
        <w:rPr>
          <w:rFonts w:eastAsiaTheme="minorHAnsi"/>
          <w:lang w:eastAsia="en-US"/>
        </w:rPr>
        <w:t>a</w:t>
      </w:r>
      <w:r w:rsidRPr="00221E02">
        <w:rPr>
          <w:rFonts w:eastAsiaTheme="minorHAnsi"/>
          <w:lang w:eastAsia="en-US"/>
        </w:rPr>
        <w:t>me close together or even intersect</w:t>
      </w:r>
      <w:r>
        <w:rPr>
          <w:rFonts w:eastAsiaTheme="minorHAnsi"/>
          <w:lang w:eastAsia="en-US"/>
        </w:rPr>
        <w:t>ed,</w:t>
      </w:r>
      <w:r w:rsidRPr="00221E02">
        <w:rPr>
          <w:rFonts w:eastAsiaTheme="minorHAnsi"/>
          <w:lang w:eastAsia="en-US"/>
        </w:rPr>
        <w:t xml:space="preserve"> but the</w:t>
      </w:r>
      <w:r>
        <w:rPr>
          <w:rFonts w:eastAsiaTheme="minorHAnsi"/>
          <w:lang w:eastAsia="en-US"/>
        </w:rPr>
        <w:t xml:space="preserve">y were often </w:t>
      </w:r>
      <w:r w:rsidRPr="00221E02">
        <w:rPr>
          <w:rFonts w:eastAsiaTheme="minorHAnsi"/>
          <w:lang w:eastAsia="en-US"/>
        </w:rPr>
        <w:t xml:space="preserve">shaped by very different aims and objectives. </w:t>
      </w:r>
      <w:r>
        <w:rPr>
          <w:rFonts w:eastAsiaTheme="minorHAnsi"/>
          <w:lang w:eastAsia="en-US"/>
        </w:rPr>
        <w:t xml:space="preserve">For example, </w:t>
      </w:r>
      <w:r w:rsidRPr="00221E02">
        <w:rPr>
          <w:rFonts w:eastAsiaTheme="minorHAnsi"/>
          <w:lang w:eastAsia="en-US"/>
        </w:rPr>
        <w:t>the perspective of a small business that hosts a gambling venue ha</w:t>
      </w:r>
      <w:r>
        <w:rPr>
          <w:rFonts w:eastAsiaTheme="minorHAnsi"/>
          <w:lang w:eastAsia="en-US"/>
        </w:rPr>
        <w:t>d</w:t>
      </w:r>
      <w:r w:rsidRPr="00221E02">
        <w:rPr>
          <w:rFonts w:eastAsiaTheme="minorHAnsi"/>
          <w:lang w:eastAsia="en-US"/>
        </w:rPr>
        <w:t xml:space="preserve"> relatively little in common with </w:t>
      </w:r>
      <w:r>
        <w:rPr>
          <w:rFonts w:eastAsiaTheme="minorHAnsi"/>
          <w:lang w:eastAsia="en-US"/>
        </w:rPr>
        <w:t xml:space="preserve">the perspective of someone </w:t>
      </w:r>
      <w:r w:rsidRPr="00221E02">
        <w:rPr>
          <w:rFonts w:eastAsiaTheme="minorHAnsi"/>
          <w:lang w:eastAsia="en-US"/>
        </w:rPr>
        <w:t>whose gambling ha</w:t>
      </w:r>
      <w:r>
        <w:rPr>
          <w:rFonts w:eastAsiaTheme="minorHAnsi"/>
          <w:lang w:eastAsia="en-US"/>
        </w:rPr>
        <w:t>d</w:t>
      </w:r>
      <w:r w:rsidRPr="00221E02">
        <w:rPr>
          <w:rFonts w:eastAsiaTheme="minorHAnsi"/>
          <w:lang w:eastAsia="en-US"/>
        </w:rPr>
        <w:t xml:space="preserve"> resulted in the</w:t>
      </w:r>
      <w:r>
        <w:rPr>
          <w:rFonts w:eastAsiaTheme="minorHAnsi"/>
          <w:lang w:eastAsia="en-US"/>
        </w:rPr>
        <w:t>m</w:t>
      </w:r>
      <w:r w:rsidRPr="00221E02">
        <w:rPr>
          <w:rFonts w:eastAsiaTheme="minorHAnsi"/>
          <w:lang w:eastAsia="en-US"/>
        </w:rPr>
        <w:t xml:space="preserve"> seeking </w:t>
      </w:r>
      <w:r>
        <w:rPr>
          <w:rFonts w:eastAsiaTheme="minorHAnsi"/>
          <w:lang w:eastAsia="en-US"/>
        </w:rPr>
        <w:t>help, or of an affected family member – although all of these submitters agreed on the need to reduce gambling harms.</w:t>
      </w:r>
    </w:p>
    <w:p w14:paraId="3BBA4082" w14:textId="77777777" w:rsidR="007179EA" w:rsidRPr="00E803BB" w:rsidRDefault="007179EA" w:rsidP="005B24AB">
      <w:pPr>
        <w:rPr>
          <w:rFonts w:eastAsiaTheme="minorHAnsi"/>
          <w:lang w:eastAsia="en-US"/>
        </w:rPr>
      </w:pPr>
    </w:p>
    <w:p w14:paraId="7349846E" w14:textId="77777777" w:rsidR="007179EA" w:rsidRPr="00E803BB" w:rsidRDefault="007179EA" w:rsidP="005B24AB">
      <w:pPr>
        <w:rPr>
          <w:rFonts w:eastAsiaTheme="minorHAnsi"/>
          <w:lang w:eastAsia="en-US"/>
        </w:rPr>
      </w:pPr>
      <w:r w:rsidRPr="00E803BB">
        <w:rPr>
          <w:rFonts w:eastAsiaTheme="minorHAnsi"/>
          <w:lang w:eastAsia="en-US"/>
        </w:rPr>
        <w:t xml:space="preserve">The Ministry acknowledges that all these perspectives are real and valid, and the goals and outcomes of the </w:t>
      </w:r>
      <w:r>
        <w:rPr>
          <w:rFonts w:eastAsiaTheme="minorHAnsi"/>
          <w:lang w:eastAsia="en-US"/>
        </w:rPr>
        <w:t>s</w:t>
      </w:r>
      <w:r w:rsidRPr="00E803BB">
        <w:rPr>
          <w:rFonts w:eastAsiaTheme="minorHAnsi"/>
          <w:lang w:eastAsia="en-US"/>
        </w:rPr>
        <w:t xml:space="preserve">trategy matter to all submitters. We have tried to </w:t>
      </w:r>
      <w:r>
        <w:rPr>
          <w:rFonts w:eastAsiaTheme="minorHAnsi"/>
          <w:lang w:eastAsia="en-US"/>
        </w:rPr>
        <w:t xml:space="preserve">ensure that </w:t>
      </w:r>
      <w:r w:rsidRPr="00E803BB">
        <w:rPr>
          <w:rFonts w:eastAsiaTheme="minorHAnsi"/>
          <w:lang w:eastAsia="en-US"/>
        </w:rPr>
        <w:t>this document</w:t>
      </w:r>
      <w:r>
        <w:rPr>
          <w:rFonts w:eastAsiaTheme="minorHAnsi"/>
          <w:lang w:eastAsia="en-US"/>
        </w:rPr>
        <w:t xml:space="preserve"> reflects that acknowledgement</w:t>
      </w:r>
      <w:r w:rsidRPr="00E803BB">
        <w:rPr>
          <w:rFonts w:eastAsiaTheme="minorHAnsi"/>
          <w:lang w:eastAsia="en-US"/>
        </w:rPr>
        <w:t xml:space="preserve">. For example, the commentary on levy weightings </w:t>
      </w:r>
      <w:r>
        <w:rPr>
          <w:rFonts w:eastAsiaTheme="minorHAnsi"/>
          <w:lang w:eastAsia="en-US"/>
        </w:rPr>
        <w:t xml:space="preserve">for </w:t>
      </w:r>
      <w:r w:rsidRPr="00E803BB">
        <w:rPr>
          <w:rFonts w:eastAsiaTheme="minorHAnsi"/>
          <w:lang w:eastAsia="en-US"/>
        </w:rPr>
        <w:t>expenditure</w:t>
      </w:r>
      <w:r>
        <w:rPr>
          <w:rFonts w:eastAsiaTheme="minorHAnsi"/>
          <w:lang w:eastAsia="en-US"/>
        </w:rPr>
        <w:t xml:space="preserve"> and </w:t>
      </w:r>
      <w:r w:rsidRPr="00E803BB">
        <w:rPr>
          <w:rFonts w:eastAsiaTheme="minorHAnsi"/>
          <w:lang w:eastAsia="en-US"/>
        </w:rPr>
        <w:t>presentations</w:t>
      </w:r>
      <w:r>
        <w:rPr>
          <w:rFonts w:eastAsiaTheme="minorHAnsi"/>
          <w:lang w:eastAsia="en-US"/>
        </w:rPr>
        <w:t xml:space="preserve"> takes into consideration that there </w:t>
      </w:r>
      <w:r w:rsidRPr="00E803BB">
        <w:rPr>
          <w:rFonts w:eastAsiaTheme="minorHAnsi"/>
          <w:lang w:eastAsia="en-US"/>
        </w:rPr>
        <w:t xml:space="preserve">opposing points of view </w:t>
      </w:r>
      <w:r>
        <w:rPr>
          <w:rFonts w:eastAsiaTheme="minorHAnsi"/>
          <w:lang w:eastAsia="en-US"/>
        </w:rPr>
        <w:t xml:space="preserve">had different </w:t>
      </w:r>
      <w:r w:rsidRPr="00E803BB">
        <w:rPr>
          <w:rFonts w:eastAsiaTheme="minorHAnsi"/>
          <w:lang w:eastAsia="en-US"/>
        </w:rPr>
        <w:t>concept</w:t>
      </w:r>
      <w:r>
        <w:rPr>
          <w:rFonts w:eastAsiaTheme="minorHAnsi"/>
          <w:lang w:eastAsia="en-US"/>
        </w:rPr>
        <w:t>s</w:t>
      </w:r>
      <w:r w:rsidRPr="00E803BB">
        <w:rPr>
          <w:rFonts w:eastAsiaTheme="minorHAnsi"/>
          <w:lang w:eastAsia="en-US"/>
        </w:rPr>
        <w:t xml:space="preserve"> of </w:t>
      </w:r>
      <w:r w:rsidR="00BC6B27">
        <w:rPr>
          <w:rFonts w:eastAsiaTheme="minorHAnsi"/>
          <w:lang w:eastAsia="en-US"/>
        </w:rPr>
        <w:t>‘</w:t>
      </w:r>
      <w:r w:rsidRPr="00E803BB">
        <w:rPr>
          <w:rFonts w:eastAsiaTheme="minorHAnsi"/>
          <w:lang w:eastAsia="en-US"/>
        </w:rPr>
        <w:t>fairness</w:t>
      </w:r>
      <w:r w:rsidR="00BC6B27">
        <w:rPr>
          <w:rFonts w:eastAsiaTheme="minorHAnsi"/>
          <w:lang w:eastAsia="en-US"/>
        </w:rPr>
        <w:t>’</w:t>
      </w:r>
      <w:r w:rsidRPr="00E803BB">
        <w:rPr>
          <w:rFonts w:eastAsiaTheme="minorHAnsi"/>
          <w:lang w:eastAsia="en-US"/>
        </w:rPr>
        <w:t>.</w:t>
      </w:r>
    </w:p>
    <w:p w14:paraId="666A5B8E" w14:textId="77777777" w:rsidR="007179EA" w:rsidRDefault="007179EA" w:rsidP="005B24AB">
      <w:pPr>
        <w:rPr>
          <w:rFonts w:eastAsiaTheme="minorHAnsi"/>
          <w:lang w:eastAsia="en-US"/>
        </w:rPr>
      </w:pPr>
    </w:p>
    <w:p w14:paraId="1947507F" w14:textId="77777777" w:rsidR="00BC6B27" w:rsidRDefault="007179EA" w:rsidP="005B24AB">
      <w:pPr>
        <w:rPr>
          <w:rFonts w:eastAsiaTheme="minorHAnsi"/>
          <w:lang w:eastAsia="en-US"/>
        </w:rPr>
      </w:pPr>
      <w:r>
        <w:rPr>
          <w:rFonts w:eastAsiaTheme="minorHAnsi"/>
          <w:lang w:eastAsia="en-US"/>
        </w:rPr>
        <w:t>Many submissions sought greater involvement in the design and delivery of services by affected stakeholders, to address persistent health inequities and risks. Proposals ranged from co-commissioning approaches through to co-design to improve the range and quality of services, to ensuring that these services are age- and culturally appropriate and meet the varied needs of at-risk and priority populations.</w:t>
      </w:r>
    </w:p>
    <w:p w14:paraId="5FE7DFEB" w14:textId="77777777" w:rsidR="007179EA" w:rsidRDefault="007179EA" w:rsidP="005B24AB">
      <w:pPr>
        <w:rPr>
          <w:rFonts w:eastAsiaTheme="minorHAnsi"/>
          <w:lang w:eastAsia="en-US"/>
        </w:rPr>
      </w:pPr>
    </w:p>
    <w:p w14:paraId="5D8614A9" w14:textId="77777777" w:rsidR="00BC6B27" w:rsidRDefault="007179EA" w:rsidP="005B24AB">
      <w:pPr>
        <w:rPr>
          <w:rFonts w:eastAsiaTheme="minorHAnsi"/>
          <w:lang w:eastAsia="en-US"/>
        </w:rPr>
      </w:pPr>
      <w:r w:rsidRPr="00E803BB">
        <w:rPr>
          <w:rFonts w:eastAsiaTheme="minorHAnsi"/>
          <w:lang w:eastAsia="en-US"/>
        </w:rPr>
        <w:t xml:space="preserve">We </w:t>
      </w:r>
      <w:r>
        <w:rPr>
          <w:rFonts w:eastAsiaTheme="minorHAnsi"/>
          <w:lang w:eastAsia="en-US"/>
        </w:rPr>
        <w:t xml:space="preserve">also </w:t>
      </w:r>
      <w:r w:rsidRPr="00E803BB">
        <w:rPr>
          <w:rFonts w:eastAsiaTheme="minorHAnsi"/>
          <w:lang w:eastAsia="en-US"/>
        </w:rPr>
        <w:t>observed that</w:t>
      </w:r>
      <w:r>
        <w:rPr>
          <w:rFonts w:eastAsiaTheme="minorHAnsi"/>
          <w:lang w:eastAsia="en-US"/>
        </w:rPr>
        <w:t xml:space="preserve">, as in previous consultations, several </w:t>
      </w:r>
      <w:r w:rsidRPr="00E803BB">
        <w:rPr>
          <w:rFonts w:eastAsiaTheme="minorHAnsi"/>
          <w:lang w:eastAsia="en-US"/>
        </w:rPr>
        <w:t xml:space="preserve">submitters </w:t>
      </w:r>
      <w:r>
        <w:rPr>
          <w:rFonts w:eastAsiaTheme="minorHAnsi"/>
          <w:lang w:eastAsia="en-US"/>
        </w:rPr>
        <w:t xml:space="preserve">sought changes to the broader legal and policy framework to address gambling harm; for example, in regard to the prevalence and location of electronic gaming machines (pokies) </w:t>
      </w:r>
      <w:r w:rsidRPr="00E803BB">
        <w:rPr>
          <w:rFonts w:eastAsiaTheme="minorHAnsi"/>
          <w:lang w:eastAsia="en-US"/>
        </w:rPr>
        <w:t>and regulation of online gambling.</w:t>
      </w:r>
    </w:p>
    <w:p w14:paraId="7BD36C82" w14:textId="77777777" w:rsidR="007179EA" w:rsidRDefault="007179EA" w:rsidP="005B24AB">
      <w:pPr>
        <w:rPr>
          <w:rFonts w:eastAsiaTheme="minorHAnsi"/>
          <w:lang w:eastAsia="en-US"/>
        </w:rPr>
      </w:pPr>
    </w:p>
    <w:p w14:paraId="78F6C49D" w14:textId="77777777" w:rsidR="00BC6B27" w:rsidRDefault="007179EA" w:rsidP="005B24AB">
      <w:pPr>
        <w:rPr>
          <w:rFonts w:eastAsiaTheme="minorHAnsi"/>
          <w:lang w:eastAsia="en-US"/>
        </w:rPr>
      </w:pPr>
      <w:r>
        <w:rPr>
          <w:rFonts w:eastAsiaTheme="minorHAnsi"/>
          <w:lang w:eastAsia="en-US"/>
        </w:rPr>
        <w:t xml:space="preserve">Unregulated online gambling continues to be a significant issue. The risks have grown over the last few levy periods, since about 2009, as internet access and smart devices have become more commonplace. Many submissions expressed concerns about the ease of access to online gambling, including the </w:t>
      </w:r>
      <w:r w:rsidRPr="00221E02">
        <w:rPr>
          <w:rFonts w:eastAsiaTheme="minorHAnsi"/>
          <w:lang w:eastAsia="en-US"/>
        </w:rPr>
        <w:t xml:space="preserve">growth of </w:t>
      </w:r>
      <w:r>
        <w:rPr>
          <w:rFonts w:eastAsiaTheme="minorHAnsi"/>
          <w:lang w:eastAsia="en-US"/>
        </w:rPr>
        <w:t xml:space="preserve">gambling elements being used in online games and gambling on offshore sites. Submissions expressed concerns about the targeting of </w:t>
      </w:r>
      <w:r w:rsidRPr="00221E02">
        <w:rPr>
          <w:rFonts w:eastAsiaTheme="minorHAnsi"/>
          <w:lang w:eastAsia="en-US"/>
        </w:rPr>
        <w:t>young people</w:t>
      </w:r>
      <w:r>
        <w:rPr>
          <w:rFonts w:eastAsiaTheme="minorHAnsi"/>
          <w:lang w:eastAsia="en-US"/>
        </w:rPr>
        <w:t>,</w:t>
      </w:r>
      <w:r w:rsidRPr="00221E02">
        <w:rPr>
          <w:rFonts w:eastAsiaTheme="minorHAnsi"/>
          <w:lang w:eastAsia="en-US"/>
        </w:rPr>
        <w:t xml:space="preserve"> and exposure to gambling advertising through a range of media.</w:t>
      </w:r>
    </w:p>
    <w:p w14:paraId="2DE1B1F3" w14:textId="77777777" w:rsidR="007179EA" w:rsidRDefault="007179EA" w:rsidP="005B24AB">
      <w:pPr>
        <w:rPr>
          <w:rFonts w:eastAsiaTheme="minorHAnsi"/>
          <w:lang w:eastAsia="en-US"/>
        </w:rPr>
      </w:pPr>
    </w:p>
    <w:p w14:paraId="467474F1" w14:textId="77777777" w:rsidR="007179EA" w:rsidRPr="00221E02" w:rsidRDefault="007179EA" w:rsidP="005B24AB">
      <w:pPr>
        <w:rPr>
          <w:rFonts w:eastAsiaTheme="minorHAnsi"/>
          <w:lang w:eastAsia="en-US"/>
        </w:rPr>
      </w:pPr>
      <w:r>
        <w:rPr>
          <w:rFonts w:eastAsiaTheme="minorHAnsi"/>
          <w:lang w:eastAsia="en-US"/>
        </w:rPr>
        <w:t>We acknowledge the need to act on these concerns. T</w:t>
      </w:r>
      <w:r w:rsidRPr="00363206">
        <w:rPr>
          <w:rFonts w:eastAsiaTheme="minorHAnsi"/>
          <w:lang w:eastAsia="en-US"/>
        </w:rPr>
        <w:t xml:space="preserve">he </w:t>
      </w:r>
      <w:r>
        <w:rPr>
          <w:rFonts w:eastAsiaTheme="minorHAnsi"/>
          <w:lang w:eastAsia="en-US"/>
        </w:rPr>
        <w:t>s</w:t>
      </w:r>
      <w:r w:rsidRPr="00363206">
        <w:rPr>
          <w:rFonts w:eastAsiaTheme="minorHAnsi"/>
          <w:lang w:eastAsia="en-US"/>
        </w:rPr>
        <w:t xml:space="preserve">trategy includes an objective for </w:t>
      </w:r>
      <w:r>
        <w:rPr>
          <w:rFonts w:eastAsiaTheme="minorHAnsi"/>
          <w:lang w:eastAsia="en-US"/>
        </w:rPr>
        <w:t xml:space="preserve">the Department of Internal Affairs </w:t>
      </w:r>
      <w:r w:rsidRPr="00363206">
        <w:rPr>
          <w:rFonts w:eastAsiaTheme="minorHAnsi"/>
          <w:lang w:eastAsia="en-US"/>
        </w:rPr>
        <w:t xml:space="preserve">to </w:t>
      </w:r>
      <w:r w:rsidRPr="00363206">
        <w:t>identify improvements to the legislative and regulatory framework to reduce gambling-related harm</w:t>
      </w:r>
      <w:r>
        <w:t xml:space="preserve">, including </w:t>
      </w:r>
      <w:r w:rsidRPr="00363206">
        <w:rPr>
          <w:rFonts w:eastAsiaTheme="minorHAnsi"/>
          <w:lang w:eastAsia="en-US"/>
        </w:rPr>
        <w:t xml:space="preserve">through the ongoing Online Gambling Review. </w:t>
      </w:r>
      <w:r>
        <w:rPr>
          <w:rFonts w:eastAsiaTheme="minorHAnsi"/>
          <w:lang w:eastAsia="en-US"/>
        </w:rPr>
        <w:t xml:space="preserve">The recently </w:t>
      </w:r>
      <w:r w:rsidRPr="00E803BB">
        <w:rPr>
          <w:rFonts w:eastAsiaTheme="minorHAnsi"/>
          <w:lang w:eastAsia="en-US"/>
        </w:rPr>
        <w:t xml:space="preserve">released </w:t>
      </w:r>
      <w:r w:rsidRPr="008B117E">
        <w:rPr>
          <w:rFonts w:eastAsiaTheme="minorHAnsi"/>
          <w:i/>
          <w:iCs/>
          <w:lang w:eastAsia="en-US"/>
        </w:rPr>
        <w:t>Kia Manawanui Aotearoa</w:t>
      </w:r>
      <w:r w:rsidRPr="005B24AB">
        <w:rPr>
          <w:rStyle w:val="FootnoteReference"/>
          <w:rFonts w:eastAsiaTheme="minorHAnsi"/>
        </w:rPr>
        <w:footnoteReference w:id="3"/>
      </w:r>
      <w:r>
        <w:rPr>
          <w:rFonts w:eastAsiaTheme="minorHAnsi"/>
          <w:lang w:eastAsia="en-US"/>
        </w:rPr>
        <w:t xml:space="preserve"> is a whole-of-government action plan for mental health that includes a commitment to review the Gambling Act 2003, with particular reference to preventing and minimising harm from online gambling and electronic gaming machines.</w:t>
      </w:r>
    </w:p>
    <w:p w14:paraId="7CB72E32" w14:textId="77777777" w:rsidR="007179EA" w:rsidRDefault="007179EA" w:rsidP="005B24AB">
      <w:pPr>
        <w:rPr>
          <w:rFonts w:eastAsiaTheme="minorHAnsi"/>
          <w:lang w:eastAsia="en-US"/>
        </w:rPr>
      </w:pPr>
    </w:p>
    <w:p w14:paraId="1A741C8B" w14:textId="77777777" w:rsidR="00BC6B27" w:rsidRDefault="007179EA" w:rsidP="005B24AB">
      <w:pPr>
        <w:rPr>
          <w:rFonts w:eastAsiaTheme="minorHAnsi"/>
          <w:lang w:eastAsia="en-US"/>
        </w:rPr>
      </w:pPr>
      <w:r>
        <w:rPr>
          <w:rFonts w:eastAsiaTheme="minorHAnsi"/>
          <w:lang w:eastAsia="en-US"/>
        </w:rPr>
        <w:t>In the meantime, the strategy will continue to provide for services to respond to harm from any form of gambling, as well as research and evaluation to improve our understanding of gambling behaviour, the associated harms and the effectiveness of particular interventions.</w:t>
      </w:r>
    </w:p>
    <w:p w14:paraId="7377B505" w14:textId="77777777" w:rsidR="007179EA" w:rsidRDefault="007179EA" w:rsidP="005B24AB">
      <w:pPr>
        <w:rPr>
          <w:rFonts w:eastAsiaTheme="minorHAnsi"/>
          <w:lang w:eastAsia="en-US"/>
        </w:rPr>
      </w:pPr>
    </w:p>
    <w:p w14:paraId="52686751" w14:textId="77777777" w:rsidR="007179EA" w:rsidRDefault="007179EA" w:rsidP="007334D3">
      <w:pPr>
        <w:keepNext/>
        <w:keepLines/>
        <w:rPr>
          <w:rFonts w:eastAsiaTheme="minorHAnsi"/>
          <w:lang w:eastAsia="en-US"/>
        </w:rPr>
      </w:pPr>
      <w:r w:rsidRPr="00221E02">
        <w:rPr>
          <w:rFonts w:eastAsiaTheme="minorHAnsi"/>
          <w:lang w:eastAsia="en-US"/>
        </w:rPr>
        <w:lastRenderedPageBreak/>
        <w:t xml:space="preserve">The Ministry </w:t>
      </w:r>
      <w:r>
        <w:rPr>
          <w:rFonts w:eastAsiaTheme="minorHAnsi"/>
          <w:lang w:eastAsia="en-US"/>
        </w:rPr>
        <w:t xml:space="preserve">is grateful for </w:t>
      </w:r>
      <w:r w:rsidRPr="00221E02">
        <w:rPr>
          <w:rFonts w:eastAsiaTheme="minorHAnsi"/>
          <w:lang w:eastAsia="en-US"/>
        </w:rPr>
        <w:t xml:space="preserve">the passion and compassion </w:t>
      </w:r>
      <w:r>
        <w:rPr>
          <w:rFonts w:eastAsiaTheme="minorHAnsi"/>
          <w:lang w:eastAsia="en-US"/>
        </w:rPr>
        <w:t xml:space="preserve">evident </w:t>
      </w:r>
      <w:r w:rsidRPr="00221E02">
        <w:rPr>
          <w:rFonts w:eastAsiaTheme="minorHAnsi"/>
          <w:lang w:eastAsia="en-US"/>
        </w:rPr>
        <w:t xml:space="preserve">in submissions from people who shared their </w:t>
      </w:r>
      <w:r>
        <w:rPr>
          <w:rFonts w:eastAsiaTheme="minorHAnsi"/>
          <w:lang w:eastAsia="en-US"/>
        </w:rPr>
        <w:t xml:space="preserve">personal </w:t>
      </w:r>
      <w:r w:rsidRPr="00221E02">
        <w:rPr>
          <w:rFonts w:eastAsiaTheme="minorHAnsi"/>
          <w:lang w:eastAsia="en-US"/>
        </w:rPr>
        <w:t xml:space="preserve">experiences of gambling harm, </w:t>
      </w:r>
      <w:r>
        <w:rPr>
          <w:rFonts w:eastAsiaTheme="minorHAnsi"/>
          <w:lang w:eastAsia="en-US"/>
        </w:rPr>
        <w:t xml:space="preserve">using these experiences to </w:t>
      </w:r>
      <w:r w:rsidRPr="00221E02">
        <w:rPr>
          <w:rFonts w:eastAsiaTheme="minorHAnsi"/>
          <w:lang w:eastAsia="en-US"/>
        </w:rPr>
        <w:t xml:space="preserve">constructively contribute to </w:t>
      </w:r>
      <w:r>
        <w:rPr>
          <w:rFonts w:eastAsiaTheme="minorHAnsi"/>
          <w:lang w:eastAsia="en-US"/>
        </w:rPr>
        <w:t xml:space="preserve">our </w:t>
      </w:r>
      <w:r w:rsidRPr="00221E02">
        <w:rPr>
          <w:rFonts w:eastAsiaTheme="minorHAnsi"/>
          <w:lang w:eastAsia="en-US"/>
        </w:rPr>
        <w:t xml:space="preserve">consultation. While it </w:t>
      </w:r>
      <w:r>
        <w:rPr>
          <w:rFonts w:eastAsiaTheme="minorHAnsi"/>
          <w:lang w:eastAsia="en-US"/>
        </w:rPr>
        <w:t>is im</w:t>
      </w:r>
      <w:r w:rsidRPr="00221E02">
        <w:rPr>
          <w:rFonts w:eastAsiaTheme="minorHAnsi"/>
          <w:lang w:eastAsia="en-US"/>
        </w:rPr>
        <w:t xml:space="preserve">possible </w:t>
      </w:r>
      <w:r>
        <w:rPr>
          <w:rFonts w:eastAsiaTheme="minorHAnsi"/>
          <w:lang w:eastAsia="en-US"/>
        </w:rPr>
        <w:t xml:space="preserve">for this proposals document </w:t>
      </w:r>
      <w:r w:rsidRPr="00221E02">
        <w:rPr>
          <w:rFonts w:eastAsiaTheme="minorHAnsi"/>
          <w:lang w:eastAsia="en-US"/>
        </w:rPr>
        <w:t>to reflect every</w:t>
      </w:r>
      <w:r>
        <w:rPr>
          <w:rFonts w:eastAsiaTheme="minorHAnsi"/>
          <w:lang w:eastAsia="en-US"/>
        </w:rPr>
        <w:t xml:space="preserve"> individual</w:t>
      </w:r>
      <w:r w:rsidR="00BC6B27">
        <w:rPr>
          <w:rFonts w:eastAsiaTheme="minorHAnsi"/>
          <w:lang w:eastAsia="en-US"/>
        </w:rPr>
        <w:t>’</w:t>
      </w:r>
      <w:r w:rsidRPr="00221E02">
        <w:rPr>
          <w:rFonts w:eastAsiaTheme="minorHAnsi"/>
          <w:lang w:eastAsia="en-US"/>
        </w:rPr>
        <w:t xml:space="preserve">s point of view, </w:t>
      </w:r>
      <w:r>
        <w:rPr>
          <w:rFonts w:eastAsiaTheme="minorHAnsi"/>
          <w:lang w:eastAsia="en-US"/>
        </w:rPr>
        <w:t xml:space="preserve">the Ministry </w:t>
      </w:r>
      <w:r w:rsidRPr="00221E02">
        <w:rPr>
          <w:rFonts w:eastAsiaTheme="minorHAnsi"/>
          <w:lang w:eastAsia="en-US"/>
        </w:rPr>
        <w:t>hope</w:t>
      </w:r>
      <w:r>
        <w:rPr>
          <w:rFonts w:eastAsiaTheme="minorHAnsi"/>
          <w:lang w:eastAsia="en-US"/>
        </w:rPr>
        <w:t>s</w:t>
      </w:r>
      <w:r w:rsidRPr="00221E02">
        <w:rPr>
          <w:rFonts w:eastAsiaTheme="minorHAnsi"/>
          <w:lang w:eastAsia="en-US"/>
        </w:rPr>
        <w:t xml:space="preserve"> that </w:t>
      </w:r>
      <w:r w:rsidRPr="00977918">
        <w:rPr>
          <w:rFonts w:eastAsiaTheme="minorHAnsi"/>
          <w:lang w:eastAsia="en-US"/>
        </w:rPr>
        <w:t>submitters can see themselves in these proposed responses.</w:t>
      </w:r>
    </w:p>
    <w:p w14:paraId="0A507ADA" w14:textId="77777777" w:rsidR="007334D3" w:rsidRPr="00221E02" w:rsidRDefault="007334D3" w:rsidP="007334D3">
      <w:pPr>
        <w:rPr>
          <w:rFonts w:eastAsiaTheme="minorHAnsi"/>
          <w:lang w:eastAsia="en-US"/>
        </w:rPr>
      </w:pPr>
    </w:p>
    <w:p w14:paraId="4C85AA4D" w14:textId="77777777" w:rsidR="007179EA" w:rsidRPr="007868FB" w:rsidRDefault="007179EA" w:rsidP="007334D3">
      <w:pPr>
        <w:pStyle w:val="Heading2"/>
      </w:pPr>
      <w:bookmarkStart w:id="3" w:name="_Toc89684381"/>
      <w:bookmarkStart w:id="4" w:name="_Toc90885037"/>
      <w:r w:rsidRPr="007868FB">
        <w:t>Structure of this document</w:t>
      </w:r>
      <w:bookmarkEnd w:id="3"/>
      <w:bookmarkEnd w:id="4"/>
    </w:p>
    <w:p w14:paraId="3EE33326" w14:textId="77777777" w:rsidR="00BC6B27" w:rsidRDefault="007179EA" w:rsidP="007334D3">
      <w:r w:rsidRPr="00A66E90">
        <w:t>Th</w:t>
      </w:r>
      <w:r>
        <w:t xml:space="preserve">e structure of this proposals document is based on the structure of the </w:t>
      </w:r>
      <w:r w:rsidRPr="00A66E90">
        <w:rPr>
          <w:i/>
        </w:rPr>
        <w:t>Strategy to Prevent and Minimise Gambling Harm 20</w:t>
      </w:r>
      <w:r>
        <w:rPr>
          <w:i/>
        </w:rPr>
        <w:t>22/23</w:t>
      </w:r>
      <w:r w:rsidRPr="00A66E90">
        <w:rPr>
          <w:i/>
        </w:rPr>
        <w:t xml:space="preserve"> to 20</w:t>
      </w:r>
      <w:r>
        <w:rPr>
          <w:i/>
        </w:rPr>
        <w:t>24/25</w:t>
      </w:r>
      <w:r w:rsidRPr="00A66E90">
        <w:rPr>
          <w:i/>
        </w:rPr>
        <w:t>: Consultation Document</w:t>
      </w:r>
      <w:r w:rsidRPr="00977918">
        <w:t>.</w:t>
      </w:r>
      <w:r>
        <w:rPr>
          <w:i/>
        </w:rPr>
        <w:t xml:space="preserve"> </w:t>
      </w:r>
      <w:r>
        <w:t xml:space="preserve">Changes have been made </w:t>
      </w:r>
      <w:r w:rsidRPr="00A66E90">
        <w:t>whe</w:t>
      </w:r>
      <w:r>
        <w:t>re</w:t>
      </w:r>
      <w:r w:rsidRPr="00A66E90">
        <w:t xml:space="preserve"> </w:t>
      </w:r>
      <w:r>
        <w:t xml:space="preserve">the Ministry considers </w:t>
      </w:r>
      <w:r w:rsidRPr="00A66E90">
        <w:t xml:space="preserve">they </w:t>
      </w:r>
      <w:r>
        <w:t>a</w:t>
      </w:r>
      <w:r w:rsidRPr="00A66E90">
        <w:t>re warranted.</w:t>
      </w:r>
      <w:r>
        <w:t xml:space="preserve"> The Ministry has published the </w:t>
      </w:r>
      <w:r w:rsidRPr="00707EEC">
        <w:t>submissions</w:t>
      </w:r>
      <w:r>
        <w:t xml:space="preserve"> analysis report noted above on its </w:t>
      </w:r>
      <w:r w:rsidRPr="00BF3CBE">
        <w:t>website</w:t>
      </w:r>
      <w:r>
        <w:t>.</w:t>
      </w:r>
    </w:p>
    <w:p w14:paraId="2D2E1737" w14:textId="77777777" w:rsidR="007179EA" w:rsidRPr="00A66E90" w:rsidRDefault="007179EA" w:rsidP="007334D3"/>
    <w:p w14:paraId="5C3D6DB9" w14:textId="77777777" w:rsidR="00BC6B27" w:rsidRDefault="007179EA" w:rsidP="007334D3">
      <w:r w:rsidRPr="00361FAC">
        <w:t xml:space="preserve">This </w:t>
      </w:r>
      <w:r w:rsidRPr="007334D3">
        <w:rPr>
          <w:i/>
        </w:rPr>
        <w:t>Strategy to Prevent and Minimise Gambling Harm 2022/23 to 2024/25 proposals document</w:t>
      </w:r>
      <w:r w:rsidRPr="00A66E90">
        <w:t xml:space="preserve"> </w:t>
      </w:r>
      <w:r>
        <w:t xml:space="preserve">(proposals document) </w:t>
      </w:r>
      <w:r w:rsidRPr="00A66E90">
        <w:t xml:space="preserve">is divided into </w:t>
      </w:r>
      <w:r>
        <w:t>the following sections:</w:t>
      </w:r>
    </w:p>
    <w:p w14:paraId="3BA73CC1" w14:textId="77777777" w:rsidR="007179EA" w:rsidRPr="00977918" w:rsidRDefault="007179EA" w:rsidP="007334D3">
      <w:pPr>
        <w:pStyle w:val="Bullet"/>
      </w:pPr>
      <w:r>
        <w:t>A</w:t>
      </w:r>
      <w:r w:rsidRPr="00977918">
        <w:t xml:space="preserve"> strategic overview</w:t>
      </w:r>
      <w:r>
        <w:t xml:space="preserve"> </w:t>
      </w:r>
      <w:r w:rsidRPr="00860240">
        <w:t>(</w:t>
      </w:r>
      <w:hyperlink w:anchor="_Strategic_overview" w:history="1">
        <w:r w:rsidR="0018228E" w:rsidRPr="0018228E">
          <w:rPr>
            <w:rStyle w:val="Hyperlink"/>
          </w:rPr>
          <w:t>Section 2</w:t>
        </w:r>
      </w:hyperlink>
      <w:r>
        <w:t>). This section</w:t>
      </w:r>
      <w:r w:rsidRPr="00977918">
        <w:t xml:space="preserve"> </w:t>
      </w:r>
      <w:r>
        <w:t xml:space="preserve">provides relevant background and context about the gambling environment, </w:t>
      </w:r>
      <w:r w:rsidRPr="00977918">
        <w:t>the nature of gambling in New Zealand, gambling related harm</w:t>
      </w:r>
      <w:r>
        <w:t xml:space="preserve">s </w:t>
      </w:r>
      <w:r w:rsidRPr="00977918">
        <w:t xml:space="preserve">and the </w:t>
      </w:r>
      <w:r>
        <w:t xml:space="preserve">public health </w:t>
      </w:r>
      <w:r w:rsidRPr="00977918">
        <w:t>approach to gambling harm</w:t>
      </w:r>
      <w:r>
        <w:t>.</w:t>
      </w:r>
    </w:p>
    <w:p w14:paraId="19D29D32" w14:textId="77777777" w:rsidR="007179EA" w:rsidRPr="00947137" w:rsidRDefault="007179EA" w:rsidP="007334D3">
      <w:pPr>
        <w:pStyle w:val="Bullet"/>
      </w:pPr>
      <w:r>
        <w:t xml:space="preserve">A </w:t>
      </w:r>
      <w:r w:rsidRPr="00977918">
        <w:t xml:space="preserve">strategic </w:t>
      </w:r>
      <w:r>
        <w:t>plan</w:t>
      </w:r>
      <w:r w:rsidRPr="00977918">
        <w:t xml:space="preserve"> </w:t>
      </w:r>
      <w:r w:rsidRPr="00860240">
        <w:t>2022/23 to 2024/25 (</w:t>
      </w:r>
      <w:hyperlink w:anchor="_The_strategic_plan" w:history="1">
        <w:r w:rsidR="0018228E" w:rsidRPr="0018228E">
          <w:rPr>
            <w:rStyle w:val="Hyperlink"/>
          </w:rPr>
          <w:t>Section 3</w:t>
        </w:r>
      </w:hyperlink>
      <w:r w:rsidRPr="00860240">
        <w:t>)</w:t>
      </w:r>
      <w:r w:rsidRPr="00977918">
        <w:t xml:space="preserve">. This </w:t>
      </w:r>
      <w:r>
        <w:t>section outlines the</w:t>
      </w:r>
      <w:r w:rsidRPr="00977918">
        <w:t xml:space="preserve"> </w:t>
      </w:r>
      <w:r>
        <w:t xml:space="preserve">proposed </w:t>
      </w:r>
      <w:r w:rsidRPr="00977918">
        <w:t xml:space="preserve">framework </w:t>
      </w:r>
      <w:r>
        <w:t xml:space="preserve">which </w:t>
      </w:r>
      <w:r w:rsidRPr="00977918">
        <w:t>sets out the Ministry</w:t>
      </w:r>
      <w:r w:rsidR="00BC6B27">
        <w:t>’</w:t>
      </w:r>
      <w:r w:rsidRPr="00977918">
        <w:t>s approach to the prevention and minimisation of gambling harm, high-level objectives and priorities for action. It forms the strategic context for the p</w:t>
      </w:r>
      <w:r>
        <w:t>roposed three-year service plan.</w:t>
      </w:r>
    </w:p>
    <w:p w14:paraId="3FE53BEA" w14:textId="77777777" w:rsidR="007179EA" w:rsidRPr="00977918" w:rsidRDefault="007179EA" w:rsidP="007334D3">
      <w:pPr>
        <w:pStyle w:val="Bullet"/>
      </w:pPr>
      <w:r>
        <w:t xml:space="preserve">A </w:t>
      </w:r>
      <w:r w:rsidRPr="00977918">
        <w:t xml:space="preserve">three-year service plan </w:t>
      </w:r>
      <w:r w:rsidRPr="00860240">
        <w:t>2022/23 to 2024/25 (</w:t>
      </w:r>
      <w:hyperlink w:anchor="_Draft_service_plan" w:history="1">
        <w:r w:rsidR="0018228E" w:rsidRPr="0018228E">
          <w:rPr>
            <w:rStyle w:val="Hyperlink"/>
          </w:rPr>
          <w:t>Section 4</w:t>
        </w:r>
      </w:hyperlink>
      <w:r w:rsidRPr="00860240">
        <w:t>).</w:t>
      </w:r>
      <w:r w:rsidRPr="003B3FDE">
        <w:t xml:space="preserve"> </w:t>
      </w:r>
      <w:r w:rsidRPr="00977918">
        <w:t>The proposed service plan sets out the Ministry</w:t>
      </w:r>
      <w:r w:rsidR="00BC6B27">
        <w:t>’</w:t>
      </w:r>
      <w:r w:rsidRPr="00977918">
        <w:t>s service priorities to prevent and minimise gambling harm, and the costs of th</w:t>
      </w:r>
      <w:r>
        <w:t>e</w:t>
      </w:r>
      <w:r w:rsidRPr="00977918">
        <w:t>se services, for the three</w:t>
      </w:r>
      <w:r w:rsidR="0018228E">
        <w:t> years</w:t>
      </w:r>
      <w:r w:rsidRPr="00977918">
        <w:t xml:space="preserve"> from 1 July 20</w:t>
      </w:r>
      <w:r>
        <w:t>22</w:t>
      </w:r>
      <w:r w:rsidRPr="00977918">
        <w:t xml:space="preserve"> to 30 June 20</w:t>
      </w:r>
      <w:r>
        <w:t>25</w:t>
      </w:r>
      <w:r w:rsidRPr="00977918">
        <w:t>.</w:t>
      </w:r>
    </w:p>
    <w:p w14:paraId="5838550D" w14:textId="77777777" w:rsidR="00BC6B27" w:rsidRDefault="007179EA" w:rsidP="007334D3">
      <w:pPr>
        <w:pStyle w:val="Bullet"/>
      </w:pPr>
      <w:r>
        <w:t>D</w:t>
      </w:r>
      <w:r w:rsidRPr="00977918">
        <w:t xml:space="preserve">raft levy rates for </w:t>
      </w:r>
      <w:r w:rsidRPr="00860240">
        <w:t>2022/23 to 2024/25 (</w:t>
      </w:r>
      <w:hyperlink w:anchor="_Draft_levy_rates" w:history="1">
        <w:r w:rsidR="0018228E" w:rsidRPr="0018228E">
          <w:rPr>
            <w:rStyle w:val="Hyperlink"/>
          </w:rPr>
          <w:t>Section 5</w:t>
        </w:r>
      </w:hyperlink>
      <w:r w:rsidRPr="00860240">
        <w:t>)</w:t>
      </w:r>
      <w:r>
        <w:t>. This section describes the calculation of levy rates and the levy weighting options for</w:t>
      </w:r>
      <w:r w:rsidRPr="001A5308">
        <w:t xml:space="preserve"> </w:t>
      </w:r>
      <w:r w:rsidRPr="008B117E">
        <w:t xml:space="preserve">the four gambling industry sectors: </w:t>
      </w:r>
      <w:r w:rsidRPr="00860240">
        <w:t>non-casino gaming machine</w:t>
      </w:r>
      <w:r w:rsidRPr="008B117E">
        <w:t xml:space="preserve"> (NCGM) operators, casinos</w:t>
      </w:r>
      <w:r>
        <w:t xml:space="preserve">. </w:t>
      </w:r>
      <w:r w:rsidRPr="008B117E">
        <w:t xml:space="preserve">TAB New Zealand (TAB NZ) and </w:t>
      </w:r>
      <w:r w:rsidRPr="00860240">
        <w:t>New Zealand Lotteries Commission (Lotto New Zealand)</w:t>
      </w:r>
      <w:r w:rsidRPr="008B117E">
        <w:t>.</w:t>
      </w:r>
      <w:r w:rsidRPr="00977918">
        <w:t xml:space="preserve"> </w:t>
      </w:r>
      <w:r>
        <w:t>It also describes the impact of each weighting option each levy paying sector.</w:t>
      </w:r>
    </w:p>
    <w:p w14:paraId="0423B3C9" w14:textId="77777777" w:rsidR="007334D3" w:rsidRDefault="007334D3" w:rsidP="007334D3"/>
    <w:p w14:paraId="68B4D440" w14:textId="77777777" w:rsidR="007179EA" w:rsidRPr="007868FB" w:rsidRDefault="007179EA" w:rsidP="007334D3">
      <w:pPr>
        <w:pStyle w:val="Heading2"/>
      </w:pPr>
      <w:bookmarkStart w:id="5" w:name="_Toc89684382"/>
      <w:bookmarkStart w:id="6" w:name="_Toc90885038"/>
      <w:r w:rsidRPr="007868FB">
        <w:lastRenderedPageBreak/>
        <w:t>Next steps</w:t>
      </w:r>
      <w:bookmarkEnd w:id="5"/>
      <w:bookmarkEnd w:id="6"/>
    </w:p>
    <w:p w14:paraId="7C3F77DC" w14:textId="77777777" w:rsidR="00BC6B27" w:rsidRDefault="007179EA" w:rsidP="007334D3">
      <w:pPr>
        <w:keepNext/>
      </w:pPr>
      <w:r w:rsidRPr="008A4FAB">
        <w:t xml:space="preserve">The Ministry </w:t>
      </w:r>
      <w:r>
        <w:t>has submitted this document to the responsible Ministers (the Minister of Health and the Minister of Internal Affairs) and to the Gambling Commission, as required by Section 318(2) of the Act.</w:t>
      </w:r>
    </w:p>
    <w:p w14:paraId="29E6203E" w14:textId="77777777" w:rsidR="007334D3" w:rsidRDefault="007334D3" w:rsidP="007334D3">
      <w:pPr>
        <w:keepNext/>
      </w:pPr>
    </w:p>
    <w:p w14:paraId="7C6FC4F5" w14:textId="77777777" w:rsidR="007179EA" w:rsidRDefault="007179EA" w:rsidP="007334D3">
      <w:pPr>
        <w:keepNext/>
      </w:pPr>
      <w:r w:rsidRPr="00A66E90">
        <w:t xml:space="preserve">The Gambling Commission </w:t>
      </w:r>
      <w:r>
        <w:t xml:space="preserve">will </w:t>
      </w:r>
      <w:r w:rsidRPr="00A66E90">
        <w:t>undertake its own analysis</w:t>
      </w:r>
      <w:r>
        <w:t xml:space="preserve"> of the proposed strategy and</w:t>
      </w:r>
      <w:r w:rsidRPr="00A66E90">
        <w:t xml:space="preserve"> will convene a meeting to consult invited stakeholders on the </w:t>
      </w:r>
      <w:r>
        <w:t>s</w:t>
      </w:r>
      <w:r w:rsidRPr="00A66E90">
        <w:t>trategy and the levy rates. It will subsequently provide advice to the responsible Ministers.</w:t>
      </w:r>
    </w:p>
    <w:p w14:paraId="66E3F46C" w14:textId="77777777" w:rsidR="007334D3" w:rsidRDefault="007334D3" w:rsidP="007334D3">
      <w:pPr>
        <w:keepNext/>
      </w:pPr>
    </w:p>
    <w:p w14:paraId="5224B22B" w14:textId="77777777" w:rsidR="007179EA" w:rsidRDefault="007179EA" w:rsidP="007334D3">
      <w:pPr>
        <w:keepNext/>
        <w:keepLines/>
      </w:pPr>
      <w:r w:rsidRPr="00A66E90">
        <w:t>After considering the Gambling Commission</w:t>
      </w:r>
      <w:r w:rsidR="00BC6B27">
        <w:t>’</w:t>
      </w:r>
      <w:r w:rsidRPr="00A66E90">
        <w:t xml:space="preserve">s advice, the responsible Ministers </w:t>
      </w:r>
      <w:r>
        <w:t xml:space="preserve">will </w:t>
      </w:r>
      <w:r w:rsidRPr="00A66E90">
        <w:t>take a paper to Cabinet seeking its endorsement of Ministers</w:t>
      </w:r>
      <w:r w:rsidR="00BC6B27">
        <w:t>’</w:t>
      </w:r>
      <w:r w:rsidRPr="00A66E90">
        <w:t xml:space="preserve"> decisions on the shape of the </w:t>
      </w:r>
      <w:r>
        <w:t>s</w:t>
      </w:r>
      <w:r w:rsidRPr="00A66E90">
        <w:t>trategy and the levy. While that is likely to happen in March</w:t>
      </w:r>
      <w:r w:rsidR="007334D3">
        <w:t xml:space="preserve"> </w:t>
      </w:r>
      <w:r w:rsidRPr="00A66E90">
        <w:t>20</w:t>
      </w:r>
      <w:r>
        <w:t>22</w:t>
      </w:r>
      <w:r w:rsidRPr="00A66E90">
        <w:t xml:space="preserve">, the </w:t>
      </w:r>
      <w:r>
        <w:t xml:space="preserve">Government will not make the </w:t>
      </w:r>
      <w:r w:rsidRPr="00A66E90">
        <w:t xml:space="preserve">new </w:t>
      </w:r>
      <w:r>
        <w:t>s</w:t>
      </w:r>
      <w:r w:rsidRPr="00A66E90">
        <w:t xml:space="preserve">trategy public </w:t>
      </w:r>
      <w:r>
        <w:t xml:space="preserve">nor promulgate the levy regulations </w:t>
      </w:r>
      <w:r w:rsidRPr="00A66E90">
        <w:t>until around late</w:t>
      </w:r>
      <w:r>
        <w:t xml:space="preserve"> </w:t>
      </w:r>
      <w:r w:rsidRPr="00A66E90">
        <w:t>May 20</w:t>
      </w:r>
      <w:r>
        <w:t>22</w:t>
      </w:r>
      <w:r w:rsidRPr="00A66E90">
        <w:t>, when the 20</w:t>
      </w:r>
      <w:r>
        <w:t>22</w:t>
      </w:r>
      <w:r w:rsidRPr="00A66E90">
        <w:t xml:space="preserve"> Budget has been tabled in Parliament.</w:t>
      </w:r>
    </w:p>
    <w:p w14:paraId="64D3FAC7" w14:textId="77777777" w:rsidR="007334D3" w:rsidRDefault="007334D3" w:rsidP="007334D3"/>
    <w:p w14:paraId="3348985C" w14:textId="77777777" w:rsidR="007179EA" w:rsidRDefault="007179EA" w:rsidP="007334D3">
      <w:r w:rsidRPr="00A66E90">
        <w:t xml:space="preserve">The new </w:t>
      </w:r>
      <w:r>
        <w:t>s</w:t>
      </w:r>
      <w:r w:rsidRPr="00A66E90">
        <w:t xml:space="preserve">trategy and </w:t>
      </w:r>
      <w:r>
        <w:t xml:space="preserve">new </w:t>
      </w:r>
      <w:r w:rsidRPr="00A66E90">
        <w:t>problem gambling levy regulations should take effect on 1 July 20</w:t>
      </w:r>
      <w:r>
        <w:t>22</w:t>
      </w:r>
      <w:r w:rsidRPr="00A66E90">
        <w:t>.</w:t>
      </w:r>
    </w:p>
    <w:p w14:paraId="0309C2C3" w14:textId="77777777" w:rsidR="007334D3" w:rsidRDefault="007334D3" w:rsidP="007334D3"/>
    <w:p w14:paraId="2881754E" w14:textId="77777777" w:rsidR="007179EA" w:rsidRPr="005840A5" w:rsidRDefault="007179EA" w:rsidP="007334D3">
      <w:pPr>
        <w:pStyle w:val="Heading1"/>
      </w:pPr>
      <w:bookmarkStart w:id="7" w:name="_2_The_strategic"/>
      <w:bookmarkStart w:id="8" w:name="_3_Draft_service"/>
      <w:bookmarkStart w:id="9" w:name="_4_Draft_levy"/>
      <w:bookmarkStart w:id="10" w:name="_Toc528934683"/>
      <w:bookmarkStart w:id="11" w:name="_Toc528934684"/>
      <w:bookmarkStart w:id="12" w:name="_Toc528934685"/>
      <w:bookmarkStart w:id="13" w:name="_Toc528934686"/>
      <w:bookmarkStart w:id="14" w:name="_Toc528934687"/>
      <w:bookmarkStart w:id="15" w:name="_Toc528934688"/>
      <w:bookmarkStart w:id="16" w:name="_Toc528934689"/>
      <w:bookmarkStart w:id="17" w:name="_Toc528934690"/>
      <w:bookmarkStart w:id="18" w:name="_Toc528934691"/>
      <w:bookmarkStart w:id="19" w:name="_Toc528934692"/>
      <w:bookmarkStart w:id="20" w:name="_Appendix_1:_Aligning"/>
      <w:bookmarkStart w:id="21" w:name="_Appendix_2:_Previous"/>
      <w:bookmarkStart w:id="22" w:name="_Appendix_3:_Bringing"/>
      <w:bookmarkStart w:id="23" w:name="_Appendix_4:_Key"/>
      <w:bookmarkStart w:id="24" w:name="_Appendix_5:_Making"/>
      <w:bookmarkStart w:id="25" w:name="Text2"/>
      <w:bookmarkStart w:id="26" w:name="_Strategic_overview"/>
      <w:bookmarkStart w:id="27" w:name="_Toc530487392"/>
      <w:bookmarkStart w:id="28" w:name="_Toc9239587"/>
      <w:bookmarkStart w:id="29" w:name="_Toc89684383"/>
      <w:bookmarkStart w:id="30" w:name="_Toc9088503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840A5">
        <w:lastRenderedPageBreak/>
        <w:t>Strategic overview</w:t>
      </w:r>
      <w:bookmarkEnd w:id="27"/>
      <w:bookmarkEnd w:id="28"/>
      <w:bookmarkEnd w:id="29"/>
      <w:bookmarkEnd w:id="30"/>
    </w:p>
    <w:p w14:paraId="097DE93D" w14:textId="77777777" w:rsidR="00BC6B27" w:rsidRDefault="007179EA" w:rsidP="007334D3">
      <w:r w:rsidRPr="005840A5">
        <w:t xml:space="preserve">This section provides the context and background </w:t>
      </w:r>
      <w:r>
        <w:t xml:space="preserve">about gambling activities and gambling harm </w:t>
      </w:r>
      <w:r w:rsidRPr="005840A5">
        <w:t>that inform</w:t>
      </w:r>
      <w:r>
        <w:t>s</w:t>
      </w:r>
      <w:r w:rsidRPr="005840A5">
        <w:t xml:space="preserve"> the strategy and </w:t>
      </w:r>
      <w:r>
        <w:t>services to address gambling harm.</w:t>
      </w:r>
    </w:p>
    <w:p w14:paraId="3E69809C" w14:textId="77777777" w:rsidR="007334D3" w:rsidRDefault="007334D3" w:rsidP="007334D3"/>
    <w:p w14:paraId="7077A408" w14:textId="77777777" w:rsidR="007179EA" w:rsidRPr="005840A5" w:rsidRDefault="007179EA" w:rsidP="007334D3">
      <w:pPr>
        <w:pStyle w:val="Heading2"/>
      </w:pPr>
      <w:bookmarkStart w:id="31" w:name="_Toc90885040"/>
      <w:r w:rsidRPr="005840A5">
        <w:t>Participation in gambling</w:t>
      </w:r>
      <w:bookmarkEnd w:id="31"/>
    </w:p>
    <w:p w14:paraId="38DCAC0F" w14:textId="77777777" w:rsidR="007179EA" w:rsidRPr="007334D3" w:rsidRDefault="007179EA" w:rsidP="007334D3">
      <w:r w:rsidRPr="005840A5">
        <w:t xml:space="preserve">Most New Zealanders gamble at least occasionally. </w:t>
      </w:r>
      <w:r>
        <w:t>Estimates suggest that in 2020</w:t>
      </w:r>
      <w:r w:rsidR="007334D3">
        <w:t>,</w:t>
      </w:r>
      <w:r w:rsidRPr="007334D3">
        <w:rPr>
          <w:rStyle w:val="FootnoteReference"/>
        </w:rPr>
        <w:footnoteReference w:id="4"/>
      </w:r>
      <w:r>
        <w:t xml:space="preserve"> </w:t>
      </w:r>
      <w:r>
        <w:rPr>
          <w:lang w:eastAsia="en-NZ"/>
        </w:rPr>
        <w:t>69.3</w:t>
      </w:r>
      <w:r w:rsidR="001461C6">
        <w:rPr>
          <w:lang w:eastAsia="en-NZ"/>
        </w:rPr>
        <w:t> percent</w:t>
      </w:r>
      <w:r>
        <w:rPr>
          <w:lang w:eastAsia="en-NZ"/>
        </w:rPr>
        <w:t xml:space="preserve"> of respondents (about 2.8</w:t>
      </w:r>
      <w:r w:rsidR="00046A83">
        <w:rPr>
          <w:lang w:eastAsia="en-NZ"/>
        </w:rPr>
        <w:t> million</w:t>
      </w:r>
      <w:r>
        <w:rPr>
          <w:lang w:eastAsia="en-NZ"/>
        </w:rPr>
        <w:t xml:space="preserve"> New Zealanders aged 16</w:t>
      </w:r>
      <w:r w:rsidR="0018228E">
        <w:rPr>
          <w:lang w:eastAsia="en-NZ"/>
        </w:rPr>
        <w:t> years</w:t>
      </w:r>
      <w:r>
        <w:rPr>
          <w:lang w:eastAsia="en-NZ"/>
        </w:rPr>
        <w:t xml:space="preserve"> and older) had participated in some form of gambling in the past 12</w:t>
      </w:r>
      <w:r w:rsidR="0018228E">
        <w:rPr>
          <w:lang w:eastAsia="en-NZ"/>
        </w:rPr>
        <w:t> months</w:t>
      </w:r>
      <w:r>
        <w:rPr>
          <w:lang w:eastAsia="en-NZ"/>
        </w:rPr>
        <w:t>.</w:t>
      </w:r>
    </w:p>
    <w:p w14:paraId="04C19DAF" w14:textId="77777777" w:rsidR="007179EA" w:rsidRPr="005840A5" w:rsidRDefault="007179EA" w:rsidP="007334D3"/>
    <w:p w14:paraId="12CAFB13" w14:textId="77777777" w:rsidR="007179EA" w:rsidRPr="005840A5" w:rsidRDefault="007179EA" w:rsidP="007334D3">
      <w:pPr>
        <w:rPr>
          <w:rFonts w:cs="Calibri"/>
        </w:rPr>
      </w:pPr>
      <w:r w:rsidRPr="005840A5">
        <w:t>The most popular forms of gambling in 2020 were New Zealand Lotteries Commission products (59.1</w:t>
      </w:r>
      <w:r w:rsidR="001461C6">
        <w:t> percent</w:t>
      </w:r>
      <w:r w:rsidRPr="005840A5">
        <w:t xml:space="preserve">), followed by informal gambling </w:t>
      </w:r>
      <w:r w:rsidRPr="00D86FB2">
        <w:t>eg playing</w:t>
      </w:r>
      <w:r>
        <w:t xml:space="preserve"> card with friends </w:t>
      </w:r>
      <w:r w:rsidRPr="005840A5">
        <w:t>(35</w:t>
      </w:r>
      <w:r w:rsidR="001461C6">
        <w:t> percent</w:t>
      </w:r>
      <w:r w:rsidRPr="005840A5">
        <w:t>), sports, dog- or horse-race betting provided by TAB NZ (10.9</w:t>
      </w:r>
      <w:r w:rsidR="001461C6">
        <w:t> percent</w:t>
      </w:r>
      <w:r w:rsidRPr="005840A5">
        <w:t>), gaming machines at a pub or club (9.6</w:t>
      </w:r>
      <w:r w:rsidR="001461C6">
        <w:t> percent</w:t>
      </w:r>
      <w:r w:rsidRPr="005840A5">
        <w:t>), gaming machines at casinos (4.0</w:t>
      </w:r>
      <w:r w:rsidR="001461C6">
        <w:t> percent</w:t>
      </w:r>
      <w:r w:rsidRPr="005840A5">
        <w:t>), table games at casinos (2.5</w:t>
      </w:r>
      <w:r w:rsidR="001461C6">
        <w:t> percent</w:t>
      </w:r>
      <w:r w:rsidRPr="005840A5">
        <w:t>) and online gambling on overseas websites (2.6</w:t>
      </w:r>
      <w:r w:rsidR="001461C6">
        <w:t> percent</w:t>
      </w:r>
      <w:r w:rsidRPr="005840A5">
        <w:t>).</w:t>
      </w:r>
    </w:p>
    <w:p w14:paraId="100EB9BC" w14:textId="77777777" w:rsidR="007179EA" w:rsidRPr="005840A5" w:rsidRDefault="007179EA" w:rsidP="007334D3"/>
    <w:p w14:paraId="1FF80CC2" w14:textId="77777777" w:rsidR="007179EA" w:rsidRPr="00F9270C" w:rsidRDefault="007179EA" w:rsidP="007334D3">
      <w:r w:rsidRPr="00F9270C">
        <w:t xml:space="preserve">The </w:t>
      </w:r>
      <w:r w:rsidRPr="00F9270C">
        <w:rPr>
          <w:rFonts w:eastAsia="Calibri"/>
        </w:rPr>
        <w:t xml:space="preserve">Gambling Act 2003 (the </w:t>
      </w:r>
      <w:r w:rsidRPr="00F9270C">
        <w:t xml:space="preserve">Act) defines </w:t>
      </w:r>
      <w:r w:rsidR="00BC6B27">
        <w:t>‘</w:t>
      </w:r>
      <w:r w:rsidRPr="00F9270C">
        <w:t>gambling</w:t>
      </w:r>
      <w:r w:rsidR="00BC6B27">
        <w:t>’</w:t>
      </w:r>
      <w:r w:rsidRPr="00F9270C">
        <w:t xml:space="preserve"> and regulates various forms of gambling activities. It identifies four types of gambling that contribute significantly to gambling harm and are subject to the problem gambling levy:</w:t>
      </w:r>
    </w:p>
    <w:p w14:paraId="0A0E2F71" w14:textId="77777777" w:rsidR="007179EA" w:rsidRPr="00BC6B27" w:rsidRDefault="007179EA" w:rsidP="007334D3">
      <w:pPr>
        <w:pStyle w:val="Bullet"/>
      </w:pPr>
      <w:r w:rsidRPr="00BC6B27">
        <w:t xml:space="preserve">non-casino gaming machines (NCGMs or </w:t>
      </w:r>
      <w:r w:rsidR="00BC6B27" w:rsidRPr="00BC6B27">
        <w:t>‘</w:t>
      </w:r>
      <w:r w:rsidRPr="00BC6B27">
        <w:t>pokies</w:t>
      </w:r>
      <w:r w:rsidR="00BC6B27" w:rsidRPr="00BC6B27">
        <w:t>’</w:t>
      </w:r>
      <w:r w:rsidRPr="00BC6B27">
        <w:t>), operated by clubs, societies and some TAB New Zealand (TAB NZ) venues</w:t>
      </w:r>
    </w:p>
    <w:p w14:paraId="5D3EC808" w14:textId="77777777" w:rsidR="007179EA" w:rsidRPr="00BC6B27" w:rsidRDefault="007179EA" w:rsidP="007334D3">
      <w:pPr>
        <w:pStyle w:val="Bullet"/>
      </w:pPr>
      <w:r w:rsidRPr="00BC6B27">
        <w:t>the mixture of table games and gaming machines provided by casinos</w:t>
      </w:r>
    </w:p>
    <w:p w14:paraId="4C8CCDC5" w14:textId="77777777" w:rsidR="007179EA" w:rsidRPr="00BC6B27" w:rsidRDefault="007179EA" w:rsidP="007334D3">
      <w:pPr>
        <w:pStyle w:val="Bullet"/>
      </w:pPr>
      <w:r w:rsidRPr="00BC6B27">
        <w:t>sports and race betting provided by TAB NZ on their mobile app, website, at raceways and through TAB NZ venues (some TAB NZ venues also operate NCGMs)</w:t>
      </w:r>
    </w:p>
    <w:p w14:paraId="50BEE9DD" w14:textId="77777777" w:rsidR="007179EA" w:rsidRPr="00BC6B27" w:rsidRDefault="007179EA" w:rsidP="007334D3">
      <w:pPr>
        <w:pStyle w:val="Bullet"/>
      </w:pPr>
      <w:r w:rsidRPr="00BC6B27">
        <w:t>a range of lottery products provided by the New Zealand Lotteries Commission (Lotto New Zealand), including: the national lottery, Keno, Instant Kiwi (scratch) tickets and MyLotto online games on their mobile app and website.</w:t>
      </w:r>
    </w:p>
    <w:p w14:paraId="471EA152" w14:textId="77777777" w:rsidR="007179EA" w:rsidRPr="005840A5" w:rsidRDefault="007179EA" w:rsidP="007334D3"/>
    <w:p w14:paraId="7D1F9F0D" w14:textId="77777777" w:rsidR="007179EA" w:rsidRPr="005840A5" w:rsidRDefault="007179EA" w:rsidP="007334D3">
      <w:pPr>
        <w:pStyle w:val="Heading3"/>
      </w:pPr>
      <w:r w:rsidRPr="005840A5">
        <w:t>Gambling outlets</w:t>
      </w:r>
    </w:p>
    <w:p w14:paraId="4125B4E0" w14:textId="77777777" w:rsidR="007179EA" w:rsidRPr="005840A5" w:rsidRDefault="007179EA" w:rsidP="007334D3">
      <w:r w:rsidRPr="005840A5">
        <w:t>Traditionally gambling has required participation at a venue or retail outlet, but this is changing as gambling providers make use of internet access and develop internet-based products, as summarised below.</w:t>
      </w:r>
      <w:r>
        <w:t xml:space="preserve"> This increase in internet use is consistent with the trend for more goods and services being purchased online.</w:t>
      </w:r>
    </w:p>
    <w:p w14:paraId="5E98D8A7" w14:textId="77777777" w:rsidR="007179EA" w:rsidRPr="005840A5" w:rsidRDefault="007179EA" w:rsidP="007334D3"/>
    <w:p w14:paraId="28BC725C" w14:textId="77777777" w:rsidR="007179EA" w:rsidRPr="005840A5" w:rsidRDefault="007179EA" w:rsidP="007334D3">
      <w:pPr>
        <w:keepNext/>
        <w:keepLines/>
      </w:pPr>
      <w:r w:rsidRPr="005840A5">
        <w:lastRenderedPageBreak/>
        <w:t xml:space="preserve">DIA reports that, as at 30 June 2021, there were 1,059 licensed NCGMs (or </w:t>
      </w:r>
      <w:r w:rsidR="00BC6B27">
        <w:t>‘</w:t>
      </w:r>
      <w:r w:rsidRPr="005840A5">
        <w:t>pokies</w:t>
      </w:r>
      <w:r w:rsidR="00BC6B27">
        <w:t>’</w:t>
      </w:r>
      <w:r w:rsidRPr="005840A5">
        <w:t>) venues active, operating 14,704 machines. This reflects a trend of venues and machines decreasing since venues peaked at more than 2,200 in the late 1990s and machines peaked at 25,221 in June 2003. Despite the decline in venue and machine numbers, total NCGM expenditure continues to increase</w:t>
      </w:r>
      <w:r>
        <w:t>.</w:t>
      </w:r>
    </w:p>
    <w:p w14:paraId="607BF848" w14:textId="77777777" w:rsidR="007179EA" w:rsidRPr="005840A5" w:rsidRDefault="007179EA" w:rsidP="007334D3"/>
    <w:p w14:paraId="0EF0B93A" w14:textId="77777777" w:rsidR="007179EA" w:rsidRPr="005840A5" w:rsidRDefault="007179EA" w:rsidP="007334D3">
      <w:r w:rsidRPr="005840A5">
        <w:t>Lotto New Zealand</w:t>
      </w:r>
      <w:r w:rsidR="00BC6B27">
        <w:t>’</w:t>
      </w:r>
      <w:r w:rsidRPr="005840A5">
        <w:t xml:space="preserve">s 2019/20 annual report states that there were 1,230,000 registered MyLotto account holders compared with 845,000 in the previous year. This increase was attributed to the closure of the retail network during </w:t>
      </w:r>
      <w:r w:rsidR="001461C6">
        <w:t>COVID</w:t>
      </w:r>
      <w:r w:rsidR="001461C6">
        <w:noBreakHyphen/>
        <w:t>19</w:t>
      </w:r>
      <w:r w:rsidRPr="005840A5">
        <w:t xml:space="preserve"> alert </w:t>
      </w:r>
      <w:r w:rsidR="0018228E">
        <w:t>level 4</w:t>
      </w:r>
      <w:r w:rsidRPr="005840A5">
        <w:t xml:space="preserve"> restrictions. </w:t>
      </w:r>
      <w:r>
        <w:t>Analysis</w:t>
      </w:r>
      <w:r w:rsidRPr="005840A5">
        <w:t xml:space="preserve"> from </w:t>
      </w:r>
      <w:r>
        <w:t>2020 Health and Lifestyles Survey (</w:t>
      </w:r>
      <w:r w:rsidRPr="005840A5">
        <w:t>HLS</w:t>
      </w:r>
      <w:r>
        <w:t>)</w:t>
      </w:r>
      <w:r w:rsidRPr="005840A5">
        <w:t xml:space="preserve"> shows 23.5</w:t>
      </w:r>
      <w:r w:rsidR="001461C6">
        <w:t> percent</w:t>
      </w:r>
      <w:r>
        <w:t xml:space="preserve"> </w:t>
      </w:r>
      <w:r w:rsidRPr="005840A5">
        <w:t>bought one of Instant Kiwi, Lotto, Strike, Powerball, Keno or Bullseye online, or by using the My Lotto mobile app in the last 12</w:t>
      </w:r>
      <w:r w:rsidR="0018228E">
        <w:t> months</w:t>
      </w:r>
      <w:r w:rsidRPr="005840A5">
        <w:t xml:space="preserve">. This is a significant increase from </w:t>
      </w:r>
      <w:r w:rsidR="007334D3">
        <w:t>9</w:t>
      </w:r>
      <w:r w:rsidR="001461C6">
        <w:t> percent</w:t>
      </w:r>
      <w:r>
        <w:t xml:space="preserve"> </w:t>
      </w:r>
      <w:r w:rsidRPr="005840A5">
        <w:t>in 2018.</w:t>
      </w:r>
    </w:p>
    <w:p w14:paraId="43FE9C18" w14:textId="77777777" w:rsidR="007179EA" w:rsidRPr="005840A5" w:rsidRDefault="007179EA" w:rsidP="007334D3">
      <w:pPr>
        <w:rPr>
          <w:lang w:eastAsia="en-NZ"/>
        </w:rPr>
      </w:pPr>
    </w:p>
    <w:p w14:paraId="19B71D23" w14:textId="77777777" w:rsidR="00BC6B27" w:rsidRDefault="007179EA" w:rsidP="007334D3">
      <w:pPr>
        <w:rPr>
          <w:lang w:eastAsia="en-NZ"/>
        </w:rPr>
      </w:pPr>
      <w:r w:rsidRPr="005840A5">
        <w:rPr>
          <w:lang w:eastAsia="en-NZ"/>
        </w:rPr>
        <w:t>In the 12</w:t>
      </w:r>
      <w:r w:rsidR="0018228E">
        <w:rPr>
          <w:lang w:eastAsia="en-NZ"/>
        </w:rPr>
        <w:t> months</w:t>
      </w:r>
      <w:r w:rsidRPr="005840A5">
        <w:rPr>
          <w:lang w:eastAsia="en-NZ"/>
        </w:rPr>
        <w:t xml:space="preserve"> to 28 February 2021, TAB NZ reports there were 205,000 active TAB</w:t>
      </w:r>
      <w:r w:rsidR="007334D3">
        <w:rPr>
          <w:lang w:eastAsia="en-NZ"/>
        </w:rPr>
        <w:t> </w:t>
      </w:r>
      <w:r w:rsidRPr="005840A5">
        <w:rPr>
          <w:lang w:eastAsia="en-NZ"/>
        </w:rPr>
        <w:t>NZ customers and 560 retail TAB outlets. Of these outlets, 44 hosted gaming machines in the previous 12</w:t>
      </w:r>
      <w:r w:rsidR="0018228E">
        <w:rPr>
          <w:lang w:eastAsia="en-NZ"/>
        </w:rPr>
        <w:t> months</w:t>
      </w:r>
      <w:r w:rsidRPr="005840A5">
        <w:rPr>
          <w:lang w:eastAsia="en-NZ"/>
        </w:rPr>
        <w:t>.</w:t>
      </w:r>
      <w:r w:rsidRPr="007334D3">
        <w:rPr>
          <w:rStyle w:val="FootnoteReference"/>
        </w:rPr>
        <w:footnoteReference w:id="5"/>
      </w:r>
      <w:r w:rsidRPr="005840A5">
        <w:rPr>
          <w:lang w:eastAsia="en-NZ"/>
        </w:rPr>
        <w:t xml:space="preserve"> </w:t>
      </w:r>
      <w:r>
        <w:rPr>
          <w:lang w:eastAsia="en-NZ"/>
        </w:rPr>
        <w:t>Analysis</w:t>
      </w:r>
      <w:r w:rsidRPr="005840A5">
        <w:rPr>
          <w:lang w:eastAsia="en-NZ"/>
        </w:rPr>
        <w:t xml:space="preserve"> from HLS 2020 shows 4.4</w:t>
      </w:r>
      <w:r w:rsidR="001461C6">
        <w:rPr>
          <w:lang w:eastAsia="en-NZ"/>
        </w:rPr>
        <w:t> percent</w:t>
      </w:r>
      <w:r w:rsidRPr="005840A5">
        <w:rPr>
          <w:lang w:eastAsia="en-NZ"/>
        </w:rPr>
        <w:t xml:space="preserve"> of New Zealand adults placed a bet with TAB NZ racing or sports event bets online, or by using the TAB mobile app in the last 12</w:t>
      </w:r>
      <w:r w:rsidR="0018228E">
        <w:rPr>
          <w:lang w:eastAsia="en-NZ"/>
        </w:rPr>
        <w:t> months</w:t>
      </w:r>
      <w:r w:rsidRPr="005840A5">
        <w:rPr>
          <w:lang w:eastAsia="en-NZ"/>
        </w:rPr>
        <w:t>.</w:t>
      </w:r>
    </w:p>
    <w:p w14:paraId="20E58815" w14:textId="77777777" w:rsidR="007179EA" w:rsidRPr="005840A5" w:rsidRDefault="007179EA" w:rsidP="007334D3"/>
    <w:p w14:paraId="20A2423B" w14:textId="77777777" w:rsidR="007179EA" w:rsidRDefault="007179EA" w:rsidP="007334D3">
      <w:r w:rsidRPr="005840A5">
        <w:t xml:space="preserve">There are six casinos in New Zealand: one each in Auckland, Hamilton, Christchurch, and Dunedin, and two in Queenstown. </w:t>
      </w:r>
      <w:r>
        <w:t>Analysis</w:t>
      </w:r>
      <w:r w:rsidRPr="005840A5">
        <w:t xml:space="preserve"> from 2020 HLS shows 4.0</w:t>
      </w:r>
      <w:r w:rsidR="001461C6">
        <w:t> percent</w:t>
      </w:r>
      <w:r w:rsidRPr="005840A5">
        <w:t xml:space="preserve"> of New Zealanders had played gaming machines at casinos and 2.5</w:t>
      </w:r>
      <w:r w:rsidR="001461C6">
        <w:t> percent</w:t>
      </w:r>
      <w:r w:rsidRPr="005840A5">
        <w:t xml:space="preserve"> had played table games at casinos in the previous 12</w:t>
      </w:r>
      <w:r w:rsidR="0018228E">
        <w:t> months</w:t>
      </w:r>
      <w:r w:rsidRPr="005840A5">
        <w:t>. The casinos operate 3,056 gaming machines, 239 table games and 240 fully automated gambling machines. The Act prohibits any more casinos opening in Aotearoa New Zealand.</w:t>
      </w:r>
    </w:p>
    <w:p w14:paraId="0BD3988B" w14:textId="77777777" w:rsidR="007334D3" w:rsidRPr="005840A5" w:rsidRDefault="007334D3" w:rsidP="007334D3"/>
    <w:p w14:paraId="4F8FCE6F" w14:textId="77777777" w:rsidR="007179EA" w:rsidRPr="005840A5" w:rsidRDefault="007179EA" w:rsidP="007334D3">
      <w:pPr>
        <w:pStyle w:val="Heading3"/>
      </w:pPr>
      <w:r w:rsidRPr="005840A5">
        <w:t>Online gambling</w:t>
      </w:r>
    </w:p>
    <w:p w14:paraId="5AEF4C2B" w14:textId="77777777" w:rsidR="007179EA" w:rsidRPr="009A0C7A" w:rsidRDefault="007179EA" w:rsidP="007334D3">
      <w:r w:rsidRPr="005840A5">
        <w:t xml:space="preserve">As shown above, an increasing number of people in New Zealand purchased Lotto New Zealand products or placed bets on TAB NZ products online in 2020. According to </w:t>
      </w:r>
      <w:r>
        <w:t>analysis</w:t>
      </w:r>
      <w:r w:rsidRPr="005840A5">
        <w:t xml:space="preserve"> from the 2020 </w:t>
      </w:r>
      <w:r>
        <w:t>Health and Lifestyles Survey (</w:t>
      </w:r>
      <w:r w:rsidRPr="005840A5">
        <w:t>HLS</w:t>
      </w:r>
      <w:r>
        <w:t>)</w:t>
      </w:r>
      <w:r w:rsidRPr="005840A5">
        <w:t>, over 1,093,000 (26.7</w:t>
      </w:r>
      <w:r w:rsidR="001461C6">
        <w:t> percent</w:t>
      </w:r>
      <w:r w:rsidRPr="005840A5">
        <w:t>) New Zealand adults (aged 16</w:t>
      </w:r>
      <w:r w:rsidR="0018228E">
        <w:t> years</w:t>
      </w:r>
      <w:r w:rsidRPr="005840A5">
        <w:t xml:space="preserve"> and over) took part in online gambling in 2020. The most common form was purchasing tickets via the MyLotto app (23.5</w:t>
      </w:r>
      <w:r w:rsidR="001461C6">
        <w:t> percent</w:t>
      </w:r>
      <w:r w:rsidRPr="005840A5">
        <w:t>), followed by betting online with TAB NZ (4.4</w:t>
      </w:r>
      <w:r w:rsidR="001461C6">
        <w:t> percent</w:t>
      </w:r>
      <w:r>
        <w:t>), and then online gambling on overseas websites (2.6</w:t>
      </w:r>
      <w:r w:rsidR="001461C6">
        <w:t> percent</w:t>
      </w:r>
      <w:r>
        <w:t>). O</w:t>
      </w:r>
      <w:r w:rsidRPr="0069065E">
        <w:t xml:space="preserve">nline gambling increased during the </w:t>
      </w:r>
      <w:r w:rsidR="001461C6">
        <w:t>COVID</w:t>
      </w:r>
      <w:r w:rsidR="001461C6">
        <w:noBreakHyphen/>
        <w:t>19</w:t>
      </w:r>
      <w:r w:rsidRPr="0069065E">
        <w:t xml:space="preserve"> lockdown period, and some</w:t>
      </w:r>
      <w:r>
        <w:t xml:space="preserve"> </w:t>
      </w:r>
      <w:r w:rsidRPr="0069065E">
        <w:t>people gambled a lot more in that time than pre</w:t>
      </w:r>
      <w:r w:rsidR="00C42105">
        <w:noBreakHyphen/>
      </w:r>
      <w:r w:rsidRPr="0069065E">
        <w:t>lockdown</w:t>
      </w:r>
      <w:r>
        <w:t>.</w:t>
      </w:r>
    </w:p>
    <w:p w14:paraId="2949F147" w14:textId="77777777" w:rsidR="007179EA" w:rsidRPr="005840A5" w:rsidRDefault="007179EA" w:rsidP="007334D3"/>
    <w:p w14:paraId="14B9FA9A" w14:textId="77777777" w:rsidR="007179EA" w:rsidRPr="005840A5" w:rsidRDefault="007179EA" w:rsidP="00C42105">
      <w:pPr>
        <w:keepNext/>
        <w:keepLines/>
      </w:pPr>
      <w:r w:rsidRPr="005840A5">
        <w:lastRenderedPageBreak/>
        <w:t>There are concerns about the growing opportunities for online gambling, including those offered by overseas-based gambling operators, and their potential to increase harmful gambling behaviour. Submissions on the strategy from service providers and health groups expressed concerns about the ubiquitous nature of online gambling and gaming convergence</w:t>
      </w:r>
      <w:r>
        <w:t xml:space="preserve">, </w:t>
      </w:r>
      <w:r w:rsidRPr="005840A5">
        <w:t xml:space="preserve">particularly in terms of the potential impact on vulnerable groups including Māori, Pacific </w:t>
      </w:r>
      <w:r>
        <w:t>and young people/rangatahi</w:t>
      </w:r>
      <w:r w:rsidRPr="005840A5">
        <w:t>.</w:t>
      </w:r>
      <w:r>
        <w:t xml:space="preserve"> People using overseas gamble websites are much more likely to be at risk of experiencing harm</w:t>
      </w:r>
      <w:r w:rsidR="007334D3">
        <w:t>.</w:t>
      </w:r>
      <w:r w:rsidRPr="007334D3">
        <w:rPr>
          <w:rStyle w:val="FootnoteReference"/>
        </w:rPr>
        <w:footnoteReference w:id="6"/>
      </w:r>
    </w:p>
    <w:p w14:paraId="3DCF9633" w14:textId="77777777" w:rsidR="007334D3" w:rsidRDefault="007334D3" w:rsidP="00C42105"/>
    <w:p w14:paraId="5FC1FB77" w14:textId="77777777" w:rsidR="007179EA" w:rsidRPr="005840A5" w:rsidRDefault="007179EA" w:rsidP="00C42105">
      <w:r w:rsidRPr="005840A5">
        <w:t>DIA is currently conducting a review into online gambling in New Zealand. A discussion document was released in July 2019 seeking New Zealanders</w:t>
      </w:r>
      <w:r w:rsidR="00BC6B27">
        <w:t>’</w:t>
      </w:r>
      <w:r w:rsidRPr="005840A5">
        <w:t xml:space="preserve"> views on a future regulatory framework for online gambling. The review is ongoing at the time of drafting this document.</w:t>
      </w:r>
    </w:p>
    <w:p w14:paraId="2FD8F560" w14:textId="77777777" w:rsidR="00C42105" w:rsidRDefault="00C42105" w:rsidP="00C42105"/>
    <w:p w14:paraId="314A21FE" w14:textId="77777777" w:rsidR="007179EA" w:rsidRDefault="007179EA" w:rsidP="00C42105">
      <w:r w:rsidRPr="005840A5">
        <w:t>Observation of patterns of online gambling in overseas jurisdictions has led to stakeholders expressing concerns that New Zealanders</w:t>
      </w:r>
      <w:r w:rsidR="00BC6B27">
        <w:t>’</w:t>
      </w:r>
      <w:r w:rsidRPr="005840A5">
        <w:t xml:space="preserve"> participation in online gambling may dramatically</w:t>
      </w:r>
      <w:r w:rsidRPr="005840A5" w:rsidDel="00AE16E6">
        <w:t xml:space="preserve"> </w:t>
      </w:r>
      <w:r w:rsidRPr="005840A5">
        <w:t>increase. An increase in online gambling overseas is attributed to the growth in online providers and products facilitated by rapid changes in technology, increasing ease of access to the internet, and the widespread prevalence of digital devices.</w:t>
      </w:r>
    </w:p>
    <w:p w14:paraId="0406D702" w14:textId="77777777" w:rsidR="00C42105" w:rsidRPr="005840A5" w:rsidRDefault="00C42105" w:rsidP="00C42105"/>
    <w:p w14:paraId="15731104" w14:textId="77777777" w:rsidR="007179EA" w:rsidRPr="005840A5" w:rsidRDefault="007179EA" w:rsidP="00C42105">
      <w:pPr>
        <w:pStyle w:val="Heading3"/>
      </w:pPr>
      <w:r w:rsidRPr="005840A5">
        <w:t>Gaming convergence</w:t>
      </w:r>
    </w:p>
    <w:p w14:paraId="7A607D26" w14:textId="77777777" w:rsidR="007179EA" w:rsidRPr="005840A5" w:rsidRDefault="00BC6B27" w:rsidP="00C42105">
      <w:pPr>
        <w:rPr>
          <w:lang w:eastAsia="zh-CN"/>
        </w:rPr>
      </w:pPr>
      <w:r>
        <w:rPr>
          <w:lang w:eastAsia="zh-CN"/>
        </w:rPr>
        <w:t>‘</w:t>
      </w:r>
      <w:r w:rsidR="007179EA" w:rsidRPr="005840A5">
        <w:rPr>
          <w:lang w:eastAsia="zh-CN"/>
        </w:rPr>
        <w:t>Gaming convergence</w:t>
      </w:r>
      <w:r>
        <w:rPr>
          <w:lang w:eastAsia="zh-CN"/>
        </w:rPr>
        <w:t>’</w:t>
      </w:r>
      <w:r w:rsidR="007179EA" w:rsidRPr="005840A5">
        <w:rPr>
          <w:lang w:eastAsia="zh-CN"/>
        </w:rPr>
        <w:t xml:space="preserve"> is the merging of gambling and gaming elements in a single product. The two main examples are where:</w:t>
      </w:r>
    </w:p>
    <w:p w14:paraId="62AE0B92" w14:textId="77777777" w:rsidR="007179EA" w:rsidRPr="00F9270C" w:rsidRDefault="007179EA" w:rsidP="00C42105">
      <w:pPr>
        <w:pStyle w:val="Bullet"/>
      </w:pPr>
      <w:r w:rsidRPr="00F9270C">
        <w:t>gambling takes on the visual and aural cues associated with gaming; for example, in New Zealand, virtual reality-enabled Instant Kiwi tickets (such forms of gambling are also an example of continuous gambling</w:t>
      </w:r>
      <w:r w:rsidR="00C42105">
        <w:t>,</w:t>
      </w:r>
      <w:r w:rsidRPr="00C42105">
        <w:rPr>
          <w:rStyle w:val="FootnoteReference"/>
        </w:rPr>
        <w:footnoteReference w:id="7"/>
      </w:r>
      <w:r w:rsidRPr="00F9270C">
        <w:t xml:space="preserve"> which research shows poses an increased risk of harm)</w:t>
      </w:r>
      <w:r w:rsidRPr="00C42105">
        <w:rPr>
          <w:rStyle w:val="FootnoteReference"/>
        </w:rPr>
        <w:footnoteReference w:id="8"/>
      </w:r>
    </w:p>
    <w:p w14:paraId="49FEC81D" w14:textId="77777777" w:rsidR="007179EA" w:rsidRPr="00F9270C" w:rsidRDefault="007179EA" w:rsidP="00C42105">
      <w:pPr>
        <w:pStyle w:val="Bullet"/>
      </w:pPr>
      <w:r w:rsidRPr="00F9270C">
        <w:t xml:space="preserve">video games include elements of what appears to be gambling (but do not currently meet the definition of gambling under the Act); for example, opening loot boxes and spinning wheels to unlock </w:t>
      </w:r>
      <w:r w:rsidR="00BC6B27">
        <w:t>‘</w:t>
      </w:r>
      <w:r w:rsidRPr="00F9270C">
        <w:t>power ups</w:t>
      </w:r>
      <w:r w:rsidR="00BC6B27">
        <w:t>’</w:t>
      </w:r>
      <w:r w:rsidRPr="00F9270C">
        <w:t>.</w:t>
      </w:r>
    </w:p>
    <w:p w14:paraId="4E4FE5D6" w14:textId="77777777" w:rsidR="007179EA" w:rsidRPr="005840A5" w:rsidRDefault="007179EA" w:rsidP="00C42105"/>
    <w:p w14:paraId="6A3132C2" w14:textId="77777777" w:rsidR="00BC6B27" w:rsidRDefault="007179EA" w:rsidP="00C42105">
      <w:r w:rsidRPr="005840A5">
        <w:t>Gaming convergence, when coupled with associated increased levels of advertising and internet-based payment systems that make it easier to spend money on gambling products, represents a new level of exposure to high-risk gambling products in New Zealand and the associated probability of related gambling harm.</w:t>
      </w:r>
    </w:p>
    <w:p w14:paraId="7C752B84" w14:textId="77777777" w:rsidR="007179EA" w:rsidRDefault="007179EA" w:rsidP="00C42105"/>
    <w:p w14:paraId="36136E80" w14:textId="77777777" w:rsidR="007179EA" w:rsidRDefault="007179EA" w:rsidP="00C42105">
      <w:pPr>
        <w:keepNext/>
        <w:keepLines/>
      </w:pPr>
      <w:r w:rsidRPr="005840A5">
        <w:lastRenderedPageBreak/>
        <w:t>However, while these games look and feel like gambling, they do not meet the current definition under the Act (because there is no opportunity to stake, win or lose real money). This is of concern because there is evidence that video gaming problems may be associated with problematic gambling behaviour.</w:t>
      </w:r>
      <w:r w:rsidRPr="00C42105">
        <w:rPr>
          <w:rStyle w:val="FootnoteReference"/>
          <w:rFonts w:eastAsia="MS Gothic"/>
        </w:rPr>
        <w:footnoteReference w:id="9"/>
      </w:r>
    </w:p>
    <w:p w14:paraId="2282EE9B" w14:textId="77777777" w:rsidR="00C42105" w:rsidRPr="005840A5" w:rsidRDefault="00C42105" w:rsidP="00C42105"/>
    <w:p w14:paraId="14087C70" w14:textId="77777777" w:rsidR="007179EA" w:rsidRPr="005840A5" w:rsidRDefault="007179EA" w:rsidP="00C42105">
      <w:pPr>
        <w:pStyle w:val="Heading3"/>
      </w:pPr>
      <w:r w:rsidRPr="005840A5">
        <w:t>Gambling expenditure</w:t>
      </w:r>
    </w:p>
    <w:p w14:paraId="249A9D25" w14:textId="77777777" w:rsidR="007179EA" w:rsidRPr="005840A5" w:rsidRDefault="007179EA" w:rsidP="00C42105">
      <w:r w:rsidRPr="005840A5">
        <w:t xml:space="preserve">DIA data shows that total gambling expenditure (player losses) on the four main forms of gambling is continuing a trend of increasing each year, </w:t>
      </w:r>
      <w:r>
        <w:t xml:space="preserve">except for </w:t>
      </w:r>
      <w:r w:rsidRPr="005840A5">
        <w:t>2019/20</w:t>
      </w:r>
      <w:r>
        <w:t xml:space="preserve"> which was </w:t>
      </w:r>
      <w:r w:rsidRPr="005840A5">
        <w:t>a notable exception</w:t>
      </w:r>
      <w:r>
        <w:t xml:space="preserve"> most likely due to </w:t>
      </w:r>
      <w:r w:rsidRPr="005840A5">
        <w:t xml:space="preserve">the restrictions resulting from the </w:t>
      </w:r>
      <w:r w:rsidR="001461C6">
        <w:t>COVID</w:t>
      </w:r>
      <w:r w:rsidR="001461C6">
        <w:noBreakHyphen/>
        <w:t>19</w:t>
      </w:r>
      <w:r w:rsidRPr="005840A5">
        <w:t xml:space="preserve"> pandemic lockdowns).</w:t>
      </w:r>
    </w:p>
    <w:p w14:paraId="5A8B60B8" w14:textId="77777777" w:rsidR="00C42105" w:rsidRDefault="00C42105" w:rsidP="00C42105"/>
    <w:p w14:paraId="300A493D" w14:textId="77777777" w:rsidR="007179EA" w:rsidRPr="005840A5" w:rsidRDefault="007179EA" w:rsidP="00C42105">
      <w:r w:rsidRPr="005840A5">
        <w:t>Total gambling expenditure in 2019/20 was $2,251</w:t>
      </w:r>
      <w:r w:rsidR="00046A83">
        <w:t> billion</w:t>
      </w:r>
      <w:r w:rsidRPr="005840A5">
        <w:t xml:space="preserve"> for NCGMs, Lotto New Zealand, TAB NZ and casinos combined. This is lower than any of the three previous</w:t>
      </w:r>
      <w:r w:rsidR="0018228E">
        <w:t> years</w:t>
      </w:r>
      <w:r w:rsidRPr="005840A5">
        <w:t xml:space="preserve">, likely as a result of the </w:t>
      </w:r>
      <w:r w:rsidR="001461C6">
        <w:t>COVID</w:t>
      </w:r>
      <w:r w:rsidR="001461C6">
        <w:noBreakHyphen/>
        <w:t>19</w:t>
      </w:r>
      <w:r w:rsidRPr="005840A5">
        <w:t xml:space="preserve"> </w:t>
      </w:r>
      <w:r>
        <w:t>alert level restrictions</w:t>
      </w:r>
      <w:r w:rsidRPr="005840A5">
        <w:t>, which required public venues to close for seven to eight weeks.</w:t>
      </w:r>
    </w:p>
    <w:p w14:paraId="15A86D33" w14:textId="77777777" w:rsidR="00C42105" w:rsidRDefault="00C42105" w:rsidP="00C42105"/>
    <w:p w14:paraId="7971EE4D" w14:textId="77777777" w:rsidR="00BC6B27" w:rsidRDefault="007179EA" w:rsidP="00C42105">
      <w:r w:rsidRPr="005840A5">
        <w:t>Expenditure on NCGMs increase annually from a low of $806</w:t>
      </w:r>
      <w:r w:rsidR="00046A83">
        <w:t> million</w:t>
      </w:r>
      <w:r w:rsidRPr="005840A5">
        <w:t xml:space="preserve"> in 2013/14, to a high of $924</w:t>
      </w:r>
      <w:r w:rsidR="00046A83">
        <w:t> million</w:t>
      </w:r>
      <w:r w:rsidRPr="005840A5">
        <w:t xml:space="preserve"> in 2018/19. For 2019/20, total expenditure fell to $802</w:t>
      </w:r>
      <w:r w:rsidR="00046A83">
        <w:t> million</w:t>
      </w:r>
      <w:r w:rsidRPr="005840A5">
        <w:t xml:space="preserve">, which can be primarily attributed to the significant loss of gaming machine profits (GMP) due to the </w:t>
      </w:r>
      <w:r w:rsidR="001461C6">
        <w:t>COVID</w:t>
      </w:r>
      <w:r w:rsidR="001461C6">
        <w:noBreakHyphen/>
        <w:t>19</w:t>
      </w:r>
      <w:r w:rsidRPr="005840A5">
        <w:t xml:space="preserve"> </w:t>
      </w:r>
      <w:r>
        <w:t>alert level restriction</w:t>
      </w:r>
      <w:r w:rsidRPr="005840A5">
        <w:t xml:space="preserve">s. Despite this decrease, recorded GMP expenditure </w:t>
      </w:r>
      <w:r>
        <w:t>for 2020/21 was $987</w:t>
      </w:r>
      <w:r w:rsidR="00046A83">
        <w:t> million</w:t>
      </w:r>
      <w:r>
        <w:t xml:space="preserve">, </w:t>
      </w:r>
      <w:r w:rsidRPr="005840A5">
        <w:t>the highest since records began in 2007</w:t>
      </w:r>
      <w:r>
        <w:t>.</w:t>
      </w:r>
    </w:p>
    <w:p w14:paraId="22D009B1" w14:textId="77777777" w:rsidR="00C42105" w:rsidRDefault="00C42105" w:rsidP="00C42105"/>
    <w:p w14:paraId="22109FBF" w14:textId="77777777" w:rsidR="007179EA" w:rsidRPr="005840A5" w:rsidRDefault="007179EA" w:rsidP="00C42105">
      <w:r w:rsidRPr="005840A5">
        <w:t>Expenditure on Lotto New Zealand products in 2019/20 increased significantly to $631</w:t>
      </w:r>
      <w:r w:rsidR="00046A83">
        <w:t> million</w:t>
      </w:r>
      <w:r w:rsidRPr="005840A5">
        <w:t>; over $100</w:t>
      </w:r>
      <w:r w:rsidR="00046A83">
        <w:t> million</w:t>
      </w:r>
      <w:r w:rsidRPr="005840A5">
        <w:t xml:space="preserve"> more than the 2018/19 year, making it Lotto New Zealand</w:t>
      </w:r>
      <w:r w:rsidR="00BC6B27">
        <w:t>’</w:t>
      </w:r>
      <w:r w:rsidRPr="005840A5">
        <w:t>s largest turnover ever as more New Zealanders moved to online gambling during lockdown. Note that annual expenditure on Lotto products is volatile, depending on the number and size of Powerball jackpots.</w:t>
      </w:r>
    </w:p>
    <w:p w14:paraId="72CD310F" w14:textId="77777777" w:rsidR="00C42105" w:rsidRDefault="00C42105" w:rsidP="00C42105"/>
    <w:p w14:paraId="44E00203" w14:textId="77777777" w:rsidR="007179EA" w:rsidRPr="005840A5" w:rsidRDefault="007179EA" w:rsidP="00C42105">
      <w:r w:rsidRPr="005840A5">
        <w:t>In contrast, annual expenditure on TAB NZ products remained fairly steady, around the $300 to $350</w:t>
      </w:r>
      <w:r w:rsidR="00046A83">
        <w:t> million</w:t>
      </w:r>
      <w:r w:rsidRPr="005840A5">
        <w:t xml:space="preserve"> range. For 2019/20, the total was $315</w:t>
      </w:r>
      <w:r w:rsidR="00046A83">
        <w:t> million</w:t>
      </w:r>
      <w:r w:rsidRPr="005840A5">
        <w:t>, which represented about a 5</w:t>
      </w:r>
      <w:r w:rsidR="001461C6">
        <w:t> percent</w:t>
      </w:r>
      <w:r w:rsidRPr="005840A5">
        <w:t xml:space="preserve"> decrease on the previous year.</w:t>
      </w:r>
    </w:p>
    <w:p w14:paraId="60BA06C7" w14:textId="77777777" w:rsidR="00C42105" w:rsidRDefault="00C42105" w:rsidP="00C42105"/>
    <w:p w14:paraId="5BA2EA64" w14:textId="77777777" w:rsidR="007179EA" w:rsidRPr="005840A5" w:rsidRDefault="007179EA" w:rsidP="00C42105">
      <w:r w:rsidRPr="005840A5">
        <w:t>Annual expenditure on casinos in 2019/20 was $504</w:t>
      </w:r>
      <w:r w:rsidR="00046A83">
        <w:t> million</w:t>
      </w:r>
      <w:r w:rsidRPr="005840A5">
        <w:t>, a significant decrease compared with previous</w:t>
      </w:r>
      <w:r w:rsidR="0018228E">
        <w:t> years</w:t>
      </w:r>
      <w:r w:rsidRPr="005840A5">
        <w:t xml:space="preserve">. Again, a key contributing factor to this was the </w:t>
      </w:r>
      <w:r w:rsidR="001461C6">
        <w:t>COVID</w:t>
      </w:r>
      <w:r w:rsidR="001461C6">
        <w:noBreakHyphen/>
        <w:t>19</w:t>
      </w:r>
      <w:r w:rsidRPr="005840A5">
        <w:t xml:space="preserve"> lockdown period, which forced venues to close and later impose social distancing restrictions, as well as continuing restrictions on international travel.</w:t>
      </w:r>
    </w:p>
    <w:p w14:paraId="1406DFF6" w14:textId="77777777" w:rsidR="007179EA" w:rsidRPr="005840A5" w:rsidRDefault="007179EA" w:rsidP="00C42105"/>
    <w:p w14:paraId="66CAADD7" w14:textId="13AA56DF" w:rsidR="007179EA" w:rsidRPr="005840A5" w:rsidRDefault="00C42105" w:rsidP="00C42105">
      <w:r>
        <w:fldChar w:fldCharType="begin"/>
      </w:r>
      <w:r>
        <w:instrText xml:space="preserve"> REF _Ref90577400 \h </w:instrText>
      </w:r>
      <w:r>
        <w:fldChar w:fldCharType="separate"/>
      </w:r>
      <w:r w:rsidR="00451900" w:rsidRPr="005840A5">
        <w:t>Figure</w:t>
      </w:r>
      <w:r w:rsidR="00451900">
        <w:t> </w:t>
      </w:r>
      <w:r w:rsidR="00451900">
        <w:rPr>
          <w:noProof/>
        </w:rPr>
        <w:t>1</w:t>
      </w:r>
      <w:r>
        <w:fldChar w:fldCharType="end"/>
      </w:r>
      <w:r w:rsidR="007179EA" w:rsidRPr="005840A5">
        <w:t xml:space="preserve"> below shows the average per-capita gambling expenditure for each of the four main forms of gambling. Note that actual expenditure levels are higher than the figure suggests, since the levels in the figure apply to all people in New Zealand, including the one-third of the population who report that they do not gamble at all.</w:t>
      </w:r>
    </w:p>
    <w:p w14:paraId="087C0A45" w14:textId="77777777" w:rsidR="007179EA" w:rsidRPr="005840A5" w:rsidRDefault="007179EA" w:rsidP="00C42105"/>
    <w:p w14:paraId="19A2A188" w14:textId="77777777" w:rsidR="007179EA" w:rsidRPr="005840A5" w:rsidRDefault="007179EA" w:rsidP="00C42105">
      <w:pPr>
        <w:keepNext/>
        <w:keepLines/>
      </w:pPr>
      <w:r w:rsidRPr="005840A5">
        <w:lastRenderedPageBreak/>
        <w:t>Gambling expenditure trends show an increase in real terms across all four gambling sectors. Adjusting for inflation by type of gambling shows that spending levels have remained relatively unchanged in recent</w:t>
      </w:r>
      <w:r w:rsidR="00204811">
        <w:t xml:space="preserve"> </w:t>
      </w:r>
      <w:r w:rsidR="0018228E">
        <w:t>years</w:t>
      </w:r>
      <w:r w:rsidRPr="005840A5">
        <w:t xml:space="preserve">. As noted above, the 2019/20 year was an exception. </w:t>
      </w:r>
      <w:r w:rsidR="001461C6">
        <w:t>COVID</w:t>
      </w:r>
      <w:r w:rsidR="001461C6">
        <w:noBreakHyphen/>
        <w:t>19</w:t>
      </w:r>
      <w:r w:rsidRPr="005840A5">
        <w:t xml:space="preserve"> meant a decrease in gambling spend, except for Lotto which increased.</w:t>
      </w:r>
      <w:r w:rsidRPr="00C42105">
        <w:rPr>
          <w:rStyle w:val="FootnoteReference"/>
          <w:rFonts w:eastAsia="MS Gothic"/>
        </w:rPr>
        <w:footnoteReference w:id="10"/>
      </w:r>
    </w:p>
    <w:p w14:paraId="0F1B952F" w14:textId="77777777" w:rsidR="007179EA" w:rsidRPr="005840A5" w:rsidRDefault="007179EA" w:rsidP="00C42105"/>
    <w:p w14:paraId="3036D716" w14:textId="77777777" w:rsidR="00BC6B27" w:rsidRDefault="007179EA" w:rsidP="00C42105">
      <w:r w:rsidRPr="005840A5">
        <w:t>Most casino gambling expenditure also derives from gaming machines. Comparing the gambling participation and expenditure information confirms that most of the money spent on gambling in New Zealand comes from the relatively limited number of people who play non-casino or casino gaming machines, or both. This has been the case for more than a decade.</w:t>
      </w:r>
    </w:p>
    <w:p w14:paraId="42E62482" w14:textId="77777777" w:rsidR="00C42105" w:rsidRDefault="00C42105" w:rsidP="00C42105"/>
    <w:p w14:paraId="12136DF0" w14:textId="6A668B19" w:rsidR="007179EA" w:rsidRPr="00CE5718" w:rsidRDefault="007179EA" w:rsidP="00E042FA">
      <w:pPr>
        <w:pStyle w:val="Figure"/>
      </w:pPr>
      <w:bookmarkStart w:id="32" w:name="_Ref90577400"/>
      <w:bookmarkStart w:id="33" w:name="_Toc89335313"/>
      <w:bookmarkStart w:id="34" w:name="_Toc90626994"/>
      <w:bookmarkStart w:id="35" w:name="_Toc4156643"/>
      <w:bookmarkStart w:id="36" w:name="_Toc7680397"/>
      <w:r w:rsidRPr="005840A5">
        <w:t>Figure</w:t>
      </w:r>
      <w:r w:rsidR="00C42105">
        <w:t> </w:t>
      </w:r>
      <w:r w:rsidRPr="00CE5718">
        <w:fldChar w:fldCharType="begin"/>
      </w:r>
      <w:r w:rsidRPr="005840A5">
        <w:instrText xml:space="preserve"> SEQ Figure \* ARABIC </w:instrText>
      </w:r>
      <w:r w:rsidRPr="00CE5718">
        <w:fldChar w:fldCharType="separate"/>
      </w:r>
      <w:r w:rsidR="00451900">
        <w:rPr>
          <w:noProof/>
        </w:rPr>
        <w:t>1</w:t>
      </w:r>
      <w:r w:rsidRPr="00CE5718">
        <w:fldChar w:fldCharType="end"/>
      </w:r>
      <w:bookmarkEnd w:id="32"/>
      <w:r w:rsidRPr="005840A5">
        <w:t>: Inflation-adjusted expenditure (2020) per capita (adults aged over 18</w:t>
      </w:r>
      <w:r w:rsidR="0018228E">
        <w:t> years</w:t>
      </w:r>
      <w:r w:rsidRPr="005840A5">
        <w:t>), by type of gambling, 2010/11–2019/20</w:t>
      </w:r>
      <w:bookmarkEnd w:id="33"/>
      <w:bookmarkEnd w:id="34"/>
    </w:p>
    <w:p w14:paraId="0E6D5A72" w14:textId="77777777" w:rsidR="007179EA" w:rsidRDefault="007179EA" w:rsidP="00C42105">
      <w:r w:rsidRPr="005840A5">
        <w:rPr>
          <w:noProof/>
          <w:lang w:eastAsia="en-NZ"/>
        </w:rPr>
        <w:drawing>
          <wp:inline distT="0" distB="0" distL="0" distR="0" wp14:anchorId="79BF3C1B" wp14:editId="3871DF21">
            <wp:extent cx="5162203" cy="2243100"/>
            <wp:effectExtent l="0" t="0" r="635" b="5080"/>
            <wp:docPr id="1" name="Picture 1" descr="Figure 1: Inflation-adjusted expenditure (2020) per capita (adults aged over 18 years), by type of gambling, 2010/11–2019/20" title="Figure 1: Inflation-adjusted expenditure (2020) per capita (adults aged over 18 years), by type of gambling, 2010/11–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nflation-adjusted expenditure (2020) per capita (adults aged over 18 years), by type of gambling, 2010/11–2019/20"/>
                    <pic:cNvPicPr>
                      <a:picLocks noChangeAspect="1" noChangeArrowheads="1"/>
                    </pic:cNvPicPr>
                  </pic:nvPicPr>
                  <pic:blipFill rotWithShape="1">
                    <a:blip r:embed="rId20">
                      <a:extLst>
                        <a:ext uri="{28A0092B-C50C-407E-A947-70E740481C1C}">
                          <a14:useLocalDpi xmlns:a14="http://schemas.microsoft.com/office/drawing/2010/main" val="0"/>
                        </a:ext>
                      </a:extLst>
                    </a:blip>
                    <a:srcRect l="1014" t="1974" r="1595" b="1943"/>
                    <a:stretch/>
                  </pic:blipFill>
                  <pic:spPr bwMode="auto">
                    <a:xfrm>
                      <a:off x="0" y="0"/>
                      <a:ext cx="5157787" cy="2241181"/>
                    </a:xfrm>
                    <a:prstGeom prst="rect">
                      <a:avLst/>
                    </a:prstGeom>
                    <a:noFill/>
                    <a:ln>
                      <a:noFill/>
                    </a:ln>
                    <a:extLst>
                      <a:ext uri="{53640926-AAD7-44D8-BBD7-CCE9431645EC}">
                        <a14:shadowObscured xmlns:a14="http://schemas.microsoft.com/office/drawing/2010/main"/>
                      </a:ext>
                    </a:extLst>
                  </pic:spPr>
                </pic:pic>
              </a:graphicData>
            </a:graphic>
          </wp:inline>
        </w:drawing>
      </w:r>
    </w:p>
    <w:p w14:paraId="14337B1E" w14:textId="77777777" w:rsidR="00C42105" w:rsidRPr="005840A5" w:rsidRDefault="00C42105" w:rsidP="00C42105"/>
    <w:p w14:paraId="1606EE1D" w14:textId="77777777" w:rsidR="007179EA" w:rsidRPr="005840A5" w:rsidRDefault="007179EA" w:rsidP="00C42105">
      <w:pPr>
        <w:pStyle w:val="Heading2"/>
      </w:pPr>
      <w:bookmarkStart w:id="37" w:name="_Toc9239589"/>
      <w:bookmarkStart w:id="38" w:name="_Toc89684384"/>
      <w:bookmarkStart w:id="39" w:name="_Toc90885041"/>
      <w:bookmarkEnd w:id="35"/>
      <w:bookmarkEnd w:id="36"/>
      <w:r w:rsidRPr="005840A5">
        <w:t>The nature of gambling harm</w:t>
      </w:r>
      <w:bookmarkEnd w:id="37"/>
      <w:bookmarkEnd w:id="38"/>
      <w:bookmarkEnd w:id="39"/>
    </w:p>
    <w:p w14:paraId="22E99B90" w14:textId="77777777" w:rsidR="007179EA" w:rsidRPr="00FE6820" w:rsidRDefault="007179EA" w:rsidP="00C42105">
      <w:r w:rsidRPr="00FE6820">
        <w:t>The Act defines harm as:</w:t>
      </w:r>
    </w:p>
    <w:p w14:paraId="7701B2A9" w14:textId="77777777" w:rsidR="007179EA" w:rsidRPr="00BC6B27" w:rsidRDefault="007179EA" w:rsidP="00C42105">
      <w:pPr>
        <w:pStyle w:val="Bullet"/>
      </w:pPr>
      <w:r w:rsidRPr="00BC6B27">
        <w:t>harm or distress of any kind arising from, or caused or exacerbated by, a person</w:t>
      </w:r>
      <w:r w:rsidR="00BC6B27" w:rsidRPr="00BC6B27">
        <w:t>’</w:t>
      </w:r>
      <w:r w:rsidRPr="00BC6B27">
        <w:t>s gambling; and</w:t>
      </w:r>
    </w:p>
    <w:p w14:paraId="172FE4F3" w14:textId="77777777" w:rsidR="007179EA" w:rsidRPr="00BC6B27" w:rsidRDefault="007179EA" w:rsidP="00C42105">
      <w:pPr>
        <w:pStyle w:val="Bullet"/>
      </w:pPr>
      <w:r w:rsidRPr="00BC6B27">
        <w:t>includes personal, social, or economic harm suffered</w:t>
      </w:r>
      <w:r w:rsidR="00046A83">
        <w:t>:</w:t>
      </w:r>
    </w:p>
    <w:p w14:paraId="236EF2F4" w14:textId="77777777" w:rsidR="007179EA" w:rsidRPr="00BC6B27" w:rsidRDefault="007179EA" w:rsidP="00C42105">
      <w:pPr>
        <w:pStyle w:val="Dash"/>
      </w:pPr>
      <w:r w:rsidRPr="00BC6B27">
        <w:t>by the person; or</w:t>
      </w:r>
    </w:p>
    <w:p w14:paraId="726B48B7" w14:textId="77777777" w:rsidR="007179EA" w:rsidRPr="00BC6B27" w:rsidRDefault="007179EA" w:rsidP="00C42105">
      <w:pPr>
        <w:pStyle w:val="Dash"/>
      </w:pPr>
      <w:r w:rsidRPr="00BC6B27">
        <w:t>by the person</w:t>
      </w:r>
      <w:r w:rsidR="00BC6B27" w:rsidRPr="00BC6B27">
        <w:t>’</w:t>
      </w:r>
      <w:r w:rsidRPr="00BC6B27">
        <w:t>s spouse, civil union partner, de facto partner, family, whānau, or wider community; or</w:t>
      </w:r>
    </w:p>
    <w:p w14:paraId="18D178AA" w14:textId="77777777" w:rsidR="007179EA" w:rsidRPr="00BC6B27" w:rsidRDefault="007179EA" w:rsidP="00C42105">
      <w:pPr>
        <w:pStyle w:val="Dash"/>
      </w:pPr>
      <w:r w:rsidRPr="00BC6B27">
        <w:t>in the workplace; or</w:t>
      </w:r>
    </w:p>
    <w:p w14:paraId="370EBFB1" w14:textId="77777777" w:rsidR="007179EA" w:rsidRPr="00BC6B27" w:rsidRDefault="007179EA" w:rsidP="00C42105">
      <w:pPr>
        <w:pStyle w:val="Dash"/>
      </w:pPr>
      <w:r w:rsidRPr="00BC6B27">
        <w:t>by society at large.</w:t>
      </w:r>
    </w:p>
    <w:p w14:paraId="4BDCAA0A" w14:textId="77777777" w:rsidR="007179EA" w:rsidRPr="00FE6820" w:rsidRDefault="007179EA" w:rsidP="00C42105"/>
    <w:p w14:paraId="6B741912" w14:textId="77777777" w:rsidR="007179EA" w:rsidRDefault="007179EA" w:rsidP="00C42105">
      <w:pPr>
        <w:keepNext/>
        <w:keepLines/>
      </w:pPr>
      <w:r w:rsidRPr="0033586D">
        <w:lastRenderedPageBreak/>
        <w:t>Harm may include damage to relationships, emotional and psychological distress, disruptions to work or study, loss of income, the financial impacts of gambling and potentially fraud and related crimes</w:t>
      </w:r>
      <w:r>
        <w:t xml:space="preserve">. Gambling harm also includes the negative </w:t>
      </w:r>
      <w:r w:rsidRPr="0033586D">
        <w:t>impact on the gambling person</w:t>
      </w:r>
      <w:r w:rsidR="00BC6B27">
        <w:t>’</w:t>
      </w:r>
      <w:r w:rsidRPr="0033586D">
        <w:t xml:space="preserve">s family, whānau and community. </w:t>
      </w:r>
      <w:r>
        <w:t xml:space="preserve">Gambling </w:t>
      </w:r>
      <w:r w:rsidRPr="0033586D">
        <w:t>may also cause financial stress and anxiety and contribute to child neglect and family violence.</w:t>
      </w:r>
    </w:p>
    <w:p w14:paraId="5FF2C6C4" w14:textId="77777777" w:rsidR="00C42105" w:rsidRPr="0033586D" w:rsidRDefault="00C42105" w:rsidP="00C42105"/>
    <w:p w14:paraId="7FC03786" w14:textId="77777777" w:rsidR="007179EA" w:rsidRPr="005840A5" w:rsidRDefault="007179EA" w:rsidP="00C42105">
      <w:pPr>
        <w:pStyle w:val="Heading3"/>
      </w:pPr>
      <w:bookmarkStart w:id="40" w:name="_Toc71550006"/>
      <w:bookmarkStart w:id="41" w:name="_Toc76480845"/>
      <w:r w:rsidRPr="005840A5">
        <w:t>Measuring harm</w:t>
      </w:r>
      <w:bookmarkEnd w:id="40"/>
      <w:bookmarkEnd w:id="41"/>
    </w:p>
    <w:p w14:paraId="0C1F0638" w14:textId="77777777" w:rsidR="007179EA" w:rsidRPr="006F1411" w:rsidRDefault="007179EA" w:rsidP="00C42105">
      <w:pPr>
        <w:rPr>
          <w:b/>
        </w:rPr>
      </w:pPr>
      <w:r w:rsidRPr="006F1411">
        <w:rPr>
          <w:b/>
        </w:rPr>
        <w:t>We can measure gambling harm at both the individual and population level.</w:t>
      </w:r>
    </w:p>
    <w:p w14:paraId="1D3E539C" w14:textId="77777777" w:rsidR="007179EA" w:rsidRPr="005840A5" w:rsidRDefault="007179EA" w:rsidP="00C42105"/>
    <w:p w14:paraId="7B1A4329" w14:textId="77777777" w:rsidR="007179EA" w:rsidRPr="005840A5" w:rsidRDefault="007179EA" w:rsidP="00D81ABF">
      <w:pPr>
        <w:pStyle w:val="Heading4"/>
      </w:pPr>
      <w:bookmarkStart w:id="42" w:name="_Toc71550007"/>
      <w:bookmarkStart w:id="43" w:name="_Toc76480846"/>
      <w:r w:rsidRPr="005840A5">
        <w:t>The Problem Gambling Severity Index</w:t>
      </w:r>
      <w:bookmarkEnd w:id="42"/>
      <w:bookmarkEnd w:id="43"/>
    </w:p>
    <w:p w14:paraId="398F84A4" w14:textId="77777777" w:rsidR="007179EA" w:rsidRPr="005840A5" w:rsidRDefault="007179EA" w:rsidP="00D81ABF">
      <w:r w:rsidRPr="005840A5">
        <w:t>The HLS and other population surveys utilise the internationally validated Problem Gambling Severity Index (PGSI).</w:t>
      </w:r>
      <w:r w:rsidRPr="00D81ABF">
        <w:rPr>
          <w:rStyle w:val="FootnoteReference"/>
          <w:rFonts w:eastAsia="MS Gothic"/>
        </w:rPr>
        <w:footnoteReference w:id="11"/>
      </w:r>
      <w:r w:rsidRPr="005840A5">
        <w:t xml:space="preserve"> The PGSI differentiates between different types of harm and frequency of harm occurring, as reported by survey respondents. The PGSI is commonly used, including by clinical intervention services funded by the Ministry of Health (Ministry), to screen and categorise three levels of harm: severe or high risk (problem gambling), moderate risk and low risk.</w:t>
      </w:r>
    </w:p>
    <w:p w14:paraId="51E04E16" w14:textId="77777777" w:rsidR="007179EA" w:rsidRPr="005840A5" w:rsidRDefault="007179EA" w:rsidP="00D81ABF"/>
    <w:p w14:paraId="252078E9" w14:textId="77777777" w:rsidR="007179EA" w:rsidRPr="005840A5" w:rsidRDefault="007179EA" w:rsidP="00D81ABF">
      <w:r w:rsidRPr="005840A5">
        <w:t>While the proportion of the New Zealand population who are at risk of gambling harm as measured by the PGSI is currently at the lowest level since the early 1990s, the level of harm in the overall population has remained relatively stable since 2012 (at about 5</w:t>
      </w:r>
      <w:r w:rsidR="001461C6">
        <w:t> percent</w:t>
      </w:r>
      <w:r w:rsidRPr="005840A5">
        <w:t>). This plateau effect has also been observed overseas.</w:t>
      </w:r>
      <w:r w:rsidRPr="00D81ABF">
        <w:rPr>
          <w:rStyle w:val="FootnoteReference"/>
          <w:rFonts w:eastAsia="MS Gothic"/>
        </w:rPr>
        <w:footnoteReference w:id="12"/>
      </w:r>
    </w:p>
    <w:p w14:paraId="69CB5118" w14:textId="77777777" w:rsidR="007179EA" w:rsidRPr="005840A5" w:rsidRDefault="007179EA" w:rsidP="00D81ABF"/>
    <w:p w14:paraId="37F2E661" w14:textId="77777777" w:rsidR="00BC6B27" w:rsidRDefault="007179EA" w:rsidP="00D81ABF">
      <w:r w:rsidRPr="005840A5">
        <w:t>However, while gambling harm rates have not significantly changed, the adult population has grown. This means that the actual number of people who are experiencing gambling-related harm has increased.</w:t>
      </w:r>
      <w:r w:rsidRPr="00D81ABF">
        <w:rPr>
          <w:rStyle w:val="FootnoteReference"/>
          <w:rFonts w:eastAsia="MS Gothic"/>
        </w:rPr>
        <w:footnoteReference w:id="13"/>
      </w:r>
    </w:p>
    <w:p w14:paraId="7C7CD6D9" w14:textId="77777777" w:rsidR="00D81ABF" w:rsidRDefault="00D81ABF" w:rsidP="00D81ABF"/>
    <w:p w14:paraId="5C4B4B33" w14:textId="77777777" w:rsidR="007179EA" w:rsidRPr="006F1411" w:rsidRDefault="007179EA" w:rsidP="00D81ABF">
      <w:pPr>
        <w:rPr>
          <w:b/>
        </w:rPr>
      </w:pPr>
      <w:r w:rsidRPr="006F1411">
        <w:rPr>
          <w:b/>
        </w:rPr>
        <w:t>Analysis from 2020 HLS show estimates as measured by the PGSI suggest that, in Aotearoa New Zealand in 2020, there were 65,000 people aged 16</w:t>
      </w:r>
      <w:r w:rsidR="0018228E">
        <w:rPr>
          <w:b/>
        </w:rPr>
        <w:t> years</w:t>
      </w:r>
      <w:r w:rsidRPr="006F1411">
        <w:rPr>
          <w:b/>
        </w:rPr>
        <w:t xml:space="preserve"> or older who were at either moderate risk or high risk of harm from gambling (</w:t>
      </w:r>
      <w:r w:rsidR="00BC6B27" w:rsidRPr="006F1411">
        <w:rPr>
          <w:b/>
        </w:rPr>
        <w:t>‘</w:t>
      </w:r>
      <w:r w:rsidRPr="006F1411">
        <w:rPr>
          <w:b/>
        </w:rPr>
        <w:t>problem gamblers</w:t>
      </w:r>
      <w:r w:rsidR="00BC6B27" w:rsidRPr="006F1411">
        <w:rPr>
          <w:b/>
        </w:rPr>
        <w:t>’</w:t>
      </w:r>
      <w:r w:rsidRPr="006F1411">
        <w:rPr>
          <w:b/>
        </w:rPr>
        <w:t>). A further 119,000 were at low risk but would experience gambling-related harm during their lifetimes. About 183,000 adults reported second-hand gambling harm in their wider families or households.</w:t>
      </w:r>
      <w:r w:rsidRPr="006F1411">
        <w:rPr>
          <w:rStyle w:val="FootnoteReference"/>
          <w:rFonts w:eastAsia="MS Gothic"/>
        </w:rPr>
        <w:footnoteReference w:id="14"/>
      </w:r>
    </w:p>
    <w:p w14:paraId="4F90D3D8" w14:textId="77777777" w:rsidR="007179EA" w:rsidRPr="005840A5" w:rsidRDefault="007179EA" w:rsidP="00D81ABF"/>
    <w:p w14:paraId="021BEA07" w14:textId="77777777" w:rsidR="007179EA" w:rsidRPr="005840A5" w:rsidRDefault="007179EA" w:rsidP="00D81ABF">
      <w:pPr>
        <w:pStyle w:val="Heading4"/>
      </w:pPr>
      <w:bookmarkStart w:id="44" w:name="_Toc71550008"/>
      <w:bookmarkStart w:id="45" w:name="_Toc76480847"/>
      <w:r w:rsidRPr="005840A5">
        <w:lastRenderedPageBreak/>
        <w:t>The burden-of-harm impact on health-related quality of life</w:t>
      </w:r>
      <w:bookmarkEnd w:id="44"/>
      <w:bookmarkEnd w:id="45"/>
    </w:p>
    <w:p w14:paraId="03EDB8E2" w14:textId="77777777" w:rsidR="00BC6B27" w:rsidRDefault="007179EA" w:rsidP="00D81ABF">
      <w:pPr>
        <w:keepNext/>
        <w:keepLines/>
      </w:pPr>
      <w:r w:rsidRPr="005840A5">
        <w:t xml:space="preserve">Another measure of gambling harm is known as the burden-of-harm impact on health-related quality of life. Research shows that the total burden of harms that </w:t>
      </w:r>
      <w:r>
        <w:t>people who gamble</w:t>
      </w:r>
      <w:r w:rsidRPr="005840A5">
        <w:t xml:space="preserve"> experience, in terms of the decrease to health-related quality of </w:t>
      </w:r>
      <w:r w:rsidR="00046A83">
        <w:t>life years</w:t>
      </w:r>
      <w:r w:rsidRPr="005840A5">
        <w:t>, is greater than the harm they experience from common health conditions, such as diabetes and arthritis, and approaches the levels seen with anxiety and depressive disorders.</w:t>
      </w:r>
    </w:p>
    <w:p w14:paraId="51DA5B45" w14:textId="77777777" w:rsidR="007179EA" w:rsidRPr="005840A5" w:rsidRDefault="007179EA" w:rsidP="00D81ABF"/>
    <w:p w14:paraId="40EC3422" w14:textId="77777777" w:rsidR="00BC6B27" w:rsidRDefault="007179EA" w:rsidP="00D81ABF">
      <w:r w:rsidRPr="005840A5">
        <w:t xml:space="preserve">Importantly, the cumulative effects of harm attributable to </w:t>
      </w:r>
      <w:r>
        <w:t>people who gamble</w:t>
      </w:r>
      <w:r w:rsidRPr="005840A5">
        <w:t xml:space="preserve"> who participate in low-risk gambling is very significant, with one study finding nearly 50</w:t>
      </w:r>
      <w:r w:rsidR="001461C6">
        <w:t> percent</w:t>
      </w:r>
      <w:r w:rsidRPr="005840A5">
        <w:t xml:space="preserve"> of all gambling harm being experienced by these people.</w:t>
      </w:r>
      <w:r w:rsidRPr="00D81ABF">
        <w:rPr>
          <w:rStyle w:val="FootnoteReference"/>
          <w:rFonts w:eastAsia="MS Gothic"/>
        </w:rPr>
        <w:footnoteReference w:id="15"/>
      </w:r>
      <w:r w:rsidRPr="005840A5">
        <w:t xml:space="preserve"> This is because many more people experience low levels of harm or burden of disease than people who experience high levels.</w:t>
      </w:r>
    </w:p>
    <w:p w14:paraId="4098D13F" w14:textId="77777777" w:rsidR="007179EA" w:rsidRPr="005840A5" w:rsidRDefault="007179EA" w:rsidP="00D81ABF"/>
    <w:p w14:paraId="41A03002" w14:textId="77777777" w:rsidR="007179EA" w:rsidRPr="006F1411" w:rsidRDefault="007179EA" w:rsidP="00D81ABF">
      <w:pPr>
        <w:rPr>
          <w:b/>
        </w:rPr>
      </w:pPr>
      <w:r w:rsidRPr="006F1411">
        <w:rPr>
          <w:b/>
        </w:rPr>
        <w:t>Research shows that one in five New Zealand adults (22</w:t>
      </w:r>
      <w:r w:rsidR="001461C6">
        <w:rPr>
          <w:b/>
        </w:rPr>
        <w:t> percent</w:t>
      </w:r>
      <w:r w:rsidRPr="006F1411">
        <w:rPr>
          <w:b/>
        </w:rPr>
        <w:t>) is affected at some time in their lives by their own gambling or others</w:t>
      </w:r>
      <w:r w:rsidR="00BC6B27" w:rsidRPr="006F1411">
        <w:rPr>
          <w:b/>
        </w:rPr>
        <w:t>’</w:t>
      </w:r>
      <w:r w:rsidRPr="006F1411">
        <w:rPr>
          <w:b/>
        </w:rPr>
        <w:t xml:space="preserve"> gambling.</w:t>
      </w:r>
      <w:r w:rsidRPr="006F1411">
        <w:rPr>
          <w:rStyle w:val="FootnoteReference"/>
          <w:rFonts w:eastAsia="MS Gothic"/>
        </w:rPr>
        <w:footnoteReference w:id="16"/>
      </w:r>
    </w:p>
    <w:p w14:paraId="395E9990" w14:textId="77777777" w:rsidR="00D81ABF" w:rsidRPr="005840A5" w:rsidRDefault="00D81ABF" w:rsidP="00D81ABF"/>
    <w:p w14:paraId="7D36052C" w14:textId="77777777" w:rsidR="007179EA" w:rsidRPr="005840A5" w:rsidRDefault="007179EA" w:rsidP="00D81ABF">
      <w:pPr>
        <w:pStyle w:val="Heading4"/>
      </w:pPr>
      <w:bookmarkStart w:id="46" w:name="_Toc71550009"/>
      <w:bookmarkStart w:id="47" w:name="_Toc76480848"/>
      <w:r w:rsidRPr="005840A5">
        <w:t>Forms of gambling associated with gambling harm</w:t>
      </w:r>
      <w:bookmarkEnd w:id="46"/>
      <w:bookmarkEnd w:id="47"/>
    </w:p>
    <w:p w14:paraId="1C715D5A" w14:textId="77777777" w:rsidR="007179EA" w:rsidRPr="006F1411" w:rsidRDefault="007179EA" w:rsidP="00D81ABF">
      <w:pPr>
        <w:rPr>
          <w:b/>
        </w:rPr>
      </w:pPr>
      <w:r w:rsidRPr="006F1411">
        <w:rPr>
          <w:rFonts w:eastAsiaTheme="minorEastAsia"/>
          <w:b/>
          <w:lang w:eastAsia="en-NZ"/>
        </w:rPr>
        <w:t xml:space="preserve">Some features and/or modes of gambling are particularly associated with harm. Evidence shows that </w:t>
      </w:r>
      <w:r w:rsidRPr="006F1411">
        <w:rPr>
          <w:b/>
        </w:rPr>
        <w:t xml:space="preserve">harm is far more likely to be associated with continuous forms of gambling (those </w:t>
      </w:r>
      <w:r w:rsidRPr="006F1411">
        <w:rPr>
          <w:rFonts w:eastAsiaTheme="minorEastAsia"/>
          <w:b/>
          <w:lang w:eastAsia="en-NZ"/>
        </w:rPr>
        <w:t xml:space="preserve">in which a gambler can immediately </w:t>
      </w:r>
      <w:r w:rsidR="00BC6B27" w:rsidRPr="006F1411">
        <w:rPr>
          <w:rFonts w:eastAsiaTheme="minorEastAsia"/>
          <w:b/>
          <w:lang w:eastAsia="en-NZ"/>
        </w:rPr>
        <w:t>‘</w:t>
      </w:r>
      <w:r w:rsidRPr="006F1411">
        <w:rPr>
          <w:rFonts w:eastAsiaTheme="minorEastAsia"/>
          <w:b/>
          <w:lang w:eastAsia="en-NZ"/>
        </w:rPr>
        <w:t>reinvest</w:t>
      </w:r>
      <w:r w:rsidR="00BC6B27" w:rsidRPr="006F1411">
        <w:rPr>
          <w:rFonts w:eastAsiaTheme="minorEastAsia"/>
          <w:b/>
          <w:lang w:eastAsia="en-NZ"/>
        </w:rPr>
        <w:t>’</w:t>
      </w:r>
      <w:r w:rsidRPr="006F1411">
        <w:rPr>
          <w:rFonts w:eastAsiaTheme="minorEastAsia"/>
          <w:b/>
          <w:lang w:eastAsia="en-NZ"/>
        </w:rPr>
        <w:t xml:space="preserve"> their winnings in further gambling)</w:t>
      </w:r>
      <w:r w:rsidRPr="006F1411">
        <w:rPr>
          <w:b/>
        </w:rPr>
        <w:t xml:space="preserve"> than other modes of gambling.</w:t>
      </w:r>
    </w:p>
    <w:p w14:paraId="4416FC9E" w14:textId="77777777" w:rsidR="007179EA" w:rsidRPr="005840A5" w:rsidRDefault="007179EA" w:rsidP="00D81ABF"/>
    <w:p w14:paraId="40E618B5" w14:textId="77777777" w:rsidR="007179EA" w:rsidRPr="005840A5" w:rsidRDefault="007179EA" w:rsidP="00D81ABF">
      <w:r w:rsidRPr="005840A5">
        <w:t xml:space="preserve">The common forms of </w:t>
      </w:r>
      <w:r w:rsidR="00BC6B27">
        <w:t>‘</w:t>
      </w:r>
      <w:r w:rsidRPr="005840A5">
        <w:t>continuous</w:t>
      </w:r>
      <w:r w:rsidR="00BC6B27">
        <w:t>’</w:t>
      </w:r>
      <w:r w:rsidRPr="005840A5">
        <w:t xml:space="preserve"> gambling are gaming machines (in or out of a casino), casino table games, </w:t>
      </w:r>
      <w:r w:rsidR="00BC6B27">
        <w:t>‘</w:t>
      </w:r>
      <w:r w:rsidRPr="005840A5">
        <w:t>scratchies</w:t>
      </w:r>
      <w:r w:rsidR="00BC6B27">
        <w:t>’</w:t>
      </w:r>
      <w:r w:rsidRPr="005840A5">
        <w:t xml:space="preserve"> (Instant Kiwi) and sports/race betting. Non</w:t>
      </w:r>
      <w:r w:rsidR="00D81ABF">
        <w:noBreakHyphen/>
      </w:r>
      <w:r w:rsidRPr="005840A5">
        <w:t>continuous forms include traditional lottery draws and raffles, as there is a delay of many hours or days between placing a stake or buying a ticket and receiving the result of a win or loss.</w:t>
      </w:r>
    </w:p>
    <w:p w14:paraId="564EB364" w14:textId="77777777" w:rsidR="007179EA" w:rsidRPr="005840A5" w:rsidRDefault="007179EA" w:rsidP="00D81ABF"/>
    <w:p w14:paraId="2444E2CA" w14:textId="77777777" w:rsidR="007179EA" w:rsidRPr="005840A5" w:rsidRDefault="007179EA" w:rsidP="00D81ABF">
      <w:pPr>
        <w:pStyle w:val="Heading4"/>
      </w:pPr>
      <w:bookmarkStart w:id="48" w:name="_Toc71550010"/>
      <w:bookmarkStart w:id="49" w:name="_Toc76480849"/>
      <w:r w:rsidRPr="005840A5">
        <w:t>Non-casino gaming machines</w:t>
      </w:r>
      <w:bookmarkEnd w:id="48"/>
      <w:bookmarkEnd w:id="49"/>
    </w:p>
    <w:p w14:paraId="01BD2299" w14:textId="77777777" w:rsidR="007179EA" w:rsidRPr="006F1411" w:rsidRDefault="007179EA" w:rsidP="00D81ABF">
      <w:pPr>
        <w:rPr>
          <w:b/>
        </w:rPr>
      </w:pPr>
      <w:r w:rsidRPr="006F1411">
        <w:rPr>
          <w:b/>
        </w:rPr>
        <w:t>Most of the money spent on gambling in New Zealand comes from the relatively limited number of people</w:t>
      </w:r>
      <w:r w:rsidRPr="006F1411">
        <w:rPr>
          <w:rStyle w:val="FootnoteReference"/>
          <w:rFonts w:eastAsia="MS Gothic"/>
        </w:rPr>
        <w:footnoteReference w:id="17"/>
      </w:r>
      <w:r w:rsidRPr="006F1411">
        <w:rPr>
          <w:b/>
        </w:rPr>
        <w:t xml:space="preserve"> who play non-casino or casino gaming machines or both. Most people accessing gambling-harm intervention services cite pub or club pokies as the primary problem gambling mode.</w:t>
      </w:r>
    </w:p>
    <w:p w14:paraId="4FE4F86F" w14:textId="77777777" w:rsidR="007179EA" w:rsidRPr="005840A5" w:rsidRDefault="007179EA" w:rsidP="00D81ABF"/>
    <w:p w14:paraId="1E1BA4A7" w14:textId="77777777" w:rsidR="007179EA" w:rsidRDefault="007179EA" w:rsidP="00D81ABF">
      <w:pPr>
        <w:keepNext/>
        <w:keepLines/>
      </w:pPr>
      <w:r w:rsidRPr="005840A5">
        <w:lastRenderedPageBreak/>
        <w:t xml:space="preserve">The most harmful form of gambling in New Zealand is NCGMs at pubs/clubs (defined in the Act as </w:t>
      </w:r>
      <w:r w:rsidR="00046A83">
        <w:t>class 4</w:t>
      </w:r>
      <w:r w:rsidRPr="005840A5">
        <w:t xml:space="preserve"> gambling). At-risk and problem gamblers accounted for over half of total (estimated) electronic gaming machine (EGM) expenditure in 2015 (moderate-risk and problem gamblers 28</w:t>
      </w:r>
      <w:r w:rsidR="001461C6">
        <w:t> percent</w:t>
      </w:r>
      <w:r w:rsidRPr="005840A5">
        <w:t>; low-risk gamblers 24</w:t>
      </w:r>
      <w:r w:rsidR="001461C6">
        <w:t> percent</w:t>
      </w:r>
      <w:r w:rsidRPr="005840A5">
        <w:t>)</w:t>
      </w:r>
      <w:r w:rsidR="006F1411">
        <w:t>.</w:t>
      </w:r>
      <w:r w:rsidRPr="006F1411">
        <w:rPr>
          <w:rStyle w:val="FootnoteReference"/>
        </w:rPr>
        <w:footnoteReference w:id="18"/>
      </w:r>
      <w:r w:rsidRPr="005840A5">
        <w:t xml:space="preserve"> Similarly, </w:t>
      </w:r>
      <w:r>
        <w:t>analysis</w:t>
      </w:r>
      <w:r w:rsidRPr="005840A5">
        <w:t xml:space="preserve"> from HLS 2020 shows 50.3</w:t>
      </w:r>
      <w:r w:rsidR="001461C6">
        <w:t> percent</w:t>
      </w:r>
      <w:r w:rsidRPr="005840A5">
        <w:t xml:space="preserve"> of those who played EGMs in pubs or clubs at least once a month experienced some level of gambling harm</w:t>
      </w:r>
      <w:r w:rsidRPr="005840A5" w:rsidDel="006B535B">
        <w:t>.</w:t>
      </w:r>
      <w:r w:rsidRPr="006F1411">
        <w:rPr>
          <w:rStyle w:val="FootnoteReference"/>
          <w:rFonts w:eastAsia="MS Gothic"/>
        </w:rPr>
        <w:footnoteReference w:id="19"/>
      </w:r>
    </w:p>
    <w:p w14:paraId="25885B7C" w14:textId="77777777" w:rsidR="006F1411" w:rsidRPr="005840A5" w:rsidRDefault="006F1411" w:rsidP="006F1411"/>
    <w:p w14:paraId="7B2A5C17" w14:textId="77777777" w:rsidR="007179EA" w:rsidRPr="005840A5" w:rsidRDefault="007179EA" w:rsidP="006F1411">
      <w:pPr>
        <w:pStyle w:val="Heading3"/>
      </w:pPr>
      <w:bookmarkStart w:id="50" w:name="_Toc76480850"/>
      <w:bookmarkStart w:id="51" w:name="_Toc71550011"/>
      <w:r w:rsidRPr="005840A5">
        <w:t>Who is bearing the burden of gambling harm?</w:t>
      </w:r>
      <w:bookmarkEnd w:id="50"/>
    </w:p>
    <w:p w14:paraId="231BD977" w14:textId="77777777" w:rsidR="007179EA" w:rsidRPr="005840A5" w:rsidRDefault="007179EA" w:rsidP="006F1411">
      <w:r w:rsidRPr="005840A5">
        <w:rPr>
          <w:rFonts w:eastAsiaTheme="minorEastAsia"/>
          <w:lang w:eastAsia="en-NZ"/>
        </w:rPr>
        <w:t xml:space="preserve">While many New Zealanders who gamble do so without experiencing harm, a significant minority either experience harm from their own gambling or their gambling negatively impacts the lives of others. </w:t>
      </w:r>
      <w:r w:rsidRPr="005840A5">
        <w:t>Harm may include damage to relationships, emotional and psychological distress, disruptions to work or study, loss of income, the financial impacts of gambling (including stress and anxiety) and potentially fraud and related crimes, which can also impact negatively on the gambler</w:t>
      </w:r>
      <w:r w:rsidR="00BC6B27">
        <w:t>’</w:t>
      </w:r>
      <w:r w:rsidRPr="005840A5">
        <w:t>s family, whānau and community. Gambling may also contribute to child neglect and family violence.</w:t>
      </w:r>
      <w:r w:rsidRPr="006F1411">
        <w:rPr>
          <w:rStyle w:val="FootnoteReference"/>
          <w:rFonts w:eastAsia="MS Gothic"/>
        </w:rPr>
        <w:footnoteReference w:id="20"/>
      </w:r>
    </w:p>
    <w:p w14:paraId="7E726E7D" w14:textId="77777777" w:rsidR="007179EA" w:rsidRPr="005840A5" w:rsidRDefault="007179EA" w:rsidP="006F1411"/>
    <w:p w14:paraId="07059D76" w14:textId="77777777" w:rsidR="007179EA" w:rsidRPr="006F1411" w:rsidRDefault="007179EA" w:rsidP="006F1411">
      <w:pPr>
        <w:rPr>
          <w:b/>
        </w:rPr>
      </w:pPr>
      <w:r w:rsidRPr="006F1411">
        <w:rPr>
          <w:b/>
        </w:rPr>
        <w:t>Research shows that Māori and Pacific peoples, some Asian communities and young people / rangatahi disproportionately experience gambling harm.</w:t>
      </w:r>
    </w:p>
    <w:p w14:paraId="7D7668A4" w14:textId="77777777" w:rsidR="007179EA" w:rsidRPr="005840A5" w:rsidRDefault="007179EA" w:rsidP="006F1411"/>
    <w:p w14:paraId="4299654C" w14:textId="77777777" w:rsidR="00BC6B27" w:rsidRDefault="007179EA" w:rsidP="006F1411">
      <w:r>
        <w:t>Analysis</w:t>
      </w:r>
      <w:r w:rsidRPr="005840A5">
        <w:t xml:space="preserve"> from HLS 2020 shows that</w:t>
      </w:r>
      <w:r>
        <w:t>:</w:t>
      </w:r>
    </w:p>
    <w:p w14:paraId="11CFE90F" w14:textId="77777777" w:rsidR="00BC6B27" w:rsidRDefault="007179EA" w:rsidP="006F1411">
      <w:pPr>
        <w:pStyle w:val="Bullet"/>
      </w:pPr>
      <w:r w:rsidRPr="00B47050">
        <w:t>Māori were 3.13</w:t>
      </w:r>
      <w:r w:rsidR="00046A83">
        <w:t> times</w:t>
      </w:r>
      <w:r>
        <w:t xml:space="preserve"> </w:t>
      </w:r>
      <w:r w:rsidRPr="00B47050">
        <w:t xml:space="preserve">more likely to be moderate-risk or problem gamblers than non-Māori </w:t>
      </w:r>
      <w:r>
        <w:t xml:space="preserve">and </w:t>
      </w:r>
      <w:r w:rsidRPr="00B47050">
        <w:t>non-Pacific. In the Māori adult population, approximately 3.7</w:t>
      </w:r>
      <w:r w:rsidR="001461C6">
        <w:t> percent</w:t>
      </w:r>
      <w:r w:rsidRPr="00B47050">
        <w:t xml:space="preserve"> were moderate-risk / problem gamblers, and 5.7</w:t>
      </w:r>
      <w:r w:rsidR="001461C6">
        <w:t> percent</w:t>
      </w:r>
      <w:r w:rsidRPr="00B47050">
        <w:t xml:space="preserve"> were low-risk</w:t>
      </w:r>
      <w:r w:rsidR="006F1411">
        <w:t xml:space="preserve"> gamblers.</w:t>
      </w:r>
    </w:p>
    <w:p w14:paraId="702C8CC2" w14:textId="77777777" w:rsidR="00BC6B27" w:rsidRDefault="007179EA" w:rsidP="006F1411">
      <w:pPr>
        <w:pStyle w:val="Bullet"/>
      </w:pPr>
      <w:r w:rsidRPr="00B47050">
        <w:t>Pacific peoples were 2.56</w:t>
      </w:r>
      <w:r w:rsidR="00046A83">
        <w:t> times</w:t>
      </w:r>
      <w:r w:rsidRPr="00B47050">
        <w:t xml:space="preserve"> more likely to be moderate-risk or problem gamblers than non-Māori </w:t>
      </w:r>
      <w:r w:rsidR="006F1411">
        <w:t>and</w:t>
      </w:r>
      <w:r w:rsidRPr="00B47050">
        <w:t xml:space="preserve"> non-Pacific peoples. An estimated 3.0</w:t>
      </w:r>
      <w:r w:rsidR="001461C6">
        <w:t> percent</w:t>
      </w:r>
      <w:r w:rsidRPr="00B47050">
        <w:t xml:space="preserve"> of Pacific adults were moderate-risk / problem gamblers, and 4.4</w:t>
      </w:r>
      <w:r w:rsidR="001461C6">
        <w:t> percent</w:t>
      </w:r>
      <w:r w:rsidRPr="00B47050">
        <w:t xml:space="preserve"> were low-risk gamblers.</w:t>
      </w:r>
    </w:p>
    <w:p w14:paraId="7820E409" w14:textId="77777777" w:rsidR="006F1411" w:rsidRDefault="006F1411" w:rsidP="006F1411"/>
    <w:p w14:paraId="20D92D53" w14:textId="77777777" w:rsidR="00BC6B27" w:rsidRDefault="007179EA" w:rsidP="006F1411">
      <w:r>
        <w:t>Māori</w:t>
      </w:r>
      <w:r w:rsidRPr="005840A5">
        <w:t xml:space="preserve"> and Pacific peoples </w:t>
      </w:r>
      <w:r>
        <w:t xml:space="preserve">are more likely to be affected by gambling harm than any other group. </w:t>
      </w:r>
      <w:r w:rsidRPr="005840A5">
        <w:t>M</w:t>
      </w:r>
      <w:r w:rsidRPr="005840A5">
        <w:rPr>
          <w:rFonts w:cstheme="minorHAnsi"/>
        </w:rPr>
        <w:t>ā</w:t>
      </w:r>
      <w:r w:rsidRPr="005840A5">
        <w:t>ori and Pacific peoples are also more likely to have other risk factors for gambling harm, such as having low incomes and living in low socioeconomic communities where some forms of gambling, particularly NCGMs are more accessible.</w:t>
      </w:r>
    </w:p>
    <w:p w14:paraId="46AC8CF6" w14:textId="77777777" w:rsidR="006F1411" w:rsidRDefault="006F1411" w:rsidP="006F1411"/>
    <w:p w14:paraId="64A8A1F7" w14:textId="77777777" w:rsidR="007179EA" w:rsidRPr="00B47050" w:rsidRDefault="007179EA" w:rsidP="006F1411">
      <w:r w:rsidRPr="00B47050">
        <w:t>After adjusting for deprivation level, the HLS 2020 found Māori were over 3.39</w:t>
      </w:r>
      <w:r w:rsidR="00046A83">
        <w:t> times</w:t>
      </w:r>
      <w:r w:rsidRPr="00B47050">
        <w:t xml:space="preserve"> more likely to report either gambling-related arguments or money problems related to gambling compared with non-Māori </w:t>
      </w:r>
      <w:r w:rsidR="006F1411">
        <w:t>and</w:t>
      </w:r>
      <w:r w:rsidRPr="00B47050">
        <w:t xml:space="preserve"> non-Pacific. For Pacific people, they were 2.67</w:t>
      </w:r>
      <w:r w:rsidR="00046A83">
        <w:t> times</w:t>
      </w:r>
      <w:r w:rsidRPr="00B47050">
        <w:t xml:space="preserve"> more likely to report these harms than non-Pacific </w:t>
      </w:r>
      <w:r>
        <w:t>and</w:t>
      </w:r>
      <w:r w:rsidRPr="00B47050">
        <w:t xml:space="preserve"> non-Māori.</w:t>
      </w:r>
    </w:p>
    <w:p w14:paraId="345A7073" w14:textId="77777777" w:rsidR="006F1411" w:rsidRPr="005840A5" w:rsidRDefault="006F1411" w:rsidP="006F1411"/>
    <w:p w14:paraId="0C98BEF4" w14:textId="77777777" w:rsidR="00BC6B27" w:rsidRDefault="007179EA" w:rsidP="006F1411">
      <w:r w:rsidRPr="005840A5">
        <w:lastRenderedPageBreak/>
        <w:t>Past HLS survey results show the proportion of Asian</w:t>
      </w:r>
      <w:r>
        <w:t xml:space="preserve"> people</w:t>
      </w:r>
      <w:r w:rsidRPr="005840A5">
        <w:t>s who gamble is relatively low when compared with Māori, Pacific peoples and European/Other; however, those who do gamble are more likely to experience harm compared with European/Other.</w:t>
      </w:r>
    </w:p>
    <w:p w14:paraId="5AE23B94" w14:textId="77777777" w:rsidR="007179EA" w:rsidRDefault="007179EA" w:rsidP="006F1411"/>
    <w:p w14:paraId="34148BA9" w14:textId="77777777" w:rsidR="007179EA" w:rsidRPr="005840A5" w:rsidRDefault="007179EA" w:rsidP="006F1411">
      <w:r w:rsidRPr="005840A5">
        <w:t>Approximately 1.0</w:t>
      </w:r>
      <w:r w:rsidR="001461C6">
        <w:t> percent</w:t>
      </w:r>
      <w:r w:rsidRPr="005840A5">
        <w:t xml:space="preserve"> of Asian adults</w:t>
      </w:r>
      <w:r>
        <w:t xml:space="preserve"> in 2020</w:t>
      </w:r>
      <w:r w:rsidRPr="005840A5">
        <w:t xml:space="preserve"> were moderate-risk / problem gamblers, and 3.2</w:t>
      </w:r>
      <w:r w:rsidR="001461C6">
        <w:t> percent</w:t>
      </w:r>
      <w:r w:rsidRPr="005840A5">
        <w:t xml:space="preserve"> were low-risk gamblers. The HLS 2016 also indicate that awareness of what to do to help a friend or family member who gambles too much is lower for Asian peoples.</w:t>
      </w:r>
    </w:p>
    <w:p w14:paraId="133EA5A5" w14:textId="77777777" w:rsidR="007179EA" w:rsidRPr="005840A5" w:rsidRDefault="007179EA" w:rsidP="006F1411"/>
    <w:p w14:paraId="656556D9" w14:textId="77777777" w:rsidR="00BC6B27" w:rsidRPr="006F1411" w:rsidRDefault="007179EA" w:rsidP="006F1411">
      <w:pPr>
        <w:rPr>
          <w:b/>
        </w:rPr>
      </w:pPr>
      <w:r w:rsidRPr="006F1411">
        <w:rPr>
          <w:b/>
        </w:rPr>
        <w:t>Research shows that young people / rangatahi are likely to be experiencing gambling harms</w:t>
      </w:r>
      <w:r w:rsidR="006F1411">
        <w:rPr>
          <w:b/>
        </w:rPr>
        <w:t>.</w:t>
      </w:r>
    </w:p>
    <w:p w14:paraId="7BC1AD9A" w14:textId="77777777" w:rsidR="007179EA" w:rsidRPr="005840A5" w:rsidRDefault="007179EA" w:rsidP="006F1411"/>
    <w:p w14:paraId="502DE6EE" w14:textId="77777777" w:rsidR="00BC6B27" w:rsidRDefault="007179EA" w:rsidP="006F1411">
      <w:r w:rsidRPr="003D2E77">
        <w:t>According to HLS 2020 results, about 45.7</w:t>
      </w:r>
      <w:r w:rsidR="001461C6">
        <w:t> percent</w:t>
      </w:r>
      <w:r w:rsidRPr="003D2E77">
        <w:t xml:space="preserve"> of youth aged 16</w:t>
      </w:r>
      <w:r w:rsidR="006F1411">
        <w:t>–</w:t>
      </w:r>
      <w:r w:rsidRPr="003D2E77">
        <w:t>24 had gambled in the past year</w:t>
      </w:r>
      <w:r>
        <w:t>.</w:t>
      </w:r>
      <w:r w:rsidRPr="003D2E77">
        <w:t xml:space="preserve"> While this is expectedly lower than the total population average, young people make up approximately 14</w:t>
      </w:r>
      <w:r w:rsidR="001461C6">
        <w:t> percent</w:t>
      </w:r>
      <w:r w:rsidRPr="003D2E77">
        <w:t xml:space="preserve"> (9,000 people) of the total proportion of moderate and high-risk gamblers (1.6</w:t>
      </w:r>
      <w:r w:rsidR="001461C6">
        <w:t> percent</w:t>
      </w:r>
      <w:r w:rsidRPr="003D2E77">
        <w:t xml:space="preserve"> of all adults or 65,000</w:t>
      </w:r>
      <w:r w:rsidR="006F1411">
        <w:t> </w:t>
      </w:r>
      <w:r w:rsidRPr="003D2E77">
        <w:t>people).</w:t>
      </w:r>
      <w:r>
        <w:t xml:space="preserve"> In comparison, the 2018 HLS showed 27</w:t>
      </w:r>
      <w:r w:rsidR="00046A83">
        <w:t> </w:t>
      </w:r>
      <w:r>
        <w:t>percent of those who had gambled in the past year were 15</w:t>
      </w:r>
      <w:r w:rsidR="006F1411">
        <w:t>–</w:t>
      </w:r>
      <w:r>
        <w:t>24</w:t>
      </w:r>
      <w:r w:rsidR="0018228E">
        <w:t> years</w:t>
      </w:r>
      <w:r>
        <w:t xml:space="preserve"> of age</w:t>
      </w:r>
      <w:r w:rsidRPr="003D2E77">
        <w:t>.</w:t>
      </w:r>
    </w:p>
    <w:p w14:paraId="0C010737" w14:textId="77777777" w:rsidR="007179EA" w:rsidRPr="005840A5" w:rsidRDefault="007179EA" w:rsidP="006F1411"/>
    <w:p w14:paraId="1E7E78C9" w14:textId="77777777" w:rsidR="007179EA" w:rsidRPr="005840A5" w:rsidRDefault="007179EA" w:rsidP="006F1411">
      <w:r w:rsidRPr="005840A5">
        <w:t>Research has identified specific harms from some kinds of gambling to children and young people. Preliminary findings from research examining video games and Pacific youth gambling suggest that there are some parallels between problem gaming and problem gambling behaviour.</w:t>
      </w:r>
      <w:r w:rsidRPr="006F1411">
        <w:rPr>
          <w:rStyle w:val="FootnoteReference"/>
          <w:rFonts w:eastAsia="MS Gothic"/>
        </w:rPr>
        <w:footnoteReference w:id="21"/>
      </w:r>
      <w:r w:rsidRPr="005840A5">
        <w:t xml:space="preserve"> This research found that 28</w:t>
      </w:r>
      <w:r w:rsidR="001461C6">
        <w:t> percent</w:t>
      </w:r>
      <w:r w:rsidRPr="005840A5">
        <w:t xml:space="preserve"> of Pacific survey respondents spend more than $20 per month on loot boxes,</w:t>
      </w:r>
      <w:r w:rsidRPr="006F1411">
        <w:rPr>
          <w:rStyle w:val="FootnoteReference"/>
        </w:rPr>
        <w:footnoteReference w:id="22"/>
      </w:r>
      <w:r w:rsidRPr="005840A5">
        <w:t xml:space="preserve"> and Pacific young people in the study drew parallels between problem gaming and problem gambling.</w:t>
      </w:r>
    </w:p>
    <w:p w14:paraId="74EC8C83" w14:textId="77777777" w:rsidR="007179EA" w:rsidRPr="005840A5" w:rsidRDefault="007179EA" w:rsidP="006F1411"/>
    <w:p w14:paraId="31D76119" w14:textId="77777777" w:rsidR="007179EA" w:rsidRPr="007C1DE1" w:rsidRDefault="007179EA" w:rsidP="007C1DE1">
      <w:pPr>
        <w:ind w:right="-142"/>
        <w:rPr>
          <w:spacing w:val="-2"/>
        </w:rPr>
      </w:pPr>
      <w:r w:rsidRPr="007C1DE1">
        <w:rPr>
          <w:spacing w:val="-2"/>
        </w:rPr>
        <w:t xml:space="preserve">This aligns with a Norwegian longitudinal study, which found that people who bet on gaming enhancements, such as </w:t>
      </w:r>
      <w:r w:rsidR="00BC6B27" w:rsidRPr="007C1DE1">
        <w:rPr>
          <w:spacing w:val="-2"/>
        </w:rPr>
        <w:t>‘</w:t>
      </w:r>
      <w:r w:rsidRPr="007C1DE1">
        <w:rPr>
          <w:spacing w:val="-2"/>
        </w:rPr>
        <w:t>skins</w:t>
      </w:r>
      <w:r w:rsidR="00BC6B27" w:rsidRPr="007C1DE1">
        <w:rPr>
          <w:spacing w:val="-2"/>
        </w:rPr>
        <w:t>’</w:t>
      </w:r>
      <w:r w:rsidRPr="007C1DE1">
        <w:rPr>
          <w:spacing w:val="-2"/>
        </w:rPr>
        <w:t>, when they were children and continued gambling online when they became adults had higher rates of at-risk and problem gambling as adults than people who did not bet on gaming enhancements when they were children.</w:t>
      </w:r>
      <w:r w:rsidRPr="007C1DE1">
        <w:rPr>
          <w:rStyle w:val="FootnoteReference"/>
          <w:rFonts w:eastAsia="MS Gothic"/>
          <w:spacing w:val="-2"/>
        </w:rPr>
        <w:footnoteReference w:id="23"/>
      </w:r>
    </w:p>
    <w:p w14:paraId="2EB4B7F3" w14:textId="77777777" w:rsidR="007179EA" w:rsidRPr="005840A5" w:rsidRDefault="007179EA" w:rsidP="006F1411"/>
    <w:p w14:paraId="6601C422" w14:textId="77777777" w:rsidR="00BC6B27" w:rsidRDefault="007179EA" w:rsidP="006F1411">
      <w:r w:rsidRPr="005840A5">
        <w:t xml:space="preserve">Recent research </w:t>
      </w:r>
      <w:r>
        <w:t xml:space="preserve">into </w:t>
      </w:r>
      <w:r w:rsidRPr="005840A5">
        <w:t>young people</w:t>
      </w:r>
      <w:r w:rsidR="00BC6B27">
        <w:t>’</w:t>
      </w:r>
      <w:r w:rsidRPr="005840A5">
        <w:t>s views about their own gambling found that about one in three New Zealand secondary school students had participated in gambling at some point in their lives. Boys were more likely that girls to have gambled, and both children. Of this subgroup who gambled, 13</w:t>
      </w:r>
      <w:r w:rsidR="001461C6">
        <w:t> percent</w:t>
      </w:r>
      <w:r w:rsidRPr="005840A5">
        <w:t xml:space="preserve"> wanted to cut down on their gambling and 11</w:t>
      </w:r>
      <w:r w:rsidR="001461C6">
        <w:t> percent</w:t>
      </w:r>
      <w:r w:rsidRPr="005840A5">
        <w:t xml:space="preserve"> were worried about their own gambling. These concerns were not evenly distributed across the population: worry about their gambling and wanting to cut down on gambling were both higher for students in low decile school</w:t>
      </w:r>
      <w:r>
        <w:t>s</w:t>
      </w:r>
      <w:r w:rsidRPr="005840A5">
        <w:t xml:space="preserve"> (decile 1</w:t>
      </w:r>
      <w:r w:rsidR="006F1411">
        <w:t>–</w:t>
      </w:r>
      <w:r w:rsidRPr="005840A5">
        <w:t>3) than in high decile schools (decile 8</w:t>
      </w:r>
      <w:r w:rsidR="006F1411">
        <w:t>–</w:t>
      </w:r>
      <w:r w:rsidRPr="005840A5">
        <w:t>10, at 20</w:t>
      </w:r>
      <w:r w:rsidR="001461C6">
        <w:t> percent</w:t>
      </w:r>
      <w:r>
        <w:t xml:space="preserve"> </w:t>
      </w:r>
      <w:r w:rsidRPr="005840A5">
        <w:t>vs 8</w:t>
      </w:r>
      <w:r w:rsidR="001461C6">
        <w:t> percent</w:t>
      </w:r>
      <w:r>
        <w:t xml:space="preserve"> </w:t>
      </w:r>
      <w:r w:rsidRPr="005840A5">
        <w:t>and 23</w:t>
      </w:r>
      <w:r w:rsidR="001461C6">
        <w:t> percent</w:t>
      </w:r>
      <w:r>
        <w:t xml:space="preserve"> </w:t>
      </w:r>
      <w:r w:rsidRPr="005840A5">
        <w:t>vs 8</w:t>
      </w:r>
      <w:r w:rsidR="001461C6">
        <w:t> percent</w:t>
      </w:r>
      <w:r>
        <w:t xml:space="preserve"> </w:t>
      </w:r>
      <w:r w:rsidRPr="005840A5">
        <w:t>respectively).</w:t>
      </w:r>
      <w:r w:rsidRPr="006F1411">
        <w:rPr>
          <w:rStyle w:val="FootnoteReference"/>
        </w:rPr>
        <w:footnoteReference w:id="24"/>
      </w:r>
    </w:p>
    <w:p w14:paraId="6CCE4AE7" w14:textId="77777777" w:rsidR="007179EA" w:rsidRDefault="007179EA" w:rsidP="007C1DE1"/>
    <w:p w14:paraId="411C781A" w14:textId="77777777" w:rsidR="00BC6B27" w:rsidRDefault="007179EA" w:rsidP="007C1DE1">
      <w:pPr>
        <w:spacing w:before="240"/>
      </w:pPr>
      <w:r w:rsidRPr="005840A5">
        <w:lastRenderedPageBreak/>
        <w:t>This is worth noting when set against the study finding that students in lower-decile schools were less likely to report having ever gambled than those in higher-decile schools. This suggests that, while youth gambling may be less common in more deprived areas, it causes more concern, and potentially more harm, to those students with greater levels of disadvantage.</w:t>
      </w:r>
    </w:p>
    <w:p w14:paraId="7C3864C5" w14:textId="77777777" w:rsidR="007179EA" w:rsidRPr="005840A5" w:rsidRDefault="007179EA" w:rsidP="007C1DE1"/>
    <w:p w14:paraId="1A7EC5EA" w14:textId="77777777" w:rsidR="007179EA" w:rsidRPr="005840A5" w:rsidRDefault="007179EA" w:rsidP="007C1DE1">
      <w:r w:rsidRPr="005840A5">
        <w:t xml:space="preserve">There are growing concerns about the accessibility of online gambling and gaming convergence and the impacts of these on the wellbeing of children and young people / rangatahi. People interviewed for the Ministry-commissioned 2021 needs assessment highlighted increasing numbers of parents asking for support for young people who were </w:t>
      </w:r>
      <w:r w:rsidR="00BC6B27">
        <w:t>‘</w:t>
      </w:r>
      <w:r w:rsidRPr="005840A5">
        <w:t>addicted</w:t>
      </w:r>
      <w:r w:rsidR="00BC6B27">
        <w:t>’</w:t>
      </w:r>
      <w:r w:rsidRPr="005840A5">
        <w:t xml:space="preserve"> to gaming.</w:t>
      </w:r>
    </w:p>
    <w:p w14:paraId="0C7B6EAA" w14:textId="77777777" w:rsidR="007179EA" w:rsidRPr="005840A5" w:rsidRDefault="007179EA" w:rsidP="007C1DE1"/>
    <w:p w14:paraId="76511C43" w14:textId="77777777" w:rsidR="007179EA" w:rsidRDefault="007179EA" w:rsidP="007C1DE1">
      <w:r w:rsidRPr="005840A5">
        <w:t xml:space="preserve">There is also some anecdotal concern that increasing unregulated online gambling may be particularly harmful for </w:t>
      </w:r>
      <w:r>
        <w:t xml:space="preserve">disabled </w:t>
      </w:r>
      <w:r w:rsidRPr="005840A5">
        <w:t>people</w:t>
      </w:r>
      <w:r>
        <w:t>.</w:t>
      </w:r>
      <w:r w:rsidRPr="005840A5">
        <w:t xml:space="preserve"> Almost one in four New Zealanders identify as disabled, and these proportions are larger in the groups that we know are vulnerable to harm from gambling, that is, Māori, Pacific peoples and people with low incomes.</w:t>
      </w:r>
      <w:r w:rsidRPr="007C1DE1">
        <w:rPr>
          <w:rStyle w:val="FootnoteReference"/>
          <w:rFonts w:eastAsia="MS Gothic"/>
        </w:rPr>
        <w:footnoteReference w:id="25"/>
      </w:r>
      <w:r w:rsidRPr="005840A5">
        <w:t xml:space="preserve"> </w:t>
      </w:r>
      <w:r>
        <w:t>Disabled people on average have lower incomes, which may exacerbate their experience of gambling harm.</w:t>
      </w:r>
    </w:p>
    <w:p w14:paraId="20B63280" w14:textId="77777777" w:rsidR="007179EA" w:rsidRDefault="007179EA" w:rsidP="007C1DE1"/>
    <w:p w14:paraId="08BC0B3B" w14:textId="77777777" w:rsidR="00BC6B27" w:rsidRDefault="007179EA" w:rsidP="007C1DE1">
      <w:r w:rsidRPr="005840A5">
        <w:t>We have limited information about gambling among the disabled community in New Zealand, but American research has found that one-quarter of recipients of disability benefits were experiencing harm from gambling.</w:t>
      </w:r>
      <w:r w:rsidRPr="007C1DE1">
        <w:rPr>
          <w:rStyle w:val="FootnoteReference"/>
          <w:rFonts w:eastAsia="MS Gothic"/>
        </w:rPr>
        <w:footnoteReference w:id="26"/>
      </w:r>
      <w:r w:rsidRPr="005840A5">
        <w:t xml:space="preserve"> Additionally, recent small-scale Australian research found people with intellectual disabilities are engaging with gambling in the same ways as the general public.</w:t>
      </w:r>
      <w:r w:rsidRPr="007C1DE1">
        <w:rPr>
          <w:rStyle w:val="FootnoteReference"/>
          <w:rFonts w:eastAsia="MS Gothic"/>
        </w:rPr>
        <w:footnoteReference w:id="27"/>
      </w:r>
    </w:p>
    <w:p w14:paraId="310788C9" w14:textId="77777777" w:rsidR="007179EA" w:rsidRPr="005840A5" w:rsidRDefault="007179EA" w:rsidP="007C1DE1"/>
    <w:p w14:paraId="09176343" w14:textId="77777777" w:rsidR="007179EA" w:rsidRPr="005840A5" w:rsidRDefault="007179EA" w:rsidP="007C1DE1">
      <w:r w:rsidRPr="005840A5">
        <w:t>Women, who are commonly the primary caregivers within their family or whānau, are also particularly vulnerable to the economic strain caused by problem gambling. Recent research has shown that socio</w:t>
      </w:r>
      <w:r>
        <w:t>-</w:t>
      </w:r>
      <w:r w:rsidRPr="005840A5">
        <w:t>cultural positioning of women as the primary caregivers for families contributes to gambling harm by placing unrealistic expectations on the women while simultaneously constraining their ability to prioritise their own wellbeing and access rest, relaxation and support. Gambling venues in local communities appear to offer women respite, distraction, comfort, time out and/or connection, while placing them at increased risk of experiencing problems and harm.</w:t>
      </w:r>
      <w:r w:rsidRPr="007C1DE1">
        <w:rPr>
          <w:rStyle w:val="FootnoteReference"/>
          <w:rFonts w:eastAsia="MS Gothic"/>
        </w:rPr>
        <w:footnoteReference w:id="28"/>
      </w:r>
    </w:p>
    <w:p w14:paraId="6147A574" w14:textId="77777777" w:rsidR="007179EA" w:rsidRPr="005840A5" w:rsidRDefault="007179EA" w:rsidP="007C1DE1"/>
    <w:p w14:paraId="14A3421D" w14:textId="77777777" w:rsidR="007179EA" w:rsidRDefault="007179EA" w:rsidP="00E45B23">
      <w:r w:rsidRPr="005840A5">
        <w:lastRenderedPageBreak/>
        <w:t xml:space="preserve">A report from the </w:t>
      </w:r>
      <w:r>
        <w:t xml:space="preserve">2016 </w:t>
      </w:r>
      <w:r w:rsidRPr="005840A5">
        <w:t>Pacific Island Families Study found that risk factors for gambling among mothers studied included alcohol consumption, being a victim of verbal abuse and increased deprivation levels.</w:t>
      </w:r>
      <w:r w:rsidRPr="00E45B23">
        <w:rPr>
          <w:rStyle w:val="FootnoteReference"/>
          <w:rFonts w:eastAsia="MS Gothic"/>
        </w:rPr>
        <w:footnoteReference w:id="29"/>
      </w:r>
    </w:p>
    <w:p w14:paraId="562C0662" w14:textId="77777777" w:rsidR="00E45B23" w:rsidRPr="005840A5" w:rsidRDefault="00E45B23" w:rsidP="00E45B23"/>
    <w:p w14:paraId="71FDD21D" w14:textId="77777777" w:rsidR="007179EA" w:rsidRPr="005840A5" w:rsidRDefault="007179EA" w:rsidP="00E45B23">
      <w:pPr>
        <w:pStyle w:val="Heading3"/>
      </w:pPr>
      <w:bookmarkStart w:id="52" w:name="_Toc71550013"/>
      <w:bookmarkStart w:id="53" w:name="_Toc76480851"/>
      <w:bookmarkEnd w:id="51"/>
      <w:r>
        <w:t>G</w:t>
      </w:r>
      <w:r w:rsidRPr="005840A5">
        <w:t xml:space="preserve">ambling </w:t>
      </w:r>
      <w:r>
        <w:t xml:space="preserve">harm </w:t>
      </w:r>
      <w:r w:rsidRPr="005840A5">
        <w:t>and other health problems</w:t>
      </w:r>
      <w:bookmarkEnd w:id="52"/>
      <w:bookmarkEnd w:id="53"/>
    </w:p>
    <w:p w14:paraId="31728DAF" w14:textId="77777777" w:rsidR="007179EA" w:rsidRPr="005840A5" w:rsidRDefault="007179EA" w:rsidP="00E45B23">
      <w:r w:rsidRPr="005840A5">
        <w:t xml:space="preserve">Harmful gambling typically presents with other health issues and has been consistently associated with a range of co-existing health issues, such as higher levels of smoking, hazardous alcohol consumption and other drug use, as well as higher levels of depression and poorer self-rated health. </w:t>
      </w:r>
      <w:r>
        <w:t>Coexisting health issues (c</w:t>
      </w:r>
      <w:r w:rsidRPr="005840A5">
        <w:t>omorbidity</w:t>
      </w:r>
      <w:r>
        <w:t>)</w:t>
      </w:r>
      <w:r w:rsidRPr="005840A5">
        <w:t xml:space="preserve"> is an indication that a person may require holistic health services.</w:t>
      </w:r>
      <w:r w:rsidRPr="00E45B23">
        <w:rPr>
          <w:rStyle w:val="FootnoteReference"/>
          <w:rFonts w:eastAsia="MS Gothic"/>
        </w:rPr>
        <w:footnoteReference w:id="30"/>
      </w:r>
    </w:p>
    <w:p w14:paraId="12B242D3" w14:textId="77777777" w:rsidR="007179EA" w:rsidRPr="005840A5" w:rsidRDefault="007179EA" w:rsidP="00E45B23">
      <w:pPr>
        <w:rPr>
          <w:lang w:eastAsia="en-NZ"/>
        </w:rPr>
      </w:pPr>
    </w:p>
    <w:p w14:paraId="5BBA60BB" w14:textId="77777777" w:rsidR="007179EA" w:rsidRDefault="007179EA" w:rsidP="00E45B23">
      <w:pPr>
        <w:rPr>
          <w:lang w:eastAsia="en-NZ"/>
        </w:rPr>
      </w:pPr>
      <w:r>
        <w:rPr>
          <w:lang w:eastAsia="en-NZ"/>
        </w:rPr>
        <w:t xml:space="preserve">Some </w:t>
      </w:r>
      <w:r w:rsidRPr="005840A5">
        <w:rPr>
          <w:lang w:eastAsia="en-NZ"/>
        </w:rPr>
        <w:t>21</w:t>
      </w:r>
      <w:r w:rsidR="001461C6">
        <w:rPr>
          <w:lang w:eastAsia="en-NZ"/>
        </w:rPr>
        <w:t> percent</w:t>
      </w:r>
      <w:r w:rsidRPr="005840A5">
        <w:rPr>
          <w:lang w:eastAsia="en-NZ"/>
        </w:rPr>
        <w:t xml:space="preserve"> </w:t>
      </w:r>
      <w:r>
        <w:rPr>
          <w:lang w:eastAsia="en-NZ"/>
        </w:rPr>
        <w:t>o</w:t>
      </w:r>
      <w:r w:rsidRPr="005840A5">
        <w:rPr>
          <w:lang w:eastAsia="en-NZ"/>
        </w:rPr>
        <w:t>f clients screened by Ministry-funded health services for co-existing problematic alcohol or drug use in 2019/20, reported feeling the need to cut down their use of prescription or other drugs and 34</w:t>
      </w:r>
      <w:r w:rsidR="001461C6">
        <w:rPr>
          <w:lang w:eastAsia="en-NZ"/>
        </w:rPr>
        <w:t> percent</w:t>
      </w:r>
      <w:r w:rsidRPr="005840A5">
        <w:rPr>
          <w:lang w:eastAsia="en-NZ"/>
        </w:rPr>
        <w:t xml:space="preserve"> reported having risky levels of alcohol use.</w:t>
      </w:r>
      <w:bookmarkStart w:id="54" w:name="_Toc71550014"/>
      <w:bookmarkStart w:id="55" w:name="_Toc76480852"/>
    </w:p>
    <w:p w14:paraId="181DDC19" w14:textId="77777777" w:rsidR="00E45B23" w:rsidRPr="005840A5" w:rsidRDefault="00E45B23" w:rsidP="00E45B23"/>
    <w:p w14:paraId="4C916FB7" w14:textId="77777777" w:rsidR="007179EA" w:rsidRPr="005840A5" w:rsidRDefault="007179EA" w:rsidP="00E45B23">
      <w:pPr>
        <w:pStyle w:val="Heading3"/>
      </w:pPr>
      <w:r w:rsidRPr="005840A5">
        <w:t>Harm</w:t>
      </w:r>
      <w:r>
        <w:t xml:space="preserve"> to f</w:t>
      </w:r>
      <w:r w:rsidRPr="005840A5">
        <w:t xml:space="preserve">amily </w:t>
      </w:r>
      <w:r>
        <w:t xml:space="preserve">and </w:t>
      </w:r>
      <w:r w:rsidRPr="005840A5">
        <w:t>affected others</w:t>
      </w:r>
      <w:bookmarkEnd w:id="54"/>
      <w:bookmarkEnd w:id="55"/>
    </w:p>
    <w:p w14:paraId="0277A802" w14:textId="77777777" w:rsidR="007179EA" w:rsidRPr="005840A5" w:rsidRDefault="007179EA" w:rsidP="00E45B23">
      <w:r w:rsidRPr="005840A5">
        <w:t>Gambling harm can be experienced not only by people who gamble but also by their friends, families, wh</w:t>
      </w:r>
      <w:r w:rsidRPr="005840A5">
        <w:rPr>
          <w:rFonts w:cstheme="minorHAnsi"/>
        </w:rPr>
        <w:t>ā</w:t>
      </w:r>
      <w:r w:rsidRPr="005840A5">
        <w:t>nau and communities. Australian research</w:t>
      </w:r>
      <w:r w:rsidRPr="00E45B23">
        <w:rPr>
          <w:rStyle w:val="FootnoteReference"/>
          <w:rFonts w:eastAsia="MS Gothic"/>
        </w:rPr>
        <w:footnoteReference w:id="31"/>
      </w:r>
      <w:r w:rsidRPr="005840A5">
        <w:t xml:space="preserve"> suggests that </w:t>
      </w:r>
      <w:r>
        <w:t xml:space="preserve">between five to ten </w:t>
      </w:r>
      <w:r w:rsidRPr="005840A5">
        <w:t xml:space="preserve">other people are adversely affected by a </w:t>
      </w:r>
      <w:r>
        <w:t xml:space="preserve">person </w:t>
      </w:r>
      <w:r w:rsidRPr="005840A5">
        <w:t>who has severe problematic gambling behaviour.</w:t>
      </w:r>
    </w:p>
    <w:p w14:paraId="4375171D" w14:textId="77777777" w:rsidR="007179EA" w:rsidRPr="005840A5" w:rsidRDefault="007179EA" w:rsidP="00E45B23"/>
    <w:p w14:paraId="7E048AD3" w14:textId="77777777" w:rsidR="007179EA" w:rsidRPr="005840A5" w:rsidRDefault="007179EA" w:rsidP="00E45B23">
      <w:r w:rsidRPr="005840A5">
        <w:t>In New Zealand, we know that harmful gambling behaviour is strongly correlated with family, whānau or partner violence, with half of problem gamblers reporting having experienced family or whānau violence.</w:t>
      </w:r>
      <w:r w:rsidRPr="00E45B23">
        <w:rPr>
          <w:rStyle w:val="FootnoteReference"/>
          <w:rFonts w:eastAsia="MS Gothic"/>
        </w:rPr>
        <w:footnoteReference w:id="32"/>
      </w:r>
      <w:r w:rsidRPr="005840A5">
        <w:t xml:space="preserve"> There is also evidence that children and young adults are exposed to considerable gambling messaging, for example, through advertising, which can normalise harmful gambling behaviours.</w:t>
      </w:r>
      <w:r w:rsidRPr="00E45B23">
        <w:rPr>
          <w:rStyle w:val="FootnoteReference"/>
          <w:rFonts w:eastAsia="MS Gothic"/>
        </w:rPr>
        <w:footnoteReference w:id="33"/>
      </w:r>
    </w:p>
    <w:p w14:paraId="0F4EC8F3" w14:textId="77777777" w:rsidR="007179EA" w:rsidRPr="005840A5" w:rsidRDefault="007179EA" w:rsidP="00E45B23"/>
    <w:p w14:paraId="5C7FD556" w14:textId="77777777" w:rsidR="00BC6B27" w:rsidRDefault="007179EA" w:rsidP="00E45B23">
      <w:pPr>
        <w:keepNext/>
        <w:keepLines/>
      </w:pPr>
      <w:r w:rsidRPr="005840A5">
        <w:lastRenderedPageBreak/>
        <w:t>It is also useful to consider the broader impacts on society from the large amount of expenditure that is currently being put into gambling. New Zealanders lose around $2.4</w:t>
      </w:r>
      <w:r w:rsidR="00046A83">
        <w:t> billion</w:t>
      </w:r>
      <w:r w:rsidRPr="005840A5">
        <w:t xml:space="preserve"> per annum on gambling, with almost $1</w:t>
      </w:r>
      <w:r w:rsidR="00046A83">
        <w:t> billion</w:t>
      </w:r>
      <w:r w:rsidRPr="005840A5">
        <w:t xml:space="preserve"> of that on EGMs alone. In all, 40</w:t>
      </w:r>
      <w:r w:rsidR="001461C6">
        <w:t> percent</w:t>
      </w:r>
      <w:r w:rsidRPr="005840A5">
        <w:t xml:space="preserve"> of players</w:t>
      </w:r>
      <w:r w:rsidR="00BC6B27">
        <w:t>’</w:t>
      </w:r>
      <w:r w:rsidRPr="005840A5">
        <w:t xml:space="preserve"> losses on NCGMs must be returned to the community in the form of grants. Recent research in Aotearoa New Zealand estimated that, if the current levels of household expenditure on EGMs were switched to retail spending, this could create an additional 1,127 full-time equivalent jobs worth approximately $50</w:t>
      </w:r>
      <w:r w:rsidR="00046A83">
        <w:t> million</w:t>
      </w:r>
      <w:r w:rsidRPr="005840A5">
        <w:t xml:space="preserve"> in wages and salaries.</w:t>
      </w:r>
      <w:r w:rsidRPr="00E45B23">
        <w:rPr>
          <w:rStyle w:val="FootnoteReference"/>
          <w:rFonts w:eastAsia="MS Gothic"/>
        </w:rPr>
        <w:footnoteReference w:id="34"/>
      </w:r>
      <w:r w:rsidRPr="005840A5">
        <w:t xml:space="preserve"> The tax impacts on this would be nearly $60</w:t>
      </w:r>
      <w:r w:rsidR="00046A83">
        <w:t> million</w:t>
      </w:r>
      <w:r w:rsidRPr="005840A5">
        <w:t xml:space="preserve"> in increased GST collected and $7</w:t>
      </w:r>
      <w:r w:rsidR="00046A83">
        <w:t> million</w:t>
      </w:r>
      <w:r w:rsidRPr="005840A5">
        <w:t xml:space="preserve"> in income tax on workers. This research assumed that all spending switch to retail and not to other forms of gambling. Even if it is assumed that only half of the spending was switched, it would appear this could have a significant economic impact.</w:t>
      </w:r>
    </w:p>
    <w:p w14:paraId="2F2833E3" w14:textId="77777777" w:rsidR="007179EA" w:rsidRPr="005840A5" w:rsidRDefault="007179EA" w:rsidP="00E45B23"/>
    <w:p w14:paraId="345B57AB" w14:textId="77777777" w:rsidR="007179EA" w:rsidRDefault="007179EA" w:rsidP="00E45B23">
      <w:r w:rsidRPr="005840A5">
        <w:t>It is also clear that spending on gambling, especially NCGMs, is not spread evenly across our communities. This is at least partly due to access. More than 60</w:t>
      </w:r>
      <w:r w:rsidR="001461C6">
        <w:t> percent</w:t>
      </w:r>
      <w:r w:rsidRPr="005840A5">
        <w:t xml:space="preserve"> of NCGMs venues (the source of the highest risk of harmful gambling activity) are located in the most socioeconomically deprived areas (that is, the poorest areas of the country).</w:t>
      </w:r>
      <w:r w:rsidRPr="00E45B23">
        <w:rPr>
          <w:rStyle w:val="FootnoteReference"/>
          <w:rFonts w:eastAsia="MS Gothic"/>
        </w:rPr>
        <w:footnoteReference w:id="35"/>
      </w:r>
      <w:r w:rsidRPr="005840A5">
        <w:t xml:space="preserve"> People in these areas spend up to three</w:t>
      </w:r>
      <w:r w:rsidR="00046A83">
        <w:t> times</w:t>
      </w:r>
      <w:r w:rsidRPr="005840A5">
        <w:t xml:space="preserve"> as much on NCGMs as people in the least deprived area.</w:t>
      </w:r>
      <w:r w:rsidRPr="00E45B23">
        <w:rPr>
          <w:rStyle w:val="FootnoteReference"/>
          <w:rFonts w:eastAsia="MS Gothic"/>
        </w:rPr>
        <w:footnoteReference w:id="36"/>
      </w:r>
      <w:r w:rsidRPr="005840A5">
        <w:t xml:space="preserve"> While it is possible that people may gamble outside their neighbourhoods, there are significant associations between gambling behaviour and neighbourhood access to gambling venues. In particular, problem gambling has been found to be significantly associated with living closer to a gambling venue.</w:t>
      </w:r>
      <w:r w:rsidRPr="00E45B23">
        <w:rPr>
          <w:rStyle w:val="FootnoteReference"/>
          <w:rFonts w:eastAsia="MS Gothic"/>
        </w:rPr>
        <w:footnoteReference w:id="37"/>
      </w:r>
    </w:p>
    <w:p w14:paraId="2F3F0A8C" w14:textId="77777777" w:rsidR="00E45B23" w:rsidRPr="005840A5" w:rsidRDefault="00E45B23" w:rsidP="00E45B23"/>
    <w:p w14:paraId="20846504" w14:textId="77777777" w:rsidR="00BC6B27" w:rsidRDefault="007179EA" w:rsidP="00E45B23">
      <w:pPr>
        <w:pStyle w:val="Heading2"/>
      </w:pPr>
      <w:bookmarkStart w:id="56" w:name="_Toc2161779"/>
      <w:bookmarkStart w:id="57" w:name="_Toc76480853"/>
      <w:bookmarkStart w:id="58" w:name="_Toc89684385"/>
      <w:bookmarkStart w:id="59" w:name="_Toc9239590"/>
      <w:bookmarkStart w:id="60" w:name="_Toc90885042"/>
      <w:bookmarkEnd w:id="56"/>
      <w:r w:rsidRPr="002B5E56">
        <w:lastRenderedPageBreak/>
        <w:t>Service delivery 2019/20 to 2021/22</w:t>
      </w:r>
      <w:bookmarkEnd w:id="57"/>
      <w:bookmarkEnd w:id="58"/>
      <w:bookmarkEnd w:id="60"/>
    </w:p>
    <w:bookmarkEnd w:id="59"/>
    <w:p w14:paraId="12242139" w14:textId="77777777" w:rsidR="007179EA" w:rsidRPr="005840A5" w:rsidRDefault="007179EA" w:rsidP="00E45B23">
      <w:pPr>
        <w:keepNext/>
        <w:keepLines/>
      </w:pPr>
      <w:r w:rsidRPr="005840A5">
        <w:t>Every year, people seek help from services funded by the Ministry for harms due to their own or someone else</w:t>
      </w:r>
      <w:r w:rsidR="00BC6B27">
        <w:t>’</w:t>
      </w:r>
      <w:r w:rsidRPr="005840A5">
        <w:t>s gambling. In the 2020/21 year, over 6,605 people received treatment from Ministry-funded services for harms due to their own gambling.</w:t>
      </w:r>
      <w:r w:rsidRPr="00E45B23">
        <w:rPr>
          <w:rStyle w:val="FootnoteReference"/>
          <w:rFonts w:eastAsia="MS Gothic"/>
        </w:rPr>
        <w:footnoteReference w:id="38"/>
      </w:r>
      <w:r w:rsidRPr="005840A5">
        <w:t xml:space="preserve"> This is a small proportion of the 45,000 to 92,000 people that the </w:t>
      </w:r>
      <w:r>
        <w:t>analysis</w:t>
      </w:r>
      <w:r w:rsidRPr="005840A5">
        <w:t xml:space="preserve"> of 2020 HLS estimated were experiencing moderate to significant harms from their own gambling. In addition, between 144,000 and 230,000 New Zealand adults experienced at least one form of household-level gambling harm in the previous 12</w:t>
      </w:r>
      <w:r w:rsidR="0018228E">
        <w:t> months</w:t>
      </w:r>
      <w:r w:rsidRPr="005840A5">
        <w:t>. In the 20</w:t>
      </w:r>
      <w:r>
        <w:t>/21</w:t>
      </w:r>
      <w:r w:rsidRPr="005840A5">
        <w:t xml:space="preserve"> year, around 4,341 families or wh</w:t>
      </w:r>
      <w:r w:rsidRPr="005840A5">
        <w:rPr>
          <w:rFonts w:cs="Segoe UI"/>
        </w:rPr>
        <w:t>ā</w:t>
      </w:r>
      <w:r w:rsidRPr="005840A5">
        <w:t>nau and others received treatment from Ministry-funded services for issues related to someone else</w:t>
      </w:r>
      <w:r w:rsidR="00BC6B27">
        <w:t>’</w:t>
      </w:r>
      <w:r w:rsidRPr="005840A5">
        <w:t>s gambling.</w:t>
      </w:r>
    </w:p>
    <w:p w14:paraId="0F1B4839" w14:textId="77777777" w:rsidR="007179EA" w:rsidRPr="005840A5" w:rsidRDefault="007179EA" w:rsidP="0050352B"/>
    <w:p w14:paraId="24AE753F" w14:textId="0DF67C45" w:rsidR="00BC6B27" w:rsidRDefault="007179EA" w:rsidP="0050352B">
      <w:r w:rsidRPr="005840A5">
        <w:t xml:space="preserve">As </w:t>
      </w:r>
      <w:r w:rsidRPr="005840A5">
        <w:fldChar w:fldCharType="begin"/>
      </w:r>
      <w:r w:rsidRPr="005840A5">
        <w:instrText xml:space="preserve"> REF _Ref80858231 \h </w:instrText>
      </w:r>
      <w:r w:rsidRPr="005840A5">
        <w:fldChar w:fldCharType="separate"/>
      </w:r>
      <w:r w:rsidR="00451900" w:rsidRPr="005840A5">
        <w:t>Figure </w:t>
      </w:r>
      <w:r w:rsidR="00451900">
        <w:rPr>
          <w:noProof/>
        </w:rPr>
        <w:t>2</w:t>
      </w:r>
      <w:r w:rsidRPr="005840A5">
        <w:fldChar w:fldCharType="end"/>
      </w:r>
      <w:r w:rsidRPr="005840A5">
        <w:t xml:space="preserve"> below shows, there has been a general decrease in people accessing Ministry-funded services</w:t>
      </w:r>
      <w:r>
        <w:t xml:space="preserve"> </w:t>
      </w:r>
      <w:r>
        <w:rPr>
          <w:rFonts w:cs="Segoe UI"/>
          <w:szCs w:val="21"/>
        </w:rPr>
        <w:t>(excluding clients who only received brief interventions)</w:t>
      </w:r>
      <w:r w:rsidRPr="005840A5">
        <w:t xml:space="preserve">. </w:t>
      </w:r>
      <w:r>
        <w:t>Exclude brief intervention data</w:t>
      </w:r>
      <w:r w:rsidRPr="005840A5">
        <w:t xml:space="preserve"> </w:t>
      </w:r>
      <w:r>
        <w:t>makes t</w:t>
      </w:r>
      <w:r w:rsidRPr="005840A5">
        <w:t>his decrease</w:t>
      </w:r>
      <w:r>
        <w:t xml:space="preserve">s more obvious when we, and </w:t>
      </w:r>
      <w:r w:rsidRPr="005840A5">
        <w:t xml:space="preserve">results from a range of factors </w:t>
      </w:r>
      <w:r>
        <w:t xml:space="preserve">that </w:t>
      </w:r>
      <w:r w:rsidRPr="005840A5">
        <w:t xml:space="preserve">need to be addressed </w:t>
      </w:r>
      <w:r>
        <w:t>to improve service uptake.</w:t>
      </w:r>
      <w:r w:rsidRPr="005840A5">
        <w:t xml:space="preserve"> The Ministry</w:t>
      </w:r>
      <w:r w:rsidR="00BC6B27">
        <w:t>’</w:t>
      </w:r>
      <w:r w:rsidRPr="005840A5">
        <w:t xml:space="preserve">s suggestions for ways to address this issue are discussed in </w:t>
      </w:r>
      <w:r>
        <w:t>this</w:t>
      </w:r>
      <w:r w:rsidRPr="005840A5">
        <w:t xml:space="preserve"> </w:t>
      </w:r>
      <w:r>
        <w:t>proposals document.</w:t>
      </w:r>
    </w:p>
    <w:p w14:paraId="53D4B0C0" w14:textId="77777777" w:rsidR="0050352B" w:rsidRDefault="0050352B" w:rsidP="0050352B"/>
    <w:p w14:paraId="218D9ECD" w14:textId="1AC6B4D1" w:rsidR="007179EA" w:rsidRPr="00CE5718" w:rsidRDefault="007179EA" w:rsidP="0050352B">
      <w:pPr>
        <w:pStyle w:val="Figure"/>
      </w:pPr>
      <w:bookmarkStart w:id="61" w:name="_Ref80858231"/>
      <w:bookmarkStart w:id="62" w:name="_Toc80859091"/>
      <w:bookmarkStart w:id="63" w:name="_Toc89335314"/>
      <w:bookmarkStart w:id="64" w:name="_Toc90626995"/>
      <w:r w:rsidRPr="005840A5">
        <w:t>Figure </w:t>
      </w:r>
      <w:r w:rsidRPr="002414F8">
        <w:fldChar w:fldCharType="begin"/>
      </w:r>
      <w:r w:rsidRPr="005840A5">
        <w:instrText xml:space="preserve"> SEQ Figure \* ARABIC </w:instrText>
      </w:r>
      <w:r w:rsidRPr="002414F8">
        <w:fldChar w:fldCharType="separate"/>
      </w:r>
      <w:r w:rsidR="00451900">
        <w:rPr>
          <w:noProof/>
        </w:rPr>
        <w:t>2</w:t>
      </w:r>
      <w:r w:rsidRPr="002414F8">
        <w:fldChar w:fldCharType="end"/>
      </w:r>
      <w:bookmarkEnd w:id="61"/>
      <w:r w:rsidRPr="005840A5">
        <w:t>: Clients accessing Ministry-funded services (</w:t>
      </w:r>
      <w:r>
        <w:t>e</w:t>
      </w:r>
      <w:r w:rsidRPr="005840A5">
        <w:t xml:space="preserve">xcluding </w:t>
      </w:r>
      <w:r>
        <w:t>b</w:t>
      </w:r>
      <w:r w:rsidRPr="005840A5">
        <w:t xml:space="preserve">rief </w:t>
      </w:r>
      <w:r>
        <w:t>i</w:t>
      </w:r>
      <w:r w:rsidRPr="005840A5">
        <w:t>nterventions)</w:t>
      </w:r>
      <w:bookmarkEnd w:id="62"/>
      <w:bookmarkEnd w:id="63"/>
      <w:bookmarkEnd w:id="64"/>
    </w:p>
    <w:p w14:paraId="5111EB46" w14:textId="77777777" w:rsidR="007179EA" w:rsidRPr="005840A5" w:rsidRDefault="007179EA" w:rsidP="007179EA">
      <w:pPr>
        <w:widowControl w:val="0"/>
      </w:pPr>
      <w:r w:rsidRPr="005840A5">
        <w:rPr>
          <w:noProof/>
          <w:lang w:eastAsia="en-NZ"/>
        </w:rPr>
        <w:drawing>
          <wp:inline distT="0" distB="0" distL="0" distR="0" wp14:anchorId="0389D0A1" wp14:editId="59156995">
            <wp:extent cx="5158002" cy="2726575"/>
            <wp:effectExtent l="0" t="0" r="5080" b="0"/>
            <wp:docPr id="4" name="Picture 4" title="Figure 2: Clients accessing Ministry-funded services (excluding brief inter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l="2070" t="1802" r="1435" b="2102"/>
                    <a:stretch/>
                  </pic:blipFill>
                  <pic:spPr bwMode="auto">
                    <a:xfrm>
                      <a:off x="0" y="0"/>
                      <a:ext cx="5185625" cy="2741177"/>
                    </a:xfrm>
                    <a:prstGeom prst="rect">
                      <a:avLst/>
                    </a:prstGeom>
                    <a:noFill/>
                    <a:ln>
                      <a:noFill/>
                    </a:ln>
                    <a:extLst>
                      <a:ext uri="{53640926-AAD7-44D8-BBD7-CCE9431645EC}">
                        <a14:shadowObscured xmlns:a14="http://schemas.microsoft.com/office/drawing/2010/main"/>
                      </a:ext>
                    </a:extLst>
                  </pic:spPr>
                </pic:pic>
              </a:graphicData>
            </a:graphic>
          </wp:inline>
        </w:drawing>
      </w:r>
    </w:p>
    <w:p w14:paraId="377BBD3D" w14:textId="77777777" w:rsidR="007179EA" w:rsidRDefault="007179EA" w:rsidP="0050352B"/>
    <w:p w14:paraId="21179AB7" w14:textId="77777777" w:rsidR="007179EA" w:rsidRPr="005840A5" w:rsidRDefault="007179EA" w:rsidP="0050352B">
      <w:pPr>
        <w:pStyle w:val="Heading3"/>
      </w:pPr>
      <w:r>
        <w:lastRenderedPageBreak/>
        <w:t>S</w:t>
      </w:r>
      <w:r w:rsidRPr="005840A5">
        <w:t>ervices environment</w:t>
      </w:r>
    </w:p>
    <w:p w14:paraId="219711E2" w14:textId="77777777" w:rsidR="00BC6B27" w:rsidRDefault="007179EA" w:rsidP="0050352B">
      <w:pPr>
        <w:keepNext/>
        <w:keepLines/>
      </w:pPr>
      <w:r w:rsidRPr="005840A5">
        <w:t xml:space="preserve">The </w:t>
      </w:r>
      <w:r w:rsidR="001461C6">
        <w:t>COVID</w:t>
      </w:r>
      <w:r w:rsidR="001461C6">
        <w:noBreakHyphen/>
        <w:t>19</w:t>
      </w:r>
      <w:r w:rsidRPr="005840A5">
        <w:t xml:space="preserve"> pandemic and resulting public health restrictions, such as social distancing requirements, had a significant impact on the gambling-harm services environment. Face-to-face service provision decreased dramatically, leading to a rapid increase in virtual service provision (over the telephone or through online meetings). While this shift highlighted the adaptability of health service providers, it also exacerbated the negative impacts of the restrictions on people who do not have ready access to digital software.</w:t>
      </w:r>
    </w:p>
    <w:p w14:paraId="3B95D5CE" w14:textId="77777777" w:rsidR="007179EA" w:rsidRDefault="007179EA" w:rsidP="0050352B"/>
    <w:p w14:paraId="7E381D58" w14:textId="77777777" w:rsidR="007179EA" w:rsidRPr="005840A5" w:rsidRDefault="007179EA" w:rsidP="0050352B">
      <w:r w:rsidRPr="005840A5">
        <w:t xml:space="preserve">In addition to </w:t>
      </w:r>
      <w:r w:rsidR="001461C6">
        <w:t>COVID</w:t>
      </w:r>
      <w:r w:rsidR="001461C6">
        <w:noBreakHyphen/>
        <w:t>19</w:t>
      </w:r>
      <w:r w:rsidRPr="005840A5">
        <w:t>, there were a number of developments in the gambling-harm services environment over the 2019/20 to 2021/22 period.</w:t>
      </w:r>
    </w:p>
    <w:p w14:paraId="49CAAD2F" w14:textId="77777777" w:rsidR="007179EA" w:rsidRPr="00BC6B27" w:rsidRDefault="007179EA" w:rsidP="0050352B">
      <w:pPr>
        <w:pStyle w:val="Bullet"/>
      </w:pPr>
      <w:r w:rsidRPr="00BC6B27">
        <w:t>Funding for the national Multi-venue Exclusion (MVE) Administration Service continued, and a national framework and standardised process were developed. MVE is now available across the country. An electronic gambling exclusions database was also procured and is being trialled to facilitate the exclusion application process and collect the exclusion data.</w:t>
      </w:r>
    </w:p>
    <w:p w14:paraId="7F62B36B" w14:textId="77777777" w:rsidR="007179EA" w:rsidRPr="00BC6B27" w:rsidRDefault="007179EA" w:rsidP="0050352B">
      <w:pPr>
        <w:pStyle w:val="Bullet"/>
      </w:pPr>
      <w:bookmarkStart w:id="65" w:name="_Toc71550018"/>
      <w:r w:rsidRPr="00BC6B27">
        <w:t>Two new ways of working (service pilots) were introduced in the Waikato region: a PMGH service for Māori and one for Pacific peoples. Both services are based in Hamilton and are within organisations that are existing Whānau Ora providers (Te</w:t>
      </w:r>
      <w:r w:rsidR="0050352B">
        <w:t> </w:t>
      </w:r>
      <w:r w:rsidRPr="00BC6B27">
        <w:t>Kōhao Health and K</w:t>
      </w:r>
      <w:r w:rsidR="00BC6B27" w:rsidRPr="00BC6B27">
        <w:t>’</w:t>
      </w:r>
      <w:r w:rsidRPr="00BC6B27">
        <w:t>aute Pasifika Trust respectively).</w:t>
      </w:r>
    </w:p>
    <w:p w14:paraId="088A1DCA" w14:textId="77777777" w:rsidR="007179EA" w:rsidRPr="00BC6B27" w:rsidRDefault="007179EA" w:rsidP="0050352B">
      <w:pPr>
        <w:pStyle w:val="Bullet"/>
      </w:pPr>
      <w:r w:rsidRPr="00BC6B27">
        <w:t>A gambling harm lived experience advisory group was established to inform the Ministry</w:t>
      </w:r>
      <w:r w:rsidR="00BC6B27" w:rsidRPr="00BC6B27">
        <w:t>’</w:t>
      </w:r>
      <w:r w:rsidRPr="00BC6B27">
        <w:t>s gambling harm work programme.</w:t>
      </w:r>
    </w:p>
    <w:p w14:paraId="35A5830F" w14:textId="77777777" w:rsidR="00BC6B27" w:rsidRPr="00BC6B27" w:rsidRDefault="007179EA" w:rsidP="0050352B">
      <w:pPr>
        <w:pStyle w:val="Bullet"/>
      </w:pPr>
      <w:r w:rsidRPr="00BC6B27">
        <w:t>As of 10 May 2021, 40</w:t>
      </w:r>
      <w:r w:rsidR="001461C6">
        <w:t> percent</w:t>
      </w:r>
      <w:r w:rsidRPr="00BC6B27">
        <w:t xml:space="preserve"> of territorial authorities had sinking-lid policies in place for NCGMs, and a further 48</w:t>
      </w:r>
      <w:r w:rsidR="001461C6">
        <w:t> percent</w:t>
      </w:r>
      <w:r w:rsidRPr="00BC6B27">
        <w:t xml:space="preserve"> had caps on the number of venues and/or machines in their area. This shows an uptake in sinking lid policies compared with July 2019.</w:t>
      </w:r>
    </w:p>
    <w:p w14:paraId="29A1A487" w14:textId="77777777" w:rsidR="007179EA" w:rsidRPr="00BC6B27" w:rsidRDefault="007179EA" w:rsidP="0050352B">
      <w:pPr>
        <w:pStyle w:val="Bullet"/>
      </w:pPr>
      <w:r w:rsidRPr="00BC6B27">
        <w:t>As of 10 May 2021, a total of 27 of the 67 territorial authorities had reviewed their NCGM and TAB venue policies since 1 July 2019.</w:t>
      </w:r>
    </w:p>
    <w:p w14:paraId="39318CDC" w14:textId="77777777" w:rsidR="007179EA" w:rsidRPr="005840A5" w:rsidRDefault="007179EA" w:rsidP="0050352B"/>
    <w:p w14:paraId="3CF5A824" w14:textId="77777777" w:rsidR="007179EA" w:rsidRPr="005840A5" w:rsidRDefault="007179EA" w:rsidP="0050352B">
      <w:pPr>
        <w:pStyle w:val="Heading3"/>
      </w:pPr>
      <w:bookmarkStart w:id="66" w:name="_Toc71550019"/>
      <w:bookmarkStart w:id="67" w:name="_Toc76480856"/>
      <w:bookmarkEnd w:id="65"/>
      <w:r w:rsidRPr="005840A5">
        <w:t>Public health</w:t>
      </w:r>
      <w:bookmarkEnd w:id="66"/>
      <w:r w:rsidRPr="005840A5">
        <w:t xml:space="preserve"> provision in the 2019/20 to 2021/22 period</w:t>
      </w:r>
      <w:bookmarkEnd w:id="67"/>
    </w:p>
    <w:p w14:paraId="37404D36" w14:textId="77777777" w:rsidR="007179EA" w:rsidRPr="005840A5" w:rsidRDefault="007179EA" w:rsidP="0050352B">
      <w:r w:rsidRPr="005840A5">
        <w:t>Public health service providers continued to encourage the adoption of healthy gambling policies, and many providers led their community</w:t>
      </w:r>
      <w:r w:rsidR="00BC6B27">
        <w:t>’</w:t>
      </w:r>
      <w:r w:rsidRPr="005840A5">
        <w:t xml:space="preserve">s participation in territorial authority </w:t>
      </w:r>
      <w:r>
        <w:t>reviews of NCGM venue policy</w:t>
      </w:r>
      <w:r w:rsidRPr="005840A5">
        <w:t>. They also worked alongside other agencies and community groups to develop community action initiatives to increase community resiliency against gambling harm and engage</w:t>
      </w:r>
      <w:r>
        <w:t>d</w:t>
      </w:r>
      <w:r w:rsidRPr="005840A5">
        <w:t xml:space="preserve"> with their local gambling venues to support gambling harm minimisation practices and promote their services.</w:t>
      </w:r>
    </w:p>
    <w:p w14:paraId="38DEEC2E" w14:textId="77777777" w:rsidR="007179EA" w:rsidRPr="005840A5" w:rsidRDefault="007179EA" w:rsidP="0050352B"/>
    <w:p w14:paraId="5B177933" w14:textId="77777777" w:rsidR="007179EA" w:rsidRPr="005840A5" w:rsidRDefault="007179EA" w:rsidP="0050352B">
      <w:r w:rsidRPr="005840A5">
        <w:t>National and regional health service providers delivered a wide range of health promotion activities. These included raising awareness of the signs of gambling harm by delivering numerous presentations and workshops to organisations and groups, attending hundreds of community events and through online media communications, social media and resources.</w:t>
      </w:r>
    </w:p>
    <w:p w14:paraId="2E918739" w14:textId="77777777" w:rsidR="00BC6B27" w:rsidRDefault="007179EA" w:rsidP="0050352B">
      <w:pPr>
        <w:spacing w:before="240"/>
      </w:pPr>
      <w:r w:rsidRPr="005840A5">
        <w:lastRenderedPageBreak/>
        <w:t>Te Hiringa Hauora</w:t>
      </w:r>
      <w:r w:rsidR="00BC6B27">
        <w:t>’</w:t>
      </w:r>
      <w:r w:rsidRPr="005840A5">
        <w:t xml:space="preserve">s health promotion programme focuses on encouraging positive behaviour change among at-risk </w:t>
      </w:r>
      <w:r>
        <w:t xml:space="preserve">people who </w:t>
      </w:r>
      <w:r w:rsidRPr="005840A5">
        <w:t>gamble and raising awareness about the signs of harmful gambling and risky gambling behaviours. Developments led by Te</w:t>
      </w:r>
      <w:r w:rsidR="00046A83">
        <w:t> </w:t>
      </w:r>
      <w:r w:rsidRPr="005840A5">
        <w:t>Hiringa Hauora have included an increased focus on equity through a number of initiatives such as the rebranding of the national gambling campaign Choice Not Chance to Safer Gambling Aotearoa; development of South Auckland pilot campaigns and a new national campaign primarily focusing on Māori and Pacific communities. A</w:t>
      </w:r>
      <w:r w:rsidR="00046A83">
        <w:t> </w:t>
      </w:r>
      <w:r w:rsidRPr="005840A5">
        <w:t>review of the Gamble Host Responsibility project also led to a number of improvements, including Te Hiringa Hauora</w:t>
      </w:r>
      <w:r>
        <w:t xml:space="preserve"> working to </w:t>
      </w:r>
      <w:r w:rsidRPr="005840A5">
        <w:t>develop an online version of the host responsibility training and ethnic-specific resources</w:t>
      </w:r>
      <w:r>
        <w:t>.</w:t>
      </w:r>
    </w:p>
    <w:p w14:paraId="1FFD6C8D" w14:textId="77777777" w:rsidR="007179EA" w:rsidRPr="005840A5" w:rsidRDefault="007179EA" w:rsidP="0050352B"/>
    <w:p w14:paraId="583A24B4" w14:textId="77777777" w:rsidR="007179EA" w:rsidRPr="005840A5" w:rsidRDefault="007179EA" w:rsidP="0050352B">
      <w:r w:rsidRPr="005840A5">
        <w:t xml:space="preserve">During 2020, many planned promotional activities, including some Gambling Harm Awareness Week (GHAW) activities, did not proceed due to the </w:t>
      </w:r>
      <w:r w:rsidR="001461C6">
        <w:t>COVID</w:t>
      </w:r>
      <w:r w:rsidR="001461C6">
        <w:noBreakHyphen/>
        <w:t>19</w:t>
      </w:r>
      <w:r w:rsidRPr="005840A5">
        <w:t xml:space="preserve"> restrictions. Notable successes have included a relationship established with Kiwibank, resulting in gambling harm screening and referral training delivered to some of their debt recovery units; the development of a TXT2X (text to exclude) toolkit to promote the use of MVEs; and many community groups and venues supporting the Pause the Pokies campaign during GHAW.</w:t>
      </w:r>
    </w:p>
    <w:p w14:paraId="499EF22B" w14:textId="77777777" w:rsidR="007179EA" w:rsidRPr="005840A5" w:rsidRDefault="007179EA" w:rsidP="0050352B"/>
    <w:p w14:paraId="71BD4139" w14:textId="77777777" w:rsidR="007179EA" w:rsidRPr="005840A5" w:rsidRDefault="007179EA" w:rsidP="0050352B">
      <w:pPr>
        <w:pStyle w:val="Heading3"/>
      </w:pPr>
      <w:bookmarkStart w:id="68" w:name="_Toc71550021"/>
      <w:bookmarkStart w:id="69" w:name="_Toc76480857"/>
      <w:r w:rsidRPr="005840A5">
        <w:t>Service access</w:t>
      </w:r>
      <w:bookmarkEnd w:id="68"/>
      <w:bookmarkEnd w:id="69"/>
    </w:p>
    <w:p w14:paraId="047C0D3D" w14:textId="77777777" w:rsidR="00BC6B27" w:rsidRDefault="007179EA" w:rsidP="0050352B">
      <w:r w:rsidRPr="005840A5">
        <w:t xml:space="preserve">Analysis of Ministry gambling service administrative data to 2020/21 shows that the number of </w:t>
      </w:r>
      <w:r>
        <w:t>people who gamble</w:t>
      </w:r>
      <w:r w:rsidRPr="005840A5">
        <w:t xml:space="preserve"> seeking treatment continues to decline in Aotearoa New Zealand, despite the increase in real numbers of people experiencing gambling harm. In the 2020/21 year, 6,605 </w:t>
      </w:r>
      <w:r w:rsidR="00BC6B27">
        <w:t>‘</w:t>
      </w:r>
      <w:r w:rsidRPr="005840A5">
        <w:t>Gambler</w:t>
      </w:r>
      <w:r w:rsidR="00BC6B27">
        <w:t>’</w:t>
      </w:r>
      <w:r w:rsidRPr="005840A5">
        <w:t xml:space="preserve"> clients and 4,341 </w:t>
      </w:r>
      <w:r w:rsidR="00BC6B27">
        <w:t>‘</w:t>
      </w:r>
      <w:r w:rsidRPr="005840A5">
        <w:t>Family / Affected Other</w:t>
      </w:r>
      <w:r w:rsidR="00BC6B27">
        <w:t>’</w:t>
      </w:r>
      <w:r w:rsidRPr="005840A5">
        <w:t xml:space="preserve"> clients received gambling harm treatment services from a Ministry-funded provider. This decline is largely attributable to fewer new clients presenting to services, a factor exacerbated by the </w:t>
      </w:r>
      <w:r w:rsidR="001461C6">
        <w:t>COVID</w:t>
      </w:r>
      <w:r w:rsidR="001461C6">
        <w:noBreakHyphen/>
        <w:t>19</w:t>
      </w:r>
      <w:r w:rsidRPr="005840A5">
        <w:t xml:space="preserve"> restrictions.</w:t>
      </w:r>
      <w:r w:rsidR="00BC6B27">
        <w:t xml:space="preserve"> </w:t>
      </w:r>
      <w:r w:rsidRPr="005840A5">
        <w:t>There has been a slight uptick in clients in the 2020/21 year after a low in 2019/20.</w:t>
      </w:r>
      <w:r>
        <w:t xml:space="preserve"> </w:t>
      </w:r>
      <w:r w:rsidRPr="005840A5">
        <w:t>The number of existing clients receiving interventions has remained relatively static over the same period. The numbers of people seeking interventions has been relatively stable for several</w:t>
      </w:r>
      <w:r w:rsidR="0018228E">
        <w:t> years</w:t>
      </w:r>
      <w:r w:rsidRPr="005840A5">
        <w:t>.</w:t>
      </w:r>
    </w:p>
    <w:p w14:paraId="2614956F" w14:textId="77777777" w:rsidR="007179EA" w:rsidRPr="005840A5" w:rsidRDefault="007179EA" w:rsidP="0050352B"/>
    <w:p w14:paraId="7EB5869B" w14:textId="77777777" w:rsidR="007179EA" w:rsidRPr="005840A5" w:rsidRDefault="007179EA" w:rsidP="0050352B">
      <w:r w:rsidRPr="005840A5">
        <w:t xml:space="preserve">It is important to note that these statistics are population prevalence rates, and although they are static, the actual number of people impacted by gambling harm is increasing in line with population growth. </w:t>
      </w:r>
      <w:r>
        <w:t xml:space="preserve">The </w:t>
      </w:r>
      <w:r w:rsidRPr="005840A5">
        <w:t>needs assessment and outcomes monitoring reports show that only a minority of potential clients for gambling support services (that is, people whose reported harm results in a moderate to high PGSI score) actually access or present at these services.</w:t>
      </w:r>
      <w:r>
        <w:t xml:space="preserve"> L</w:t>
      </w:r>
      <w:r w:rsidRPr="005840A5">
        <w:t>ow service use is also</w:t>
      </w:r>
      <w:r>
        <w:t xml:space="preserve"> observed </w:t>
      </w:r>
      <w:r w:rsidRPr="005840A5">
        <w:t>for other forms of addiction treatment.</w:t>
      </w:r>
    </w:p>
    <w:p w14:paraId="14F9ECDC" w14:textId="77777777" w:rsidR="007179EA" w:rsidRPr="005840A5" w:rsidRDefault="007179EA" w:rsidP="0050352B"/>
    <w:p w14:paraId="530073D6" w14:textId="77777777" w:rsidR="007179EA" w:rsidRPr="0050352B" w:rsidRDefault="007179EA" w:rsidP="0050352B">
      <w:pPr>
        <w:ind w:right="-142"/>
        <w:rPr>
          <w:spacing w:val="-2"/>
        </w:rPr>
      </w:pPr>
      <w:r w:rsidRPr="0050352B">
        <w:rPr>
          <w:spacing w:val="-2"/>
        </w:rPr>
        <w:t xml:space="preserve">The positive impact of the majority of PMGH gambling-harm services being located within Whānau Ora providers (Māori and Pacific) was highlighted during the </w:t>
      </w:r>
      <w:r w:rsidR="001461C6">
        <w:rPr>
          <w:spacing w:val="-2"/>
        </w:rPr>
        <w:t>COVID</w:t>
      </w:r>
      <w:r w:rsidR="001461C6">
        <w:rPr>
          <w:spacing w:val="-2"/>
        </w:rPr>
        <w:noBreakHyphen/>
        <w:t>19</w:t>
      </w:r>
      <w:r w:rsidRPr="0050352B">
        <w:rPr>
          <w:spacing w:val="-2"/>
        </w:rPr>
        <w:t xml:space="preserve"> lockdown period. Incorporating these services into the Whānau Ora framework during this time meant PMGH clients, their families and whānau and their wider communities were integrated into an organisation-wide support system that delivered health and social support, care packages and access to other services and support as required. However, improving intervention and service use rates remains a challenge. Further work is required to address systematic barriers to access based on ethnicity or socioeconomic status.</w:t>
      </w:r>
    </w:p>
    <w:p w14:paraId="5368B042" w14:textId="77777777" w:rsidR="007179EA" w:rsidRPr="0003777A" w:rsidRDefault="007179EA" w:rsidP="00084ABC">
      <w:pPr>
        <w:pStyle w:val="Heading1"/>
      </w:pPr>
      <w:bookmarkStart w:id="70" w:name="_The_strategic_plan"/>
      <w:bookmarkStart w:id="71" w:name="_Toc89684386"/>
      <w:bookmarkStart w:id="72" w:name="_Toc90885043"/>
      <w:bookmarkEnd w:id="70"/>
      <w:r w:rsidRPr="008A4095">
        <w:lastRenderedPageBreak/>
        <w:t xml:space="preserve">The </w:t>
      </w:r>
      <w:r>
        <w:t>strategic plan</w:t>
      </w:r>
      <w:bookmarkEnd w:id="71"/>
      <w:bookmarkEnd w:id="72"/>
    </w:p>
    <w:p w14:paraId="723EB3CF" w14:textId="77777777" w:rsidR="007179EA" w:rsidRPr="002470A9" w:rsidRDefault="007179EA" w:rsidP="007865BA">
      <w:pPr>
        <w:pStyle w:val="Heading2"/>
      </w:pPr>
      <w:bookmarkStart w:id="73" w:name="_Toc89684387"/>
      <w:bookmarkStart w:id="74" w:name="_Toc90885044"/>
      <w:r>
        <w:t>The s</w:t>
      </w:r>
      <w:r w:rsidRPr="002470A9">
        <w:t xml:space="preserve">trategic </w:t>
      </w:r>
      <w:r w:rsidRPr="0058623F">
        <w:t>environment</w:t>
      </w:r>
      <w:bookmarkEnd w:id="73"/>
      <w:bookmarkEnd w:id="74"/>
    </w:p>
    <w:p w14:paraId="6A84F240" w14:textId="77777777" w:rsidR="007179EA" w:rsidRPr="00B12E9D" w:rsidRDefault="007179EA" w:rsidP="007865BA">
      <w:pPr>
        <w:pStyle w:val="Heading3"/>
      </w:pPr>
      <w:bookmarkStart w:id="75" w:name="_Hlk89164859"/>
      <w:r w:rsidRPr="00B12E9D">
        <w:t>The Gambling Act</w:t>
      </w:r>
    </w:p>
    <w:p w14:paraId="094E6A61" w14:textId="77777777" w:rsidR="007179EA" w:rsidRDefault="007179EA" w:rsidP="007865BA">
      <w:r w:rsidRPr="00C93899">
        <w:t>The</w:t>
      </w:r>
      <w:r>
        <w:t xml:space="preserve"> Gambling</w:t>
      </w:r>
      <w:r w:rsidRPr="00C93899">
        <w:t xml:space="preserve"> </w:t>
      </w:r>
      <w:r>
        <w:t>Act</w:t>
      </w:r>
      <w:r w:rsidRPr="00C93899">
        <w:t xml:space="preserve"> </w:t>
      </w:r>
      <w:r>
        <w:t xml:space="preserve">2003 (the Act) </w:t>
      </w:r>
      <w:r w:rsidRPr="00C93899">
        <w:t>recognises that gambling harm is a significant i</w:t>
      </w:r>
      <w:r>
        <w:t>ssue and requires the development and implementation</w:t>
      </w:r>
      <w:r w:rsidRPr="00C93899">
        <w:t xml:space="preserve"> of an </w:t>
      </w:r>
      <w:r w:rsidR="00BC6B27">
        <w:t>‘</w:t>
      </w:r>
      <w:r w:rsidRPr="00C93899">
        <w:t xml:space="preserve">integrated problem gambling </w:t>
      </w:r>
      <w:r>
        <w:t>strategy</w:t>
      </w:r>
      <w:r w:rsidRPr="00C93899">
        <w:t xml:space="preserve"> focused on public health</w:t>
      </w:r>
      <w:r w:rsidR="00BC6B27">
        <w:t>’</w:t>
      </w:r>
      <w:r>
        <w:t xml:space="preserve">. </w:t>
      </w:r>
      <w:r w:rsidRPr="00C93899">
        <w:t xml:space="preserve">The Act specifies </w:t>
      </w:r>
      <w:r>
        <w:t xml:space="preserve">that this strategy must be informed by </w:t>
      </w:r>
      <w:r w:rsidRPr="00C93899">
        <w:t>a needs assessment</w:t>
      </w:r>
      <w:r>
        <w:t xml:space="preserve"> and include</w:t>
      </w:r>
      <w:r w:rsidRPr="00C93899">
        <w:t xml:space="preserve"> measures to promote public health, services to treat and assist </w:t>
      </w:r>
      <w:r>
        <w:t xml:space="preserve">people who experience gambling harm </w:t>
      </w:r>
      <w:r w:rsidRPr="00C93899">
        <w:t>and their families</w:t>
      </w:r>
      <w:r>
        <w:t xml:space="preserve"> and </w:t>
      </w:r>
      <w:r w:rsidRPr="00C93899">
        <w:t>whānau, independent scientific research and evaluation.</w:t>
      </w:r>
    </w:p>
    <w:p w14:paraId="2053B8A6" w14:textId="77777777" w:rsidR="007179EA" w:rsidRDefault="007179EA" w:rsidP="007865BA"/>
    <w:p w14:paraId="46DF6EA1" w14:textId="77777777" w:rsidR="007179EA" w:rsidRPr="00CE3865" w:rsidRDefault="007179EA" w:rsidP="007865BA">
      <w:pPr>
        <w:pStyle w:val="Heading3"/>
      </w:pPr>
      <w:r w:rsidRPr="00CE3865">
        <w:t>The Ministry of Health role</w:t>
      </w:r>
    </w:p>
    <w:p w14:paraId="04A3E46B" w14:textId="77777777" w:rsidR="007179EA" w:rsidRPr="00CE3865" w:rsidRDefault="007179EA" w:rsidP="007865BA">
      <w:r w:rsidRPr="006E4C1A">
        <w:t xml:space="preserve">The Ministry is responsible for an integrated strategy to prevent and minimise gambling harm </w:t>
      </w:r>
      <w:r w:rsidRPr="00C41C1E">
        <w:t xml:space="preserve">(the </w:t>
      </w:r>
      <w:r>
        <w:t>s</w:t>
      </w:r>
      <w:r w:rsidRPr="00C41C1E">
        <w:t xml:space="preserve">trategy). Section 317 states the </w:t>
      </w:r>
      <w:r>
        <w:t>s</w:t>
      </w:r>
      <w:r w:rsidRPr="00C41C1E">
        <w:t>trategy must include:</w:t>
      </w:r>
    </w:p>
    <w:p w14:paraId="1E7E8CC1" w14:textId="77777777" w:rsidR="007179EA" w:rsidRPr="00BC6B27" w:rsidRDefault="00046A83" w:rsidP="00046A83">
      <w:pPr>
        <w:pStyle w:val="Letter"/>
      </w:pPr>
      <w:r>
        <w:t>a.</w:t>
      </w:r>
      <w:r>
        <w:tab/>
      </w:r>
      <w:r w:rsidR="007179EA" w:rsidRPr="00BC6B27">
        <w:t>measures to promote public health by preventing and minimising the harm from gambling;</w:t>
      </w:r>
    </w:p>
    <w:p w14:paraId="77EA7E35" w14:textId="77777777" w:rsidR="007179EA" w:rsidRPr="00BC6B27" w:rsidRDefault="00046A83" w:rsidP="00046A83">
      <w:pPr>
        <w:pStyle w:val="Letter"/>
      </w:pPr>
      <w:r>
        <w:t>b.</w:t>
      </w:r>
      <w:r>
        <w:tab/>
      </w:r>
      <w:r w:rsidR="007179EA" w:rsidRPr="00BC6B27">
        <w:t>services to treat and assist problem gamblers and their families/whānau;</w:t>
      </w:r>
    </w:p>
    <w:p w14:paraId="79F8BCFF" w14:textId="77777777" w:rsidR="007179EA" w:rsidRPr="00BC6B27" w:rsidRDefault="00046A83" w:rsidP="00046A83">
      <w:pPr>
        <w:pStyle w:val="Letter"/>
      </w:pPr>
      <w:r>
        <w:t>c.</w:t>
      </w:r>
      <w:r>
        <w:tab/>
      </w:r>
      <w:r w:rsidR="007179EA" w:rsidRPr="00BC6B27">
        <w:t>independent scientific research associated with gambling, including (for example) longitudinal research on the social and economic impacts of gambling, particularly the impacts of gambling on different cultural groups; and</w:t>
      </w:r>
    </w:p>
    <w:p w14:paraId="56778BAE" w14:textId="77777777" w:rsidR="007179EA" w:rsidRPr="00BC6B27" w:rsidRDefault="00046A83" w:rsidP="00046A83">
      <w:pPr>
        <w:pStyle w:val="Letter"/>
      </w:pPr>
      <w:r>
        <w:t>d.</w:t>
      </w:r>
      <w:r>
        <w:tab/>
      </w:r>
      <w:r w:rsidR="007179EA" w:rsidRPr="00BC6B27">
        <w:t>evaluation.</w:t>
      </w:r>
    </w:p>
    <w:p w14:paraId="43367498" w14:textId="77777777" w:rsidR="007179EA" w:rsidRDefault="007179EA" w:rsidP="007865BA"/>
    <w:p w14:paraId="1B23B1A7" w14:textId="77777777" w:rsidR="007179EA" w:rsidRDefault="007179EA" w:rsidP="007865BA">
      <w:r w:rsidRPr="00C93899">
        <w:t>The Ministry</w:t>
      </w:r>
      <w:r>
        <w:t xml:space="preserve"> of Health (the Ministry) </w:t>
      </w:r>
      <w:r w:rsidRPr="00C93899">
        <w:t xml:space="preserve">is responsible for </w:t>
      </w:r>
      <w:r>
        <w:t xml:space="preserve">developing the </w:t>
      </w:r>
      <w:r>
        <w:rPr>
          <w:rFonts w:eastAsia="Calibri"/>
        </w:rPr>
        <w:t>strategy to Prevent and Minimise Gambling Harm</w:t>
      </w:r>
      <w:r>
        <w:t xml:space="preserve"> (the strategy) and implementing services mandated by the strategy. The annual and three-year funding requirements to deliver the strategy are outlined in the draft service plan, alongside the proposed services and investments. These cost estimates are used to inform the development of the problem gambling levy on the gambling industry.</w:t>
      </w:r>
    </w:p>
    <w:p w14:paraId="4363239E" w14:textId="77777777" w:rsidR="007179EA" w:rsidRDefault="007179EA" w:rsidP="007865BA"/>
    <w:p w14:paraId="4D5A36F8" w14:textId="77777777" w:rsidR="007179EA" w:rsidRDefault="007179EA" w:rsidP="007865BA">
      <w:pPr>
        <w:rPr>
          <w:szCs w:val="22"/>
        </w:rPr>
      </w:pPr>
      <w:r w:rsidRPr="00E312E8">
        <w:t xml:space="preserve">The Ministry receives funding through Vote Health to develop and implement the </w:t>
      </w:r>
      <w:r>
        <w:t>strategy</w:t>
      </w:r>
      <w:r w:rsidRPr="00E312E8">
        <w:t xml:space="preserve">. The Crown then recovers the cost of this appropriation through a </w:t>
      </w:r>
      <w:r w:rsidR="00BC6B27">
        <w:t>‘</w:t>
      </w:r>
      <w:r w:rsidRPr="00E312E8">
        <w:t>problem gambling levy</w:t>
      </w:r>
      <w:r w:rsidR="00BC6B27">
        <w:t>’</w:t>
      </w:r>
      <w:r w:rsidRPr="00E312E8">
        <w:t xml:space="preserve"> </w:t>
      </w:r>
      <w:r>
        <w:t xml:space="preserve">set on four types of </w:t>
      </w:r>
      <w:r w:rsidRPr="00E312E8">
        <w:t>gambling</w:t>
      </w:r>
      <w:r>
        <w:t xml:space="preserve">: </w:t>
      </w:r>
      <w:r>
        <w:rPr>
          <w:szCs w:val="22"/>
        </w:rPr>
        <w:t>non-casino gaming machines (NCGM), casinos, the TAB New Zealand (TABNZ) and New Zealand Lotteries Commission (Lotto New Zealand).</w:t>
      </w:r>
    </w:p>
    <w:p w14:paraId="18FBA861" w14:textId="77777777" w:rsidR="007865BA" w:rsidRDefault="007865BA" w:rsidP="007865BA"/>
    <w:bookmarkEnd w:id="75"/>
    <w:p w14:paraId="09775461" w14:textId="77777777" w:rsidR="00BC6B27" w:rsidRDefault="007179EA" w:rsidP="007865BA">
      <w:pPr>
        <w:pStyle w:val="Heading3"/>
      </w:pPr>
      <w:r w:rsidRPr="00B12E9D">
        <w:lastRenderedPageBreak/>
        <w:t>Department of Internal Affairs</w:t>
      </w:r>
    </w:p>
    <w:p w14:paraId="41ECB720" w14:textId="77777777" w:rsidR="00BC6B27" w:rsidRDefault="007179EA" w:rsidP="007865BA">
      <w:r w:rsidRPr="004E7385">
        <w:t>The Department of Internal Affairs (DIA) is the main gambling regulator and policy advisor to the Government on gambling regulatory issues. DIA administers the Act and its regulations. DIA</w:t>
      </w:r>
      <w:r w:rsidR="00BC6B27">
        <w:t>’</w:t>
      </w:r>
      <w:r w:rsidRPr="004E7385">
        <w:t>s</w:t>
      </w:r>
      <w:r w:rsidRPr="00860FA0">
        <w:t xml:space="preserve"> role includes key regulatory aspects o</w:t>
      </w:r>
      <w:r w:rsidRPr="004E7385">
        <w:t>f gambling harm prevention and minimisation,</w:t>
      </w:r>
      <w:r w:rsidRPr="004E7385" w:rsidDel="00A01725">
        <w:t xml:space="preserve"> </w:t>
      </w:r>
      <w:r w:rsidRPr="004E7385">
        <w:t>including:</w:t>
      </w:r>
    </w:p>
    <w:p w14:paraId="313A0EB5" w14:textId="77777777" w:rsidR="007179EA" w:rsidRPr="00BC6B27" w:rsidRDefault="007179EA" w:rsidP="007865BA">
      <w:pPr>
        <w:pStyle w:val="Bullet"/>
      </w:pPr>
      <w:r w:rsidRPr="00BC6B27">
        <w:t>issuing licences for gambling activities</w:t>
      </w:r>
    </w:p>
    <w:p w14:paraId="1B53058E" w14:textId="77777777" w:rsidR="00BC6B27" w:rsidRPr="00BC6B27" w:rsidRDefault="007179EA" w:rsidP="007865BA">
      <w:pPr>
        <w:pStyle w:val="Bullet"/>
      </w:pPr>
      <w:r w:rsidRPr="00BC6B27">
        <w:t>regulating gambling operators to ensure that they comply with the legislative requirements, for example DIA conducts inspections of gambling venues to assess whether the harm minimisation provisions are being implemented</w:t>
      </w:r>
    </w:p>
    <w:p w14:paraId="5B08DD38" w14:textId="77777777" w:rsidR="007179EA" w:rsidRPr="00BC6B27" w:rsidRDefault="007179EA" w:rsidP="007865BA">
      <w:pPr>
        <w:pStyle w:val="Bullet"/>
      </w:pPr>
      <w:r w:rsidRPr="00BC6B27">
        <w:t>working with the gambling industry sector to encourage best practice, and</w:t>
      </w:r>
    </w:p>
    <w:p w14:paraId="7E1B95DE" w14:textId="77777777" w:rsidR="007179EA" w:rsidRPr="00BC6B27" w:rsidRDefault="007179EA" w:rsidP="007865BA">
      <w:pPr>
        <w:pStyle w:val="Bullet"/>
      </w:pPr>
      <w:r w:rsidRPr="00BC6B27">
        <w:t>publishing gambling data, for example on expenditure.</w:t>
      </w:r>
    </w:p>
    <w:p w14:paraId="03514E67" w14:textId="77777777" w:rsidR="007179EA" w:rsidRDefault="007179EA" w:rsidP="007865BA"/>
    <w:p w14:paraId="6139767F" w14:textId="77777777" w:rsidR="007179EA" w:rsidRDefault="007179EA" w:rsidP="007865BA">
      <w:r>
        <w:t xml:space="preserve">DIA also </w:t>
      </w:r>
      <w:r w:rsidRPr="00C10A99">
        <w:t>issues licences for gambling activities, ensures compliance with the legislation</w:t>
      </w:r>
      <w:r>
        <w:t>, works with the gambling sector to encourage best practice</w:t>
      </w:r>
      <w:r w:rsidRPr="00C10A99">
        <w:t xml:space="preserve"> and publishes statistical and other information concerning gambling</w:t>
      </w:r>
      <w:r>
        <w:t>. It is also responsible for limiting the opportunities for crime and dishonesty associated with gambling and ensuring gambling proceeds benefit the community.</w:t>
      </w:r>
    </w:p>
    <w:p w14:paraId="7483BF00" w14:textId="77777777" w:rsidR="007865BA" w:rsidRDefault="007865BA" w:rsidP="007865BA"/>
    <w:p w14:paraId="7D43642C" w14:textId="77777777" w:rsidR="007179EA" w:rsidRPr="00B12E9D" w:rsidRDefault="007179EA" w:rsidP="007865BA">
      <w:pPr>
        <w:pStyle w:val="Heading3"/>
      </w:pPr>
      <w:r w:rsidRPr="00B12E9D">
        <w:t>Te Hiringa Hauora – Health Promotion Agency</w:t>
      </w:r>
    </w:p>
    <w:p w14:paraId="1D66F1E2" w14:textId="77777777" w:rsidR="007179EA" w:rsidRDefault="007179EA" w:rsidP="007865BA">
      <w:r>
        <w:t>Te Hiringa Hauora – Health Promotion Agency (Te Hiringa Hauora) does not have a statutory role in gambling prevention and harm minimisation under the Act, but its mandate is to promote health and wellbeing and encourage healthy lifestyles. Te Hiringa Hauora is funded under the current strategy to deliver an education and awareness work programme to prevent and minimise gambling harm. Te Hiringa Hauora work closely with the Ministry in this area, which is complementary to many other activities in both agencies.</w:t>
      </w:r>
    </w:p>
    <w:p w14:paraId="115A355C" w14:textId="77777777" w:rsidR="007179EA" w:rsidRDefault="007179EA" w:rsidP="007865BA"/>
    <w:p w14:paraId="4CBDBE1F" w14:textId="5B946B87" w:rsidR="007179EA" w:rsidRDefault="007179EA" w:rsidP="007865BA">
      <w:r w:rsidRPr="00634072">
        <w:t xml:space="preserve">The proposed strategic framework, which is described in more detail in </w:t>
      </w:r>
      <w:hyperlink w:anchor="_2_The_strategic" w:history="1">
        <w:r w:rsidRPr="00634072">
          <w:rPr>
            <w:rStyle w:val="Hyperlink"/>
          </w:rPr>
          <w:t>section 3</w:t>
        </w:r>
      </w:hyperlink>
      <w:r w:rsidRPr="00634072">
        <w:t xml:space="preserve"> and shown in </w:t>
      </w:r>
      <w:r w:rsidR="00204811">
        <w:fldChar w:fldCharType="begin"/>
      </w:r>
      <w:r w:rsidR="00204811">
        <w:instrText xml:space="preserve"> REF _Ref90628942 \h </w:instrText>
      </w:r>
      <w:r w:rsidR="00204811">
        <w:fldChar w:fldCharType="separate"/>
      </w:r>
      <w:r w:rsidR="00451900">
        <w:t>Figure </w:t>
      </w:r>
      <w:r w:rsidR="00451900">
        <w:rPr>
          <w:noProof/>
        </w:rPr>
        <w:t>4</w:t>
      </w:r>
      <w:r w:rsidR="00204811">
        <w:fldChar w:fldCharType="end"/>
      </w:r>
      <w:r w:rsidR="00204811">
        <w:t xml:space="preserve"> </w:t>
      </w:r>
      <w:r w:rsidRPr="00634072">
        <w:t>describes a set of complementary action areas, led by the Ministry of Health, DIA and Te Hiringa Hauora, according to each agency</w:t>
      </w:r>
      <w:r w:rsidR="00BC6B27">
        <w:t>’</w:t>
      </w:r>
      <w:r w:rsidRPr="00634072">
        <w:t>s core mandate. The figure shows priority action areas that are delivered jointly. This collaborative and coordinated approach is essential to the effective prevention and minimisation of gambling harm.</w:t>
      </w:r>
    </w:p>
    <w:p w14:paraId="263391D7" w14:textId="77777777" w:rsidR="007865BA" w:rsidRDefault="007865BA" w:rsidP="007865BA"/>
    <w:p w14:paraId="236EB222" w14:textId="77777777" w:rsidR="007179EA" w:rsidRDefault="007179EA" w:rsidP="007865BA">
      <w:pPr>
        <w:pStyle w:val="Heading3"/>
      </w:pPr>
      <w:r>
        <w:t xml:space="preserve">Territorial </w:t>
      </w:r>
      <w:r w:rsidR="007865BA">
        <w:t>a</w:t>
      </w:r>
      <w:r>
        <w:t>uthorities</w:t>
      </w:r>
    </w:p>
    <w:p w14:paraId="68B491B3" w14:textId="77777777" w:rsidR="00BC6B27" w:rsidRDefault="007179EA" w:rsidP="007865BA">
      <w:r>
        <w:t>Under the Gambling Act 2003 and the Racing Industry Act 2020, territorial authorities are required to develop, review and apply policies on non-casino gaming machines venues and TAB venues in their area.</w:t>
      </w:r>
      <w:r w:rsidRPr="007865BA">
        <w:rPr>
          <w:rStyle w:val="FootnoteReference"/>
        </w:rPr>
        <w:footnoteReference w:id="39"/>
      </w:r>
    </w:p>
    <w:p w14:paraId="72466793" w14:textId="77777777" w:rsidR="007865BA" w:rsidRDefault="007865BA" w:rsidP="007865BA"/>
    <w:p w14:paraId="120073A8" w14:textId="77777777" w:rsidR="007179EA" w:rsidRDefault="007179EA" w:rsidP="007865BA">
      <w:pPr>
        <w:pStyle w:val="Heading3"/>
      </w:pPr>
      <w:r>
        <w:lastRenderedPageBreak/>
        <w:t>Gambling Commission</w:t>
      </w:r>
    </w:p>
    <w:p w14:paraId="3661B43F" w14:textId="77777777" w:rsidR="00BC6B27" w:rsidRDefault="007179EA" w:rsidP="007865BA">
      <w:r w:rsidRPr="004E7385">
        <w:t xml:space="preserve">The Gambling Commission </w:t>
      </w:r>
      <w:r>
        <w:t>also</w:t>
      </w:r>
      <w:r w:rsidRPr="00860FA0">
        <w:t xml:space="preserve"> hears casino licensing applications</w:t>
      </w:r>
      <w:r>
        <w:t xml:space="preserve"> (which include harm minimisation plans</w:t>
      </w:r>
      <w:r w:rsidR="007865BA">
        <w:t>)</w:t>
      </w:r>
      <w:r w:rsidRPr="007865BA">
        <w:rPr>
          <w:rStyle w:val="FootnoteReference"/>
        </w:rPr>
        <w:footnoteReference w:id="40"/>
      </w:r>
      <w:r w:rsidRPr="00860FA0">
        <w:t xml:space="preserve"> and appeals on licensing and enforcement decisions made by the Secretary of Internal Affairs in relation to gaming machines and other non-casino gambling activities.</w:t>
      </w:r>
    </w:p>
    <w:p w14:paraId="5D4CA1E9" w14:textId="77777777" w:rsidR="007179EA" w:rsidRPr="006652CC" w:rsidRDefault="007179EA" w:rsidP="007865BA"/>
    <w:p w14:paraId="5FEC5D5B" w14:textId="77777777" w:rsidR="007179EA" w:rsidRDefault="007179EA" w:rsidP="007865BA">
      <w:pPr>
        <w:pStyle w:val="Heading3"/>
      </w:pPr>
      <w:bookmarkStart w:id="76" w:name="_Toc78882257"/>
      <w:bookmarkStart w:id="77" w:name="_Toc80965829"/>
      <w:r>
        <w:t>Gambling Harm</w:t>
      </w:r>
      <w:bookmarkEnd w:id="76"/>
      <w:bookmarkEnd w:id="77"/>
      <w:r>
        <w:t xml:space="preserve"> Needs Assessment 2021</w:t>
      </w:r>
    </w:p>
    <w:p w14:paraId="09C6539D" w14:textId="77777777" w:rsidR="007179EA" w:rsidRDefault="007179EA" w:rsidP="007865BA">
      <w:r>
        <w:t xml:space="preserve">In </w:t>
      </w:r>
      <w:r w:rsidRPr="00DA1387">
        <w:t xml:space="preserve">2020, </w:t>
      </w:r>
      <w:r>
        <w:t xml:space="preserve">the Ministry </w:t>
      </w:r>
      <w:r w:rsidRPr="00DA1387">
        <w:t xml:space="preserve">commissioned </w:t>
      </w:r>
      <w:r>
        <w:t xml:space="preserve">an independent </w:t>
      </w:r>
      <w:r w:rsidRPr="00DA1387">
        <w:t xml:space="preserve">needs assessment to inform the development of the </w:t>
      </w:r>
      <w:r>
        <w:t>s</w:t>
      </w:r>
      <w:r w:rsidRPr="00DA1387">
        <w:t>trategy</w:t>
      </w:r>
      <w:r>
        <w:t>, b</w:t>
      </w:r>
      <w:r w:rsidRPr="00DA1387">
        <w:t xml:space="preserve">ased on interviews with </w:t>
      </w:r>
      <w:r>
        <w:t>a cross</w:t>
      </w:r>
      <w:r w:rsidR="00046A83">
        <w:t>-</w:t>
      </w:r>
      <w:r>
        <w:t xml:space="preserve">section of </w:t>
      </w:r>
      <w:r w:rsidRPr="00DA1387">
        <w:t>key</w:t>
      </w:r>
      <w:r>
        <w:t xml:space="preserve"> stakeholders, </w:t>
      </w:r>
      <w:r w:rsidRPr="00DA1387">
        <w:t>a service provider</w:t>
      </w:r>
      <w:r>
        <w:t xml:space="preserve"> s</w:t>
      </w:r>
      <w:r w:rsidRPr="00DA1387">
        <w:t xml:space="preserve">urvey and </w:t>
      </w:r>
      <w:r>
        <w:t xml:space="preserve">a </w:t>
      </w:r>
      <w:r w:rsidRPr="00DA1387">
        <w:t>literature review</w:t>
      </w:r>
      <w:r>
        <w:t>. The key</w:t>
      </w:r>
      <w:r w:rsidRPr="00DA1387">
        <w:t xml:space="preserve"> f</w:t>
      </w:r>
      <w:r>
        <w:t>indings were:</w:t>
      </w:r>
    </w:p>
    <w:p w14:paraId="18826290" w14:textId="77777777" w:rsidR="007179EA" w:rsidRDefault="007179EA" w:rsidP="007865BA">
      <w:pPr>
        <w:pStyle w:val="Bullet"/>
      </w:pPr>
      <w:r w:rsidRPr="00DA1387">
        <w:t>Most people gamble for leisure and recreation. All forms of gambling remain widely accessible</w:t>
      </w:r>
      <w:r>
        <w:t xml:space="preserve"> and </w:t>
      </w:r>
      <w:r w:rsidRPr="00DA1387">
        <w:t>access to online gambling for money has increased.</w:t>
      </w:r>
    </w:p>
    <w:p w14:paraId="5D0BEE73" w14:textId="77777777" w:rsidR="00BC6B27" w:rsidRDefault="007179EA" w:rsidP="007865BA">
      <w:pPr>
        <w:pStyle w:val="Bullet"/>
      </w:pPr>
      <w:r>
        <w:t>Venue based g</w:t>
      </w:r>
      <w:r w:rsidRPr="00DA1387">
        <w:t xml:space="preserve">ambling expenditure decreased during </w:t>
      </w:r>
      <w:r w:rsidR="001461C6">
        <w:t>COVID</w:t>
      </w:r>
      <w:r w:rsidR="001461C6">
        <w:noBreakHyphen/>
        <w:t>19</w:t>
      </w:r>
      <w:r w:rsidRPr="00DA1387">
        <w:t xml:space="preserve"> lockdowns but returned to pre-COVID levels shortly after </w:t>
      </w:r>
      <w:r>
        <w:t xml:space="preserve">the </w:t>
      </w:r>
      <w:r w:rsidRPr="00DA1387">
        <w:t>lockdown</w:t>
      </w:r>
      <w:r>
        <w:t>s</w:t>
      </w:r>
      <w:r w:rsidRPr="00DA1387">
        <w:t xml:space="preserve"> lifted. Although gambling participation has decreased for the general population, harmful gambling prevalence has not </w:t>
      </w:r>
      <w:r>
        <w:t>declined.</w:t>
      </w:r>
    </w:p>
    <w:p w14:paraId="2DC79E33" w14:textId="77777777" w:rsidR="007179EA" w:rsidRDefault="007179EA" w:rsidP="007865BA">
      <w:pPr>
        <w:pStyle w:val="Bullet"/>
      </w:pPr>
      <w:r>
        <w:t xml:space="preserve">Harms and risks from gambling remain widespread </w:t>
      </w:r>
      <w:r w:rsidRPr="00DA1387">
        <w:t xml:space="preserve">and </w:t>
      </w:r>
      <w:r>
        <w:t xml:space="preserve">are </w:t>
      </w:r>
      <w:r w:rsidRPr="00DA1387">
        <w:t>more prevalent among Māori, Pacific people</w:t>
      </w:r>
      <w:r>
        <w:t>s</w:t>
      </w:r>
      <w:r w:rsidRPr="00DA1387">
        <w:t xml:space="preserve"> and young people/rangatahi than </w:t>
      </w:r>
      <w:r>
        <w:t>among</w:t>
      </w:r>
      <w:r w:rsidRPr="00DA1387">
        <w:t xml:space="preserve"> other groups. Harmful gambling impact</w:t>
      </w:r>
      <w:r>
        <w:t>s</w:t>
      </w:r>
      <w:r w:rsidRPr="00DA1387">
        <w:t xml:space="preserve"> all aspects of wellbeing for individuals and their whānau.</w:t>
      </w:r>
      <w:r w:rsidRPr="004D5BCC">
        <w:t xml:space="preserve"> </w:t>
      </w:r>
      <w:r>
        <w:t>E</w:t>
      </w:r>
      <w:r w:rsidRPr="00DA1387">
        <w:t xml:space="preserve">vidence suggests </w:t>
      </w:r>
      <w:r>
        <w:t xml:space="preserve">that </w:t>
      </w:r>
      <w:r w:rsidRPr="00DA1387">
        <w:t>the costs</w:t>
      </w:r>
      <w:r>
        <w:t>,</w:t>
      </w:r>
      <w:r w:rsidRPr="00DA1387">
        <w:t xml:space="preserve"> </w:t>
      </w:r>
      <w:r>
        <w:t xml:space="preserve">in terms of </w:t>
      </w:r>
      <w:r w:rsidRPr="00DA1387">
        <w:t>individual, family and community harms associated with gambling</w:t>
      </w:r>
      <w:r>
        <w:t>,</w:t>
      </w:r>
      <w:r w:rsidRPr="00DA1387">
        <w:t xml:space="preserve"> outweigh the benefits</w:t>
      </w:r>
      <w:r>
        <w:t>,</w:t>
      </w:r>
      <w:r w:rsidRPr="00DA1387">
        <w:t xml:space="preserve"> </w:t>
      </w:r>
      <w:r>
        <w:t xml:space="preserve">such as </w:t>
      </w:r>
      <w:r w:rsidRPr="00DA1387">
        <w:t xml:space="preserve">employment and </w:t>
      </w:r>
      <w:r>
        <w:t xml:space="preserve">availability of </w:t>
      </w:r>
      <w:r w:rsidRPr="00DA1387">
        <w:t>community funding.</w:t>
      </w:r>
    </w:p>
    <w:p w14:paraId="5E0CDDFF" w14:textId="77777777" w:rsidR="00BC6B27" w:rsidRDefault="007179EA" w:rsidP="007865BA">
      <w:pPr>
        <w:pStyle w:val="Bullet"/>
      </w:pPr>
      <w:r w:rsidRPr="00DA1387">
        <w:t>The enablers and barriers to help</w:t>
      </w:r>
      <w:r>
        <w:t xml:space="preserve"> </w:t>
      </w:r>
      <w:r w:rsidRPr="00DA1387">
        <w:t>seeking have not changed significantly since the last needs assessment</w:t>
      </w:r>
      <w:r>
        <w:t>.</w:t>
      </w:r>
    </w:p>
    <w:p w14:paraId="2EAD66D0" w14:textId="77777777" w:rsidR="007179EA" w:rsidRDefault="007179EA" w:rsidP="007865BA"/>
    <w:p w14:paraId="4D4E17F9" w14:textId="77777777" w:rsidR="00BC6B27" w:rsidRDefault="007179EA" w:rsidP="007865BA">
      <w:r w:rsidRPr="00DA1387">
        <w:t xml:space="preserve">The </w:t>
      </w:r>
      <w:r>
        <w:t xml:space="preserve">Gambling Harm Needs Assessment 2021 (the </w:t>
      </w:r>
      <w:r w:rsidRPr="00DA1387">
        <w:t>needs assessment</w:t>
      </w:r>
      <w:r>
        <w:t>) also considered p</w:t>
      </w:r>
      <w:r w:rsidRPr="00DA1387">
        <w:t xml:space="preserve">rogress </w:t>
      </w:r>
      <w:r>
        <w:t xml:space="preserve">towards </w:t>
      </w:r>
      <w:r w:rsidRPr="00DA1387">
        <w:t xml:space="preserve">the </w:t>
      </w:r>
      <w:r>
        <w:t>s</w:t>
      </w:r>
      <w:r w:rsidRPr="00DA1387">
        <w:t xml:space="preserve">trategic </w:t>
      </w:r>
      <w:r>
        <w:t>o</w:t>
      </w:r>
      <w:r w:rsidRPr="00DA1387">
        <w:t xml:space="preserve">bjectives of the </w:t>
      </w:r>
      <w:r>
        <w:t>current strategy.</w:t>
      </w:r>
      <w:r w:rsidRPr="007865BA">
        <w:rPr>
          <w:rStyle w:val="FootnoteReference"/>
        </w:rPr>
        <w:footnoteReference w:id="41"/>
      </w:r>
      <w:r>
        <w:t xml:space="preserve"> It </w:t>
      </w:r>
      <w:r w:rsidRPr="000E5EE1">
        <w:t xml:space="preserve">recommended the Ministry </w:t>
      </w:r>
      <w:r>
        <w:t xml:space="preserve">could do better by </w:t>
      </w:r>
      <w:r w:rsidRPr="000E5EE1">
        <w:t>enhanc</w:t>
      </w:r>
      <w:r>
        <w:t xml:space="preserve">ing several areas </w:t>
      </w:r>
      <w:r w:rsidRPr="000E5EE1">
        <w:t>including a stronger focus on equity, service integration, workforce development, health promotion and research. The needs assessment findings have informed our proposed strategic plan and draft service plan</w:t>
      </w:r>
      <w:r>
        <w:t>.</w:t>
      </w:r>
    </w:p>
    <w:p w14:paraId="47FA8033" w14:textId="77777777" w:rsidR="007179EA" w:rsidRDefault="007179EA" w:rsidP="007865BA"/>
    <w:p w14:paraId="70150F13" w14:textId="77777777" w:rsidR="007179EA" w:rsidRDefault="007179EA" w:rsidP="007865BA">
      <w:r w:rsidRPr="007A2EFF">
        <w:t xml:space="preserve">More information about the </w:t>
      </w:r>
      <w:r>
        <w:t xml:space="preserve">needs assessment </w:t>
      </w:r>
      <w:r w:rsidRPr="007A2EFF">
        <w:t xml:space="preserve">can be </w:t>
      </w:r>
      <w:r w:rsidRPr="00462DA7">
        <w:t xml:space="preserve">found in </w:t>
      </w:r>
      <w:r>
        <w:t>the full report.</w:t>
      </w:r>
    </w:p>
    <w:p w14:paraId="72F030FA" w14:textId="77777777" w:rsidR="007865BA" w:rsidRDefault="007865BA" w:rsidP="007865BA"/>
    <w:p w14:paraId="0393E860" w14:textId="77777777" w:rsidR="007179EA" w:rsidRDefault="007179EA" w:rsidP="00160D32">
      <w:pPr>
        <w:pStyle w:val="Heading2"/>
      </w:pPr>
      <w:bookmarkStart w:id="78" w:name="_Toc89684388"/>
      <w:bookmarkStart w:id="79" w:name="_Toc90885045"/>
      <w:r>
        <w:lastRenderedPageBreak/>
        <w:t>Focusing on public health</w:t>
      </w:r>
      <w:bookmarkEnd w:id="78"/>
      <w:bookmarkEnd w:id="79"/>
    </w:p>
    <w:p w14:paraId="5C466099" w14:textId="77777777" w:rsidR="007179EA" w:rsidRDefault="007179EA" w:rsidP="00160D32">
      <w:pPr>
        <w:rPr>
          <w:rFonts w:eastAsia="Calibri"/>
        </w:rPr>
      </w:pPr>
      <w:r w:rsidRPr="00C73ACA">
        <w:rPr>
          <w:rFonts w:eastAsia="Calibri"/>
        </w:rPr>
        <w:t xml:space="preserve">The </w:t>
      </w:r>
      <w:r>
        <w:rPr>
          <w:rFonts w:eastAsia="Calibri"/>
        </w:rPr>
        <w:t>A</w:t>
      </w:r>
      <w:r w:rsidRPr="00C73ACA">
        <w:rPr>
          <w:rFonts w:eastAsia="Calibri"/>
        </w:rPr>
        <w:t xml:space="preserve">ct sets out requirements for an </w:t>
      </w:r>
      <w:r w:rsidR="00BC6B27">
        <w:rPr>
          <w:rFonts w:eastAsia="Calibri"/>
        </w:rPr>
        <w:t>‘</w:t>
      </w:r>
      <w:r w:rsidRPr="00C73ACA">
        <w:rPr>
          <w:rFonts w:eastAsia="Calibri"/>
        </w:rPr>
        <w:t xml:space="preserve">integrated problem gambling </w:t>
      </w:r>
      <w:r>
        <w:rPr>
          <w:rFonts w:eastAsia="Calibri"/>
        </w:rPr>
        <w:t>strategy</w:t>
      </w:r>
      <w:r w:rsidRPr="00C73ACA">
        <w:rPr>
          <w:rFonts w:eastAsia="Calibri"/>
        </w:rPr>
        <w:t xml:space="preserve"> focused on public health</w:t>
      </w:r>
      <w:r w:rsidR="00BC6B27">
        <w:rPr>
          <w:rFonts w:eastAsia="Calibri"/>
        </w:rPr>
        <w:t>’</w:t>
      </w:r>
      <w:r>
        <w:rPr>
          <w:rFonts w:eastAsia="Calibri"/>
        </w:rPr>
        <w:t>.</w:t>
      </w:r>
      <w:r w:rsidR="00BC6B27">
        <w:rPr>
          <w:rFonts w:eastAsia="Calibri"/>
        </w:rPr>
        <w:t xml:space="preserve"> </w:t>
      </w:r>
      <w:r>
        <w:rPr>
          <w:rFonts w:eastAsia="Calibri"/>
        </w:rPr>
        <w:t>Submissions strongly supported strengthening the public health measures in the strategy stressing the importance of harm prevention and early intervention and engaging with lived experience, Māori and priority populations to ensure public health activities will effectively reach those who need help and support.</w:t>
      </w:r>
    </w:p>
    <w:p w14:paraId="12F4B07E" w14:textId="77777777" w:rsidR="007179EA" w:rsidRDefault="007179EA" w:rsidP="00160D32">
      <w:pPr>
        <w:rPr>
          <w:rFonts w:eastAsia="Calibri"/>
        </w:rPr>
      </w:pPr>
    </w:p>
    <w:p w14:paraId="50237C42" w14:textId="77777777" w:rsidR="007179EA" w:rsidRPr="006A0EDF" w:rsidRDefault="007179EA" w:rsidP="00160D32">
      <w:pPr>
        <w:rPr>
          <w:rFonts w:eastAsia="Calibri"/>
        </w:rPr>
      </w:pPr>
      <w:r>
        <w:t>Public health is about protecting against community health risks and threats, preventing illness, and promoting health across the whole population or population groups. Public health is distinguishable from other health areas in that it aims to keep people well and focuses on groups of people rather than individuals. Three core concepts integral to p</w:t>
      </w:r>
      <w:r>
        <w:rPr>
          <w:spacing w:val="-2"/>
        </w:rPr>
        <w:t>ublic health are:</w:t>
      </w:r>
    </w:p>
    <w:p w14:paraId="7C62C970" w14:textId="77777777" w:rsidR="007179EA" w:rsidRPr="00483643" w:rsidRDefault="007179EA" w:rsidP="00160D32">
      <w:pPr>
        <w:pStyle w:val="Bullet"/>
      </w:pPr>
      <w:r>
        <w:t xml:space="preserve">the inclusion of both promotion and prevention activities. </w:t>
      </w:r>
      <w:r w:rsidRPr="00483643">
        <w:t xml:space="preserve">In the context of gambling, </w:t>
      </w:r>
      <w:r>
        <w:t xml:space="preserve">this includes </w:t>
      </w:r>
      <w:r w:rsidRPr="00483643">
        <w:t>rais</w:t>
      </w:r>
      <w:r>
        <w:t>ing</w:t>
      </w:r>
      <w:r w:rsidRPr="00483643">
        <w:t xml:space="preserve"> awareness of the signs of harmful gambling</w:t>
      </w:r>
      <w:r>
        <w:t>,</w:t>
      </w:r>
      <w:r w:rsidRPr="00483643">
        <w:t xml:space="preserve"> encourag</w:t>
      </w:r>
      <w:r>
        <w:t>ing</w:t>
      </w:r>
      <w:r w:rsidRPr="00483643">
        <w:t xml:space="preserve"> at-risk people to check whether their gambling is </w:t>
      </w:r>
      <w:r>
        <w:t>under control</w:t>
      </w:r>
      <w:r w:rsidRPr="00483643">
        <w:t xml:space="preserve"> before harm escalates in severity</w:t>
      </w:r>
      <w:r>
        <w:t xml:space="preserve">, and </w:t>
      </w:r>
      <w:r w:rsidRPr="00483643">
        <w:t>motivat</w:t>
      </w:r>
      <w:r>
        <w:t>ing</w:t>
      </w:r>
      <w:r w:rsidRPr="00483643">
        <w:t xml:space="preserve"> those who are at</w:t>
      </w:r>
      <w:r>
        <w:t xml:space="preserve"> </w:t>
      </w:r>
      <w:r w:rsidRPr="00483643">
        <w:t xml:space="preserve">risk to </w:t>
      </w:r>
      <w:r>
        <w:t xml:space="preserve">engage in self-help changes or </w:t>
      </w:r>
      <w:r w:rsidRPr="00483643">
        <w:t>get help</w:t>
      </w:r>
      <w:r>
        <w:t xml:space="preserve"> early.</w:t>
      </w:r>
    </w:p>
    <w:p w14:paraId="74D6C93E" w14:textId="77777777" w:rsidR="007179EA" w:rsidRDefault="007179EA" w:rsidP="00160D32">
      <w:pPr>
        <w:pStyle w:val="Bullet"/>
      </w:pPr>
      <w:r>
        <w:t>the collective nature of the promotional and preventative activities</w:t>
      </w:r>
    </w:p>
    <w:p w14:paraId="6EF33D97" w14:textId="77777777" w:rsidR="007179EA" w:rsidRDefault="007179EA" w:rsidP="00160D32">
      <w:pPr>
        <w:pStyle w:val="Bullet"/>
      </w:pPr>
      <w:r>
        <w:t>the health of the whole population as the goal.</w:t>
      </w:r>
    </w:p>
    <w:p w14:paraId="048EC39E" w14:textId="77777777" w:rsidR="007179EA" w:rsidRDefault="007179EA" w:rsidP="00160D32"/>
    <w:p w14:paraId="73F33E51" w14:textId="77777777" w:rsidR="00BC6B27" w:rsidRDefault="007179EA" w:rsidP="00160D32">
      <w:r>
        <w:t>Associated with this is the concept of health equity and inequality, discussed below.</w:t>
      </w:r>
    </w:p>
    <w:p w14:paraId="55AA92EC" w14:textId="77777777" w:rsidR="007179EA" w:rsidRDefault="007179EA" w:rsidP="00160D32"/>
    <w:p w14:paraId="0BD35E59" w14:textId="40EE11B3" w:rsidR="007179EA" w:rsidRDefault="007179EA" w:rsidP="00160D32">
      <w:r>
        <w:t>We use a</w:t>
      </w:r>
      <w:r w:rsidRPr="007B2B87">
        <w:t xml:space="preserve"> continuum</w:t>
      </w:r>
      <w:r w:rsidRPr="00E411B9">
        <w:t>-</w:t>
      </w:r>
      <w:r w:rsidRPr="007B2B87">
        <w:t>of</w:t>
      </w:r>
      <w:r w:rsidRPr="00E411B9">
        <w:t>-</w:t>
      </w:r>
      <w:r w:rsidRPr="007B2B87">
        <w:t>harm approach</w:t>
      </w:r>
      <w:r>
        <w:t xml:space="preserve"> to public health that</w:t>
      </w:r>
      <w:r w:rsidRPr="007B2B87">
        <w:t xml:space="preserve"> aligns a spectrum of gambling behaviour with a harm reduction framework</w:t>
      </w:r>
      <w:r w:rsidRPr="00E411B9">
        <w:t>,</w:t>
      </w:r>
      <w:r w:rsidRPr="007B2B87">
        <w:t xml:space="preserve"> as first developed by Korn and Shaffer </w:t>
      </w:r>
      <w:r w:rsidRPr="00E411B9">
        <w:t>(</w:t>
      </w:r>
      <w:r w:rsidRPr="007B2B87">
        <w:t>1999).</w:t>
      </w:r>
      <w:r w:rsidRPr="00160D32">
        <w:rPr>
          <w:rStyle w:val="FootnoteReference"/>
          <w:rFonts w:eastAsia="MS Gothic"/>
        </w:rPr>
        <w:footnoteReference w:id="42"/>
      </w:r>
      <w:r>
        <w:t xml:space="preserve"> </w:t>
      </w:r>
      <w:r w:rsidRPr="00C10A99">
        <w:t>This approach recognises that people experience varying levels of harm from gambling</w:t>
      </w:r>
      <w:r>
        <w:t xml:space="preserve"> and a continuum of approaches, from prevention to intensive clinical treatment, is required</w:t>
      </w:r>
      <w:r w:rsidRPr="00C10A99">
        <w:t>.</w:t>
      </w:r>
      <w:r>
        <w:t xml:space="preserve"> </w:t>
      </w:r>
      <w:r w:rsidR="00160D32">
        <w:fldChar w:fldCharType="begin"/>
      </w:r>
      <w:r w:rsidR="00160D32">
        <w:instrText xml:space="preserve"> REF _Ref90578795 \h </w:instrText>
      </w:r>
      <w:r w:rsidR="00160D32">
        <w:fldChar w:fldCharType="separate"/>
      </w:r>
      <w:r w:rsidR="00451900">
        <w:t>Figure </w:t>
      </w:r>
      <w:r w:rsidR="00451900">
        <w:rPr>
          <w:noProof/>
        </w:rPr>
        <w:t>3</w:t>
      </w:r>
      <w:r w:rsidR="00160D32">
        <w:fldChar w:fldCharType="end"/>
      </w:r>
      <w:r>
        <w:t xml:space="preserve"> below shows the continuum of behaviours, risks and responses, from health promotion to harm reduction and intensive treatment.</w:t>
      </w:r>
    </w:p>
    <w:p w14:paraId="46D7446A" w14:textId="77777777" w:rsidR="00160D32" w:rsidRDefault="00160D32" w:rsidP="00160D32"/>
    <w:p w14:paraId="4B68664E" w14:textId="48D5242D" w:rsidR="007179EA" w:rsidRDefault="007179EA" w:rsidP="00160D32">
      <w:pPr>
        <w:pStyle w:val="Figure"/>
      </w:pPr>
      <w:bookmarkStart w:id="80" w:name="_Ref90578795"/>
      <w:bookmarkStart w:id="81" w:name="_Toc88575015"/>
      <w:bookmarkStart w:id="82" w:name="_Toc89335315"/>
      <w:bookmarkStart w:id="83" w:name="_Toc90626996"/>
      <w:r>
        <w:lastRenderedPageBreak/>
        <w:t>Figure </w:t>
      </w:r>
      <w:fldSimple w:instr=" SEQ Figure \* ARABIC ">
        <w:r w:rsidR="00451900">
          <w:rPr>
            <w:noProof/>
          </w:rPr>
          <w:t>3</w:t>
        </w:r>
      </w:fldSimple>
      <w:bookmarkEnd w:id="80"/>
      <w:r>
        <w:t>:</w:t>
      </w:r>
      <w:r w:rsidRPr="00A34BE1">
        <w:t xml:space="preserve"> Continuum of gambling behaviour and </w:t>
      </w:r>
      <w:r>
        <w:t>responses</w:t>
      </w:r>
      <w:bookmarkEnd w:id="81"/>
      <w:bookmarkEnd w:id="82"/>
      <w:bookmarkEnd w:id="83"/>
    </w:p>
    <w:p w14:paraId="7F29A954" w14:textId="77777777" w:rsidR="007179EA" w:rsidRDefault="007179EA" w:rsidP="00160D32">
      <w:r>
        <w:rPr>
          <w:noProof/>
          <w:lang w:eastAsia="en-NZ"/>
        </w:rPr>
        <w:drawing>
          <wp:inline distT="0" distB="0" distL="0" distR="0" wp14:anchorId="258062B4" wp14:editId="49576A9B">
            <wp:extent cx="3912582" cy="2733480"/>
            <wp:effectExtent l="0" t="0" r="0" b="0"/>
            <wp:docPr id="7" name="Picture 7" descr="Figure showing continuum of gambling behaviour and responses" title="Figure 3: Continuum of gambling behaviour and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showing continuum of gambling behaviour and responses"/>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t="1289"/>
                    <a:stretch/>
                  </pic:blipFill>
                  <pic:spPr bwMode="auto">
                    <a:xfrm>
                      <a:off x="0" y="0"/>
                      <a:ext cx="4052857" cy="2831482"/>
                    </a:xfrm>
                    <a:prstGeom prst="rect">
                      <a:avLst/>
                    </a:prstGeom>
                    <a:noFill/>
                    <a:ln>
                      <a:noFill/>
                    </a:ln>
                    <a:extLst>
                      <a:ext uri="{53640926-AAD7-44D8-BBD7-CCE9431645EC}">
                        <a14:shadowObscured xmlns:a14="http://schemas.microsoft.com/office/drawing/2010/main"/>
                      </a:ext>
                    </a:extLst>
                  </pic:spPr>
                </pic:pic>
              </a:graphicData>
            </a:graphic>
          </wp:inline>
        </w:drawing>
      </w:r>
    </w:p>
    <w:p w14:paraId="7C520A67" w14:textId="77777777" w:rsidR="007179EA" w:rsidRPr="002C2F26" w:rsidRDefault="007179EA" w:rsidP="00160D32"/>
    <w:p w14:paraId="7265FA3D" w14:textId="77777777" w:rsidR="007179EA" w:rsidRDefault="007179EA" w:rsidP="00160D32">
      <w:pPr>
        <w:pStyle w:val="Heading2"/>
      </w:pPr>
      <w:bookmarkStart w:id="84" w:name="_Toc89684389"/>
      <w:bookmarkStart w:id="85" w:name="_Toc90885046"/>
      <w:r>
        <w:t>Gambling harm as an equity issue</w:t>
      </w:r>
      <w:bookmarkEnd w:id="84"/>
      <w:bookmarkEnd w:id="85"/>
    </w:p>
    <w:p w14:paraId="4D3DFADC" w14:textId="77777777" w:rsidR="00BC6B27" w:rsidRDefault="007179EA" w:rsidP="00160D32">
      <w:r>
        <w:t>The needs assessment highlighted the importance of positioning gambling harm prevention and minimisation as an equity issue, and this emphasis was supported by a broad cross</w:t>
      </w:r>
      <w:r w:rsidR="00160D32">
        <w:t>-</w:t>
      </w:r>
      <w:r>
        <w:t>section of submissions.</w:t>
      </w:r>
    </w:p>
    <w:p w14:paraId="5DCD97C5" w14:textId="77777777" w:rsidR="007179EA" w:rsidRDefault="007179EA" w:rsidP="00160D32"/>
    <w:p w14:paraId="33445634" w14:textId="77777777" w:rsidR="007179EA" w:rsidRDefault="007179EA" w:rsidP="00160D32">
      <w:r w:rsidRPr="00726A61">
        <w:t>Equity recognises different people with different levels of advantage require different approaches and resources to get equitable health outcomes.</w:t>
      </w:r>
      <w:r w:rsidR="00BC6B27">
        <w:t xml:space="preserve"> </w:t>
      </w:r>
      <w:r>
        <w:t>An equity issue refers to something that predominantly affects one or some groups more than others. In the case of gambling harm, Māori and Pacific peoples, and to some extent young people, are shouldering a burden of harm that greatly outweighs that being experienced by other groups.</w:t>
      </w:r>
    </w:p>
    <w:p w14:paraId="5FABE979" w14:textId="77777777" w:rsidR="007179EA" w:rsidRDefault="007179EA" w:rsidP="00160D32"/>
    <w:p w14:paraId="6128A5F7" w14:textId="77777777" w:rsidR="007179EA" w:rsidRDefault="007179EA" w:rsidP="00160D32">
      <w:r>
        <w:t>These strongly patterned outcomes have a systemic cause: for example, we know that the most harmful form of gambling – non-casino gaming machines (NCGM)– are not distributed randomly across our communities but concentrated in areas defined by lower socioeconomic status and high deprivation measures, which are also more likely to be areas where Māori and Pacific people live. We also know the services and supports that are in place to prevent and minimise gambling harm are under</w:t>
      </w:r>
      <w:r w:rsidR="00046A83">
        <w:t>-</w:t>
      </w:r>
      <w:r>
        <w:t>utilised, and one likely reason for this is that they are not considered acceptable and culturally appropriate</w:t>
      </w:r>
      <w:r w:rsidRPr="00160D32">
        <w:rPr>
          <w:rStyle w:val="FootnoteReference"/>
        </w:rPr>
        <w:footnoteReference w:id="43"/>
      </w:r>
      <w:r>
        <w:t xml:space="preserve"> by all potential service users.</w:t>
      </w:r>
    </w:p>
    <w:p w14:paraId="6F73DADB" w14:textId="77777777" w:rsidR="007179EA" w:rsidRDefault="007179EA" w:rsidP="00160D32"/>
    <w:p w14:paraId="4A9FF380" w14:textId="77777777" w:rsidR="007179EA" w:rsidRDefault="007179EA" w:rsidP="00160D32">
      <w:pPr>
        <w:keepNext/>
        <w:keepLines/>
      </w:pPr>
      <w:r>
        <w:lastRenderedPageBreak/>
        <w:t xml:space="preserve">Equity issues require tailoring services to address inequities, which may include targeted actions based on engaging with, listening to, and partnering with the people who are most affected. In addition, issues where Māori are disadvantaged or harmed need to be considered carefully and implemented well, drawing on the strength of the special relationship that the Crown has with Māori under </w:t>
      </w:r>
      <w:r w:rsidR="00046A83">
        <w:t>Te Tiriti</w:t>
      </w:r>
      <w:r>
        <w:t xml:space="preserve"> o Waitangi (</w:t>
      </w:r>
      <w:r w:rsidR="00046A83">
        <w:t>Te Tiriti</w:t>
      </w:r>
      <w:r>
        <w:t>).</w:t>
      </w:r>
    </w:p>
    <w:p w14:paraId="754D5DB9" w14:textId="77777777" w:rsidR="00160D32" w:rsidRDefault="00160D32" w:rsidP="00160D32"/>
    <w:p w14:paraId="34117573" w14:textId="77777777" w:rsidR="007179EA" w:rsidRPr="004F5C31" w:rsidRDefault="007179EA" w:rsidP="00160D32">
      <w:pPr>
        <w:pStyle w:val="BoxHeading"/>
      </w:pPr>
      <w:r>
        <w:t>Box 1: The Ministry of Health</w:t>
      </w:r>
      <w:r w:rsidR="00BC6B27">
        <w:t>’</w:t>
      </w:r>
      <w:r>
        <w:t>s position on i</w:t>
      </w:r>
      <w:r w:rsidRPr="004F5C31">
        <w:t>nequalities and inequity in health</w:t>
      </w:r>
    </w:p>
    <w:p w14:paraId="1CD37E58" w14:textId="77777777" w:rsidR="007179EA" w:rsidRPr="00726A61" w:rsidRDefault="007179EA" w:rsidP="00160D32">
      <w:pPr>
        <w:pStyle w:val="Box"/>
      </w:pPr>
      <w:r>
        <w:t>Our</w:t>
      </w:r>
      <w:r w:rsidRPr="00726A61">
        <w:t xml:space="preserve"> definition of equity is:</w:t>
      </w:r>
    </w:p>
    <w:p w14:paraId="78A2A6F8" w14:textId="77777777" w:rsidR="007179EA" w:rsidRPr="00726A61" w:rsidRDefault="007179EA" w:rsidP="007179EA">
      <w:pPr>
        <w:pStyle w:val="Box"/>
        <w:tabs>
          <w:tab w:val="left" w:pos="567"/>
        </w:tabs>
        <w:ind w:left="567" w:hanging="283"/>
      </w:pPr>
      <w:r>
        <w:tab/>
      </w:r>
      <w:r w:rsidR="00BC6B27">
        <w:t>“</w:t>
      </w:r>
      <w:r w:rsidRPr="00726A61">
        <w:t>In Aotearoa New Zealand, people have differences in health that are not only avoidable but unfair and unjust. Equity recognises different people with different levels of advantage require different approaches and resources to get equitable health outcomes.</w:t>
      </w:r>
      <w:r w:rsidR="00BC6B27">
        <w:t>“</w:t>
      </w:r>
    </w:p>
    <w:p w14:paraId="12EC705B" w14:textId="77777777" w:rsidR="007179EA" w:rsidRPr="00726A61" w:rsidRDefault="007179EA" w:rsidP="007179EA">
      <w:pPr>
        <w:pStyle w:val="Box"/>
      </w:pPr>
      <w:r w:rsidRPr="00726A61">
        <w:t>This definition of equity was signed off by the Director-General of Health, Dr</w:t>
      </w:r>
      <w:r>
        <w:t> </w:t>
      </w:r>
      <w:r w:rsidRPr="00726A61">
        <w:t>Ashley Bloomfield, in March 2019.</w:t>
      </w:r>
      <w:r w:rsidRPr="00160D32">
        <w:rPr>
          <w:rStyle w:val="FootnoteReference"/>
          <w:rFonts w:eastAsiaTheme="majorEastAsia"/>
        </w:rPr>
        <w:footnoteReference w:id="44"/>
      </w:r>
    </w:p>
    <w:p w14:paraId="139F1B11" w14:textId="77777777" w:rsidR="007179EA" w:rsidRDefault="007179EA" w:rsidP="007179EA">
      <w:pPr>
        <w:pStyle w:val="Box"/>
      </w:pPr>
      <w:r w:rsidRPr="00726A61">
        <w:t xml:space="preserve">We usually refer to the differences in health experience that occur between population groups as </w:t>
      </w:r>
      <w:r w:rsidR="00BC6B27">
        <w:t>‘</w:t>
      </w:r>
      <w:r w:rsidRPr="00726A61">
        <w:t>health inequalities</w:t>
      </w:r>
      <w:r w:rsidR="00BC6B27">
        <w:t>’</w:t>
      </w:r>
      <w:r w:rsidRPr="00726A61">
        <w:t>. A health inequality is an inequality that we can attribute to social, cultural and economic factors rather than biomedical ones.</w:t>
      </w:r>
    </w:p>
    <w:p w14:paraId="59DE2401" w14:textId="77777777" w:rsidR="007179EA" w:rsidRPr="00726A61" w:rsidRDefault="007179EA" w:rsidP="007179EA">
      <w:pPr>
        <w:pStyle w:val="Box"/>
      </w:pPr>
      <w:r w:rsidRPr="00726A61">
        <w:t>Inequalities and inequity in health occur between groups because of a range of well-recognised socioeconomic, cultural and biological factors, the most common of which are sex, age, social deprivation, ethnicity and education.</w:t>
      </w:r>
    </w:p>
    <w:p w14:paraId="3A18297C" w14:textId="77777777" w:rsidR="007179EA" w:rsidRDefault="007179EA" w:rsidP="007179EA">
      <w:pPr>
        <w:pStyle w:val="Box"/>
      </w:pPr>
      <w:r w:rsidRPr="00726A61">
        <w:t>Inequities are not random; they are typically due to structural factors present in society and the local community that cannot be explained by biomedical differences between population groups. This means their causes are often complex and multifaceted and are outside the scope of the health system to address on its own.</w:t>
      </w:r>
    </w:p>
    <w:p w14:paraId="4BFC3BD5" w14:textId="77777777" w:rsidR="00160D32" w:rsidRDefault="00160D32" w:rsidP="00160D32"/>
    <w:p w14:paraId="269046A7" w14:textId="77777777" w:rsidR="00BC6B27" w:rsidRDefault="007179EA" w:rsidP="00160D32">
      <w:pPr>
        <w:pStyle w:val="Heading2"/>
      </w:pPr>
      <w:bookmarkStart w:id="86" w:name="_Toc89684390"/>
      <w:bookmarkStart w:id="87" w:name="_Toc71550029"/>
      <w:bookmarkStart w:id="88" w:name="_Toc78882261"/>
      <w:bookmarkStart w:id="89" w:name="_Toc80965833"/>
      <w:bookmarkStart w:id="90" w:name="_Toc90885047"/>
      <w:r w:rsidRPr="001520AC">
        <w:lastRenderedPageBreak/>
        <w:t>The proposed strategic framework</w:t>
      </w:r>
      <w:bookmarkEnd w:id="86"/>
      <w:bookmarkEnd w:id="90"/>
    </w:p>
    <w:bookmarkEnd w:id="87"/>
    <w:bookmarkEnd w:id="88"/>
    <w:bookmarkEnd w:id="89"/>
    <w:p w14:paraId="07F33A35" w14:textId="77777777" w:rsidR="007179EA" w:rsidRDefault="007179EA" w:rsidP="00160D32">
      <w:pPr>
        <w:keepNext/>
        <w:keepLines/>
        <w:rPr>
          <w:rFonts w:cs="Garamond"/>
          <w:color w:val="000000"/>
        </w:rPr>
      </w:pPr>
      <w:r w:rsidRPr="00185850">
        <w:t>This draft strategy comprises a six-year strategic framework, and a three-year service plan and levy rates, and is refreshed every three</w:t>
      </w:r>
      <w:r w:rsidR="00046A83">
        <w:t xml:space="preserve"> </w:t>
      </w:r>
      <w:r w:rsidR="0018228E">
        <w:t>years</w:t>
      </w:r>
      <w:r w:rsidRPr="00185850">
        <w:t xml:space="preserve">. </w:t>
      </w:r>
      <w:r w:rsidRPr="00E312E8">
        <w:t>Together</w:t>
      </w:r>
      <w:r>
        <w:t>,</w:t>
      </w:r>
      <w:r w:rsidRPr="00E312E8">
        <w:t xml:space="preserve"> th</w:t>
      </w:r>
      <w:r>
        <w:t>e strategic framework and service plan</w:t>
      </w:r>
      <w:r w:rsidRPr="00E312E8">
        <w:t xml:space="preserve"> </w:t>
      </w:r>
      <w:r w:rsidRPr="00E312E8">
        <w:rPr>
          <w:rFonts w:cs="Garamond"/>
          <w:color w:val="000000"/>
        </w:rPr>
        <w:t xml:space="preserve">set out </w:t>
      </w:r>
      <w:r>
        <w:rPr>
          <w:rFonts w:cs="Garamond"/>
          <w:color w:val="000000"/>
        </w:rPr>
        <w:t>our</w:t>
      </w:r>
      <w:r w:rsidRPr="00E312E8">
        <w:rPr>
          <w:rFonts w:cs="Garamond"/>
          <w:color w:val="000000"/>
        </w:rPr>
        <w:t xml:space="preserve"> proposed </w:t>
      </w:r>
      <w:r w:rsidRPr="00B47FDC">
        <w:rPr>
          <w:rFonts w:cs="Garamond"/>
          <w:color w:val="000000"/>
        </w:rPr>
        <w:t xml:space="preserve">approach </w:t>
      </w:r>
      <w:r w:rsidRPr="00E728BA">
        <w:rPr>
          <w:rFonts w:cs="Garamond"/>
          <w:color w:val="000000"/>
        </w:rPr>
        <w:t xml:space="preserve">and the range of activities </w:t>
      </w:r>
      <w:r>
        <w:rPr>
          <w:rFonts w:cs="Garamond"/>
          <w:color w:val="000000"/>
        </w:rPr>
        <w:t>we</w:t>
      </w:r>
      <w:r w:rsidRPr="00E728BA">
        <w:rPr>
          <w:rFonts w:cs="Garamond"/>
          <w:color w:val="000000"/>
        </w:rPr>
        <w:t xml:space="preserve"> plan to undertake</w:t>
      </w:r>
      <w:r w:rsidRPr="00C10A99">
        <w:rPr>
          <w:rFonts w:cs="Garamond"/>
          <w:color w:val="000000"/>
        </w:rPr>
        <w:t xml:space="preserve"> to </w:t>
      </w:r>
      <w:r>
        <w:rPr>
          <w:rFonts w:cs="Garamond"/>
          <w:color w:val="000000"/>
        </w:rPr>
        <w:t xml:space="preserve">prevent and </w:t>
      </w:r>
      <w:r w:rsidRPr="00C10A99">
        <w:rPr>
          <w:rFonts w:cs="Garamond"/>
          <w:color w:val="000000"/>
        </w:rPr>
        <w:t xml:space="preserve">minimise gambling harm </w:t>
      </w:r>
      <w:r>
        <w:rPr>
          <w:rFonts w:cs="Garamond"/>
          <w:color w:val="000000"/>
        </w:rPr>
        <w:t>in the period 2022/23 to 2024/25</w:t>
      </w:r>
      <w:r w:rsidRPr="00C10A99">
        <w:rPr>
          <w:rFonts w:cs="Garamond"/>
          <w:color w:val="000000"/>
        </w:rPr>
        <w:t>.</w:t>
      </w:r>
    </w:p>
    <w:p w14:paraId="190CA5F3" w14:textId="77777777" w:rsidR="00160D32" w:rsidRDefault="00160D32" w:rsidP="00160D32">
      <w:pPr>
        <w:keepNext/>
        <w:keepLines/>
        <w:rPr>
          <w:rFonts w:cs="Garamond"/>
          <w:color w:val="000000"/>
        </w:rPr>
      </w:pPr>
    </w:p>
    <w:p w14:paraId="15471294" w14:textId="77777777" w:rsidR="007179EA" w:rsidRPr="00CE3865" w:rsidRDefault="007179EA" w:rsidP="00160D32">
      <w:pPr>
        <w:pStyle w:val="Heading3"/>
      </w:pPr>
      <w:r>
        <w:t xml:space="preserve">Submissions </w:t>
      </w:r>
      <w:r w:rsidRPr="00CE3865">
        <w:t>on the draft strategy</w:t>
      </w:r>
    </w:p>
    <w:p w14:paraId="62A06D30" w14:textId="77777777" w:rsidR="00BC6B27" w:rsidRPr="00BC6B27" w:rsidRDefault="007179EA" w:rsidP="00160D32">
      <w:pPr>
        <w:rPr>
          <w:lang w:eastAsia="en-NZ"/>
        </w:rPr>
      </w:pPr>
      <w:r w:rsidRPr="00BC6B27">
        <w:rPr>
          <w:lang w:eastAsia="en-NZ"/>
        </w:rPr>
        <w:t>Three out of five submissions to the consultation document indicated support for the general direction of the strategy, including some with qualifications such as also wanting bolder changes and action to address offshore online gambling.</w:t>
      </w:r>
    </w:p>
    <w:p w14:paraId="3F89B7D5" w14:textId="77777777" w:rsidR="00160D32" w:rsidRDefault="00160D32" w:rsidP="00160D32">
      <w:pPr>
        <w:rPr>
          <w:lang w:eastAsia="en-NZ"/>
        </w:rPr>
      </w:pPr>
    </w:p>
    <w:p w14:paraId="215E47B7" w14:textId="77777777" w:rsidR="00BC6B27" w:rsidRPr="00BC6B27" w:rsidRDefault="007179EA" w:rsidP="00160D32">
      <w:pPr>
        <w:rPr>
          <w:lang w:eastAsia="en-NZ"/>
        </w:rPr>
      </w:pPr>
      <w:r w:rsidRPr="00BC6B27">
        <w:rPr>
          <w:lang w:eastAsia="en-NZ"/>
        </w:rPr>
        <w:t>There were divergent views on the specific priorities and preferred direction of change, based primarily on differing industry and health service perspectives, with the strongest support from health, service providers, local government or individual submissions. Submissions from the non-casino gaming machine (NCGM) sector opposed any additional spending unless the activities funded would make the strategy more effective. Some submissions felt bolder changes were needed to make a real impact on reducing gambling harm.</w:t>
      </w:r>
    </w:p>
    <w:p w14:paraId="38F1E915" w14:textId="77777777" w:rsidR="00160D32" w:rsidRDefault="00160D32" w:rsidP="00160D32">
      <w:pPr>
        <w:rPr>
          <w:lang w:eastAsia="en-NZ"/>
        </w:rPr>
      </w:pPr>
    </w:p>
    <w:p w14:paraId="3387ADE9" w14:textId="77777777" w:rsidR="00BC6B27" w:rsidRPr="00BC6B27" w:rsidRDefault="007179EA" w:rsidP="00160D32">
      <w:pPr>
        <w:rPr>
          <w:lang w:eastAsia="en-NZ"/>
        </w:rPr>
      </w:pPr>
      <w:r w:rsidRPr="00BC6B27">
        <w:rPr>
          <w:lang w:eastAsia="en-NZ"/>
        </w:rPr>
        <w:t>There was broad support for:</w:t>
      </w:r>
    </w:p>
    <w:p w14:paraId="772790F8" w14:textId="77777777" w:rsidR="00BC6B27" w:rsidRPr="00BC6B27" w:rsidRDefault="007179EA" w:rsidP="00160D32">
      <w:pPr>
        <w:pStyle w:val="Bullet"/>
        <w:rPr>
          <w:lang w:eastAsia="en-NZ"/>
        </w:rPr>
      </w:pPr>
      <w:r w:rsidRPr="00BC6B27">
        <w:rPr>
          <w:lang w:eastAsia="en-NZ"/>
        </w:rPr>
        <w:t>strengthening the focus on equity, public health and priority populations including young people/rangatahi</w:t>
      </w:r>
    </w:p>
    <w:p w14:paraId="43F16551" w14:textId="77777777" w:rsidR="00BC6B27" w:rsidRPr="00BC6B27" w:rsidRDefault="007179EA" w:rsidP="00160D32">
      <w:pPr>
        <w:pStyle w:val="Bullet"/>
        <w:rPr>
          <w:lang w:eastAsia="en-NZ"/>
        </w:rPr>
      </w:pPr>
      <w:r w:rsidRPr="00BC6B27">
        <w:rPr>
          <w:lang w:eastAsia="en-NZ"/>
        </w:rPr>
        <w:t>improving the range and diversity of services to address equity and gambling harm</w:t>
      </w:r>
    </w:p>
    <w:p w14:paraId="1EC8AB92" w14:textId="77777777" w:rsidR="00BC6B27" w:rsidRPr="00BC6B27" w:rsidRDefault="007179EA" w:rsidP="00160D32">
      <w:pPr>
        <w:pStyle w:val="Bullet"/>
        <w:rPr>
          <w:lang w:eastAsia="en-NZ"/>
        </w:rPr>
      </w:pPr>
      <w:r w:rsidRPr="00BC6B27">
        <w:rPr>
          <w:lang w:eastAsia="en-NZ"/>
        </w:rPr>
        <w:t>placing people at the centre, using lived experience and collaboration to engage with groups most affected</w:t>
      </w:r>
    </w:p>
    <w:p w14:paraId="136ABD09" w14:textId="77777777" w:rsidR="00BC6B27" w:rsidRDefault="007179EA" w:rsidP="00160D32">
      <w:pPr>
        <w:pStyle w:val="Bullet"/>
        <w:rPr>
          <w:lang w:eastAsia="en-NZ"/>
        </w:rPr>
      </w:pPr>
      <w:r w:rsidRPr="00BC6B27">
        <w:rPr>
          <w:lang w:eastAsia="en-NZ"/>
        </w:rPr>
        <w:t>enhancing the public health approach to education, including new investments to address stigma, and strengthening the gambling harm workforce.</w:t>
      </w:r>
    </w:p>
    <w:p w14:paraId="00E2B034" w14:textId="77777777" w:rsidR="00160D32" w:rsidRPr="00BC6B27" w:rsidRDefault="00160D32" w:rsidP="00160D32">
      <w:pPr>
        <w:rPr>
          <w:lang w:eastAsia="en-NZ"/>
        </w:rPr>
      </w:pPr>
    </w:p>
    <w:p w14:paraId="138E7BA2" w14:textId="77777777" w:rsidR="007179EA" w:rsidRPr="00CE3865" w:rsidRDefault="007179EA" w:rsidP="00160D32">
      <w:pPr>
        <w:pStyle w:val="Heading3"/>
      </w:pPr>
      <w:bookmarkStart w:id="91" w:name="_Toc71550030"/>
      <w:bookmarkStart w:id="92" w:name="_Toc78882264"/>
      <w:bookmarkStart w:id="93" w:name="_Toc80965836"/>
      <w:bookmarkStart w:id="94" w:name="_Toc89684391"/>
      <w:r w:rsidRPr="00CE3865">
        <w:t>Considerations for updating the strategic framework</w:t>
      </w:r>
      <w:bookmarkEnd w:id="91"/>
      <w:bookmarkEnd w:id="92"/>
      <w:bookmarkEnd w:id="93"/>
      <w:bookmarkEnd w:id="94"/>
    </w:p>
    <w:p w14:paraId="5C29A6EE" w14:textId="77777777" w:rsidR="007179EA" w:rsidRDefault="007179EA" w:rsidP="00160D32">
      <w:r>
        <w:t>This section describes the revised strategic framework to guide the strategy and service plan going forward. The proposed framework takes into account the submissions on the consultation document, needs assessment findings, an analysis of outcomes, and the most current research and of other evidence available, including emerging issues, to ensure they remained fit for purpose.</w:t>
      </w:r>
    </w:p>
    <w:p w14:paraId="44F5DCD4" w14:textId="77777777" w:rsidR="00160D32" w:rsidRDefault="00160D32" w:rsidP="00160D32"/>
    <w:p w14:paraId="27258370" w14:textId="77777777" w:rsidR="00BC6B27" w:rsidRDefault="007179EA" w:rsidP="00160D32">
      <w:r>
        <w:t>The revised strategic framework needs to be read in the context of strategic changes in the health environments, and the Ministry</w:t>
      </w:r>
      <w:r w:rsidR="00BC6B27">
        <w:t>’</w:t>
      </w:r>
      <w:r>
        <w:t xml:space="preserve">s broader framework for implementing </w:t>
      </w:r>
      <w:r w:rsidR="00046A83">
        <w:t>Te Tiriti</w:t>
      </w:r>
      <w:r>
        <w:t xml:space="preserve"> o Waitangi. This section also addresses alignment with </w:t>
      </w:r>
      <w:r w:rsidRPr="00570458">
        <w:t>the previous strategic framework.</w:t>
      </w:r>
    </w:p>
    <w:p w14:paraId="65303208" w14:textId="77777777" w:rsidR="00160D32" w:rsidRDefault="00160D32" w:rsidP="00160D32"/>
    <w:p w14:paraId="04FC4EA7" w14:textId="77777777" w:rsidR="007179EA" w:rsidRDefault="007179EA" w:rsidP="00160D32">
      <w:pPr>
        <w:pStyle w:val="Heading4"/>
      </w:pPr>
      <w:r>
        <w:lastRenderedPageBreak/>
        <w:t>Changes in the strategic environment for preventing and minimising gambling harm</w:t>
      </w:r>
    </w:p>
    <w:p w14:paraId="5E6205CD" w14:textId="77777777" w:rsidR="00BC6B27" w:rsidRPr="00BC6B27" w:rsidRDefault="007179EA" w:rsidP="00160D32">
      <w:pPr>
        <w:rPr>
          <w:lang w:eastAsia="en-NZ"/>
        </w:rPr>
      </w:pPr>
      <w:r w:rsidRPr="00BC6B27">
        <w:rPr>
          <w:lang w:eastAsia="en-NZ"/>
        </w:rPr>
        <w:t>The strategy is being refreshed at a time when the entire health system in New Zealand is undergoing major transformation of both mental health and addiction and the wider health and disability services system. These transformations are driven by common themes and principles, that as indicated below will also form the foundations for the strategy going forward, for example to provide for services that are more equitable, accessible, cohesive, and people</w:t>
      </w:r>
      <w:r w:rsidR="00160D32">
        <w:rPr>
          <w:lang w:eastAsia="en-NZ"/>
        </w:rPr>
        <w:t>-</w:t>
      </w:r>
      <w:r w:rsidRPr="00BC6B27">
        <w:rPr>
          <w:lang w:eastAsia="en-NZ"/>
        </w:rPr>
        <w:t>centred.</w:t>
      </w:r>
    </w:p>
    <w:p w14:paraId="71857EF5" w14:textId="77777777" w:rsidR="00160D32" w:rsidRDefault="00160D32" w:rsidP="00160D32"/>
    <w:p w14:paraId="29647604" w14:textId="77777777" w:rsidR="007179EA" w:rsidRDefault="007179EA" w:rsidP="00160D32">
      <w:r>
        <w:t>Set out below is a summary of the key strategic changes in the health environment within which gambling, and gambling harm prevention and minimisation, is situated.</w:t>
      </w:r>
    </w:p>
    <w:p w14:paraId="0E10386B" w14:textId="77777777" w:rsidR="007179EA" w:rsidRPr="00B12E9D" w:rsidRDefault="007179EA" w:rsidP="00160D32">
      <w:pPr>
        <w:pStyle w:val="Bullet"/>
        <w:spacing w:before="240"/>
      </w:pPr>
      <w:r w:rsidRPr="00160D32">
        <w:rPr>
          <w:i/>
        </w:rPr>
        <w:t>Health and Disability Sector changes</w:t>
      </w:r>
      <w:r>
        <w:t xml:space="preserve"> (Pae Ora</w:t>
      </w:r>
      <w:r w:rsidR="00BC6B27">
        <w:t xml:space="preserve"> – </w:t>
      </w:r>
      <w:r>
        <w:t>Health Futures Bill)</w:t>
      </w:r>
    </w:p>
    <w:p w14:paraId="1F5126DB" w14:textId="77777777" w:rsidR="00BC6B27" w:rsidRPr="00BC6B27" w:rsidRDefault="007179EA" w:rsidP="00160D32">
      <w:pPr>
        <w:spacing w:before="120"/>
        <w:ind w:left="284"/>
        <w:rPr>
          <w:lang w:eastAsia="en-NZ"/>
        </w:rPr>
      </w:pPr>
      <w:r w:rsidRPr="00BC6B27">
        <w:rPr>
          <w:lang w:eastAsia="en-NZ"/>
        </w:rPr>
        <w:t>The health and disability system is being transformed to create a more equitable, accessible, cohesive, and people-centred system that will improve the health and wellbeing of all New Zealanders, in response to the Health and Disability System Review/Hauora Manaaki Ki Aotearoa Whānui.</w:t>
      </w:r>
    </w:p>
    <w:p w14:paraId="074C6C10" w14:textId="77777777" w:rsidR="00BC6B27" w:rsidRPr="00160D32" w:rsidRDefault="007179EA" w:rsidP="00160D32">
      <w:pPr>
        <w:spacing w:before="120"/>
        <w:ind w:left="284"/>
      </w:pPr>
      <w:r w:rsidRPr="00BC6B27">
        <w:rPr>
          <w:lang w:eastAsia="en-NZ"/>
        </w:rPr>
        <w:t xml:space="preserve">The Pae Ora Health Futures Bill, due to be enacted in 2022, describes the high-level purpose of building towards </w:t>
      </w:r>
      <w:r w:rsidR="00046A83">
        <w:rPr>
          <w:lang w:eastAsia="en-NZ"/>
        </w:rPr>
        <w:t>pae ora</w:t>
      </w:r>
      <w:r w:rsidRPr="00BC6B27">
        <w:rPr>
          <w:lang w:eastAsia="en-NZ"/>
        </w:rPr>
        <w:t xml:space="preserve"> and a series of health system principles. It also outlines key roles including that of the Minister of Health, Health New Zealand, to replace DHBs, the Māori Health Authority to drive improvement in</w:t>
      </w:r>
      <w:r w:rsidR="00160D32">
        <w:rPr>
          <w:lang w:eastAsia="en-NZ"/>
        </w:rPr>
        <w:t xml:space="preserve"> </w:t>
      </w:r>
      <w:r w:rsidRPr="00BC6B27">
        <w:rPr>
          <w:lang w:eastAsia="en-NZ"/>
        </w:rPr>
        <w:t>hauora</w:t>
      </w:r>
      <w:r w:rsidR="00160D32">
        <w:rPr>
          <w:lang w:eastAsia="en-NZ"/>
        </w:rPr>
        <w:t xml:space="preserve"> </w:t>
      </w:r>
      <w:r w:rsidRPr="00BC6B27">
        <w:rPr>
          <w:lang w:eastAsia="en-NZ"/>
        </w:rPr>
        <w:t>Māori, and the Iwi-Māori Partnership Boards, to enable Māori to exercise</w:t>
      </w:r>
      <w:r w:rsidR="00160D32">
        <w:rPr>
          <w:lang w:eastAsia="en-NZ"/>
        </w:rPr>
        <w:t xml:space="preserve"> </w:t>
      </w:r>
      <w:r w:rsidRPr="00BC6B27">
        <w:rPr>
          <w:lang w:eastAsia="en-NZ"/>
        </w:rPr>
        <w:t> tino rangatiratanga and mana motuhake for planning and decisions about local health services.</w:t>
      </w:r>
      <w:r w:rsidRPr="00160D32">
        <w:rPr>
          <w:rStyle w:val="FootnoteReference"/>
        </w:rPr>
        <w:footnoteReference w:id="45"/>
      </w:r>
    </w:p>
    <w:p w14:paraId="19DA66C0" w14:textId="77777777" w:rsidR="007179EA" w:rsidRPr="00BC6B27" w:rsidRDefault="007179EA" w:rsidP="00160D32">
      <w:pPr>
        <w:pStyle w:val="Bullet"/>
        <w:spacing w:before="240"/>
        <w:rPr>
          <w:lang w:eastAsia="en-NZ"/>
        </w:rPr>
      </w:pPr>
      <w:r w:rsidRPr="00BC6B27">
        <w:rPr>
          <w:lang w:eastAsia="en-NZ"/>
        </w:rPr>
        <w:t>WAI 2575</w:t>
      </w:r>
      <w:r w:rsidR="00BC6B27" w:rsidRPr="00BC6B27">
        <w:rPr>
          <w:lang w:eastAsia="en-NZ"/>
        </w:rPr>
        <w:t xml:space="preserve"> – </w:t>
      </w:r>
      <w:r w:rsidRPr="00BC6B27">
        <w:rPr>
          <w:lang w:eastAsia="en-NZ"/>
        </w:rPr>
        <w:t>the Health Services and Outcomes Inquiry</w:t>
      </w:r>
    </w:p>
    <w:p w14:paraId="6AA48B6B" w14:textId="77777777" w:rsidR="007179EA" w:rsidRPr="00BC6B27" w:rsidRDefault="007179EA" w:rsidP="00160D32">
      <w:pPr>
        <w:spacing w:before="120"/>
        <w:ind w:left="284"/>
        <w:rPr>
          <w:lang w:eastAsia="en-NZ"/>
        </w:rPr>
      </w:pPr>
      <w:r w:rsidRPr="00BC6B27">
        <w:rPr>
          <w:lang w:eastAsia="en-NZ"/>
        </w:rPr>
        <w:t>The Waitangi Tribunal is currently hearing WAI 2575 – the Health Services and Outcomes Inquiry. This inquiry will hear all claims concerning grievances relating to health services and outcomes and which are of national significance. There are currently over 200 claims seeking to participate in the inquiry and there is currently no cut-off date for the filing of claims.</w:t>
      </w:r>
      <w:r w:rsidR="00160D32">
        <w:rPr>
          <w:lang w:eastAsia="en-NZ"/>
        </w:rPr>
        <w:t xml:space="preserve"> </w:t>
      </w:r>
      <w:r w:rsidRPr="00BC6B27">
        <w:t xml:space="preserve">The stage one inquiry was a discrete and targeted inquiry into the legislative and policy framework of the primary healthcare system. As part of stage two, the Tribunal has commissioned a number of reports including on </w:t>
      </w:r>
      <w:r w:rsidRPr="00BC6B27">
        <w:rPr>
          <w:lang w:eastAsia="en-NZ"/>
        </w:rPr>
        <w:t xml:space="preserve">Māori mental health </w:t>
      </w:r>
      <w:r w:rsidRPr="00BC6B27">
        <w:t>on issues of alcohol, tobacco and substance abuse for Māori. This may have potential implications for the Ministry</w:t>
      </w:r>
      <w:r w:rsidR="00BC6B27" w:rsidRPr="00BC6B27">
        <w:t>’</w:t>
      </w:r>
      <w:r w:rsidRPr="00BC6B27">
        <w:t>s approach to this strategy in the future.</w:t>
      </w:r>
    </w:p>
    <w:p w14:paraId="45858680" w14:textId="77777777" w:rsidR="007179EA" w:rsidRPr="00BC6B27" w:rsidRDefault="007179EA" w:rsidP="00160D32">
      <w:pPr>
        <w:pStyle w:val="Bullet"/>
        <w:keepNext/>
        <w:spacing w:before="240"/>
        <w:rPr>
          <w:lang w:eastAsia="en-NZ"/>
        </w:rPr>
      </w:pPr>
      <w:r w:rsidRPr="00160D32">
        <w:rPr>
          <w:i/>
        </w:rPr>
        <w:lastRenderedPageBreak/>
        <w:t>Kia Manawanui Aotearoa – Long-term pathway to mental wellbeing</w:t>
      </w:r>
      <w:r w:rsidRPr="003A5451">
        <w:t xml:space="preserve"> </w:t>
      </w:r>
      <w:r w:rsidRPr="00BC6B27">
        <w:rPr>
          <w:lang w:eastAsia="en-NZ"/>
        </w:rPr>
        <w:t>(Kia</w:t>
      </w:r>
      <w:r w:rsidR="00160D32">
        <w:rPr>
          <w:lang w:eastAsia="en-NZ"/>
        </w:rPr>
        <w:t> </w:t>
      </w:r>
      <w:r w:rsidRPr="00BC6B27">
        <w:rPr>
          <w:lang w:eastAsia="en-NZ"/>
        </w:rPr>
        <w:t>Manawanui)</w:t>
      </w:r>
    </w:p>
    <w:p w14:paraId="2E85B54B" w14:textId="77777777" w:rsidR="007179EA" w:rsidRPr="00BC6B27" w:rsidRDefault="007179EA" w:rsidP="00160D32">
      <w:pPr>
        <w:keepNext/>
        <w:keepLines/>
        <w:spacing w:before="120"/>
        <w:ind w:left="284"/>
        <w:rPr>
          <w:lang w:eastAsia="en-NZ"/>
        </w:rPr>
      </w:pPr>
      <w:r w:rsidRPr="00BC6B27">
        <w:rPr>
          <w:i/>
          <w:iCs/>
          <w:lang w:eastAsia="en-NZ"/>
        </w:rPr>
        <w:t>Kia Manawanui</w:t>
      </w:r>
      <w:r w:rsidRPr="00BC6B27">
        <w:rPr>
          <w:lang w:eastAsia="en-NZ"/>
        </w:rPr>
        <w:t xml:space="preserve"> is a whole of government action plan for transformation of the mental health and addiction sector over the long-term. Building on the foundations introduced in the $1.9</w:t>
      </w:r>
      <w:r w:rsidR="00046A83">
        <w:rPr>
          <w:lang w:eastAsia="en-NZ"/>
        </w:rPr>
        <w:t> billion</w:t>
      </w:r>
      <w:r w:rsidRPr="00BC6B27">
        <w:rPr>
          <w:lang w:eastAsia="en-NZ"/>
        </w:rPr>
        <w:t xml:space="preserve"> package for mental wellbeing in Budget 2019, </w:t>
      </w:r>
      <w:r w:rsidRPr="00BC6B27">
        <w:rPr>
          <w:i/>
          <w:iCs/>
          <w:lang w:eastAsia="en-NZ"/>
        </w:rPr>
        <w:t>Kia</w:t>
      </w:r>
      <w:r w:rsidR="00160D32">
        <w:rPr>
          <w:i/>
          <w:iCs/>
          <w:lang w:eastAsia="en-NZ"/>
        </w:rPr>
        <w:t> </w:t>
      </w:r>
      <w:r w:rsidRPr="00BC6B27">
        <w:rPr>
          <w:i/>
          <w:iCs/>
          <w:lang w:eastAsia="en-NZ"/>
        </w:rPr>
        <w:t>Manawanui</w:t>
      </w:r>
      <w:r w:rsidRPr="00BC6B27">
        <w:rPr>
          <w:lang w:eastAsia="en-NZ"/>
        </w:rPr>
        <w:t xml:space="preserve"> sets out the sequenced actions to implement further changes required to support the mental wellbeing of New Zealanders. This includes continued expansion of access to mental wellbeing support, ensuring our work is grounded in </w:t>
      </w:r>
      <w:r w:rsidR="00046A83">
        <w:rPr>
          <w:lang w:eastAsia="en-NZ"/>
        </w:rPr>
        <w:t>Te Tiriti</w:t>
      </w:r>
      <w:r w:rsidRPr="00BC6B27">
        <w:rPr>
          <w:lang w:eastAsia="en-NZ"/>
        </w:rPr>
        <w:t xml:space="preserve"> o Waitangi and equity, and providing environments that support diverse population groups and communities which have for too long experienced inequitable outcomes.</w:t>
      </w:r>
    </w:p>
    <w:p w14:paraId="5A88BB16" w14:textId="77777777" w:rsidR="007179EA" w:rsidRPr="00BC6B27" w:rsidRDefault="007179EA" w:rsidP="00160D32">
      <w:pPr>
        <w:spacing w:before="120"/>
        <w:ind w:left="284"/>
        <w:rPr>
          <w:lang w:eastAsia="en-NZ"/>
        </w:rPr>
      </w:pPr>
      <w:r w:rsidRPr="00BC6B27">
        <w:rPr>
          <w:lang w:eastAsia="en-NZ"/>
        </w:rPr>
        <w:t>Importantly this plan includes an action to review the Gambling Act 2003, with specific reference to preventing and minimising harm from online gambling and electronic gaming machines.</w:t>
      </w:r>
    </w:p>
    <w:p w14:paraId="4A7E27B6" w14:textId="77777777" w:rsidR="007179EA" w:rsidRDefault="007179EA" w:rsidP="00160D32">
      <w:pPr>
        <w:pStyle w:val="Bullet"/>
        <w:spacing w:before="240"/>
      </w:pPr>
      <w:r w:rsidRPr="00160D32">
        <w:rPr>
          <w:i/>
        </w:rPr>
        <w:t>Whakamaua: Māori Health Action Plan 2020–2025</w:t>
      </w:r>
      <w:r>
        <w:t xml:space="preserve"> (Whakamaua)</w:t>
      </w:r>
      <w:r w:rsidRPr="00160D32">
        <w:rPr>
          <w:rStyle w:val="FootnoteReference"/>
          <w:rFonts w:eastAsia="MS Gothic"/>
        </w:rPr>
        <w:footnoteReference w:id="46"/>
      </w:r>
    </w:p>
    <w:p w14:paraId="64C66075" w14:textId="77777777" w:rsidR="007179EA" w:rsidRDefault="007179EA" w:rsidP="00160D32">
      <w:pPr>
        <w:spacing w:before="120"/>
        <w:ind w:left="284"/>
      </w:pPr>
      <w:r w:rsidRPr="00C13E26">
        <w:rPr>
          <w:i/>
          <w:iCs/>
        </w:rPr>
        <w:t>Whakamaua</w:t>
      </w:r>
      <w:r w:rsidRPr="0003777A">
        <w:t xml:space="preserve"> </w:t>
      </w:r>
      <w:r>
        <w:t xml:space="preserve">sits alongside </w:t>
      </w:r>
      <w:r w:rsidRPr="00C13E26">
        <w:rPr>
          <w:i/>
          <w:iCs/>
        </w:rPr>
        <w:t>Kia Manawanui</w:t>
      </w:r>
      <w:r>
        <w:t xml:space="preserve"> and </w:t>
      </w:r>
      <w:r w:rsidRPr="0003777A">
        <w:t>sets out objectives for the health and disability sector to work towards over the five</w:t>
      </w:r>
      <w:r w:rsidR="0018228E">
        <w:t> years</w:t>
      </w:r>
      <w:r>
        <w:t xml:space="preserve"> to the end of 2025, to a</w:t>
      </w:r>
      <w:r w:rsidRPr="0003777A">
        <w:t xml:space="preserve">ccelerate and spread the delivery of </w:t>
      </w:r>
      <w:r>
        <w:t>k</w:t>
      </w:r>
      <w:r w:rsidRPr="0003777A">
        <w:t xml:space="preserve">aupapa Māori and </w:t>
      </w:r>
      <w:r>
        <w:t xml:space="preserve">whānau-centred </w:t>
      </w:r>
      <w:r w:rsidRPr="0003777A">
        <w:t>services</w:t>
      </w:r>
      <w:r>
        <w:t>:</w:t>
      </w:r>
      <w:r w:rsidRPr="0003777A">
        <w:t xml:space="preserve"> </w:t>
      </w:r>
      <w:r>
        <w:t>to s</w:t>
      </w:r>
      <w:r w:rsidRPr="0003777A">
        <w:t xml:space="preserve">hift cultural and social norms; </w:t>
      </w:r>
      <w:r>
        <w:t>to r</w:t>
      </w:r>
      <w:r w:rsidRPr="0003777A">
        <w:t xml:space="preserve">educe health inequities and health loss for Māori and </w:t>
      </w:r>
      <w:r>
        <w:t>to s</w:t>
      </w:r>
      <w:r w:rsidRPr="0003777A">
        <w:t>trengthen system accountability settings.</w:t>
      </w:r>
    </w:p>
    <w:p w14:paraId="296F6590" w14:textId="77777777" w:rsidR="007179EA" w:rsidRDefault="007179EA" w:rsidP="00160D32">
      <w:pPr>
        <w:pStyle w:val="Bullet"/>
        <w:spacing w:before="240"/>
      </w:pPr>
      <w:r>
        <w:t>The Department of Internal Affairs</w:t>
      </w:r>
      <w:r w:rsidR="00BC6B27">
        <w:t>’</w:t>
      </w:r>
      <w:r>
        <w:t xml:space="preserve"> new strategic focus on gambling</w:t>
      </w:r>
    </w:p>
    <w:p w14:paraId="3197FEDC" w14:textId="77777777" w:rsidR="007179EA" w:rsidRDefault="007179EA" w:rsidP="00160D32">
      <w:pPr>
        <w:spacing w:before="120"/>
        <w:ind w:left="284"/>
      </w:pPr>
      <w:r>
        <w:t xml:space="preserve">In 2020, DIA announced its </w:t>
      </w:r>
      <w:r w:rsidRPr="0003777A">
        <w:t xml:space="preserve">strategic focus on gambling </w:t>
      </w:r>
      <w:r>
        <w:t xml:space="preserve">would be </w:t>
      </w:r>
      <w:r w:rsidR="00BC6B27">
        <w:t>‘</w:t>
      </w:r>
      <w:r>
        <w:t>D</w:t>
      </w:r>
      <w:r w:rsidRPr="0003777A">
        <w:t>elivering community wellbeing through reducing gambling</w:t>
      </w:r>
      <w:r>
        <w:t>-</w:t>
      </w:r>
      <w:r w:rsidRPr="0003777A">
        <w:t>related harms</w:t>
      </w:r>
      <w:r w:rsidR="00BC6B27">
        <w:t>’</w:t>
      </w:r>
      <w:r w:rsidRPr="0003777A">
        <w:t>.</w:t>
      </w:r>
      <w:r w:rsidRPr="00160D32">
        <w:rPr>
          <w:rStyle w:val="FootnoteReference"/>
          <w:rFonts w:eastAsia="MS Gothic"/>
        </w:rPr>
        <w:footnoteReference w:id="47"/>
      </w:r>
      <w:r w:rsidRPr="0003777A">
        <w:t xml:space="preserve"> Work to achieve this purpose would be driven through five focus areas: </w:t>
      </w:r>
      <w:r>
        <w:t xml:space="preserve">being an </w:t>
      </w:r>
      <w:r w:rsidRPr="0003777A">
        <w:t xml:space="preserve">effective Treaty </w:t>
      </w:r>
      <w:r>
        <w:t>p</w:t>
      </w:r>
      <w:r w:rsidRPr="0003777A">
        <w:t xml:space="preserve">artner; </w:t>
      </w:r>
      <w:r>
        <w:t xml:space="preserve">forming an </w:t>
      </w:r>
      <w:r w:rsidRPr="0003777A">
        <w:t xml:space="preserve">enabled workforce; </w:t>
      </w:r>
      <w:r>
        <w:t xml:space="preserve">achieving </w:t>
      </w:r>
      <w:r w:rsidRPr="0003777A">
        <w:t xml:space="preserve">regulatory excellence; </w:t>
      </w:r>
      <w:r>
        <w:t xml:space="preserve">being </w:t>
      </w:r>
      <w:r w:rsidRPr="0003777A">
        <w:t>evidence</w:t>
      </w:r>
      <w:r>
        <w:t xml:space="preserve"> </w:t>
      </w:r>
      <w:r w:rsidRPr="0003777A">
        <w:t xml:space="preserve">based and informed; and </w:t>
      </w:r>
      <w:r>
        <w:t xml:space="preserve">demonstrating </w:t>
      </w:r>
      <w:r w:rsidRPr="0003777A">
        <w:t>system leadership.</w:t>
      </w:r>
    </w:p>
    <w:p w14:paraId="2F190495" w14:textId="77777777" w:rsidR="00160D32" w:rsidRDefault="00160D32" w:rsidP="00160D32"/>
    <w:p w14:paraId="6DD1869E" w14:textId="77777777" w:rsidR="007179EA" w:rsidRDefault="007179EA" w:rsidP="00160D32">
      <w:r w:rsidRPr="004F5AFA">
        <w:t xml:space="preserve">Appendix 1 </w:t>
      </w:r>
      <w:r>
        <w:t>summarises other strategic documents we have aligned with this strategy, such as Ola M</w:t>
      </w:r>
      <w:r w:rsidRPr="004F5AFA">
        <w:t>anuia</w:t>
      </w:r>
      <w:r>
        <w:t xml:space="preserve"> P</w:t>
      </w:r>
      <w:r w:rsidRPr="004F5AFA">
        <w:t>acific</w:t>
      </w:r>
      <w:r>
        <w:t xml:space="preserve"> H</w:t>
      </w:r>
      <w:r w:rsidRPr="004F5AFA">
        <w:t>ealth</w:t>
      </w:r>
      <w:r>
        <w:t xml:space="preserve"> </w:t>
      </w:r>
      <w:r w:rsidRPr="004F5AFA">
        <w:t>and</w:t>
      </w:r>
      <w:r>
        <w:t xml:space="preserve"> W</w:t>
      </w:r>
      <w:r w:rsidRPr="004F5AFA">
        <w:t>ellbeing</w:t>
      </w:r>
      <w:r>
        <w:t xml:space="preserve"> A</w:t>
      </w:r>
      <w:r w:rsidRPr="004F5AFA">
        <w:t>ction</w:t>
      </w:r>
      <w:r>
        <w:t xml:space="preserve"> P</w:t>
      </w:r>
      <w:r w:rsidRPr="004F5AFA">
        <w:t>lan</w:t>
      </w:r>
      <w:r>
        <w:t xml:space="preserve"> </w:t>
      </w:r>
      <w:r w:rsidRPr="004F5AFA">
        <w:t>2020</w:t>
      </w:r>
      <w:r w:rsidR="00160D32">
        <w:t>–</w:t>
      </w:r>
      <w:r w:rsidRPr="004F5AFA">
        <w:t>2025</w:t>
      </w:r>
      <w:r>
        <w:t>.</w:t>
      </w:r>
    </w:p>
    <w:p w14:paraId="1A2647F9" w14:textId="77777777" w:rsidR="00160D32" w:rsidRPr="004F5AFA" w:rsidRDefault="00160D32" w:rsidP="00160D32"/>
    <w:p w14:paraId="49A3D693" w14:textId="77777777" w:rsidR="007179EA" w:rsidRDefault="00046A83" w:rsidP="00160D32">
      <w:pPr>
        <w:pStyle w:val="Heading4"/>
      </w:pPr>
      <w:bookmarkStart w:id="95" w:name="_Hlk76128694"/>
      <w:r>
        <w:lastRenderedPageBreak/>
        <w:t>Te Tiriti</w:t>
      </w:r>
      <w:r w:rsidR="007179EA" w:rsidRPr="006F402E">
        <w:t xml:space="preserve"> o Waitangi in the health and disability system</w:t>
      </w:r>
    </w:p>
    <w:p w14:paraId="2D6BAB4E" w14:textId="77777777" w:rsidR="00BC6B27" w:rsidRDefault="007179EA" w:rsidP="00160D32">
      <w:pPr>
        <w:keepNext/>
        <w:keepLines/>
      </w:pPr>
      <w:r w:rsidRPr="00CE391F">
        <w:t>The proposed new strategic framework positions gambling harm explicitly as an equity issue.</w:t>
      </w:r>
      <w:r w:rsidRPr="00C037DD">
        <w:rPr>
          <w:i/>
        </w:rPr>
        <w:t xml:space="preserve"> </w:t>
      </w:r>
      <w:r w:rsidRPr="00CE391F">
        <w:rPr>
          <w:i/>
        </w:rPr>
        <w:t>Whakamaua</w:t>
      </w:r>
      <w:r w:rsidRPr="00CE391F">
        <w:t xml:space="preserve"> describes the principles of </w:t>
      </w:r>
      <w:r w:rsidR="00046A83">
        <w:t>Te Tiriti</w:t>
      </w:r>
      <w:r w:rsidRPr="00CE391F">
        <w:t xml:space="preserve"> for the context of health services</w:t>
      </w:r>
      <w:r w:rsidRPr="00CE391F">
        <w:rPr>
          <w:i/>
        </w:rPr>
        <w:t xml:space="preserve">, </w:t>
      </w:r>
      <w:r w:rsidRPr="00CE391F">
        <w:t>drawing on</w:t>
      </w:r>
      <w:r w:rsidRPr="00CE391F">
        <w:rPr>
          <w:i/>
        </w:rPr>
        <w:t xml:space="preserve"> Hauora: Report on Stage One of the Health Services and Outcomes Kaupapa Inquiry </w:t>
      </w:r>
      <w:r w:rsidRPr="00CE391F">
        <w:t>(</w:t>
      </w:r>
      <w:r w:rsidRPr="00CE391F">
        <w:rPr>
          <w:i/>
        </w:rPr>
        <w:t>Hauora</w:t>
      </w:r>
      <w:r w:rsidRPr="00CE391F">
        <w:t>)</w:t>
      </w:r>
      <w:r w:rsidR="00160D32">
        <w:t>.</w:t>
      </w:r>
      <w:r w:rsidRPr="00160D32">
        <w:rPr>
          <w:rStyle w:val="FootnoteReference"/>
          <w:rFonts w:eastAsia="MS Gothic"/>
        </w:rPr>
        <w:footnoteReference w:id="48"/>
      </w:r>
      <w:r w:rsidRPr="00160D32">
        <w:rPr>
          <w:vertAlign w:val="superscript"/>
        </w:rPr>
        <w:t>,</w:t>
      </w:r>
      <w:r w:rsidRPr="00160D32">
        <w:rPr>
          <w:rStyle w:val="FootnoteReference"/>
        </w:rPr>
        <w:footnoteReference w:id="49"/>
      </w:r>
      <w:r>
        <w:t xml:space="preserve"> We </w:t>
      </w:r>
      <w:r w:rsidRPr="00CE391F">
        <w:t>have referred to these principles to inform the strategic framework.</w:t>
      </w:r>
    </w:p>
    <w:p w14:paraId="1697AA60" w14:textId="77777777" w:rsidR="007179EA" w:rsidRDefault="007179EA" w:rsidP="00160D32">
      <w:pPr>
        <w:pStyle w:val="Bullet"/>
      </w:pPr>
      <w:r w:rsidRPr="00CE391F">
        <w:t>Tino rangatiratanga</w:t>
      </w:r>
      <w:r w:rsidR="00BC6B27">
        <w:t>’</w:t>
      </w:r>
      <w:r w:rsidRPr="00CE391F">
        <w:t xml:space="preserve"> underpins the principles identified in </w:t>
      </w:r>
      <w:r w:rsidR="00046A83">
        <w:t>Te Tiriti</w:t>
      </w:r>
      <w:r w:rsidRPr="00CE391F">
        <w:t xml:space="preserve">. It is often translated as </w:t>
      </w:r>
      <w:r w:rsidR="00BC6B27">
        <w:t>‘</w:t>
      </w:r>
      <w:r w:rsidRPr="00CE391F">
        <w:t>self-determination</w:t>
      </w:r>
      <w:r w:rsidR="00BC6B27">
        <w:t>’</w:t>
      </w:r>
      <w:r w:rsidRPr="00CE391F">
        <w:t xml:space="preserve"> or </w:t>
      </w:r>
      <w:r w:rsidR="00BC6B27">
        <w:t>‘</w:t>
      </w:r>
      <w:r w:rsidRPr="00CE391F">
        <w:t>sovereignty</w:t>
      </w:r>
      <w:r w:rsidR="00BC6B27">
        <w:t>’</w:t>
      </w:r>
      <w:r w:rsidRPr="00CE391F">
        <w:t>. It means that Māori are guaranteed self-determination and mana motuhake (the right to be Māori and to live on Māori terms in accordance with Māori philosophies, values and practices) in the design, delivery and monitoring of health and disability services.</w:t>
      </w:r>
    </w:p>
    <w:p w14:paraId="536FF2F3" w14:textId="77777777" w:rsidR="007179EA" w:rsidRPr="00894022" w:rsidRDefault="00BC6B27" w:rsidP="00160D32">
      <w:pPr>
        <w:pStyle w:val="Bullet"/>
        <w:rPr>
          <w:szCs w:val="21"/>
        </w:rPr>
      </w:pPr>
      <w:r>
        <w:rPr>
          <w:sz w:val="20"/>
        </w:rPr>
        <w:t>‘</w:t>
      </w:r>
      <w:r w:rsidR="007179EA" w:rsidRPr="00894022">
        <w:rPr>
          <w:szCs w:val="21"/>
        </w:rPr>
        <w:t>Partnership</w:t>
      </w:r>
      <w:r>
        <w:rPr>
          <w:szCs w:val="21"/>
        </w:rPr>
        <w:t>’</w:t>
      </w:r>
      <w:r w:rsidR="007179EA" w:rsidRPr="00894022">
        <w:rPr>
          <w:szCs w:val="21"/>
        </w:rPr>
        <w:t xml:space="preserve"> is recognised as a relationship between the Crown and Māori, in which the two parties act with respect towards one another, work together and are flexible about different structures where organisations are not meeting the needs of one another. Partnership requires the Crown and Māori to work collaboratively in the governance, design, delivering and monitoring of health and disability services. Māori must be co</w:t>
      </w:r>
      <w:r w:rsidR="007179EA" w:rsidRPr="00894022">
        <w:rPr>
          <w:szCs w:val="21"/>
        </w:rPr>
        <w:noBreakHyphen/>
        <w:t>designers, with the Crown, of the health and disability system for Māori.</w:t>
      </w:r>
    </w:p>
    <w:p w14:paraId="08C83876" w14:textId="77777777" w:rsidR="007179EA" w:rsidRDefault="00BC6B27" w:rsidP="00160D32">
      <w:pPr>
        <w:pStyle w:val="Bullet"/>
      </w:pPr>
      <w:r>
        <w:t>‘</w:t>
      </w:r>
      <w:r w:rsidR="007179EA" w:rsidRPr="006F402E">
        <w:t>Active protection</w:t>
      </w:r>
      <w:r>
        <w:t>’</w:t>
      </w:r>
      <w:r w:rsidR="007179EA" w:rsidRPr="006F402E">
        <w:t xml:space="preserve"> requires the Crown to act, to the greatest extent practicable, to achieve equitable health outcomes for Māori. This includes ensuring that the Crown, its agents and its partners in </w:t>
      </w:r>
      <w:r w:rsidR="00046A83">
        <w:t>Te Tiriti</w:t>
      </w:r>
      <w:r w:rsidR="007179EA" w:rsidRPr="006F402E">
        <w:t xml:space="preserve"> are well informed on the extent and nature of both Māori health outcomes and efforts to achieve Māori health equity.</w:t>
      </w:r>
    </w:p>
    <w:p w14:paraId="042AB4BA" w14:textId="77777777" w:rsidR="007179EA" w:rsidRDefault="00BC6B27" w:rsidP="00160D32">
      <w:pPr>
        <w:pStyle w:val="Bullet"/>
      </w:pPr>
      <w:r>
        <w:t>‘</w:t>
      </w:r>
      <w:r w:rsidR="007179EA" w:rsidRPr="006F402E">
        <w:t>Options</w:t>
      </w:r>
      <w:r>
        <w:t>’</w:t>
      </w:r>
      <w:r w:rsidR="007179EA" w:rsidRPr="006F402E">
        <w:t xml:space="preserve"> require the Crown to provide for and properly resource kaupapa Māori health and disability services. Furthermore, the Crown is obliged to ensure that all health and disability services are provided in a culturally </w:t>
      </w:r>
      <w:r w:rsidR="007179EA">
        <w:t>responsive and safe</w:t>
      </w:r>
      <w:r w:rsidR="007179EA" w:rsidRPr="006F402E">
        <w:t xml:space="preserve"> way that recognises and supports the expression of hauora Māori models of care.</w:t>
      </w:r>
    </w:p>
    <w:p w14:paraId="7563FD56" w14:textId="77777777" w:rsidR="007179EA" w:rsidRDefault="00BC6B27" w:rsidP="00160D32">
      <w:pPr>
        <w:pStyle w:val="Bullet"/>
      </w:pPr>
      <w:r>
        <w:t>‘</w:t>
      </w:r>
      <w:r w:rsidR="007179EA" w:rsidRPr="006F402E">
        <w:t>Equity</w:t>
      </w:r>
      <w:r>
        <w:t>’</w:t>
      </w:r>
      <w:r w:rsidR="007179EA" w:rsidRPr="006F402E">
        <w:t xml:space="preserve"> requires the Crown to commit to achieving equitable health outcomes for Māori. Equity recognises that different people with different levels of advantage require different approaches and resources to achieve equitable health outcomes.</w:t>
      </w:r>
    </w:p>
    <w:p w14:paraId="17FACE2C" w14:textId="77777777" w:rsidR="00160D32" w:rsidRPr="006F402E" w:rsidRDefault="00160D32" w:rsidP="00160D32"/>
    <w:p w14:paraId="0BC42044" w14:textId="77777777" w:rsidR="007179EA" w:rsidRDefault="007179EA" w:rsidP="00160D32">
      <w:pPr>
        <w:pStyle w:val="Heading4"/>
      </w:pPr>
      <w:r>
        <w:t xml:space="preserve">Research and </w:t>
      </w:r>
      <w:r w:rsidR="00160D32">
        <w:t>e</w:t>
      </w:r>
      <w:r>
        <w:t>vidence</w:t>
      </w:r>
    </w:p>
    <w:p w14:paraId="7E167F9B" w14:textId="77777777" w:rsidR="00BC6B27" w:rsidRDefault="007179EA" w:rsidP="00160D32">
      <w:r>
        <w:t xml:space="preserve">Research and evidence inform all aspects of the strategic framework. Relevant research has been described in the preceding sections and as such is not highlighted separately in this section. Research priorities are described in </w:t>
      </w:r>
      <w:hyperlink w:anchor="_Draft_service_plan" w:history="1">
        <w:r w:rsidR="00046A83" w:rsidRPr="00046A83">
          <w:rPr>
            <w:rStyle w:val="Hyperlink"/>
          </w:rPr>
          <w:t>Section 4: The Service Plan</w:t>
        </w:r>
      </w:hyperlink>
      <w:r>
        <w:t>.</w:t>
      </w:r>
    </w:p>
    <w:p w14:paraId="402A5246" w14:textId="77777777" w:rsidR="007179EA" w:rsidRDefault="007179EA" w:rsidP="00160D32"/>
    <w:p w14:paraId="32A30FBD" w14:textId="77777777" w:rsidR="007179EA" w:rsidRDefault="007179EA" w:rsidP="00160D32">
      <w:pPr>
        <w:pStyle w:val="Heading4"/>
      </w:pPr>
      <w:r>
        <w:lastRenderedPageBreak/>
        <w:t xml:space="preserve">Key continuities with </w:t>
      </w:r>
      <w:r w:rsidRPr="00160D32">
        <w:rPr>
          <w:i/>
        </w:rPr>
        <w:t>Strategy to Prevent and Minimise Gambling harm 2019/20 to 2021/22</w:t>
      </w:r>
    </w:p>
    <w:p w14:paraId="349F8400" w14:textId="77777777" w:rsidR="007179EA" w:rsidRDefault="007179EA" w:rsidP="00160D32">
      <w:pPr>
        <w:keepNext/>
        <w:keepLines/>
      </w:pPr>
      <w:r>
        <w:t>It is important we do not lose any of the existing momentum to prevent and minimise gambling harm. The proposed strategic framework re-frames the current strategy, incorporates both responses to submissions on the consultation document and environmental changes and lessons learnt over recent</w:t>
      </w:r>
      <w:r w:rsidR="00046A83">
        <w:t xml:space="preserve"> </w:t>
      </w:r>
      <w:r w:rsidR="0018228E">
        <w:t>years</w:t>
      </w:r>
      <w:r>
        <w:t xml:space="preserve">. There is still a close relationship to the current strategic framework, because the prevention and minimisation of gambling-related harm is a long-term activity. The current strategy had already initiated changes to align with some of the elements foreshadowed in </w:t>
      </w:r>
      <w:r w:rsidRPr="001865EC">
        <w:rPr>
          <w:i/>
          <w:iCs/>
        </w:rPr>
        <w:t>He Ara Oranga, the Report of the Inquiry into Mental Health and Addiction Services</w:t>
      </w:r>
      <w:r>
        <w:rPr>
          <w:i/>
          <w:iCs/>
        </w:rPr>
        <w:t xml:space="preserve">, </w:t>
      </w:r>
      <w:r w:rsidRPr="003D2E77">
        <w:t xml:space="preserve">such as </w:t>
      </w:r>
      <w:r>
        <w:t xml:space="preserve">developing culturally responsive services and </w:t>
      </w:r>
      <w:r w:rsidRPr="003D2E77">
        <w:t xml:space="preserve">incorporating the voice of lived </w:t>
      </w:r>
      <w:r w:rsidRPr="00222E81">
        <w:t>experience.</w:t>
      </w:r>
      <w:r w:rsidRPr="003749D7">
        <w:t xml:space="preserve"> </w:t>
      </w:r>
      <w:r>
        <w:t xml:space="preserve">All 11 strategic objectives from past strategies have been incorporated into the four new draft objectives, as shown </w:t>
      </w:r>
      <w:r w:rsidRPr="003C1CD6">
        <w:t xml:space="preserve">in </w:t>
      </w:r>
      <w:hyperlink w:anchor="_Appendix_4:_Key" w:history="1">
        <w:r w:rsidRPr="003C1CD6">
          <w:rPr>
            <w:rStyle w:val="Hyperlink"/>
            <w:bCs/>
          </w:rPr>
          <w:t>Appendix</w:t>
        </w:r>
        <w:r w:rsidR="00BD7A52">
          <w:rPr>
            <w:rStyle w:val="Hyperlink"/>
            <w:bCs/>
          </w:rPr>
          <w:t> </w:t>
        </w:r>
        <w:r w:rsidRPr="003C1CD6">
          <w:rPr>
            <w:rStyle w:val="Hyperlink"/>
            <w:bCs/>
          </w:rPr>
          <w:t>3</w:t>
        </w:r>
      </w:hyperlink>
      <w:r w:rsidRPr="00BD7A52">
        <w:t>.</w:t>
      </w:r>
    </w:p>
    <w:p w14:paraId="6697D2A2" w14:textId="77777777" w:rsidR="007179EA" w:rsidRDefault="007179EA" w:rsidP="00BD7A52"/>
    <w:p w14:paraId="69787A80" w14:textId="77777777" w:rsidR="007179EA" w:rsidRDefault="007179EA" w:rsidP="00BD7A52">
      <w:r>
        <w:t xml:space="preserve">Some submissions called for </w:t>
      </w:r>
      <w:r w:rsidR="00BC6B27">
        <w:t>“</w:t>
      </w:r>
      <w:r>
        <w:t>bolder changes</w:t>
      </w:r>
      <w:r w:rsidR="00BC6B27">
        <w:t>”</w:t>
      </w:r>
      <w:r>
        <w:t xml:space="preserve"> in the strategy. Any changes to services need to be balanced against the duty to provide continuity for long term activities such as health education, prevention and early intervention, required to meet the needs of new cohorts of people coming through, as well as for people having different needs at different</w:t>
      </w:r>
      <w:r w:rsidR="00046A83">
        <w:t xml:space="preserve"> times</w:t>
      </w:r>
      <w:r>
        <w:t xml:space="preserve"> in their lives.</w:t>
      </w:r>
    </w:p>
    <w:p w14:paraId="4E005EAF" w14:textId="77777777" w:rsidR="007179EA" w:rsidRDefault="007179EA" w:rsidP="00BD7A52"/>
    <w:p w14:paraId="7F3D45C6" w14:textId="77777777" w:rsidR="007179EA" w:rsidRDefault="007179EA" w:rsidP="00BD7A52">
      <w:r w:rsidRPr="008D3CB4">
        <w:t xml:space="preserve">Service and research contracts initiated under the </w:t>
      </w:r>
      <w:r>
        <w:t xml:space="preserve">current </w:t>
      </w:r>
      <w:r w:rsidRPr="008D3CB4">
        <w:t>strateg</w:t>
      </w:r>
      <w:r>
        <w:t xml:space="preserve">y will </w:t>
      </w:r>
      <w:r w:rsidRPr="008D3CB4">
        <w:t>continue</w:t>
      </w:r>
      <w:r>
        <w:t>,</w:t>
      </w:r>
      <w:r w:rsidRPr="008D3CB4">
        <w:t xml:space="preserve"> but</w:t>
      </w:r>
      <w:r>
        <w:t>, as opportunities occur, these will</w:t>
      </w:r>
      <w:r w:rsidRPr="008D3CB4">
        <w:t xml:space="preserve"> be gradually </w:t>
      </w:r>
      <w:r>
        <w:t>aligned</w:t>
      </w:r>
      <w:r w:rsidRPr="008D3CB4">
        <w:t xml:space="preserve"> to the new </w:t>
      </w:r>
      <w:r>
        <w:t xml:space="preserve">strategic </w:t>
      </w:r>
      <w:r w:rsidRPr="008D3CB4">
        <w:t xml:space="preserve">framework </w:t>
      </w:r>
      <w:r>
        <w:t>that will apply from 1 July 2022, for example, through the contract renewal or tender processes.</w:t>
      </w:r>
    </w:p>
    <w:p w14:paraId="6CAAB3D7" w14:textId="77777777" w:rsidR="00BD7A52" w:rsidRDefault="00BD7A52" w:rsidP="00BD7A52"/>
    <w:p w14:paraId="6BC22322" w14:textId="77777777" w:rsidR="007179EA" w:rsidRDefault="007179EA" w:rsidP="00BD7A52">
      <w:pPr>
        <w:pStyle w:val="Heading2"/>
      </w:pPr>
      <w:bookmarkStart w:id="96" w:name="_Toc89684392"/>
      <w:bookmarkStart w:id="97" w:name="_Toc90885048"/>
      <w:r>
        <w:t>Elements of the new framework</w:t>
      </w:r>
      <w:bookmarkEnd w:id="96"/>
      <w:bookmarkEnd w:id="97"/>
    </w:p>
    <w:p w14:paraId="11CABC13" w14:textId="77777777" w:rsidR="007179EA" w:rsidRPr="00E67B6A" w:rsidRDefault="007179EA" w:rsidP="00BD7A52">
      <w:r>
        <w:t>Taken together, in the context of the Ministry</w:t>
      </w:r>
      <w:r w:rsidR="00BC6B27">
        <w:t>’</w:t>
      </w:r>
      <w:r>
        <w:t xml:space="preserve">s existing approach to </w:t>
      </w:r>
      <w:r w:rsidR="00046A83">
        <w:t>Te Tiriti</w:t>
      </w:r>
      <w:r>
        <w:t xml:space="preserve">, the elements described below </w:t>
      </w:r>
      <w:r w:rsidRPr="00E67B6A">
        <w:t xml:space="preserve">reflect </w:t>
      </w:r>
      <w:r>
        <w:t>our</w:t>
      </w:r>
      <w:r w:rsidRPr="00E67B6A">
        <w:t xml:space="preserve"> commitment to equity and to the public health approach to gambling harm prevention and minimisation</w:t>
      </w:r>
      <w:r>
        <w:t>, by</w:t>
      </w:r>
      <w:r w:rsidRPr="00E67B6A">
        <w:t>:</w:t>
      </w:r>
    </w:p>
    <w:p w14:paraId="299DEDF6" w14:textId="77777777" w:rsidR="007179EA" w:rsidRPr="0003777A" w:rsidRDefault="007179EA" w:rsidP="00BD7A52">
      <w:pPr>
        <w:pStyle w:val="Bullet"/>
      </w:pPr>
      <w:r w:rsidRPr="00FA7DC3">
        <w:t>position</w:t>
      </w:r>
      <w:r>
        <w:t>ing</w:t>
      </w:r>
      <w:r w:rsidRPr="00FA7DC3">
        <w:t xml:space="preserve"> gambling harm prevention and minimisation explicitly as an equity issue</w:t>
      </w:r>
      <w:r>
        <w:t xml:space="preserve">, by creating a new set of objectives based on </w:t>
      </w:r>
      <w:r w:rsidRPr="00306174">
        <w:rPr>
          <w:i/>
          <w:iCs/>
        </w:rPr>
        <w:t>Whakamaua</w:t>
      </w:r>
    </w:p>
    <w:p w14:paraId="2ABEADAA" w14:textId="77777777" w:rsidR="007179EA" w:rsidRDefault="007179EA" w:rsidP="00BD7A52">
      <w:pPr>
        <w:pStyle w:val="Bullet"/>
      </w:pPr>
      <w:r>
        <w:t xml:space="preserve">aligning with </w:t>
      </w:r>
      <w:r w:rsidRPr="00894022">
        <w:rPr>
          <w:i/>
          <w:iCs/>
        </w:rPr>
        <w:t>Kia Manawanui</w:t>
      </w:r>
      <w:r>
        <w:t xml:space="preserve"> and </w:t>
      </w:r>
      <w:r w:rsidRPr="00894022">
        <w:rPr>
          <w:i/>
          <w:iCs/>
        </w:rPr>
        <w:t>Whakamaua</w:t>
      </w:r>
      <w:r>
        <w:t xml:space="preserve"> through outcomes and principles derived from those strategies</w:t>
      </w:r>
    </w:p>
    <w:p w14:paraId="70192E8B" w14:textId="77777777" w:rsidR="007179EA" w:rsidRDefault="007179EA" w:rsidP="00BD7A52">
      <w:pPr>
        <w:pStyle w:val="Bullet"/>
      </w:pPr>
      <w:r w:rsidRPr="0003777A">
        <w:t>situat</w:t>
      </w:r>
      <w:r>
        <w:t>ing</w:t>
      </w:r>
      <w:r w:rsidRPr="0003777A">
        <w:t xml:space="preserve"> harm prevention and minimisation activities within the broader context of public health promotion and the regulation of gambling</w:t>
      </w:r>
    </w:p>
    <w:p w14:paraId="111B77E5" w14:textId="77777777" w:rsidR="007179EA" w:rsidRPr="0003777A" w:rsidRDefault="007179EA" w:rsidP="00BD7A52">
      <w:pPr>
        <w:pStyle w:val="Bullet"/>
      </w:pPr>
      <w:r>
        <w:t>more clearly aligning goals, objectives and actions</w:t>
      </w:r>
    </w:p>
    <w:p w14:paraId="65D34728" w14:textId="77777777" w:rsidR="007179EA" w:rsidRDefault="007179EA" w:rsidP="00BD7A52">
      <w:pPr>
        <w:pStyle w:val="Bullet"/>
      </w:pPr>
      <w:r w:rsidRPr="0003777A">
        <w:t>respond</w:t>
      </w:r>
      <w:r>
        <w:t>ing</w:t>
      </w:r>
      <w:r w:rsidRPr="0003777A">
        <w:t xml:space="preserve"> to</w:t>
      </w:r>
      <w:r>
        <w:t xml:space="preserve"> new </w:t>
      </w:r>
      <w:r w:rsidRPr="0003777A">
        <w:t xml:space="preserve">research and evidence </w:t>
      </w:r>
      <w:r>
        <w:t xml:space="preserve">and </w:t>
      </w:r>
      <w:r w:rsidRPr="007F163B">
        <w:t>changes in the gambling harm prevention and minimisation environment</w:t>
      </w:r>
    </w:p>
    <w:p w14:paraId="755DC7DB" w14:textId="77777777" w:rsidR="00BC6B27" w:rsidRDefault="007179EA" w:rsidP="00BD7A52">
      <w:pPr>
        <w:pStyle w:val="Bullet"/>
      </w:pPr>
      <w:r>
        <w:t>demonstrating</w:t>
      </w:r>
      <w:r w:rsidRPr="00FA7DC3">
        <w:t xml:space="preserve"> how the work of the three </w:t>
      </w:r>
      <w:r>
        <w:t xml:space="preserve">government </w:t>
      </w:r>
      <w:r w:rsidRPr="00FA7DC3">
        <w:t>agencies</w:t>
      </w:r>
      <w:r>
        <w:t xml:space="preserve"> that work in this space</w:t>
      </w:r>
      <w:r w:rsidRPr="00FA7DC3">
        <w:t xml:space="preserve"> – the Ministry, </w:t>
      </w:r>
      <w:r>
        <w:t>DIA</w:t>
      </w:r>
      <w:r w:rsidRPr="00FA7DC3">
        <w:t>, and Te Hiringa Hauora – complement each other</w:t>
      </w:r>
      <w:r>
        <w:t>.</w:t>
      </w:r>
    </w:p>
    <w:p w14:paraId="29C92634" w14:textId="77777777" w:rsidR="00BD7A52" w:rsidRDefault="00BD7A52" w:rsidP="00BD7A52"/>
    <w:p w14:paraId="24CB664B" w14:textId="77777777" w:rsidR="007179EA" w:rsidRDefault="007179EA" w:rsidP="00BD7A52">
      <w:pPr>
        <w:keepNext/>
        <w:keepLines/>
      </w:pPr>
      <w:r>
        <w:lastRenderedPageBreak/>
        <w:t xml:space="preserve">The gambling industry also has an important role to play, particularly though the host responsibility programme developed with </w:t>
      </w:r>
      <w:r w:rsidRPr="004A7088">
        <w:t>Te Hiringa Hauora</w:t>
      </w:r>
      <w:r w:rsidRPr="00874C06">
        <w:t xml:space="preserve"> and</w:t>
      </w:r>
      <w:r>
        <w:t xml:space="preserve"> DIA.</w:t>
      </w:r>
    </w:p>
    <w:p w14:paraId="2A201713" w14:textId="77777777" w:rsidR="007179EA" w:rsidRDefault="007179EA" w:rsidP="00BD7A52">
      <w:pPr>
        <w:keepNext/>
        <w:keepLines/>
      </w:pPr>
      <w:bookmarkStart w:id="98" w:name="_Toc71550033"/>
      <w:bookmarkStart w:id="99" w:name="_Toc78882266"/>
      <w:bookmarkStart w:id="100" w:name="_Toc80965838"/>
      <w:bookmarkEnd w:id="95"/>
    </w:p>
    <w:p w14:paraId="2C2206D9" w14:textId="77777777" w:rsidR="007179EA" w:rsidRDefault="007179EA" w:rsidP="00BD7A52">
      <w:r>
        <w:t xml:space="preserve">Descriptions of the </w:t>
      </w:r>
      <w:r w:rsidRPr="00AB520C">
        <w:t xml:space="preserve">elements of the new strategic framework are described </w:t>
      </w:r>
      <w:r>
        <w:t>below, followed by a stylised pictorial representation.</w:t>
      </w:r>
    </w:p>
    <w:p w14:paraId="306D8F98" w14:textId="77777777" w:rsidR="00BD7A52" w:rsidRPr="00894022" w:rsidRDefault="00BD7A52" w:rsidP="00BD7A52"/>
    <w:p w14:paraId="762A8F1C" w14:textId="77777777" w:rsidR="007179EA" w:rsidRPr="007F4B4C" w:rsidRDefault="007179EA" w:rsidP="00BD7A52">
      <w:pPr>
        <w:pStyle w:val="Heading3"/>
      </w:pPr>
      <w:r>
        <w:t>Pae ora</w:t>
      </w:r>
      <w:r w:rsidR="00BC6B27">
        <w:t xml:space="preserve"> – </w:t>
      </w:r>
      <w:r>
        <w:t>p</w:t>
      </w:r>
      <w:r w:rsidRPr="007F4B4C">
        <w:t>opulation outcome</w:t>
      </w:r>
      <w:bookmarkEnd w:id="98"/>
      <w:bookmarkEnd w:id="99"/>
      <w:bookmarkEnd w:id="100"/>
    </w:p>
    <w:p w14:paraId="59C11DA8" w14:textId="77777777" w:rsidR="007179EA" w:rsidRDefault="007179EA" w:rsidP="00BD7A52">
      <w:bookmarkStart w:id="101" w:name="_Hlk87520104"/>
      <w:r>
        <w:t>A population outcome is an outcome for the whole population that considers both population characteristics and system performance. As it is people centred and system-focused, it cannot be achieved by any one service, Government agency, or other actor alone.</w:t>
      </w:r>
    </w:p>
    <w:p w14:paraId="609B92DE" w14:textId="77777777" w:rsidR="00BD7A52" w:rsidRDefault="00BD7A52" w:rsidP="00BD7A52"/>
    <w:p w14:paraId="4B5E2A83" w14:textId="77777777" w:rsidR="00BC6B27" w:rsidRDefault="007179EA" w:rsidP="00BD7A52">
      <w:r w:rsidRPr="008E20F2">
        <w:t xml:space="preserve">The population outcome </w:t>
      </w:r>
      <w:r>
        <w:t xml:space="preserve">proposed for the strategy </w:t>
      </w:r>
      <w:r w:rsidRPr="008E20F2">
        <w:t xml:space="preserve">is </w:t>
      </w:r>
      <w:r w:rsidR="00046A83">
        <w:rPr>
          <w:b/>
          <w:bCs/>
          <w:i/>
          <w:iCs/>
        </w:rPr>
        <w:t>pae ora</w:t>
      </w:r>
      <w:r w:rsidRPr="006F402E">
        <w:rPr>
          <w:b/>
          <w:bCs/>
          <w:i/>
          <w:iCs/>
        </w:rPr>
        <w:t xml:space="preserve"> – healthy futures for </w:t>
      </w:r>
      <w:r>
        <w:rPr>
          <w:b/>
          <w:bCs/>
          <w:i/>
          <w:iCs/>
        </w:rPr>
        <w:t>Māori</w:t>
      </w:r>
      <w:r w:rsidRPr="006F402E">
        <w:rPr>
          <w:b/>
          <w:bCs/>
          <w:i/>
          <w:iCs/>
        </w:rPr>
        <w:t xml:space="preserve"> and all New Zealanders</w:t>
      </w:r>
      <w:r w:rsidR="00BC6B27">
        <w:rPr>
          <w:i/>
          <w:iCs/>
        </w:rPr>
        <w:t>”</w:t>
      </w:r>
      <w:r>
        <w:t xml:space="preserve">, which is drawn from </w:t>
      </w:r>
      <w:r w:rsidRPr="00894022">
        <w:rPr>
          <w:i/>
          <w:iCs/>
        </w:rPr>
        <w:t>Kia Manawanui</w:t>
      </w:r>
      <w:r>
        <w:t>.</w:t>
      </w:r>
      <w:r w:rsidRPr="00BD7A52">
        <w:rPr>
          <w:rStyle w:val="FootnoteReference"/>
        </w:rPr>
        <w:footnoteReference w:id="50"/>
      </w:r>
    </w:p>
    <w:p w14:paraId="7691B196" w14:textId="77777777" w:rsidR="00BD7A52" w:rsidRDefault="00BD7A52" w:rsidP="00BD7A52"/>
    <w:p w14:paraId="4E56CB11" w14:textId="77777777" w:rsidR="007179EA" w:rsidRDefault="007179EA" w:rsidP="00BD7A52">
      <w:r w:rsidRPr="00242F90">
        <w:t xml:space="preserve">While the concept was developed </w:t>
      </w:r>
      <w:r>
        <w:t>originally</w:t>
      </w:r>
      <w:r w:rsidRPr="00242F90">
        <w:t xml:space="preserve"> as a vision for Māori wellbeing, </w:t>
      </w:r>
      <w:r w:rsidRPr="00BC6B27">
        <w:rPr>
          <w:i/>
          <w:iCs/>
          <w:lang w:eastAsia="en-NZ"/>
        </w:rPr>
        <w:t>Kia</w:t>
      </w:r>
      <w:r w:rsidR="00046A83">
        <w:rPr>
          <w:i/>
          <w:iCs/>
          <w:lang w:eastAsia="en-NZ"/>
        </w:rPr>
        <w:t> </w:t>
      </w:r>
      <w:r w:rsidRPr="00BC6B27">
        <w:rPr>
          <w:i/>
          <w:iCs/>
          <w:lang w:eastAsia="en-NZ"/>
        </w:rPr>
        <w:t>Manawanui</w:t>
      </w:r>
      <w:r w:rsidRPr="00BC6B27">
        <w:rPr>
          <w:lang w:eastAsia="en-NZ"/>
        </w:rPr>
        <w:t xml:space="preserve"> applies this to Māori and all New Zealanders. This acknowledges </w:t>
      </w:r>
      <w:r w:rsidR="00046A83">
        <w:rPr>
          <w:lang w:eastAsia="en-NZ"/>
        </w:rPr>
        <w:t>pae ora</w:t>
      </w:r>
      <w:r w:rsidRPr="00BC6B27">
        <w:rPr>
          <w:lang w:eastAsia="en-NZ"/>
        </w:rPr>
        <w:t xml:space="preserve"> provides a platform to ensure Māori and all people in Aotearoa New Zealand can live with good health and wellbeing. Adopting this outcome establishes that </w:t>
      </w:r>
      <w:r w:rsidRPr="006F402E">
        <w:t xml:space="preserve">the wellbeing of </w:t>
      </w:r>
      <w:r w:rsidRPr="00BC6B27">
        <w:rPr>
          <w:lang w:eastAsia="en-NZ"/>
        </w:rPr>
        <w:t xml:space="preserve">Māori and all New Zealanders includes </w:t>
      </w:r>
      <w:r w:rsidRPr="002470A9">
        <w:t>being free from gambling-related harm</w:t>
      </w:r>
      <w:r w:rsidRPr="00BC6B27">
        <w:rPr>
          <w:lang w:eastAsia="en-NZ"/>
        </w:rPr>
        <w:t>.</w:t>
      </w:r>
    </w:p>
    <w:p w14:paraId="72B92383" w14:textId="77777777" w:rsidR="00BD7A52" w:rsidRDefault="00BD7A52" w:rsidP="00BD7A52">
      <w:pPr>
        <w:rPr>
          <w:lang w:eastAsia="en-NZ"/>
        </w:rPr>
      </w:pPr>
    </w:p>
    <w:p w14:paraId="43945EB6" w14:textId="77777777" w:rsidR="007179EA" w:rsidRDefault="007179EA" w:rsidP="00BD7A52">
      <w:pPr>
        <w:rPr>
          <w:lang w:eastAsia="en-NZ"/>
        </w:rPr>
      </w:pPr>
      <w:r w:rsidRPr="00BC6B27">
        <w:rPr>
          <w:lang w:eastAsia="en-NZ"/>
        </w:rPr>
        <w:t xml:space="preserve">Pae ora is a holistic concept and includes three interconnected elements: </w:t>
      </w:r>
      <w:r w:rsidRPr="00C15E05">
        <w:rPr>
          <w:lang w:eastAsia="en-NZ"/>
        </w:rPr>
        <w:t>mauri ora</w:t>
      </w:r>
      <w:r w:rsidR="00BD7A52">
        <w:rPr>
          <w:lang w:eastAsia="en-NZ"/>
        </w:rPr>
        <w:t xml:space="preserve"> –</w:t>
      </w:r>
      <w:r w:rsidRPr="00C15E05">
        <w:rPr>
          <w:lang w:eastAsia="en-NZ"/>
        </w:rPr>
        <w:t xml:space="preserve"> healthy individuals</w:t>
      </w:r>
      <w:r>
        <w:rPr>
          <w:lang w:eastAsia="en-NZ"/>
        </w:rPr>
        <w:t xml:space="preserve">, </w:t>
      </w:r>
      <w:r w:rsidRPr="00C15E05">
        <w:rPr>
          <w:lang w:eastAsia="en-NZ"/>
        </w:rPr>
        <w:t>wh</w:t>
      </w:r>
      <w:r>
        <w:rPr>
          <w:lang w:eastAsia="en-NZ"/>
        </w:rPr>
        <w:t>ā</w:t>
      </w:r>
      <w:r w:rsidRPr="00C15E05">
        <w:rPr>
          <w:lang w:eastAsia="en-NZ"/>
        </w:rPr>
        <w:t>nau ora – healthy families</w:t>
      </w:r>
      <w:r>
        <w:rPr>
          <w:lang w:eastAsia="en-NZ"/>
        </w:rPr>
        <w:t xml:space="preserve">, and </w:t>
      </w:r>
      <w:r w:rsidRPr="00C15E05">
        <w:rPr>
          <w:lang w:eastAsia="en-NZ"/>
        </w:rPr>
        <w:t>wai ora</w:t>
      </w:r>
      <w:r w:rsidR="00BC6B27">
        <w:rPr>
          <w:lang w:eastAsia="en-NZ"/>
        </w:rPr>
        <w:t xml:space="preserve"> – </w:t>
      </w:r>
      <w:r w:rsidRPr="00C15E05">
        <w:rPr>
          <w:lang w:eastAsia="en-NZ"/>
        </w:rPr>
        <w:t>healthy environments</w:t>
      </w:r>
      <w:r>
        <w:rPr>
          <w:lang w:eastAsia="en-NZ"/>
        </w:rPr>
        <w:t>.</w:t>
      </w:r>
      <w:r>
        <w:t xml:space="preserve"> It</w:t>
      </w:r>
      <w:r w:rsidRPr="00886B22">
        <w:t xml:space="preserve"> </w:t>
      </w:r>
      <w:r>
        <w:t xml:space="preserve">addresses </w:t>
      </w:r>
      <w:r w:rsidRPr="00886B22">
        <w:t xml:space="preserve">the way people live, grow and develop as individuals and members of families, whānau, communities and their wider environments. </w:t>
      </w:r>
      <w:r>
        <w:t>It</w:t>
      </w:r>
      <w:r w:rsidRPr="00242F90">
        <w:t xml:space="preserve"> acknowledges the interrelated aspects of mental wellbeing and encourages us to think beyond narrow definitions of health and services. It also acknowledges the fundamental roles of</w:t>
      </w:r>
      <w:r w:rsidRPr="00242F90">
        <w:rPr>
          <w:lang w:eastAsia="en-NZ"/>
        </w:rPr>
        <w:t xml:space="preserve"> individuals, whānau, iwi, hapū and communities and provides a way to think about collective action.</w:t>
      </w:r>
    </w:p>
    <w:p w14:paraId="2E024B5A" w14:textId="77777777" w:rsidR="00BD7A52" w:rsidRDefault="00BD7A52" w:rsidP="00BD7A52">
      <w:pPr>
        <w:rPr>
          <w:lang w:eastAsia="en-NZ"/>
        </w:rPr>
      </w:pPr>
    </w:p>
    <w:p w14:paraId="2911905E" w14:textId="77777777" w:rsidR="007179EA" w:rsidRPr="007F4B4C" w:rsidRDefault="007179EA" w:rsidP="00BD7A52">
      <w:pPr>
        <w:pStyle w:val="Heading3"/>
      </w:pPr>
      <w:bookmarkStart w:id="102" w:name="_Toc71550034"/>
      <w:bookmarkStart w:id="103" w:name="_Toc78882267"/>
      <w:bookmarkStart w:id="104" w:name="_Toc80965839"/>
      <w:bookmarkEnd w:id="101"/>
      <w:r>
        <w:t>Strategic goal</w:t>
      </w:r>
      <w:bookmarkEnd w:id="102"/>
      <w:bookmarkEnd w:id="103"/>
      <w:bookmarkEnd w:id="104"/>
    </w:p>
    <w:p w14:paraId="21DC235E" w14:textId="77777777" w:rsidR="007179EA" w:rsidRPr="006F402E" w:rsidRDefault="007179EA" w:rsidP="00BD7A52">
      <w:r>
        <w:t>The</w:t>
      </w:r>
      <w:r w:rsidRPr="00107824">
        <w:t xml:space="preserve"> </w:t>
      </w:r>
      <w:r>
        <w:t>draft</w:t>
      </w:r>
      <w:r w:rsidRPr="00107824">
        <w:t xml:space="preserve"> strategic goal </w:t>
      </w:r>
      <w:r>
        <w:t xml:space="preserve">proposed </w:t>
      </w:r>
      <w:r w:rsidRPr="00107824">
        <w:t xml:space="preserve">is </w:t>
      </w:r>
      <w:r w:rsidR="00BC6B27" w:rsidRPr="00BD7A52">
        <w:rPr>
          <w:b/>
          <w:i/>
        </w:rPr>
        <w:t>‘</w:t>
      </w:r>
      <w:r w:rsidRPr="00BD7A52">
        <w:rPr>
          <w:b/>
          <w:i/>
        </w:rPr>
        <w:t>To promote equity and wellbeing by preventing and reducing gambling-related harm</w:t>
      </w:r>
      <w:r w:rsidR="00BC6B27" w:rsidRPr="00BD7A52">
        <w:rPr>
          <w:b/>
          <w:i/>
        </w:rPr>
        <w:t>’</w:t>
      </w:r>
      <w:r w:rsidRPr="006F402E">
        <w:t>.</w:t>
      </w:r>
    </w:p>
    <w:p w14:paraId="15458FFD" w14:textId="77777777" w:rsidR="007179EA" w:rsidRDefault="007179EA" w:rsidP="00BD7A52"/>
    <w:p w14:paraId="28B19149" w14:textId="77777777" w:rsidR="007179EA" w:rsidRPr="00107824" w:rsidRDefault="007179EA" w:rsidP="00BD7A52">
      <w:r w:rsidRPr="00107824">
        <w:t>We have selected this goal for the following reasons</w:t>
      </w:r>
      <w:r>
        <w:t>.</w:t>
      </w:r>
    </w:p>
    <w:p w14:paraId="3F1F7616" w14:textId="77777777" w:rsidR="00BC6B27" w:rsidRDefault="007179EA" w:rsidP="00BD7A52">
      <w:pPr>
        <w:pStyle w:val="Bullet"/>
      </w:pPr>
      <w:r w:rsidRPr="0003777A">
        <w:t xml:space="preserve">It supports the </w:t>
      </w:r>
      <w:r w:rsidR="00046A83">
        <w:t>pae ora</w:t>
      </w:r>
      <w:r>
        <w:t xml:space="preserve"> outcome in </w:t>
      </w:r>
      <w:r w:rsidRPr="001D43AF">
        <w:rPr>
          <w:i/>
          <w:iCs/>
        </w:rPr>
        <w:t>Kia Manawanui</w:t>
      </w:r>
      <w:r>
        <w:t xml:space="preserve"> and </w:t>
      </w:r>
      <w:r w:rsidRPr="0026650E">
        <w:rPr>
          <w:i/>
          <w:iCs/>
        </w:rPr>
        <w:t>Whakamaua</w:t>
      </w:r>
      <w:r w:rsidR="00046A83">
        <w:rPr>
          <w:iCs/>
        </w:rPr>
        <w:t>.</w:t>
      </w:r>
    </w:p>
    <w:p w14:paraId="3501F84B" w14:textId="77777777" w:rsidR="007179EA" w:rsidRDefault="007179EA" w:rsidP="00BD7A52">
      <w:pPr>
        <w:pStyle w:val="Bullet"/>
      </w:pPr>
      <w:r>
        <w:t xml:space="preserve">It enables us to adapt the </w:t>
      </w:r>
      <w:r w:rsidRPr="0026650E">
        <w:rPr>
          <w:i/>
          <w:iCs/>
        </w:rPr>
        <w:t>Whakamaua</w:t>
      </w:r>
      <w:r w:rsidRPr="0003777A">
        <w:t xml:space="preserve"> objectives </w:t>
      </w:r>
      <w:r>
        <w:t xml:space="preserve">to the </w:t>
      </w:r>
      <w:r w:rsidRPr="0003777A">
        <w:t>prevention and minimisation of gambling harm</w:t>
      </w:r>
      <w:r>
        <w:t>.</w:t>
      </w:r>
    </w:p>
    <w:p w14:paraId="279F27F8" w14:textId="77777777" w:rsidR="007179EA" w:rsidRPr="008D754D" w:rsidRDefault="007179EA" w:rsidP="00BD7A52">
      <w:pPr>
        <w:pStyle w:val="Bullet"/>
        <w:keepNext/>
      </w:pPr>
      <w:r w:rsidRPr="008D754D">
        <w:lastRenderedPageBreak/>
        <w:t>It prioritises equity and wellbeing, which are also core aspects of the public health approach</w:t>
      </w:r>
      <w:r>
        <w:t>.</w:t>
      </w:r>
    </w:p>
    <w:p w14:paraId="1FCD1CF4" w14:textId="77777777" w:rsidR="007179EA" w:rsidRPr="008D754D" w:rsidRDefault="007179EA" w:rsidP="00BD7A52">
      <w:pPr>
        <w:pStyle w:val="Bullet"/>
      </w:pPr>
      <w:r w:rsidRPr="008D754D">
        <w:t xml:space="preserve">It is system wide and </w:t>
      </w:r>
      <w:r>
        <w:t xml:space="preserve">therefore recognises the roles and </w:t>
      </w:r>
      <w:r w:rsidRPr="008D754D">
        <w:t>efforts of other agencies</w:t>
      </w:r>
      <w:r>
        <w:t>,</w:t>
      </w:r>
      <w:r w:rsidRPr="008D754D">
        <w:t xml:space="preserve"> such as DIA, Te Hiringa Hauora, local government, non-government</w:t>
      </w:r>
      <w:r>
        <w:t>al</w:t>
      </w:r>
      <w:r w:rsidRPr="008D754D">
        <w:t xml:space="preserve"> organisations</w:t>
      </w:r>
      <w:r>
        <w:t xml:space="preserve"> (NGOs)</w:t>
      </w:r>
      <w:r w:rsidRPr="008D754D">
        <w:t>, communities and other groups.</w:t>
      </w:r>
    </w:p>
    <w:p w14:paraId="1ADC7789" w14:textId="77777777" w:rsidR="007179EA" w:rsidRDefault="007179EA" w:rsidP="00BD7A52">
      <w:pPr>
        <w:pStyle w:val="Bullet"/>
      </w:pPr>
      <w:r w:rsidRPr="008D754D">
        <w:t>It aligns with DIA</w:t>
      </w:r>
      <w:r w:rsidR="00BC6B27">
        <w:t>’</w:t>
      </w:r>
      <w:r w:rsidRPr="008D754D">
        <w:t>s strategic direction</w:t>
      </w:r>
      <w:r>
        <w:t xml:space="preserve"> (</w:t>
      </w:r>
      <w:r w:rsidRPr="008D754D">
        <w:t>announced in 202</w:t>
      </w:r>
      <w:r>
        <w:t>0), that is,</w:t>
      </w:r>
      <w:r w:rsidRPr="008D754D">
        <w:t xml:space="preserve"> </w:t>
      </w:r>
      <w:r w:rsidR="00BC6B27">
        <w:t>‘</w:t>
      </w:r>
      <w:r>
        <w:t>D</w:t>
      </w:r>
      <w:r w:rsidRPr="0003777A">
        <w:t>eliver</w:t>
      </w:r>
      <w:r>
        <w:t>ing</w:t>
      </w:r>
      <w:r w:rsidRPr="0003777A">
        <w:t xml:space="preserve"> community wellbeing through reducing gambling</w:t>
      </w:r>
      <w:r>
        <w:t>-</w:t>
      </w:r>
      <w:r w:rsidRPr="0003777A">
        <w:t>related harms</w:t>
      </w:r>
      <w:r w:rsidR="00BC6B27">
        <w:t>’</w:t>
      </w:r>
      <w:r>
        <w:t>.</w:t>
      </w:r>
    </w:p>
    <w:p w14:paraId="16E293C5" w14:textId="77777777" w:rsidR="007179EA" w:rsidRDefault="007179EA" w:rsidP="00BD7A52"/>
    <w:p w14:paraId="0D4BAD9C" w14:textId="77777777" w:rsidR="007179EA" w:rsidRDefault="007179EA" w:rsidP="00BD7A52">
      <w:r>
        <w:t>This draft strategic</w:t>
      </w:r>
      <w:r w:rsidRPr="00107824">
        <w:t xml:space="preserve"> goal has been designed to encapsulate what the </w:t>
      </w:r>
      <w:r>
        <w:t>strategy</w:t>
      </w:r>
      <w:r w:rsidRPr="00107824">
        <w:t xml:space="preserve">, as a sector-specific guide for service delivery, can contribute to </w:t>
      </w:r>
      <w:r w:rsidR="00046A83">
        <w:t>pae ora</w:t>
      </w:r>
      <w:r w:rsidRPr="00107824">
        <w:t xml:space="preserve"> via the four </w:t>
      </w:r>
      <w:r>
        <w:t>short-term objectives</w:t>
      </w:r>
      <w:r w:rsidRPr="00107824">
        <w:t xml:space="preserve"> in </w:t>
      </w:r>
      <w:r w:rsidRPr="00107824">
        <w:rPr>
          <w:i/>
          <w:iCs/>
        </w:rPr>
        <w:t>Whakamaua</w:t>
      </w:r>
      <w:r>
        <w:t>.</w:t>
      </w:r>
      <w:r w:rsidRPr="00107824">
        <w:t xml:space="preserve"> It therefore relates to things that the Ministry, in conjunction with others, particularly DIA and service providers, can achieve</w:t>
      </w:r>
      <w:r>
        <w:t>, in both the health and disability system and the gambling regulatory system more broadly.</w:t>
      </w:r>
    </w:p>
    <w:p w14:paraId="2B4FE043" w14:textId="77777777" w:rsidR="00BD7A52" w:rsidRDefault="00BD7A52" w:rsidP="00BD7A52"/>
    <w:p w14:paraId="325B32B9" w14:textId="77777777" w:rsidR="007179EA" w:rsidRPr="007F4B4C" w:rsidRDefault="007179EA" w:rsidP="00BD7A52">
      <w:pPr>
        <w:pStyle w:val="Heading3"/>
      </w:pPr>
      <w:bookmarkStart w:id="105" w:name="_Toc71550035"/>
      <w:bookmarkStart w:id="106" w:name="_Toc78882268"/>
      <w:bookmarkStart w:id="107" w:name="_Toc80965840"/>
      <w:r>
        <w:t>Principles</w:t>
      </w:r>
      <w:bookmarkEnd w:id="105"/>
      <w:bookmarkEnd w:id="106"/>
      <w:bookmarkEnd w:id="107"/>
    </w:p>
    <w:p w14:paraId="6FB5A883" w14:textId="77777777" w:rsidR="007179EA" w:rsidRDefault="007179EA" w:rsidP="00BD7A52">
      <w:r>
        <w:t>We have adopted the following</w:t>
      </w:r>
      <w:r w:rsidRPr="00242F90">
        <w:t xml:space="preserve"> principles</w:t>
      </w:r>
      <w:r>
        <w:t>, which are part of the mental wellbeing framework a</w:t>
      </w:r>
      <w:r w:rsidRPr="002E5BE3">
        <w:t xml:space="preserve">rticulated in </w:t>
      </w:r>
      <w:r>
        <w:t>Kia Manawanui</w:t>
      </w:r>
      <w:r w:rsidRPr="00BD7A52">
        <w:rPr>
          <w:rStyle w:val="FootnoteReference"/>
        </w:rPr>
        <w:footnoteReference w:id="51"/>
      </w:r>
      <w:r>
        <w:t xml:space="preserve"> and W</w:t>
      </w:r>
      <w:r w:rsidRPr="00BC6B27">
        <w:rPr>
          <w:rFonts w:cs="Segoe UI"/>
          <w:color w:val="212529"/>
          <w:lang w:eastAsia="en-NZ"/>
        </w:rPr>
        <w:t>hakamua, which provide common values to guide the actions of organisations to enhance mental wellbeing.</w:t>
      </w:r>
    </w:p>
    <w:p w14:paraId="270EAA78" w14:textId="77777777" w:rsidR="007179EA" w:rsidRDefault="007179EA" w:rsidP="00BD7A52">
      <w:pPr>
        <w:pStyle w:val="Bullet"/>
        <w:spacing w:before="240"/>
      </w:pPr>
      <w:r>
        <w:t xml:space="preserve">Upholding </w:t>
      </w:r>
      <w:r w:rsidR="00046A83">
        <w:t>Te Tiriti</w:t>
      </w:r>
    </w:p>
    <w:p w14:paraId="78AE8140" w14:textId="77777777" w:rsidR="00BC6B27" w:rsidRPr="00BC6B27" w:rsidRDefault="007179EA" w:rsidP="00BD7A52">
      <w:pPr>
        <w:spacing w:before="120"/>
        <w:ind w:left="284"/>
        <w:rPr>
          <w:lang w:eastAsia="en-NZ"/>
        </w:rPr>
      </w:pPr>
      <w:r w:rsidRPr="00BC6B27">
        <w:rPr>
          <w:lang w:eastAsia="en-NZ"/>
        </w:rPr>
        <w:t>It is the Crown</w:t>
      </w:r>
      <w:r w:rsidR="00BC6B27" w:rsidRPr="00BC6B27">
        <w:rPr>
          <w:lang w:eastAsia="en-NZ"/>
        </w:rPr>
        <w:t>’</w:t>
      </w:r>
      <w:r w:rsidRPr="00BC6B27">
        <w:rPr>
          <w:lang w:eastAsia="en-NZ"/>
        </w:rPr>
        <w:t xml:space="preserve">s obligation to uphold </w:t>
      </w:r>
      <w:r w:rsidR="00046A83">
        <w:rPr>
          <w:lang w:eastAsia="en-NZ"/>
        </w:rPr>
        <w:t>Te Tiriti</w:t>
      </w:r>
      <w:r w:rsidRPr="00BC6B27">
        <w:rPr>
          <w:lang w:eastAsia="en-NZ"/>
        </w:rPr>
        <w:t xml:space="preserve"> and protect and promote Māori health and equity. The principles of </w:t>
      </w:r>
      <w:r w:rsidR="00046A83">
        <w:rPr>
          <w:lang w:eastAsia="en-NZ"/>
        </w:rPr>
        <w:t>Te Tiriti</w:t>
      </w:r>
      <w:r w:rsidRPr="00BC6B27">
        <w:rPr>
          <w:lang w:eastAsia="en-NZ"/>
        </w:rPr>
        <w:t>, as articulated by the courts and the Waitangi Tribunal, underpin all actions in this strategy.</w:t>
      </w:r>
    </w:p>
    <w:p w14:paraId="59A17546" w14:textId="77777777" w:rsidR="007179EA" w:rsidRDefault="007179EA" w:rsidP="00BD7A52">
      <w:pPr>
        <w:pStyle w:val="Bullet"/>
        <w:spacing w:before="240"/>
      </w:pPr>
      <w:r>
        <w:t>E</w:t>
      </w:r>
      <w:r w:rsidRPr="00242F90">
        <w:t>quity</w:t>
      </w:r>
    </w:p>
    <w:p w14:paraId="221CF68B" w14:textId="77777777" w:rsidR="007179EA" w:rsidRDefault="007179EA" w:rsidP="00BD7A52">
      <w:pPr>
        <w:spacing w:before="120"/>
        <w:ind w:left="284"/>
        <w:rPr>
          <w:lang w:eastAsia="en-NZ"/>
        </w:rPr>
      </w:pPr>
      <w:r w:rsidRPr="00BC6B27">
        <w:rPr>
          <w:lang w:eastAsia="en-NZ"/>
        </w:rPr>
        <w:t>All people in Aotearoa should experience the best support and care, regardless of where they live or who they are. The equity principle recognises that people have different levels of advantage and experience and require different approaches and resources to obtain equitable outcomes. This principle informs all the supports and services offered through this strategy.</w:t>
      </w:r>
    </w:p>
    <w:p w14:paraId="4C2AEC7D" w14:textId="77777777" w:rsidR="00BC6B27" w:rsidRPr="00BC6B27" w:rsidRDefault="007179EA" w:rsidP="00BD7A52">
      <w:pPr>
        <w:pStyle w:val="Bullet"/>
        <w:spacing w:before="240"/>
        <w:rPr>
          <w:lang w:eastAsia="en-NZ"/>
        </w:rPr>
      </w:pPr>
      <w:r>
        <w:t>P</w:t>
      </w:r>
      <w:r w:rsidRPr="00242F90">
        <w:t>eople and whānau at the centre</w:t>
      </w:r>
    </w:p>
    <w:p w14:paraId="25BF67E1" w14:textId="77777777" w:rsidR="00BC6B27" w:rsidRPr="00BC6B27" w:rsidRDefault="007179EA" w:rsidP="00BD7A52">
      <w:pPr>
        <w:spacing w:before="120"/>
        <w:ind w:left="284"/>
        <w:rPr>
          <w:lang w:eastAsia="en-NZ"/>
        </w:rPr>
      </w:pPr>
      <w:r w:rsidRPr="00BC6B27">
        <w:rPr>
          <w:lang w:eastAsia="en-NZ"/>
        </w:rPr>
        <w:t>This principle is about strengthening the capacity of people and whānau to lead their own pathways to wellbeing through preventing and minimising gambling harm, while ensuring support is easily available and appropriate to their needs. This principle requires involving people with lived experience and their whānau and communities in the design and delivery of support and services.</w:t>
      </w:r>
    </w:p>
    <w:p w14:paraId="3B00EEDE" w14:textId="77777777" w:rsidR="007179EA" w:rsidRDefault="007179EA" w:rsidP="00BD7A52">
      <w:pPr>
        <w:pStyle w:val="Bullet"/>
        <w:keepNext/>
        <w:spacing w:before="240"/>
      </w:pPr>
      <w:r>
        <w:lastRenderedPageBreak/>
        <w:t>C</w:t>
      </w:r>
      <w:r w:rsidRPr="00242F90">
        <w:t>ommunity focus</w:t>
      </w:r>
    </w:p>
    <w:p w14:paraId="2DD8831B" w14:textId="77777777" w:rsidR="007179EA" w:rsidRPr="00BC6B27" w:rsidRDefault="007179EA" w:rsidP="00BD7A52">
      <w:pPr>
        <w:keepNext/>
        <w:keepLines/>
        <w:spacing w:before="120"/>
        <w:ind w:left="284"/>
        <w:rPr>
          <w:lang w:eastAsia="en-NZ"/>
        </w:rPr>
      </w:pPr>
      <w:r w:rsidRPr="00BC6B27">
        <w:rPr>
          <w:lang w:eastAsia="en-NZ"/>
        </w:rPr>
        <w:t>This principle seeks to build on the strengths and assets of communities so that they can best support whānau and individuals. Strong communities provide a foundation of support and connection which is vital to prevent and minimise gambling harm. Communities may be based around a particular locality (such as a suburb or town), a particular identity or common interests/purpose (such as a profession, sports club or school).</w:t>
      </w:r>
    </w:p>
    <w:p w14:paraId="662A6F15" w14:textId="77777777" w:rsidR="00BC6B27" w:rsidRDefault="007179EA" w:rsidP="00BD7A52">
      <w:pPr>
        <w:pStyle w:val="Bullet"/>
        <w:spacing w:before="240"/>
      </w:pPr>
      <w:r>
        <w:t>C</w:t>
      </w:r>
      <w:r w:rsidRPr="00242F90">
        <w:t>ollaboration</w:t>
      </w:r>
    </w:p>
    <w:p w14:paraId="04F47563" w14:textId="77777777" w:rsidR="007179EA" w:rsidRPr="00BC6B27" w:rsidRDefault="007179EA" w:rsidP="00BD7A52">
      <w:pPr>
        <w:spacing w:before="120"/>
        <w:ind w:left="284"/>
        <w:rPr>
          <w:lang w:eastAsia="en-NZ"/>
        </w:rPr>
      </w:pPr>
      <w:r w:rsidRPr="00BC6B27">
        <w:rPr>
          <w:lang w:eastAsia="en-NZ"/>
        </w:rPr>
        <w:t>Collaboration recognises that issues are often interlinked and cannot be dealt with in isolation. Strong, trusting relationships are at the heart of collaboration. Collaboration recognises many organisations and people have roles to play in preventing and minimising gambling harm, including central government agencies, district health boards, local authorities, whānau, hapū and iwi, community organisations and educational institutions</w:t>
      </w:r>
    </w:p>
    <w:p w14:paraId="31481B00" w14:textId="77777777" w:rsidR="007179EA" w:rsidRDefault="007179EA" w:rsidP="00BD7A52">
      <w:pPr>
        <w:pStyle w:val="Bullet"/>
        <w:spacing w:before="240"/>
      </w:pPr>
      <w:r>
        <w:t>I</w:t>
      </w:r>
      <w:r w:rsidRPr="00242F90">
        <w:t>nnovation</w:t>
      </w:r>
      <w:r w:rsidRPr="00BD7A52">
        <w:rPr>
          <w:rStyle w:val="FootnoteReference"/>
        </w:rPr>
        <w:footnoteReference w:id="52"/>
      </w:r>
    </w:p>
    <w:p w14:paraId="3640A624" w14:textId="77777777" w:rsidR="007179EA" w:rsidRPr="00BC6B27" w:rsidRDefault="007179EA" w:rsidP="00BD7A52">
      <w:pPr>
        <w:spacing w:before="120"/>
        <w:ind w:left="284"/>
        <w:rPr>
          <w:lang w:eastAsia="en-NZ"/>
        </w:rPr>
      </w:pPr>
      <w:r w:rsidRPr="00BC6B27">
        <w:rPr>
          <w:lang w:eastAsia="en-NZ"/>
        </w:rPr>
        <w:t>The principle of innovation is about continuing to encourage and support new approaches, to achieve mental wellbeing. Innovation includes changing the way we deliver and design our services, to create more effective responses and more equitable outcomes.</w:t>
      </w:r>
    </w:p>
    <w:p w14:paraId="6932966E" w14:textId="77777777" w:rsidR="00BD7A52" w:rsidRDefault="00BD7A52" w:rsidP="00BD7A52"/>
    <w:p w14:paraId="54C1F49E" w14:textId="77777777" w:rsidR="007179EA" w:rsidRDefault="007179EA" w:rsidP="00BD7A52">
      <w:r>
        <w:t xml:space="preserve">These principles will be visible in everything we do: from the strategic framework itself to the service plan, our service commissioning and monitoring approaches, and in the way that we work with others. They will drive not only our activities, but the way we deliver our activities. A table illustrating how these principles align with preventing and minimising gambling harm is provided at </w:t>
      </w:r>
      <w:hyperlink w:anchor="_Appendix_2:_Bringing" w:history="1">
        <w:r w:rsidR="00E06D9F" w:rsidRPr="00E06D9F">
          <w:rPr>
            <w:rStyle w:val="Hyperlink"/>
          </w:rPr>
          <w:t>Appendix 2</w:t>
        </w:r>
      </w:hyperlink>
      <w:r w:rsidRPr="00FB1375">
        <w:t>.</w:t>
      </w:r>
    </w:p>
    <w:p w14:paraId="2FD23880" w14:textId="77777777" w:rsidR="00BD7A52" w:rsidRDefault="00BD7A52" w:rsidP="00BD7A52"/>
    <w:p w14:paraId="2ECE5DF1" w14:textId="77777777" w:rsidR="007179EA" w:rsidRDefault="007179EA" w:rsidP="00BD7A52">
      <w:pPr>
        <w:pStyle w:val="Heading3"/>
      </w:pPr>
      <w:bookmarkStart w:id="108" w:name="_Toc78882269"/>
      <w:bookmarkStart w:id="109" w:name="_Toc80965841"/>
      <w:r>
        <w:t>Outcomes</w:t>
      </w:r>
      <w:bookmarkEnd w:id="108"/>
      <w:bookmarkEnd w:id="109"/>
    </w:p>
    <w:p w14:paraId="3DF6BF6B" w14:textId="77777777" w:rsidR="007179EA" w:rsidRPr="00BB0ECA" w:rsidRDefault="007179EA" w:rsidP="00BD7A52">
      <w:r>
        <w:t xml:space="preserve">The proposed strategic framework has new outcomes that are based on </w:t>
      </w:r>
      <w:r w:rsidRPr="000251AA">
        <w:rPr>
          <w:i/>
          <w:iCs/>
        </w:rPr>
        <w:t>Whakamaua</w:t>
      </w:r>
      <w:r>
        <w:t>, with some adjustments to make them applicable to M</w:t>
      </w:r>
      <w:r w:rsidRPr="00C30DCA">
        <w:t>ā</w:t>
      </w:r>
      <w:r>
        <w:t>ori and the broader population of Aotearoa New Zealand, as follows.</w:t>
      </w:r>
    </w:p>
    <w:p w14:paraId="3E1A2FAF" w14:textId="77777777" w:rsidR="00BC6B27" w:rsidRDefault="007179EA" w:rsidP="00BD7A52">
      <w:pPr>
        <w:pStyle w:val="Bullet"/>
      </w:pPr>
      <w:r w:rsidRPr="00D47DDC">
        <w:t>Māori</w:t>
      </w:r>
      <w:r>
        <w:t xml:space="preserve"> and all c</w:t>
      </w:r>
      <w:r w:rsidRPr="00C30DCA">
        <w:t xml:space="preserve">ommunities </w:t>
      </w:r>
      <w:r>
        <w:t>in Aotearoa New Zealand c</w:t>
      </w:r>
      <w:r w:rsidRPr="00C30DCA">
        <w:t>an exercise their authority to improve their health and wellbeing</w:t>
      </w:r>
      <w:r>
        <w:t>.</w:t>
      </w:r>
    </w:p>
    <w:p w14:paraId="0DA40ED0" w14:textId="77777777" w:rsidR="007179EA" w:rsidRPr="00C30DCA" w:rsidRDefault="007179EA" w:rsidP="00BD7A52">
      <w:pPr>
        <w:pStyle w:val="Bullet"/>
      </w:pPr>
      <w:r w:rsidRPr="00D47DDC">
        <w:t xml:space="preserve">The health and disability </w:t>
      </w:r>
      <w:r>
        <w:t xml:space="preserve">system </w:t>
      </w:r>
      <w:r w:rsidRPr="00D47DDC">
        <w:t>and wider system</w:t>
      </w:r>
      <w:r>
        <w:t xml:space="preserve"> to prevent and minimise gambling harm</w:t>
      </w:r>
      <w:r w:rsidRPr="00D47DDC">
        <w:t xml:space="preserve"> is fair and sustainable and delivers more equitable outcomes</w:t>
      </w:r>
      <w:r>
        <w:t xml:space="preserve"> for all.</w:t>
      </w:r>
    </w:p>
    <w:p w14:paraId="69D90AEA" w14:textId="77777777" w:rsidR="007179EA" w:rsidRDefault="007179EA" w:rsidP="00BD7A52">
      <w:pPr>
        <w:pStyle w:val="Bullet"/>
      </w:pPr>
      <w:r w:rsidRPr="00C30DCA">
        <w:t xml:space="preserve">The health and disability </w:t>
      </w:r>
      <w:r>
        <w:t xml:space="preserve">system </w:t>
      </w:r>
      <w:r w:rsidRPr="00D47DDC">
        <w:t>and wider system</w:t>
      </w:r>
      <w:r>
        <w:t xml:space="preserve"> to prevent and minimise gambling harm</w:t>
      </w:r>
      <w:r w:rsidRPr="00D47DDC">
        <w:t xml:space="preserve"> </w:t>
      </w:r>
      <w:r w:rsidRPr="00C30DCA">
        <w:t xml:space="preserve">addresses racism and discrimination in all </w:t>
      </w:r>
      <w:r>
        <w:t>their</w:t>
      </w:r>
      <w:r w:rsidRPr="00D47DDC">
        <w:t xml:space="preserve"> forms</w:t>
      </w:r>
      <w:r>
        <w:t>.</w:t>
      </w:r>
    </w:p>
    <w:p w14:paraId="4684AC8B" w14:textId="77777777" w:rsidR="007179EA" w:rsidRDefault="007179EA" w:rsidP="00BD7A52">
      <w:pPr>
        <w:pStyle w:val="Bullet"/>
      </w:pPr>
      <w:r w:rsidRPr="00D47DDC">
        <w:t xml:space="preserve">The inclusion and protection of </w:t>
      </w:r>
      <w:r w:rsidRPr="00C30DCA">
        <w:t xml:space="preserve">mātauranga Māori </w:t>
      </w:r>
      <w:r w:rsidRPr="00773386">
        <w:t>throughout the health and disability system.</w:t>
      </w:r>
    </w:p>
    <w:p w14:paraId="6ADC1BCC" w14:textId="77777777" w:rsidR="00BD7A52" w:rsidRDefault="00BD7A52" w:rsidP="00BD7A52"/>
    <w:p w14:paraId="19235002" w14:textId="77777777" w:rsidR="007179EA" w:rsidRPr="007F4B4C" w:rsidRDefault="007179EA" w:rsidP="00BD7A52">
      <w:pPr>
        <w:pStyle w:val="Heading3"/>
      </w:pPr>
      <w:bookmarkStart w:id="110" w:name="_Toc78882270"/>
      <w:bookmarkStart w:id="111" w:name="_Toc80965842"/>
      <w:r>
        <w:lastRenderedPageBreak/>
        <w:t>Objectives</w:t>
      </w:r>
      <w:bookmarkEnd w:id="110"/>
      <w:bookmarkEnd w:id="111"/>
    </w:p>
    <w:p w14:paraId="7AC1099B" w14:textId="58B90A8D" w:rsidR="007179EA" w:rsidRDefault="007179EA" w:rsidP="00BD7A52">
      <w:r>
        <w:t xml:space="preserve">Set out below are four objectives to shape our strategic approach and service plan. These objectives provide a framework that other groups or organisations, including other Government agencies, local government, community organisations and civil society might find useful. The four proposed objectives align with the eleven strategic objectives of the current strategy (see </w:t>
      </w:r>
      <w:hyperlink w:anchor="_Appendix_4:_Key" w:history="1">
        <w:r w:rsidRPr="00F201BD">
          <w:rPr>
            <w:rStyle w:val="Hyperlink"/>
          </w:rPr>
          <w:t>Appendix</w:t>
        </w:r>
      </w:hyperlink>
      <w:r w:rsidR="00CE721D">
        <w:rPr>
          <w:rStyle w:val="Hyperlink"/>
        </w:rPr>
        <w:t xml:space="preserve"> 3</w:t>
      </w:r>
      <w:r w:rsidRPr="00107824">
        <w:t>).</w:t>
      </w:r>
    </w:p>
    <w:p w14:paraId="5A9A77F1" w14:textId="77777777" w:rsidR="007179EA" w:rsidRDefault="007179EA" w:rsidP="00BD7A52"/>
    <w:p w14:paraId="72F84378" w14:textId="77777777" w:rsidR="007179EA" w:rsidRDefault="007179EA" w:rsidP="00BD7A52">
      <w:r w:rsidRPr="00107824">
        <w:t xml:space="preserve">All four </w:t>
      </w:r>
      <w:r>
        <w:t>objectives</w:t>
      </w:r>
      <w:r w:rsidRPr="00107824">
        <w:t xml:space="preserve"> have been designed to align and enable the five </w:t>
      </w:r>
      <w:r w:rsidRPr="00D0622A">
        <w:rPr>
          <w:i/>
          <w:iCs/>
          <w:color w:val="000000"/>
          <w:lang w:eastAsia="en-NZ"/>
        </w:rPr>
        <w:t>Hauora</w:t>
      </w:r>
      <w:r w:rsidRPr="00107824">
        <w:t xml:space="preserve"> principles (tino rangatiratanga, partnership, equity, active protection, </w:t>
      </w:r>
      <w:r>
        <w:t xml:space="preserve">and </w:t>
      </w:r>
      <w:r w:rsidRPr="00107824">
        <w:t>options) to be implemented in the arena of the prevention and minimisation of gambling harm.</w:t>
      </w:r>
    </w:p>
    <w:p w14:paraId="39415A84" w14:textId="77777777" w:rsidR="007179EA" w:rsidRDefault="007179EA" w:rsidP="00BD7A52"/>
    <w:p w14:paraId="1B3A409D" w14:textId="77777777" w:rsidR="007179EA" w:rsidRDefault="007179EA" w:rsidP="00BD7A52">
      <w:r>
        <w:t>Submissions generally supported the proposed strategic objectives and actions, although several submissions suggested changes and others sought more information about how these would be implemented and measured.</w:t>
      </w:r>
    </w:p>
    <w:p w14:paraId="24CD8587" w14:textId="77777777" w:rsidR="00BD7A52" w:rsidRDefault="00BD7A52" w:rsidP="00BD7A52">
      <w:pPr>
        <w:rPr>
          <w:i/>
          <w:iCs/>
        </w:rPr>
      </w:pPr>
    </w:p>
    <w:p w14:paraId="7B88523F" w14:textId="77777777" w:rsidR="007179EA" w:rsidRDefault="007179EA" w:rsidP="00BD7A52">
      <w:pPr>
        <w:pStyle w:val="Heading4"/>
      </w:pPr>
      <w:bookmarkStart w:id="112" w:name="_Toc78882271"/>
      <w:r w:rsidRPr="00586349">
        <w:t>Objective</w:t>
      </w:r>
      <w:r w:rsidRPr="00932454">
        <w:t xml:space="preserve"> </w:t>
      </w:r>
      <w:r>
        <w:t>1</w:t>
      </w:r>
      <w:r w:rsidRPr="00932454">
        <w:t>: Create a full spectrum of services and supports</w:t>
      </w:r>
      <w:bookmarkEnd w:id="112"/>
    </w:p>
    <w:p w14:paraId="37C842A8" w14:textId="77777777" w:rsidR="007179EA" w:rsidRDefault="007179EA" w:rsidP="00BD7A52">
      <w:r>
        <w:t>This objective acknowledges that one of the Ministry</w:t>
      </w:r>
      <w:r w:rsidR="00BC6B27">
        <w:t>’</w:t>
      </w:r>
      <w:r>
        <w:t>s key statutory roles is to provide services and supports that prevent and minimise gambling-related harm. It incorporates the public health concept that the needs and strengths of a population lie along a continuum or spectrum, and therefore support, including service responses, should as well.</w:t>
      </w:r>
    </w:p>
    <w:p w14:paraId="18B205F8" w14:textId="77777777" w:rsidR="007179EA" w:rsidRDefault="007179EA" w:rsidP="00BD7A52"/>
    <w:p w14:paraId="009BB3E5" w14:textId="77777777" w:rsidR="007179EA" w:rsidRDefault="007179EA" w:rsidP="00BD7A52">
      <w:r>
        <w:t>The harm needs assessment confirmed the Ministry should continue to address gaps in the spectrum of services and supports that are currently provided, particularly in the areas of peer support, intensive treatment and for specific groups, such as people who have relapsed and families and wh</w:t>
      </w:r>
      <w:r>
        <w:rPr>
          <w:rFonts w:cstheme="minorHAnsi"/>
        </w:rPr>
        <w:t>ā</w:t>
      </w:r>
      <w:r>
        <w:t>nau who are affected by gambling.</w:t>
      </w:r>
    </w:p>
    <w:p w14:paraId="7050FF87" w14:textId="77777777" w:rsidR="007179EA" w:rsidRDefault="007179EA" w:rsidP="00BD7A52"/>
    <w:p w14:paraId="6E67C5BE" w14:textId="77777777" w:rsidR="007179EA" w:rsidRPr="00932454" w:rsidRDefault="007179EA" w:rsidP="00BD7A52">
      <w:pPr>
        <w:pStyle w:val="Heading4"/>
      </w:pPr>
      <w:bookmarkStart w:id="113" w:name="_Toc78882272"/>
      <w:r w:rsidRPr="00932454">
        <w:t xml:space="preserve">Objective </w:t>
      </w:r>
      <w:r>
        <w:t>2</w:t>
      </w:r>
      <w:r w:rsidRPr="00932454">
        <w:t>: Shift cultural and social norms</w:t>
      </w:r>
      <w:bookmarkEnd w:id="113"/>
    </w:p>
    <w:p w14:paraId="1E19FE64" w14:textId="77777777" w:rsidR="007179EA" w:rsidRDefault="007179EA" w:rsidP="00BD7A52">
      <w:r>
        <w:t xml:space="preserve">This reflects a key objective of </w:t>
      </w:r>
      <w:r w:rsidRPr="00E2622A">
        <w:rPr>
          <w:i/>
          <w:iCs/>
        </w:rPr>
        <w:t>Whakamaua</w:t>
      </w:r>
      <w:r>
        <w:t xml:space="preserve"> that is directly relevant to gambling harm prevention and minimisation and reflects a core aspect of the public health approach: a focus on building healthy environments through a range of methods, including public policy, health promotion and direct engagement with people. This objective is also informed by research findings that gambling behaviour, help-seeking behaviour and the concept of harm are all informed by cultural and social norms, attitudes, and beliefs.</w:t>
      </w:r>
    </w:p>
    <w:p w14:paraId="6640F940" w14:textId="77777777" w:rsidR="007179EA" w:rsidRDefault="007179EA" w:rsidP="00BD7A52"/>
    <w:p w14:paraId="65A6EB8F" w14:textId="77777777" w:rsidR="007179EA" w:rsidRDefault="007179EA" w:rsidP="00BD7A52">
      <w:r>
        <w:t>The needs assessment found that there is a need to increase public awareness about the nature of harmful gambling and how to provide support for those with gambling problems, including de-stigmatisation. In this objective, the Ministry will be working closely with other agencies and interested parties.</w:t>
      </w:r>
    </w:p>
    <w:p w14:paraId="4FA7A896" w14:textId="77777777" w:rsidR="007179EA" w:rsidRDefault="007179EA" w:rsidP="00BD7A52"/>
    <w:p w14:paraId="6DFB61F3" w14:textId="77777777" w:rsidR="007179EA" w:rsidRPr="00932454" w:rsidRDefault="007179EA" w:rsidP="00BD7A52">
      <w:pPr>
        <w:pStyle w:val="Heading4"/>
      </w:pPr>
      <w:bookmarkStart w:id="114" w:name="_Toc78882273"/>
      <w:r w:rsidRPr="00932454">
        <w:lastRenderedPageBreak/>
        <w:t xml:space="preserve">Objective </w:t>
      </w:r>
      <w:r>
        <w:t>3</w:t>
      </w:r>
      <w:r w:rsidRPr="00932454">
        <w:t>: Strengthen leadership and accountability to achieve equity</w:t>
      </w:r>
      <w:bookmarkEnd w:id="114"/>
    </w:p>
    <w:p w14:paraId="5FE990DA" w14:textId="77777777" w:rsidR="007179EA" w:rsidRDefault="007179EA" w:rsidP="00BD7A52">
      <w:r>
        <w:t xml:space="preserve">This reflects a key objective of </w:t>
      </w:r>
      <w:r w:rsidRPr="002F13FB">
        <w:rPr>
          <w:i/>
          <w:iCs/>
        </w:rPr>
        <w:t>Whakamau</w:t>
      </w:r>
      <w:r>
        <w:rPr>
          <w:i/>
          <w:iCs/>
        </w:rPr>
        <w:t xml:space="preserve">a. </w:t>
      </w:r>
      <w:r w:rsidRPr="00F44432">
        <w:t>A</w:t>
      </w:r>
      <w:r w:rsidRPr="0094789D">
        <w:t xml:space="preserve">ll </w:t>
      </w:r>
      <w:r>
        <w:t xml:space="preserve">systems require </w:t>
      </w:r>
      <w:r w:rsidRPr="001C3F2E">
        <w:t>leadership</w:t>
      </w:r>
      <w:r>
        <w:t>, especially complex systems, such as harm prevention and minimisation. Without leadership, any system tends to decay into disorganisation, leading to confusion, duplication and gaps, lost opportunities, increased risks and reduced benefits.</w:t>
      </w:r>
      <w:r>
        <w:rPr>
          <w:i/>
          <w:iCs/>
        </w:rPr>
        <w:t xml:space="preserve"> </w:t>
      </w:r>
      <w:r w:rsidRPr="006A6704">
        <w:t xml:space="preserve">The Ministry </w:t>
      </w:r>
      <w:r>
        <w:t>is</w:t>
      </w:r>
      <w:r w:rsidRPr="006A6704">
        <w:t xml:space="preserve"> responsib</w:t>
      </w:r>
      <w:r>
        <w:t>le</w:t>
      </w:r>
      <w:r w:rsidRPr="006A6704">
        <w:t xml:space="preserve"> for </w:t>
      </w:r>
      <w:r>
        <w:t xml:space="preserve">the overall system that relates to health services to </w:t>
      </w:r>
      <w:r w:rsidRPr="006A6704">
        <w:t>prevent and minimis</w:t>
      </w:r>
      <w:r>
        <w:t xml:space="preserve">e gambling harm, </w:t>
      </w:r>
      <w:r w:rsidRPr="006A6704">
        <w:t>which</w:t>
      </w:r>
      <w:r>
        <w:t xml:space="preserve"> includes components covering s</w:t>
      </w:r>
      <w:r w:rsidRPr="006A6704">
        <w:t>trateg</w:t>
      </w:r>
      <w:r>
        <w:t>y</w:t>
      </w:r>
      <w:r w:rsidRPr="006A6704">
        <w:t>, policies</w:t>
      </w:r>
      <w:r>
        <w:t>, research,</w:t>
      </w:r>
      <w:r w:rsidRPr="006A6704">
        <w:t xml:space="preserve"> and services</w:t>
      </w:r>
      <w:r>
        <w:t xml:space="preserve"> and workforce. This system itself is </w:t>
      </w:r>
      <w:r w:rsidRPr="006A6704">
        <w:t>part of the broader mental health and addiction and wellbeing sectors.</w:t>
      </w:r>
      <w:r w:rsidRPr="00ED474F">
        <w:t xml:space="preserve"> </w:t>
      </w:r>
      <w:r>
        <w:t xml:space="preserve">This objective recognises the importance of strong system leadership to improve outcomes and </w:t>
      </w:r>
      <w:r w:rsidRPr="004339D7">
        <w:t>complements</w:t>
      </w:r>
      <w:r w:rsidRPr="002F13FB">
        <w:t xml:space="preserve"> DIA</w:t>
      </w:r>
      <w:r w:rsidR="00BC6B27">
        <w:t>’</w:t>
      </w:r>
      <w:r w:rsidRPr="002F13FB">
        <w:t xml:space="preserve">s </w:t>
      </w:r>
      <w:r>
        <w:t>focus on leadership of the gambling regulatory system</w:t>
      </w:r>
      <w:r w:rsidRPr="002F13FB">
        <w:t>.</w:t>
      </w:r>
    </w:p>
    <w:p w14:paraId="1E66D27D" w14:textId="77777777" w:rsidR="00BD7A52" w:rsidRDefault="00BD7A52" w:rsidP="00BD7A52"/>
    <w:p w14:paraId="69A5D056" w14:textId="77777777" w:rsidR="007179EA" w:rsidRDefault="007179EA" w:rsidP="00BD7A52">
      <w:r>
        <w:t xml:space="preserve">Submissions tended to support the needs assessment findings that the Ministry could play a stronger </w:t>
      </w:r>
      <w:r w:rsidRPr="009937F5">
        <w:t xml:space="preserve">leadership </w:t>
      </w:r>
      <w:r>
        <w:t xml:space="preserve">role in </w:t>
      </w:r>
      <w:r w:rsidRPr="009937F5">
        <w:t>gambling</w:t>
      </w:r>
      <w:r>
        <w:t xml:space="preserve"> </w:t>
      </w:r>
      <w:r w:rsidRPr="009937F5">
        <w:t xml:space="preserve">harm </w:t>
      </w:r>
      <w:r>
        <w:t xml:space="preserve">prevention and reduction, by engaging with </w:t>
      </w:r>
      <w:r w:rsidRPr="00383FBA">
        <w:t xml:space="preserve">gambling harm services, </w:t>
      </w:r>
      <w:r>
        <w:t xml:space="preserve">gambling operators, </w:t>
      </w:r>
      <w:r w:rsidRPr="00383FBA">
        <w:t>researchers and communities</w:t>
      </w:r>
      <w:r>
        <w:t xml:space="preserve"> and developing </w:t>
      </w:r>
      <w:r w:rsidRPr="00383FBA">
        <w:t>mutually respectful partnerships and relationships</w:t>
      </w:r>
      <w:r>
        <w:t>.</w:t>
      </w:r>
    </w:p>
    <w:p w14:paraId="193665A9" w14:textId="77777777" w:rsidR="00BD7A52" w:rsidRDefault="00BD7A52" w:rsidP="00BD7A52"/>
    <w:p w14:paraId="56E6C5E1" w14:textId="77777777" w:rsidR="007179EA" w:rsidRPr="00932454" w:rsidRDefault="007179EA" w:rsidP="00BD7A52">
      <w:pPr>
        <w:pStyle w:val="Heading4"/>
      </w:pPr>
      <w:bookmarkStart w:id="115" w:name="_Toc78882274"/>
      <w:r w:rsidRPr="00932454">
        <w:t xml:space="preserve">Objective </w:t>
      </w:r>
      <w:r>
        <w:t>4</w:t>
      </w:r>
      <w:r w:rsidRPr="00932454">
        <w:t>: Strengthen the health and health equity of Māori, Pacific</w:t>
      </w:r>
      <w:r>
        <w:t xml:space="preserve"> peoples,</w:t>
      </w:r>
      <w:r w:rsidRPr="00932454">
        <w:t xml:space="preserve"> Asian</w:t>
      </w:r>
      <w:r>
        <w:t xml:space="preserve"> peoples,</w:t>
      </w:r>
      <w:r w:rsidRPr="00932454">
        <w:t xml:space="preserve"> and young people</w:t>
      </w:r>
      <w:r>
        <w:t xml:space="preserve"> </w:t>
      </w:r>
      <w:r w:rsidRPr="00932454">
        <w:t>/</w:t>
      </w:r>
      <w:r>
        <w:t xml:space="preserve"> </w:t>
      </w:r>
      <w:r w:rsidRPr="00932454">
        <w:t>rangatahi</w:t>
      </w:r>
      <w:bookmarkEnd w:id="115"/>
    </w:p>
    <w:p w14:paraId="6E423F7F" w14:textId="77777777" w:rsidR="007179EA" w:rsidRDefault="007179EA" w:rsidP="00BD7A52">
      <w:r>
        <w:t>T</w:t>
      </w:r>
      <w:r w:rsidRPr="00A05137">
        <w:t xml:space="preserve">his objective reinforces the commitment to address health inequities and risks of harm from gambling that research shows continue to disproportionately affect Māori and Pacific peoples for some time (compared with European/ Other New Zealanders. </w:t>
      </w:r>
      <w:r>
        <w:t xml:space="preserve">It is derived from and supports </w:t>
      </w:r>
      <w:r w:rsidRPr="00A05137">
        <w:rPr>
          <w:i/>
          <w:iCs/>
        </w:rPr>
        <w:t>Whakamaua</w:t>
      </w:r>
      <w:r>
        <w:t>, the</w:t>
      </w:r>
      <w:r w:rsidRPr="00A05137">
        <w:t xml:space="preserve"> </w:t>
      </w:r>
      <w:r w:rsidRPr="00A05137">
        <w:rPr>
          <w:i/>
          <w:iCs/>
        </w:rPr>
        <w:t>Pacific Health and Wellbeing Action Plan 2020–2025 Ola Manuia</w:t>
      </w:r>
      <w:r w:rsidR="00BD7A52">
        <w:rPr>
          <w:iCs/>
        </w:rPr>
        <w:t>,</w:t>
      </w:r>
      <w:r w:rsidRPr="00BD7A52">
        <w:rPr>
          <w:rStyle w:val="FootnoteReference"/>
        </w:rPr>
        <w:footnoteReference w:id="53"/>
      </w:r>
      <w:r>
        <w:t xml:space="preserve"> and the </w:t>
      </w:r>
      <w:r w:rsidRPr="00A05137">
        <w:rPr>
          <w:i/>
          <w:iCs/>
        </w:rPr>
        <w:t>Child and Youth Wellbeing Strategy</w:t>
      </w:r>
      <w:r w:rsidR="00BD7A52" w:rsidRPr="00BD7A52">
        <w:t>.</w:t>
      </w:r>
      <w:r w:rsidRPr="00BD7A52">
        <w:rPr>
          <w:rStyle w:val="FootnoteReference"/>
        </w:rPr>
        <w:footnoteReference w:id="54"/>
      </w:r>
      <w:r w:rsidR="00BC6B27">
        <w:t xml:space="preserve"> </w:t>
      </w:r>
      <w:r w:rsidRPr="003D2E77">
        <w:t xml:space="preserve">The 2020 HLS results indicated that Māori were 3.13 more likely to be moderate-risk or problem gamblers than non-Māori </w:t>
      </w:r>
      <w:r w:rsidR="00BD7A52">
        <w:t>and</w:t>
      </w:r>
      <w:r w:rsidRPr="003D2E77">
        <w:t xml:space="preserve"> non-Pacific and that Pacific peoples were 2.56</w:t>
      </w:r>
      <w:r w:rsidR="00046A83">
        <w:t> times</w:t>
      </w:r>
      <w:r w:rsidRPr="003D2E77">
        <w:t xml:space="preserve"> more likely to be moderate-risk or problem gamblers than non-Māori </w:t>
      </w:r>
      <w:r w:rsidR="00BD7A52">
        <w:t>and</w:t>
      </w:r>
      <w:r w:rsidRPr="003D2E77">
        <w:t xml:space="preserve"> non-Pacific peoples.</w:t>
      </w:r>
    </w:p>
    <w:p w14:paraId="7E8AE784" w14:textId="77777777" w:rsidR="007179EA" w:rsidRDefault="007179EA" w:rsidP="00BD7A52"/>
    <w:p w14:paraId="31E0A0E0" w14:textId="77777777" w:rsidR="007179EA" w:rsidRDefault="007179EA" w:rsidP="00BD7A52">
      <w:pPr>
        <w:rPr>
          <w:lang w:eastAsia="en-NZ"/>
        </w:rPr>
      </w:pPr>
      <w:r>
        <w:t>Similarly, an analysis of research over several</w:t>
      </w:r>
      <w:r w:rsidR="00E06D9F">
        <w:t xml:space="preserve"> </w:t>
      </w:r>
      <w:r w:rsidR="0018228E">
        <w:t>years</w:t>
      </w:r>
      <w:r w:rsidR="00BC6B27">
        <w:t>’</w:t>
      </w:r>
      <w:r>
        <w:t xml:space="preserve"> HLS, accounting for ethnicity, gender and socioeconomic deprivation, has found that compared with European/other New Zealanders, of those who gamble the Asian group</w:t>
      </w:r>
      <w:r w:rsidR="00BC6B27">
        <w:t>’</w:t>
      </w:r>
      <w:r>
        <w:t>s risk factor is 9.5</w:t>
      </w:r>
      <w:r w:rsidR="00046A83">
        <w:t> times</w:t>
      </w:r>
      <w:r>
        <w:t xml:space="preserve"> higher. </w:t>
      </w:r>
      <w:r w:rsidRPr="00512CD6">
        <w:t xml:space="preserve">The </w:t>
      </w:r>
      <w:r>
        <w:t xml:space="preserve">2021 </w:t>
      </w:r>
      <w:r w:rsidRPr="00512CD6">
        <w:t xml:space="preserve">needs assessment notes that </w:t>
      </w:r>
      <w:r>
        <w:t>i</w:t>
      </w:r>
      <w:r w:rsidRPr="00466237">
        <w:rPr>
          <w:lang w:eastAsia="en-NZ"/>
        </w:rPr>
        <w:t>nternationally, the risk factors for developing harmful gambling include: being male, being young</w:t>
      </w:r>
      <w:r w:rsidRPr="00E06D9F">
        <w:t>,</w:t>
      </w:r>
      <w:r w:rsidRPr="00466237">
        <w:rPr>
          <w:lang w:eastAsia="en-NZ"/>
        </w:rPr>
        <w:t xml:space="preserve"> belonging to a particular ethnic group, single marital status, low educational and/or occupational status and residence in urban areas</w:t>
      </w:r>
      <w:r>
        <w:rPr>
          <w:lang w:eastAsia="en-NZ"/>
        </w:rPr>
        <w:t>.</w:t>
      </w:r>
    </w:p>
    <w:p w14:paraId="118876D6" w14:textId="77777777" w:rsidR="00BD7A52" w:rsidRDefault="00BD7A52" w:rsidP="00BD7A52">
      <w:pPr>
        <w:rPr>
          <w:lang w:eastAsia="en-NZ"/>
        </w:rPr>
      </w:pPr>
    </w:p>
    <w:p w14:paraId="3B43B1D4" w14:textId="77777777" w:rsidR="007179EA" w:rsidRDefault="007179EA" w:rsidP="00BD7A52">
      <w:pPr>
        <w:pStyle w:val="Heading3"/>
      </w:pPr>
      <w:bookmarkStart w:id="116" w:name="_Toc71550037"/>
      <w:bookmarkStart w:id="117" w:name="_Toc78882275"/>
      <w:bookmarkStart w:id="118" w:name="_Toc80965843"/>
      <w:r>
        <w:lastRenderedPageBreak/>
        <w:t>Priority action areas</w:t>
      </w:r>
      <w:bookmarkEnd w:id="116"/>
      <w:bookmarkEnd w:id="117"/>
      <w:bookmarkEnd w:id="118"/>
    </w:p>
    <w:p w14:paraId="2F09F3CC" w14:textId="77777777" w:rsidR="007179EA" w:rsidRDefault="007179EA" w:rsidP="00BD7A52">
      <w:r>
        <w:t>The priority action areas have been designed to reflect the key actions to be taken to achieve the corresponding objective. These are drawn from the needs assessment, build on previous strategy proposals, and are expected to be reviewed after six</w:t>
      </w:r>
      <w:r w:rsidR="00E06D9F">
        <w:t xml:space="preserve"> </w:t>
      </w:r>
      <w:r w:rsidR="0018228E">
        <w:t>years</w:t>
      </w:r>
      <w:r>
        <w:t>.</w:t>
      </w:r>
    </w:p>
    <w:p w14:paraId="2BDAB486" w14:textId="77777777" w:rsidR="007179EA" w:rsidRDefault="007179EA" w:rsidP="00BD7A52"/>
    <w:p w14:paraId="004C433D" w14:textId="77777777" w:rsidR="007179EA" w:rsidRDefault="007179EA" w:rsidP="00BD7A52">
      <w:r>
        <w:t>The priority action areas also reflect the contributions of DIA and Te Hiringa Hauora because their activities in the gambling arena will also affect whether the strategy will achieve its goal.</w:t>
      </w:r>
      <w:r w:rsidR="00BC6B27">
        <w:t xml:space="preserve"> </w:t>
      </w:r>
      <w:r>
        <w:t>The proposed priority action areas are as follows.</w:t>
      </w:r>
    </w:p>
    <w:p w14:paraId="08BC2460" w14:textId="77777777" w:rsidR="007179EA" w:rsidRDefault="007179EA" w:rsidP="00BD7A52"/>
    <w:p w14:paraId="34CC269B" w14:textId="77777777" w:rsidR="007179EA" w:rsidRPr="00932454" w:rsidRDefault="007179EA" w:rsidP="00BD7A52">
      <w:pPr>
        <w:pStyle w:val="Heading4"/>
      </w:pPr>
      <w:bookmarkStart w:id="119" w:name="_Toc78882276"/>
      <w:r>
        <w:t>Action areas for o</w:t>
      </w:r>
      <w:r w:rsidRPr="00932454">
        <w:t xml:space="preserve">bjective </w:t>
      </w:r>
      <w:r>
        <w:t>1</w:t>
      </w:r>
      <w:r w:rsidRPr="00932454">
        <w:t>: Create a full spectrum of services and supports</w:t>
      </w:r>
      <w:bookmarkEnd w:id="119"/>
    </w:p>
    <w:p w14:paraId="16F1E537" w14:textId="77777777" w:rsidR="007179EA" w:rsidRPr="0003777A" w:rsidRDefault="007179EA" w:rsidP="00BD7A52">
      <w:pPr>
        <w:pStyle w:val="Bullet"/>
      </w:pPr>
      <w:r w:rsidRPr="0003777A">
        <w:t>Identify barriers to accessing gambling</w:t>
      </w:r>
      <w:r>
        <w:t>-</w:t>
      </w:r>
      <w:r w:rsidRPr="0003777A">
        <w:t>harm minimisation services and supports (including identifying gaps) (Ministry of Health).</w:t>
      </w:r>
    </w:p>
    <w:p w14:paraId="58F31C33" w14:textId="77777777" w:rsidR="007179EA" w:rsidRPr="0003777A" w:rsidRDefault="007179EA" w:rsidP="00BD7A52">
      <w:pPr>
        <w:pStyle w:val="Bullet"/>
      </w:pPr>
      <w:r w:rsidRPr="0003777A">
        <w:t>Design and deliver quality gambling</w:t>
      </w:r>
      <w:r>
        <w:t>-</w:t>
      </w:r>
      <w:r w:rsidRPr="0003777A">
        <w:t>harm minimisation services and supports (Ministry of Health).</w:t>
      </w:r>
    </w:p>
    <w:p w14:paraId="018DAEFB" w14:textId="77777777" w:rsidR="007179EA" w:rsidRPr="0003777A" w:rsidRDefault="007179EA" w:rsidP="00BD7A52">
      <w:pPr>
        <w:pStyle w:val="Bullet"/>
      </w:pPr>
      <w:r w:rsidRPr="0003777A">
        <w:t>Develop a skilled</w:t>
      </w:r>
      <w:r>
        <w:t>,</w:t>
      </w:r>
      <w:r w:rsidRPr="0003777A">
        <w:t xml:space="preserve"> enabled</w:t>
      </w:r>
      <w:r>
        <w:t>,</w:t>
      </w:r>
      <w:r w:rsidRPr="0003777A">
        <w:t xml:space="preserve"> </w:t>
      </w:r>
      <w:r w:rsidRPr="00927967">
        <w:t xml:space="preserve">culturally </w:t>
      </w:r>
      <w:r>
        <w:t xml:space="preserve">safe and </w:t>
      </w:r>
      <w:r w:rsidRPr="00927967">
        <w:t xml:space="preserve">responsive </w:t>
      </w:r>
      <w:r w:rsidRPr="0003777A">
        <w:t xml:space="preserve">workforce </w:t>
      </w:r>
      <w:r>
        <w:t xml:space="preserve">that includes expertise from clinical and lived experience perspectives </w:t>
      </w:r>
      <w:r w:rsidRPr="0003777A">
        <w:t>(Ministry of Health)</w:t>
      </w:r>
      <w:r w:rsidR="00BD7A52">
        <w:t>.</w:t>
      </w:r>
    </w:p>
    <w:p w14:paraId="337E71E8" w14:textId="77777777" w:rsidR="007179EA" w:rsidRDefault="007179EA" w:rsidP="00BD7A52">
      <w:pPr>
        <w:rPr>
          <w:lang w:eastAsia="en-NZ"/>
        </w:rPr>
      </w:pPr>
    </w:p>
    <w:p w14:paraId="14E496E5" w14:textId="77777777" w:rsidR="007179EA" w:rsidRDefault="007179EA" w:rsidP="00BD7A52">
      <w:r w:rsidRPr="0003777A">
        <w:rPr>
          <w:lang w:eastAsia="en-NZ"/>
        </w:rPr>
        <w:t xml:space="preserve">The actions in this area align to the </w:t>
      </w:r>
      <w:r w:rsidRPr="006851F2">
        <w:rPr>
          <w:i/>
          <w:iCs/>
          <w:lang w:eastAsia="en-NZ"/>
        </w:rPr>
        <w:t>Hauora</w:t>
      </w:r>
      <w:r w:rsidRPr="0003777A">
        <w:rPr>
          <w:lang w:eastAsia="en-NZ"/>
        </w:rPr>
        <w:t xml:space="preserve"> principles of equity and options</w:t>
      </w:r>
      <w:r w:rsidRPr="00236885">
        <w:rPr>
          <w:lang w:eastAsia="en-NZ"/>
        </w:rPr>
        <w:t xml:space="preserve"> and</w:t>
      </w:r>
      <w:r w:rsidRPr="0003777A">
        <w:t xml:space="preserve"> </w:t>
      </w:r>
      <w:r>
        <w:t>supports</w:t>
      </w:r>
      <w:r w:rsidRPr="0003777A">
        <w:t xml:space="preserve"> the four </w:t>
      </w:r>
      <w:r w:rsidRPr="0003777A">
        <w:rPr>
          <w:i/>
          <w:iCs/>
        </w:rPr>
        <w:t>Whakamaua</w:t>
      </w:r>
      <w:r w:rsidRPr="0003777A">
        <w:t xml:space="preserve"> outcomes</w:t>
      </w:r>
      <w:r w:rsidRPr="00236885">
        <w:t>,</w:t>
      </w:r>
      <w:r w:rsidRPr="0003777A">
        <w:t xml:space="preserve"> a</w:t>
      </w:r>
      <w:r w:rsidRPr="00236885">
        <w:t>s well as</w:t>
      </w:r>
      <w:r w:rsidRPr="0003777A">
        <w:t xml:space="preserve"> </w:t>
      </w:r>
      <w:r w:rsidR="00046A83">
        <w:t>pae ora</w:t>
      </w:r>
      <w:r w:rsidRPr="00236885">
        <w:t>,</w:t>
      </w:r>
      <w:r w:rsidRPr="0003777A">
        <w:t xml:space="preserve"> to be realised in </w:t>
      </w:r>
      <w:r w:rsidRPr="00236885">
        <w:t>the</w:t>
      </w:r>
      <w:r w:rsidRPr="0003777A">
        <w:t xml:space="preserve"> prevention and minimisation of gambling harm. </w:t>
      </w:r>
      <w:r w:rsidRPr="0003777A">
        <w:rPr>
          <w:lang w:eastAsia="en-NZ"/>
        </w:rPr>
        <w:t xml:space="preserve">Key </w:t>
      </w:r>
      <w:r>
        <w:rPr>
          <w:lang w:eastAsia="en-NZ"/>
        </w:rPr>
        <w:t>strategy</w:t>
      </w:r>
      <w:r w:rsidRPr="0003777A">
        <w:rPr>
          <w:lang w:eastAsia="en-NZ"/>
        </w:rPr>
        <w:t xml:space="preserve"> principles that will be activated </w:t>
      </w:r>
      <w:r>
        <w:rPr>
          <w:lang w:eastAsia="en-NZ"/>
        </w:rPr>
        <w:t>include</w:t>
      </w:r>
      <w:r w:rsidRPr="0003777A">
        <w:rPr>
          <w:lang w:eastAsia="en-NZ"/>
        </w:rPr>
        <w:t xml:space="preserve"> u</w:t>
      </w:r>
      <w:r w:rsidRPr="00236885">
        <w:t xml:space="preserve">pholding </w:t>
      </w:r>
      <w:r w:rsidR="00046A83">
        <w:t>Te Tiriti</w:t>
      </w:r>
      <w:r>
        <w:t>,</w:t>
      </w:r>
      <w:r w:rsidRPr="0003777A">
        <w:rPr>
          <w:lang w:eastAsia="en-NZ"/>
        </w:rPr>
        <w:t xml:space="preserve"> </w:t>
      </w:r>
      <w:r w:rsidRPr="00236885">
        <w:t>equity</w:t>
      </w:r>
      <w:r>
        <w:t>,</w:t>
      </w:r>
      <w:r w:rsidRPr="00236885">
        <w:t xml:space="preserve"> people and whānau at the centre</w:t>
      </w:r>
      <w:r>
        <w:t>,</w:t>
      </w:r>
      <w:r w:rsidRPr="00236885">
        <w:t xml:space="preserve"> community focus</w:t>
      </w:r>
      <w:r>
        <w:t>,</w:t>
      </w:r>
      <w:r w:rsidRPr="00236885">
        <w:t xml:space="preserve"> collaboration and innovation.</w:t>
      </w:r>
    </w:p>
    <w:p w14:paraId="207D845B" w14:textId="77777777" w:rsidR="00BD7A52" w:rsidRPr="00BC6B27" w:rsidRDefault="00BD7A52" w:rsidP="00BD7A52">
      <w:pPr>
        <w:rPr>
          <w:rFonts w:cs="Segoe UI"/>
          <w:color w:val="212529"/>
          <w:lang w:eastAsia="en-NZ"/>
        </w:rPr>
      </w:pPr>
    </w:p>
    <w:p w14:paraId="0A4B58E3" w14:textId="77777777" w:rsidR="007179EA" w:rsidRPr="00932454" w:rsidRDefault="007179EA" w:rsidP="00BD7A52">
      <w:pPr>
        <w:pStyle w:val="Heading4"/>
      </w:pPr>
      <w:bookmarkStart w:id="120" w:name="_Toc78882277"/>
      <w:r>
        <w:t>Action areas for o</w:t>
      </w:r>
      <w:r w:rsidRPr="00932454">
        <w:t xml:space="preserve">bjective </w:t>
      </w:r>
      <w:r>
        <w:t>2</w:t>
      </w:r>
      <w:r w:rsidRPr="00932454">
        <w:t>: Shift cultural and social norms</w:t>
      </w:r>
      <w:bookmarkEnd w:id="120"/>
    </w:p>
    <w:p w14:paraId="079DB2AE" w14:textId="77777777" w:rsidR="007179EA" w:rsidRPr="0003777A" w:rsidRDefault="007179EA" w:rsidP="00BD7A52">
      <w:pPr>
        <w:pStyle w:val="Bullet"/>
      </w:pPr>
      <w:r w:rsidRPr="0003777A">
        <w:t>Ensure that people have the information and support to make healthy choices about gambling for themselves and others (</w:t>
      </w:r>
      <w:r>
        <w:t>Ministry of Health, Te Hiringa Hauora, gambling industry operators</w:t>
      </w:r>
      <w:r w:rsidRPr="0003777A">
        <w:t>).</w:t>
      </w:r>
    </w:p>
    <w:p w14:paraId="47DC6D81" w14:textId="77777777" w:rsidR="007179EA" w:rsidRPr="0003777A" w:rsidRDefault="007179EA" w:rsidP="00BD7A52">
      <w:pPr>
        <w:pStyle w:val="Bullet"/>
      </w:pPr>
      <w:r>
        <w:t xml:space="preserve">Support people to participate effectively and </w:t>
      </w:r>
      <w:r w:rsidRPr="0003777A">
        <w:t>equitabl</w:t>
      </w:r>
      <w:r>
        <w:t>y</w:t>
      </w:r>
      <w:r w:rsidRPr="0003777A">
        <w:t xml:space="preserve"> in </w:t>
      </w:r>
      <w:r>
        <w:t xml:space="preserve">decisions about their </w:t>
      </w:r>
      <w:r w:rsidRPr="0003777A">
        <w:t>communit</w:t>
      </w:r>
      <w:r>
        <w:t>ies</w:t>
      </w:r>
      <w:r w:rsidRPr="00BD7A52">
        <w:rPr>
          <w:rStyle w:val="FootnoteReference"/>
        </w:rPr>
        <w:footnoteReference w:id="55"/>
      </w:r>
      <w:r w:rsidR="00BD7A52">
        <w:t xml:space="preserve"> </w:t>
      </w:r>
      <w:r w:rsidRPr="0003777A">
        <w:t>(Ministry of Health and DIA</w:t>
      </w:r>
      <w:r>
        <w:t>, territorial authorities</w:t>
      </w:r>
      <w:r w:rsidRPr="0003777A">
        <w:t>).</w:t>
      </w:r>
    </w:p>
    <w:p w14:paraId="6E61B71A" w14:textId="77777777" w:rsidR="007179EA" w:rsidRPr="00236885" w:rsidRDefault="007179EA" w:rsidP="00BD7A52">
      <w:pPr>
        <w:pStyle w:val="Bullet"/>
      </w:pPr>
      <w:r w:rsidRPr="00A56FD7">
        <w:t xml:space="preserve">Reduce the stigma attached to gambling harm that prevents </w:t>
      </w:r>
      <w:r>
        <w:t xml:space="preserve">people from </w:t>
      </w:r>
      <w:r w:rsidRPr="00A56FD7">
        <w:t>accessing services and supports</w:t>
      </w:r>
      <w:r>
        <w:t xml:space="preserve"> </w:t>
      </w:r>
      <w:r w:rsidRPr="00236885">
        <w:t>(</w:t>
      </w:r>
      <w:r w:rsidRPr="0003777A">
        <w:t>Ministry of Health</w:t>
      </w:r>
      <w:r w:rsidRPr="00236885">
        <w:t xml:space="preserve"> and Te Hiringa Hauora).</w:t>
      </w:r>
    </w:p>
    <w:p w14:paraId="35BA62AC" w14:textId="77777777" w:rsidR="007179EA" w:rsidRDefault="007179EA" w:rsidP="00BD7A52">
      <w:pPr>
        <w:rPr>
          <w:lang w:eastAsia="en-NZ"/>
        </w:rPr>
      </w:pPr>
    </w:p>
    <w:p w14:paraId="4A682EA2" w14:textId="77777777" w:rsidR="007179EA" w:rsidRDefault="007179EA" w:rsidP="00BD7A52">
      <w:r w:rsidRPr="0003777A">
        <w:rPr>
          <w:lang w:eastAsia="en-NZ"/>
        </w:rPr>
        <w:t xml:space="preserve">The actions in this area align to the </w:t>
      </w:r>
      <w:r w:rsidRPr="0003777A">
        <w:rPr>
          <w:i/>
          <w:iCs/>
          <w:lang w:eastAsia="en-NZ"/>
        </w:rPr>
        <w:t>Hauora</w:t>
      </w:r>
      <w:r w:rsidRPr="0003777A">
        <w:rPr>
          <w:lang w:eastAsia="en-NZ"/>
        </w:rPr>
        <w:t xml:space="preserve"> principles of active protection, equity and partnership </w:t>
      </w:r>
      <w:r w:rsidRPr="0003777A">
        <w:t xml:space="preserve">to be realised in the prevention and minimisation of gambling harm. </w:t>
      </w:r>
      <w:r w:rsidRPr="0003777A">
        <w:rPr>
          <w:lang w:eastAsia="en-NZ"/>
        </w:rPr>
        <w:t xml:space="preserve">Key </w:t>
      </w:r>
      <w:r>
        <w:rPr>
          <w:lang w:eastAsia="en-NZ"/>
        </w:rPr>
        <w:t>strategy</w:t>
      </w:r>
      <w:r w:rsidRPr="0003777A">
        <w:rPr>
          <w:lang w:eastAsia="en-NZ"/>
        </w:rPr>
        <w:t xml:space="preserve"> principles that will be activated are u</w:t>
      </w:r>
      <w:r w:rsidRPr="00236885">
        <w:t xml:space="preserve">pholding </w:t>
      </w:r>
      <w:r w:rsidR="00046A83">
        <w:t>Te Tiriti</w:t>
      </w:r>
      <w:r w:rsidRPr="00236885">
        <w:t>; equity; people and whānau at the centre and community focus</w:t>
      </w:r>
      <w:r w:rsidRPr="00242F90">
        <w:t>.</w:t>
      </w:r>
    </w:p>
    <w:p w14:paraId="19D1E800" w14:textId="77777777" w:rsidR="00BD7A52" w:rsidRDefault="00BD7A52" w:rsidP="00BD7A52"/>
    <w:p w14:paraId="24BE181A" w14:textId="77777777" w:rsidR="007179EA" w:rsidRPr="00932454" w:rsidRDefault="007179EA" w:rsidP="00BD7A52">
      <w:pPr>
        <w:pStyle w:val="Heading4"/>
      </w:pPr>
      <w:bookmarkStart w:id="121" w:name="_Toc78882278"/>
      <w:r>
        <w:lastRenderedPageBreak/>
        <w:t>Action areas for o</w:t>
      </w:r>
      <w:r w:rsidRPr="00932454">
        <w:t xml:space="preserve">bjective </w:t>
      </w:r>
      <w:r>
        <w:t>3</w:t>
      </w:r>
      <w:r w:rsidRPr="00932454">
        <w:t>: Strengthen leadership and accountability</w:t>
      </w:r>
      <w:r>
        <w:t xml:space="preserve"> to achieve equity</w:t>
      </w:r>
      <w:bookmarkEnd w:id="121"/>
    </w:p>
    <w:p w14:paraId="2BAF5797" w14:textId="77777777" w:rsidR="007179EA" w:rsidRPr="00A56FD7" w:rsidRDefault="007179EA" w:rsidP="00BD7A52">
      <w:pPr>
        <w:pStyle w:val="Bullet"/>
      </w:pPr>
      <w:r w:rsidRPr="00A56FD7">
        <w:t>Support healthy polic</w:t>
      </w:r>
      <w:r>
        <w:t>ies</w:t>
      </w:r>
      <w:r w:rsidRPr="00A56FD7">
        <w:t xml:space="preserve"> at national, regional and local levels that prevent and minimise gambling harm</w:t>
      </w:r>
      <w:r>
        <w:t xml:space="preserve"> (</w:t>
      </w:r>
      <w:r w:rsidRPr="0003777A">
        <w:t>Ministry of Health</w:t>
      </w:r>
      <w:r>
        <w:t xml:space="preserve"> DIA, and territorial authorities).</w:t>
      </w:r>
    </w:p>
    <w:p w14:paraId="00C013E7" w14:textId="77777777" w:rsidR="007179EA" w:rsidRPr="00A56FD7" w:rsidRDefault="007179EA" w:rsidP="00BD7A52">
      <w:pPr>
        <w:pStyle w:val="Bullet"/>
      </w:pPr>
      <w:r w:rsidRPr="00A56FD7">
        <w:t>Identify improvements to the legislative and regulatory framework to reduce gambling-related harm</w:t>
      </w:r>
      <w:r>
        <w:t xml:space="preserve"> (DIA).</w:t>
      </w:r>
    </w:p>
    <w:p w14:paraId="63C82270" w14:textId="77777777" w:rsidR="007179EA" w:rsidRPr="00236885" w:rsidRDefault="007179EA" w:rsidP="00BD7A52">
      <w:pPr>
        <w:pStyle w:val="Bullet"/>
        <w:rPr>
          <w:i/>
          <w:iCs/>
        </w:rPr>
      </w:pPr>
      <w:r w:rsidRPr="00236885">
        <w:t xml:space="preserve">Ensure gambling operators </w:t>
      </w:r>
      <w:r>
        <w:t xml:space="preserve">are effectively preventing and minimising harm </w:t>
      </w:r>
      <w:r w:rsidRPr="00236885">
        <w:t>from gambling and support the improvement of harm minimisation practices</w:t>
      </w:r>
      <w:r w:rsidRPr="0003777A">
        <w:t xml:space="preserve"> </w:t>
      </w:r>
      <w:r w:rsidRPr="00236885">
        <w:t>(DIA).</w:t>
      </w:r>
    </w:p>
    <w:p w14:paraId="0FDE1243" w14:textId="77777777" w:rsidR="007179EA" w:rsidRDefault="007179EA" w:rsidP="00BD7A52">
      <w:pPr>
        <w:rPr>
          <w:lang w:eastAsia="en-NZ"/>
        </w:rPr>
      </w:pPr>
    </w:p>
    <w:p w14:paraId="556F3EAC" w14:textId="77777777" w:rsidR="007179EA" w:rsidRDefault="007179EA" w:rsidP="00BD7A52">
      <w:r w:rsidRPr="0003777A">
        <w:rPr>
          <w:lang w:eastAsia="en-NZ"/>
        </w:rPr>
        <w:t xml:space="preserve">The actions in this area align to the </w:t>
      </w:r>
      <w:r w:rsidRPr="0003777A">
        <w:rPr>
          <w:i/>
          <w:iCs/>
          <w:lang w:eastAsia="en-NZ"/>
        </w:rPr>
        <w:t>Hauora</w:t>
      </w:r>
      <w:r w:rsidRPr="0003777A" w:rsidDel="00986009">
        <w:rPr>
          <w:lang w:eastAsia="en-NZ"/>
        </w:rPr>
        <w:t xml:space="preserve"> </w:t>
      </w:r>
      <w:r w:rsidRPr="0003777A">
        <w:rPr>
          <w:lang w:eastAsia="en-NZ"/>
        </w:rPr>
        <w:t xml:space="preserve">principles of tino rangatiratanga, active protection and equity, and enable them </w:t>
      </w:r>
      <w:r w:rsidRPr="0003777A">
        <w:t xml:space="preserve">to be realised in </w:t>
      </w:r>
      <w:r>
        <w:t>the</w:t>
      </w:r>
      <w:r w:rsidRPr="0003777A">
        <w:t xml:space="preserve"> prevention and minimisation of gambling harm. </w:t>
      </w:r>
      <w:r w:rsidRPr="0003777A">
        <w:rPr>
          <w:lang w:eastAsia="en-NZ"/>
        </w:rPr>
        <w:t xml:space="preserve">Key </w:t>
      </w:r>
      <w:r>
        <w:rPr>
          <w:lang w:eastAsia="en-NZ"/>
        </w:rPr>
        <w:t>strategy</w:t>
      </w:r>
      <w:r w:rsidRPr="0003777A">
        <w:rPr>
          <w:lang w:eastAsia="en-NZ"/>
        </w:rPr>
        <w:t xml:space="preserve"> principles that will be activated are upholding </w:t>
      </w:r>
      <w:r w:rsidR="00046A83">
        <w:t>Te Tiriti</w:t>
      </w:r>
      <w:r w:rsidRPr="00236885">
        <w:t>; equity; people and whānau at the centre; community focus; collaboration and innovation.</w:t>
      </w:r>
    </w:p>
    <w:p w14:paraId="27C43E61" w14:textId="77777777" w:rsidR="007179EA" w:rsidRDefault="007179EA" w:rsidP="00BD7A52"/>
    <w:p w14:paraId="2E99C650" w14:textId="77777777" w:rsidR="00BC6B27" w:rsidRDefault="007179EA" w:rsidP="00BD7A52">
      <w:r>
        <w:t>Many s</w:t>
      </w:r>
      <w:r w:rsidRPr="00B110F4">
        <w:t xml:space="preserve">ubmissions </w:t>
      </w:r>
      <w:r>
        <w:t xml:space="preserve">mostly from NCGM, </w:t>
      </w:r>
      <w:r w:rsidRPr="00B110F4">
        <w:t xml:space="preserve">services and lived experience </w:t>
      </w:r>
      <w:r>
        <w:t xml:space="preserve">sectors </w:t>
      </w:r>
      <w:r w:rsidRPr="00B110F4">
        <w:t xml:space="preserve">also </w:t>
      </w:r>
      <w:r w:rsidRPr="00775BFE">
        <w:t xml:space="preserve">sought </w:t>
      </w:r>
      <w:r w:rsidRPr="006F402E">
        <w:t>changes to the broader gambling policy, legislative or regulatory frameworks</w:t>
      </w:r>
      <w:r w:rsidRPr="00775BFE">
        <w:t xml:space="preserve">. This was expressed through calls to reduce </w:t>
      </w:r>
      <w:r>
        <w:t>NCGM</w:t>
      </w:r>
      <w:r w:rsidRPr="00775BFE">
        <w:t xml:space="preserve"> venues and machine numbers, to strengthen</w:t>
      </w:r>
      <w:r w:rsidRPr="00B110F4">
        <w:t xml:space="preserve"> local authority roles</w:t>
      </w:r>
      <w:r>
        <w:t>,</w:t>
      </w:r>
      <w:r w:rsidRPr="00B110F4">
        <w:t xml:space="preserve"> host responsibility </w:t>
      </w:r>
      <w:r>
        <w:t xml:space="preserve">training and </w:t>
      </w:r>
      <w:r w:rsidRPr="00B110F4">
        <w:t xml:space="preserve">accountability, </w:t>
      </w:r>
      <w:r>
        <w:t xml:space="preserve">to further </w:t>
      </w:r>
      <w:r w:rsidRPr="00B110F4">
        <w:t>limit</w:t>
      </w:r>
      <w:r>
        <w:t xml:space="preserve"> </w:t>
      </w:r>
      <w:r w:rsidRPr="00B110F4">
        <w:t>advertising and sponsorship</w:t>
      </w:r>
      <w:r>
        <w:t>, and set tighter controls.</w:t>
      </w:r>
      <w:r w:rsidR="00BC6B27">
        <w:t xml:space="preserve"> </w:t>
      </w:r>
      <w:r>
        <w:t xml:space="preserve">As noted above, the Government has also committed in Kia Manawanui to a review of the Gambling Act </w:t>
      </w:r>
      <w:r w:rsidRPr="00E4361A">
        <w:t>with a particular focus on reducing harm from online gambling and pokies</w:t>
      </w:r>
      <w:r>
        <w:t>.</w:t>
      </w:r>
    </w:p>
    <w:p w14:paraId="5C59B1F1" w14:textId="77777777" w:rsidR="00BD7A52" w:rsidRDefault="00BD7A52" w:rsidP="00BD7A52"/>
    <w:p w14:paraId="780C644E" w14:textId="77777777" w:rsidR="007179EA" w:rsidRPr="00932454" w:rsidRDefault="007179EA" w:rsidP="00BD7A52">
      <w:pPr>
        <w:pStyle w:val="Heading4"/>
      </w:pPr>
      <w:bookmarkStart w:id="122" w:name="_Toc78882279"/>
      <w:r>
        <w:t>Action areas for o</w:t>
      </w:r>
      <w:r w:rsidRPr="00932454">
        <w:t xml:space="preserve">bjective </w:t>
      </w:r>
      <w:r>
        <w:t>4</w:t>
      </w:r>
      <w:r w:rsidRPr="00932454">
        <w:t>: Strengthen the health and health equity of Māori, Pacific</w:t>
      </w:r>
      <w:r>
        <w:t xml:space="preserve"> peoples,</w:t>
      </w:r>
      <w:r w:rsidRPr="00932454">
        <w:t xml:space="preserve"> Asian </w:t>
      </w:r>
      <w:r>
        <w:t xml:space="preserve">peoples </w:t>
      </w:r>
      <w:r w:rsidRPr="00932454">
        <w:t>and young people</w:t>
      </w:r>
      <w:r>
        <w:t xml:space="preserve"> </w:t>
      </w:r>
      <w:r w:rsidRPr="00932454">
        <w:t>/</w:t>
      </w:r>
      <w:r>
        <w:t xml:space="preserve"> </w:t>
      </w:r>
      <w:r w:rsidRPr="00932454">
        <w:t>rangatahi</w:t>
      </w:r>
      <w:bookmarkEnd w:id="122"/>
    </w:p>
    <w:p w14:paraId="0E710AE9" w14:textId="77777777" w:rsidR="007179EA" w:rsidRPr="00236885" w:rsidRDefault="007179EA" w:rsidP="00BD7A52">
      <w:pPr>
        <w:pStyle w:val="Bullet"/>
      </w:pPr>
      <w:r w:rsidRPr="0003777A">
        <w:t>Collaborat</w:t>
      </w:r>
      <w:r>
        <w:t>e</w:t>
      </w:r>
      <w:r w:rsidRPr="0003777A">
        <w:t xml:space="preserve"> and co-design with </w:t>
      </w:r>
      <w:r>
        <w:t>i</w:t>
      </w:r>
      <w:r w:rsidRPr="0003777A">
        <w:t xml:space="preserve">wi and other Māori organisations; Pacific </w:t>
      </w:r>
      <w:r>
        <w:t>and</w:t>
      </w:r>
      <w:r w:rsidRPr="0003777A">
        <w:t xml:space="preserve"> Asian communities; young people/rangatahi; and people with lived experience of gambling harm to prevent and minimise gambling harm (Ministry of Health).</w:t>
      </w:r>
    </w:p>
    <w:p w14:paraId="21BC48D0" w14:textId="77777777" w:rsidR="007179EA" w:rsidRPr="00236885" w:rsidRDefault="007179EA" w:rsidP="00BD7A52">
      <w:pPr>
        <w:pStyle w:val="Bullet"/>
      </w:pPr>
      <w:r>
        <w:t xml:space="preserve">Enable </w:t>
      </w:r>
      <w:r w:rsidRPr="00236885">
        <w:t xml:space="preserve">the development of </w:t>
      </w:r>
      <w:r>
        <w:t>k</w:t>
      </w:r>
      <w:r w:rsidRPr="00236885">
        <w:t>aupapa Māori and gambling</w:t>
      </w:r>
      <w:r>
        <w:t>-</w:t>
      </w:r>
      <w:r w:rsidRPr="00236885">
        <w:t xml:space="preserve">harm prevention and minimisation services centred </w:t>
      </w:r>
      <w:r>
        <w:t xml:space="preserve">around the </w:t>
      </w:r>
      <w:r w:rsidRPr="00236885">
        <w:t>whānau (</w:t>
      </w:r>
      <w:r w:rsidRPr="0003777A">
        <w:t>Ministry of Health</w:t>
      </w:r>
      <w:r w:rsidRPr="00236885">
        <w:t>)</w:t>
      </w:r>
      <w:r>
        <w:t>.</w:t>
      </w:r>
    </w:p>
    <w:p w14:paraId="4F4227EE" w14:textId="77777777" w:rsidR="007179EA" w:rsidRDefault="007179EA" w:rsidP="00BD7A52">
      <w:pPr>
        <w:pStyle w:val="Bullet"/>
      </w:pPr>
      <w:r>
        <w:t xml:space="preserve">Enable </w:t>
      </w:r>
      <w:r w:rsidRPr="00236885">
        <w:t xml:space="preserve">the development of Pacific values-based </w:t>
      </w:r>
      <w:r>
        <w:t>gambling-</w:t>
      </w:r>
      <w:r w:rsidRPr="00236885">
        <w:t>harm prevention and minimisation services (</w:t>
      </w:r>
      <w:r w:rsidRPr="0003777A">
        <w:t>Ministry of Health</w:t>
      </w:r>
      <w:r w:rsidRPr="00236885">
        <w:t>)</w:t>
      </w:r>
      <w:r>
        <w:t>.</w:t>
      </w:r>
    </w:p>
    <w:p w14:paraId="3802C388" w14:textId="77777777" w:rsidR="007179EA" w:rsidRPr="00236885" w:rsidRDefault="007179EA" w:rsidP="00BD7A52">
      <w:pPr>
        <w:pStyle w:val="Bullet"/>
      </w:pPr>
      <w:r>
        <w:t xml:space="preserve">Enable </w:t>
      </w:r>
      <w:r w:rsidRPr="00236885">
        <w:t xml:space="preserve">the development of </w:t>
      </w:r>
      <w:r>
        <w:t xml:space="preserve">Asian </w:t>
      </w:r>
      <w:r w:rsidRPr="00236885">
        <w:t xml:space="preserve">values-based </w:t>
      </w:r>
      <w:r>
        <w:t>gambling-</w:t>
      </w:r>
      <w:r w:rsidRPr="00236885">
        <w:t>harm prevention and minimisation services (</w:t>
      </w:r>
      <w:r w:rsidRPr="0003777A">
        <w:t>Ministry of Health</w:t>
      </w:r>
      <w:r w:rsidRPr="00236885">
        <w:t>)</w:t>
      </w:r>
      <w:r>
        <w:t>.</w:t>
      </w:r>
    </w:p>
    <w:p w14:paraId="5D140BBA" w14:textId="77777777" w:rsidR="007179EA" w:rsidRDefault="007179EA" w:rsidP="00BD7A52">
      <w:pPr>
        <w:rPr>
          <w:lang w:eastAsia="en-NZ"/>
        </w:rPr>
      </w:pPr>
    </w:p>
    <w:p w14:paraId="6512B7CF" w14:textId="77777777" w:rsidR="007179EA" w:rsidRDefault="007179EA" w:rsidP="00BD7A52">
      <w:r w:rsidRPr="0003777A">
        <w:rPr>
          <w:lang w:eastAsia="en-NZ"/>
        </w:rPr>
        <w:t xml:space="preserve">The actions in this area align to the </w:t>
      </w:r>
      <w:r w:rsidRPr="0003777A">
        <w:rPr>
          <w:i/>
          <w:iCs/>
          <w:lang w:eastAsia="en-NZ"/>
        </w:rPr>
        <w:t>Hauora</w:t>
      </w:r>
      <w:r w:rsidRPr="0003777A" w:rsidDel="00986009">
        <w:rPr>
          <w:lang w:eastAsia="en-NZ"/>
        </w:rPr>
        <w:t xml:space="preserve"> </w:t>
      </w:r>
      <w:r w:rsidRPr="0003777A">
        <w:rPr>
          <w:lang w:eastAsia="en-NZ"/>
        </w:rPr>
        <w:t xml:space="preserve">principles of tino rangatiratanga, partnership, active protection, options and equity and enable them </w:t>
      </w:r>
      <w:r w:rsidRPr="0003777A">
        <w:t xml:space="preserve">to be realised in the prevention and minimisation of gambling harm. </w:t>
      </w:r>
      <w:r w:rsidRPr="0003777A">
        <w:rPr>
          <w:lang w:eastAsia="en-NZ"/>
        </w:rPr>
        <w:t xml:space="preserve">Key </w:t>
      </w:r>
      <w:r>
        <w:rPr>
          <w:lang w:eastAsia="en-NZ"/>
        </w:rPr>
        <w:t>strategy</w:t>
      </w:r>
      <w:r w:rsidRPr="0003777A">
        <w:rPr>
          <w:lang w:eastAsia="en-NZ"/>
        </w:rPr>
        <w:t xml:space="preserve"> principles that will be activated are</w:t>
      </w:r>
      <w:r>
        <w:rPr>
          <w:lang w:eastAsia="en-NZ"/>
        </w:rPr>
        <w:t xml:space="preserve"> upholding</w:t>
      </w:r>
      <w:r w:rsidRPr="0003777A">
        <w:rPr>
          <w:lang w:eastAsia="en-NZ"/>
        </w:rPr>
        <w:t xml:space="preserve"> </w:t>
      </w:r>
      <w:r w:rsidR="00046A83">
        <w:t>Te Tiriti</w:t>
      </w:r>
      <w:r w:rsidRPr="00236885">
        <w:t>; equity; people and whānau at the centre; community focus; collaboration and innovation.</w:t>
      </w:r>
    </w:p>
    <w:p w14:paraId="1A2266DB" w14:textId="77777777" w:rsidR="007179EA" w:rsidRDefault="007179EA" w:rsidP="00BD7A52"/>
    <w:p w14:paraId="34D08D31" w14:textId="77777777" w:rsidR="00BC6B27" w:rsidRDefault="007179EA" w:rsidP="00BD7A52">
      <w:pPr>
        <w:keepNext/>
        <w:keepLines/>
      </w:pPr>
      <w:r w:rsidRPr="00FA099F">
        <w:lastRenderedPageBreak/>
        <w:t>Many submissions recommended engaging with relevant priority populations and lived experience voices in a co</w:t>
      </w:r>
      <w:r>
        <w:t xml:space="preserve">llaborative way, and some questioned how the Ministry would give effect to </w:t>
      </w:r>
      <w:r w:rsidR="00046A83">
        <w:t>Te Tiriti</w:t>
      </w:r>
      <w:r>
        <w:t>, for example in co-design.</w:t>
      </w:r>
      <w:r w:rsidR="00BC6B27">
        <w:t xml:space="preserve"> </w:t>
      </w:r>
      <w:r>
        <w:t xml:space="preserve">The Ministry notes these matters are also part of the sector transformation and is committed to implementing these over the next levy period. The </w:t>
      </w:r>
      <w:r w:rsidRPr="00FA099F">
        <w:t xml:space="preserve">impact of the health sector transformations, including the </w:t>
      </w:r>
      <w:r>
        <w:t>roles of the Māori</w:t>
      </w:r>
      <w:r w:rsidRPr="00FA099F">
        <w:t xml:space="preserve"> Health Authority and local iwi-</w:t>
      </w:r>
      <w:r>
        <w:t>Māori</w:t>
      </w:r>
      <w:r w:rsidRPr="00FA099F">
        <w:t xml:space="preserve"> partnership boards</w:t>
      </w:r>
      <w:r>
        <w:t>,</w:t>
      </w:r>
      <w:r w:rsidRPr="00FA099F">
        <w:t xml:space="preserve"> </w:t>
      </w:r>
      <w:r>
        <w:t xml:space="preserve">can be determined once the </w:t>
      </w:r>
      <w:r w:rsidRPr="00FA099F">
        <w:t xml:space="preserve">enabling legislation is </w:t>
      </w:r>
      <w:r>
        <w:t xml:space="preserve">finalised </w:t>
      </w:r>
      <w:r w:rsidRPr="00FA099F">
        <w:t>in 2022</w:t>
      </w:r>
      <w:r>
        <w:t>. The Ministry will develop action plans for each priority population and will incorporate the new roles noted above as appropriate once the details are known, as the strategy is implemented.</w:t>
      </w:r>
    </w:p>
    <w:p w14:paraId="3FC55C07" w14:textId="77777777" w:rsidR="007179EA" w:rsidRDefault="007179EA" w:rsidP="00BD7A52"/>
    <w:p w14:paraId="11686079" w14:textId="77777777" w:rsidR="00BC6B27" w:rsidRDefault="007179EA" w:rsidP="00BD7A52">
      <w:r>
        <w:t>Promoting health equity is highlighted in this objective, but equity is inherent in all four objectives and as such will be promoted through all action areas.</w:t>
      </w:r>
    </w:p>
    <w:p w14:paraId="6C49B2F5" w14:textId="77777777" w:rsidR="00BD7A52" w:rsidRDefault="00BD7A52" w:rsidP="00BD7A52"/>
    <w:p w14:paraId="62635943" w14:textId="77777777" w:rsidR="007179EA" w:rsidRPr="00FA1985" w:rsidRDefault="007179EA" w:rsidP="00BD7A52">
      <w:pPr>
        <w:pStyle w:val="Heading2"/>
      </w:pPr>
      <w:bookmarkStart w:id="123" w:name="_Toc89684393"/>
      <w:bookmarkStart w:id="124" w:name="_Toc90885049"/>
      <w:r w:rsidRPr="00FA1985">
        <w:t>Priority populations</w:t>
      </w:r>
      <w:bookmarkEnd w:id="123"/>
      <w:bookmarkEnd w:id="124"/>
    </w:p>
    <w:p w14:paraId="18644DB6" w14:textId="77777777" w:rsidR="007179EA" w:rsidRDefault="007179EA" w:rsidP="00BD7A52">
      <w:r>
        <w:t>Submissions endorsed the priority populations identified for the strategy</w:t>
      </w:r>
      <w:r w:rsidRPr="00FA1985">
        <w:t xml:space="preserve"> </w:t>
      </w:r>
      <w:r>
        <w:t xml:space="preserve">as: </w:t>
      </w:r>
      <w:r w:rsidRPr="00FA1985">
        <w:t>M</w:t>
      </w:r>
      <w:r w:rsidRPr="00CE5718">
        <w:t>ā</w:t>
      </w:r>
      <w:r w:rsidRPr="00FA1985">
        <w:t>ori, Pacific</w:t>
      </w:r>
      <w:r>
        <w:t xml:space="preserve"> peoples</w:t>
      </w:r>
      <w:r w:rsidRPr="00FA1985">
        <w:t>, Asian</w:t>
      </w:r>
      <w:r>
        <w:t xml:space="preserve"> people</w:t>
      </w:r>
      <w:r w:rsidRPr="00FA1985">
        <w:t xml:space="preserve"> and young people/rangatahi</w:t>
      </w:r>
      <w:r>
        <w:t xml:space="preserve">. </w:t>
      </w:r>
      <w:r w:rsidRPr="00FA1985">
        <w:t xml:space="preserve">The first three groups were priority populations for the previous </w:t>
      </w:r>
      <w:r>
        <w:t>strategy</w:t>
      </w:r>
      <w:r w:rsidRPr="00FA1985">
        <w:t xml:space="preserve">, and their risk has not reduced to a level that would suggest a population-neutral or universal approach </w:t>
      </w:r>
      <w:r>
        <w:t xml:space="preserve">should </w:t>
      </w:r>
      <w:r w:rsidRPr="00FA1985">
        <w:t>be taken</w:t>
      </w:r>
      <w:r>
        <w:t>.</w:t>
      </w:r>
    </w:p>
    <w:p w14:paraId="5B0607F2" w14:textId="77777777" w:rsidR="007179EA" w:rsidRDefault="007179EA" w:rsidP="00BD7A52"/>
    <w:p w14:paraId="116BBE09" w14:textId="77777777" w:rsidR="007179EA" w:rsidRDefault="007179EA" w:rsidP="00124241">
      <w:r>
        <w:t>Submissions confirmed the importance of engaging with y</w:t>
      </w:r>
      <w:r w:rsidRPr="00FA1985">
        <w:t>oung people/rangatahi</w:t>
      </w:r>
      <w:r w:rsidRPr="00BD7A52">
        <w:rPr>
          <w:rStyle w:val="FootnoteReference"/>
          <w:rFonts w:eastAsia="MS Gothic"/>
        </w:rPr>
        <w:footnoteReference w:id="56"/>
      </w:r>
      <w:r w:rsidRPr="00FA1985">
        <w:t xml:space="preserve"> </w:t>
      </w:r>
      <w:r>
        <w:t xml:space="preserve">and including them in developing public health and early intervention services, with an emphasis on education. The feedback validated the growing </w:t>
      </w:r>
      <w:r w:rsidRPr="00FA1985">
        <w:t xml:space="preserve">research evidence </w:t>
      </w:r>
      <w:r>
        <w:t>that</w:t>
      </w:r>
      <w:r w:rsidRPr="00FA1985">
        <w:t xml:space="preserve"> online gambling </w:t>
      </w:r>
      <w:r>
        <w:t xml:space="preserve">can </w:t>
      </w:r>
      <w:r w:rsidRPr="00FA1985">
        <w:t>increas</w:t>
      </w:r>
      <w:r>
        <w:t>e young people</w:t>
      </w:r>
      <w:r w:rsidR="00BC6B27">
        <w:t>’</w:t>
      </w:r>
      <w:r>
        <w:t xml:space="preserve">s </w:t>
      </w:r>
      <w:r w:rsidRPr="00FA1985">
        <w:t xml:space="preserve">vulnerability to gambling harm. Adding this group </w:t>
      </w:r>
      <w:r>
        <w:t xml:space="preserve">aligns </w:t>
      </w:r>
      <w:r w:rsidRPr="00FA1985">
        <w:t xml:space="preserve">with the Child and Youth Wellbeing </w:t>
      </w:r>
      <w:r>
        <w:t>Strategy</w:t>
      </w:r>
      <w:r w:rsidRPr="00FA1985">
        <w:t xml:space="preserve"> (CYWS). For example, supporting whānau to address gambling harm </w:t>
      </w:r>
      <w:r>
        <w:t xml:space="preserve">contributes to </w:t>
      </w:r>
      <w:r w:rsidRPr="00FA1985">
        <w:t>ensuring children and</w:t>
      </w:r>
      <w:r>
        <w:t xml:space="preserve"> young people/rangatahi</w:t>
      </w:r>
      <w:r w:rsidRPr="00FA1985">
        <w:t xml:space="preserve"> </w:t>
      </w:r>
      <w:r w:rsidR="00BC6B27">
        <w:t>‘</w:t>
      </w:r>
      <w:r w:rsidRPr="00FA1985">
        <w:t>are loved, safe and nurtured</w:t>
      </w:r>
      <w:r w:rsidR="00BC6B27">
        <w:t>’</w:t>
      </w:r>
      <w:r w:rsidRPr="00C32407">
        <w:t xml:space="preserve"> </w:t>
      </w:r>
      <w:r>
        <w:t>(</w:t>
      </w:r>
      <w:r w:rsidRPr="00FA1985">
        <w:t>CYWS outcome</w:t>
      </w:r>
      <w:r w:rsidR="00E06D9F">
        <w:t> </w:t>
      </w:r>
      <w:r>
        <w:t>1). Similarly, wh</w:t>
      </w:r>
      <w:r w:rsidRPr="00FA1985">
        <w:t xml:space="preserve">en gambling does not negatively impact on the material wellbeing of the </w:t>
      </w:r>
      <w:r>
        <w:t>whānau, c</w:t>
      </w:r>
      <w:r w:rsidRPr="00FA1985">
        <w:t xml:space="preserve">hildren and </w:t>
      </w:r>
      <w:r>
        <w:t>young people/rangatahi</w:t>
      </w:r>
      <w:r w:rsidRPr="00FA1985">
        <w:t xml:space="preserve"> </w:t>
      </w:r>
      <w:r>
        <w:t xml:space="preserve">are more likely to </w:t>
      </w:r>
      <w:r w:rsidR="00BC6B27">
        <w:t>‘</w:t>
      </w:r>
      <w:r w:rsidRPr="00FA1985">
        <w:t>have what they need</w:t>
      </w:r>
      <w:r w:rsidR="00BC6B27">
        <w:t>’</w:t>
      </w:r>
      <w:r w:rsidRPr="00FA1985">
        <w:t xml:space="preserve"> (</w:t>
      </w:r>
      <w:r>
        <w:t xml:space="preserve">CYWS </w:t>
      </w:r>
      <w:r w:rsidRPr="00FA1985">
        <w:t>outcome</w:t>
      </w:r>
      <w:r w:rsidR="00E06D9F">
        <w:t> </w:t>
      </w:r>
      <w:r w:rsidRPr="00FA1985">
        <w:t>2)</w:t>
      </w:r>
      <w:r>
        <w:t xml:space="preserve">, and </w:t>
      </w:r>
      <w:r w:rsidRPr="00FA1985">
        <w:t>when their own mental wellbeing is supported to address and prevent gambling harm</w:t>
      </w:r>
      <w:r>
        <w:t>,</w:t>
      </w:r>
      <w:r w:rsidRPr="00FA1985">
        <w:t xml:space="preserve"> children and </w:t>
      </w:r>
      <w:r>
        <w:t>young people/rangatahi</w:t>
      </w:r>
      <w:r w:rsidRPr="00FA1985">
        <w:t xml:space="preserve"> are </w:t>
      </w:r>
      <w:r w:rsidR="00BC6B27">
        <w:t>‘</w:t>
      </w:r>
      <w:r w:rsidRPr="00FA1985">
        <w:t>happy and healthy</w:t>
      </w:r>
      <w:r w:rsidR="00BC6B27">
        <w:t>’</w:t>
      </w:r>
      <w:r w:rsidRPr="00FA1985">
        <w:t xml:space="preserve"> (</w:t>
      </w:r>
      <w:r>
        <w:t xml:space="preserve">CYWS </w:t>
      </w:r>
      <w:r w:rsidRPr="00FA1985">
        <w:t>outcome</w:t>
      </w:r>
      <w:r w:rsidR="00124241">
        <w:t> </w:t>
      </w:r>
      <w:r w:rsidRPr="00FA1985">
        <w:t>3).</w:t>
      </w:r>
    </w:p>
    <w:p w14:paraId="6D66210E" w14:textId="77777777" w:rsidR="00124241" w:rsidRDefault="00124241" w:rsidP="00124241"/>
    <w:p w14:paraId="020F025D" w14:textId="77777777" w:rsidR="007179EA" w:rsidRPr="00124241" w:rsidRDefault="007179EA" w:rsidP="00124241">
      <w:r w:rsidRPr="002414F8">
        <w:t>We note that these population groups are not homogenous and there is diversity within each of them. There is also significant crossover in these groups, for example, Māori and Pacific populations are youthful, more likely to have low incomes and disproportionately experience gambling harm. Disability is also associated with lower incomes. Some submissions questioned why we had not identified other groups. The priority groups are those based on research evidence; to identify where to focus services, however, we expect services to be accessible and responsive to address gambling harm related needs of anyone who needs them.</w:t>
      </w:r>
    </w:p>
    <w:p w14:paraId="14DA4909" w14:textId="77777777" w:rsidR="007179EA" w:rsidRPr="00BB1771" w:rsidRDefault="007179EA" w:rsidP="00124241"/>
    <w:p w14:paraId="153087EF" w14:textId="77777777" w:rsidR="00124241" w:rsidRDefault="00124241" w:rsidP="00124241">
      <w:pPr>
        <w:pStyle w:val="Figure"/>
        <w:sectPr w:rsidR="00124241" w:rsidSect="00466303">
          <w:footerReference w:type="even" r:id="rId24"/>
          <w:footerReference w:type="default" r:id="rId25"/>
          <w:pgSz w:w="11907" w:h="16834" w:code="9"/>
          <w:pgMar w:top="1418" w:right="1701" w:bottom="1134" w:left="1843" w:header="284" w:footer="425" w:gutter="284"/>
          <w:pgNumType w:start="1"/>
          <w:cols w:space="720"/>
          <w:docGrid w:linePitch="286"/>
        </w:sectPr>
      </w:pPr>
      <w:bookmarkStart w:id="125" w:name="_Ref80803188"/>
      <w:bookmarkStart w:id="126" w:name="_Toc88575016"/>
      <w:bookmarkStart w:id="127" w:name="_Toc89335316"/>
    </w:p>
    <w:p w14:paraId="01DBA602" w14:textId="7AF2256F" w:rsidR="007179EA" w:rsidRDefault="007179EA" w:rsidP="006B7CFD">
      <w:pPr>
        <w:pStyle w:val="Figure"/>
        <w:spacing w:before="0"/>
      </w:pPr>
      <w:bookmarkStart w:id="128" w:name="_Ref90628942"/>
      <w:bookmarkStart w:id="129" w:name="_Toc90626997"/>
      <w:r>
        <w:lastRenderedPageBreak/>
        <w:t>Figure </w:t>
      </w:r>
      <w:fldSimple w:instr=" SEQ Figure \* ARABIC ">
        <w:r w:rsidR="00451900">
          <w:rPr>
            <w:noProof/>
          </w:rPr>
          <w:t>4</w:t>
        </w:r>
      </w:fldSimple>
      <w:bookmarkEnd w:id="125"/>
      <w:bookmarkEnd w:id="128"/>
      <w:r w:rsidRPr="008810A4">
        <w:t xml:space="preserve">: Draft </w:t>
      </w:r>
      <w:r>
        <w:t>s</w:t>
      </w:r>
      <w:r w:rsidRPr="008810A4">
        <w:t xml:space="preserve">trategic </w:t>
      </w:r>
      <w:r>
        <w:t>f</w:t>
      </w:r>
      <w:r w:rsidRPr="008810A4">
        <w:t>ramework</w:t>
      </w:r>
      <w:r>
        <w:t xml:space="preserve"> outcomes and objectives</w:t>
      </w:r>
      <w:bookmarkEnd w:id="126"/>
      <w:bookmarkEnd w:id="127"/>
      <w:bookmarkEnd w:id="129"/>
    </w:p>
    <w:tbl>
      <w:tblPr>
        <w:tblW w:w="14601" w:type="dxa"/>
        <w:tblInd w:w="57" w:type="dxa"/>
        <w:tblLayout w:type="fixed"/>
        <w:tblCellMar>
          <w:left w:w="57" w:type="dxa"/>
          <w:right w:w="57" w:type="dxa"/>
        </w:tblCellMar>
        <w:tblLook w:val="04A0" w:firstRow="1" w:lastRow="0" w:firstColumn="1" w:lastColumn="0" w:noHBand="0" w:noVBand="1"/>
      </w:tblPr>
      <w:tblGrid>
        <w:gridCol w:w="1985"/>
        <w:gridCol w:w="3154"/>
        <w:gridCol w:w="3154"/>
        <w:gridCol w:w="60"/>
        <w:gridCol w:w="3214"/>
        <w:gridCol w:w="3034"/>
      </w:tblGrid>
      <w:tr w:rsidR="007179EA" w:rsidRPr="00070816" w14:paraId="54CE3E34" w14:textId="77777777" w:rsidTr="000E2F82">
        <w:trPr>
          <w:cantSplit/>
        </w:trPr>
        <w:tc>
          <w:tcPr>
            <w:tcW w:w="14601" w:type="dxa"/>
            <w:gridSpan w:val="6"/>
            <w:shd w:val="clear" w:color="auto" w:fill="D9D9D9" w:themeFill="background1" w:themeFillShade="D9"/>
          </w:tcPr>
          <w:p w14:paraId="627C4775" w14:textId="77777777" w:rsidR="007179EA" w:rsidRPr="00070816" w:rsidRDefault="007179EA" w:rsidP="005B24AB">
            <w:pPr>
              <w:pStyle w:val="TableText"/>
              <w:jc w:val="center"/>
              <w:rPr>
                <w:b/>
              </w:rPr>
            </w:pPr>
            <w:r w:rsidRPr="00070816">
              <w:rPr>
                <w:b/>
              </w:rPr>
              <w:t xml:space="preserve">Population outcome: </w:t>
            </w:r>
            <w:r w:rsidR="00046A83">
              <w:rPr>
                <w:b/>
              </w:rPr>
              <w:t>pae ora</w:t>
            </w:r>
            <w:r w:rsidRPr="00070816">
              <w:rPr>
                <w:b/>
              </w:rPr>
              <w:t xml:space="preserve"> – healthy futures</w:t>
            </w:r>
            <w:r>
              <w:rPr>
                <w:b/>
              </w:rPr>
              <w:t xml:space="preserve"> for M</w:t>
            </w:r>
            <w:r>
              <w:rPr>
                <w:rFonts w:cs="Segoe UI"/>
                <w:b/>
              </w:rPr>
              <w:t>ā</w:t>
            </w:r>
            <w:r>
              <w:rPr>
                <w:b/>
              </w:rPr>
              <w:t>ori and all New Zealanders</w:t>
            </w:r>
          </w:p>
        </w:tc>
      </w:tr>
      <w:tr w:rsidR="007179EA" w:rsidRPr="00C84D9A" w14:paraId="35AC5860" w14:textId="77777777" w:rsidTr="000E2F82">
        <w:trPr>
          <w:cantSplit/>
        </w:trPr>
        <w:tc>
          <w:tcPr>
            <w:tcW w:w="1985" w:type="dxa"/>
            <w:tcBorders>
              <w:bottom w:val="single" w:sz="4" w:space="0" w:color="FFFFFF" w:themeColor="background1"/>
            </w:tcBorders>
            <w:shd w:val="clear" w:color="auto" w:fill="F2F2F2" w:themeFill="background1" w:themeFillShade="F2"/>
          </w:tcPr>
          <w:p w14:paraId="0735348D" w14:textId="77777777" w:rsidR="007179EA" w:rsidRDefault="007179EA" w:rsidP="005B24AB">
            <w:pPr>
              <w:pStyle w:val="TableText"/>
              <w:rPr>
                <w:b/>
              </w:rPr>
            </w:pPr>
          </w:p>
        </w:tc>
        <w:tc>
          <w:tcPr>
            <w:tcW w:w="12616" w:type="dxa"/>
            <w:gridSpan w:val="5"/>
            <w:tcBorders>
              <w:bottom w:val="single" w:sz="4" w:space="0" w:color="FFFFFF" w:themeColor="background1"/>
            </w:tcBorders>
            <w:shd w:val="clear" w:color="auto" w:fill="F2F2F2" w:themeFill="background1" w:themeFillShade="F2"/>
          </w:tcPr>
          <w:p w14:paraId="1F2DA8AB" w14:textId="77777777" w:rsidR="007179EA" w:rsidRPr="00070816" w:rsidRDefault="007179EA" w:rsidP="005B24AB">
            <w:pPr>
              <w:pStyle w:val="TableText"/>
              <w:spacing w:after="30"/>
              <w:jc w:val="center"/>
              <w:rPr>
                <w:b/>
                <w:i/>
                <w:iCs/>
              </w:rPr>
            </w:pPr>
            <w:r w:rsidRPr="00070816">
              <w:rPr>
                <w:b/>
              </w:rPr>
              <w:t>Strategic goal:</w:t>
            </w:r>
            <w:r>
              <w:rPr>
                <w:b/>
              </w:rPr>
              <w:t xml:space="preserve"> To p</w:t>
            </w:r>
            <w:r w:rsidRPr="00070816">
              <w:rPr>
                <w:b/>
              </w:rPr>
              <w:t>romot</w:t>
            </w:r>
            <w:r>
              <w:rPr>
                <w:b/>
              </w:rPr>
              <w:t>e</w:t>
            </w:r>
            <w:r w:rsidRPr="00070816">
              <w:rPr>
                <w:b/>
              </w:rPr>
              <w:t xml:space="preserve"> equity and wellbeing by preventing and reducing gambling-related harm</w:t>
            </w:r>
          </w:p>
        </w:tc>
      </w:tr>
      <w:tr w:rsidR="007179EA" w:rsidRPr="00C84D9A" w14:paraId="276414DF" w14:textId="77777777" w:rsidTr="000E2F82">
        <w:trPr>
          <w:cantSplit/>
        </w:trPr>
        <w:tc>
          <w:tcPr>
            <w:tcW w:w="1985" w:type="dxa"/>
            <w:vMerge w:val="restart"/>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2FC733D1" w14:textId="77777777" w:rsidR="007179EA" w:rsidRPr="003165E6" w:rsidRDefault="007179EA" w:rsidP="006B7CFD">
            <w:pPr>
              <w:pStyle w:val="TableText"/>
              <w:rPr>
                <w:b/>
                <w:szCs w:val="18"/>
              </w:rPr>
            </w:pPr>
            <w:r w:rsidRPr="003165E6">
              <w:rPr>
                <w:b/>
                <w:szCs w:val="18"/>
              </w:rPr>
              <w:t>Objectives for the PMGH strategy</w:t>
            </w:r>
          </w:p>
        </w:tc>
        <w:tc>
          <w:tcPr>
            <w:tcW w:w="12616" w:type="dxa"/>
            <w:gridSpan w:val="5"/>
            <w:tcBorders>
              <w:top w:val="single" w:sz="4" w:space="0" w:color="FFFFFF" w:themeColor="background1"/>
              <w:left w:val="single" w:sz="4" w:space="0" w:color="A6A6A6" w:themeColor="background1" w:themeShade="A6"/>
            </w:tcBorders>
            <w:shd w:val="clear" w:color="auto" w:fill="F2F2F2" w:themeFill="background1" w:themeFillShade="F2"/>
          </w:tcPr>
          <w:p w14:paraId="081BA3B5" w14:textId="77777777" w:rsidR="007179EA" w:rsidRPr="003165E6" w:rsidRDefault="007179EA" w:rsidP="005B24AB">
            <w:pPr>
              <w:pStyle w:val="TableText"/>
              <w:spacing w:after="30"/>
              <w:jc w:val="center"/>
              <w:rPr>
                <w:b/>
                <w:szCs w:val="18"/>
              </w:rPr>
            </w:pPr>
            <w:r w:rsidRPr="003165E6">
              <w:rPr>
                <w:b/>
                <w:i/>
                <w:iCs/>
                <w:szCs w:val="18"/>
              </w:rPr>
              <w:t>Whakamaua</w:t>
            </w:r>
            <w:r w:rsidRPr="003165E6">
              <w:rPr>
                <w:b/>
                <w:szCs w:val="18"/>
              </w:rPr>
              <w:t xml:space="preserve"> health and disability system outcomes</w:t>
            </w:r>
            <w:r w:rsidRPr="000E2F82">
              <w:rPr>
                <w:szCs w:val="18"/>
              </w:rPr>
              <w:t xml:space="preserve"> [</w:t>
            </w:r>
            <w:r w:rsidRPr="00353494">
              <w:rPr>
                <w:bCs/>
                <w:szCs w:val="18"/>
              </w:rPr>
              <w:t>adapted for gambling harm</w:t>
            </w:r>
            <w:r w:rsidRPr="000E2F82">
              <w:rPr>
                <w:szCs w:val="18"/>
              </w:rPr>
              <w:t>]</w:t>
            </w:r>
          </w:p>
        </w:tc>
      </w:tr>
      <w:tr w:rsidR="007179EA" w:rsidRPr="00F44432" w14:paraId="67118DF0" w14:textId="77777777" w:rsidTr="000E2F82">
        <w:trPr>
          <w:cantSplit/>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58178BE" w14:textId="77777777" w:rsidR="007179EA" w:rsidRPr="003165E6" w:rsidRDefault="007179EA" w:rsidP="005B24AB">
            <w:pPr>
              <w:pStyle w:val="TableText"/>
              <w:rPr>
                <w:szCs w:val="18"/>
              </w:rPr>
            </w:pPr>
          </w:p>
        </w:tc>
        <w:tc>
          <w:tcPr>
            <w:tcW w:w="315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01E0AD" w14:textId="77777777" w:rsidR="007179EA" w:rsidRPr="003165E6" w:rsidRDefault="007179EA" w:rsidP="005B24AB">
            <w:pPr>
              <w:pStyle w:val="TableText"/>
              <w:spacing w:before="30"/>
              <w:jc w:val="center"/>
              <w:rPr>
                <w:color w:val="000000"/>
                <w:szCs w:val="18"/>
              </w:rPr>
            </w:pPr>
            <w:r w:rsidRPr="003165E6">
              <w:rPr>
                <w:color w:val="000000"/>
                <w:szCs w:val="18"/>
              </w:rPr>
              <w:t>Māori and all communities in Aotearoa New Zealand can exercise their authority to improve their health and wellbeing.</w:t>
            </w:r>
          </w:p>
        </w:tc>
        <w:tc>
          <w:tcPr>
            <w:tcW w:w="315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15038C" w14:textId="77777777" w:rsidR="007179EA" w:rsidRPr="003165E6" w:rsidRDefault="007179EA" w:rsidP="005B24AB">
            <w:pPr>
              <w:pStyle w:val="TableText"/>
              <w:spacing w:before="30"/>
              <w:jc w:val="center"/>
              <w:rPr>
                <w:szCs w:val="18"/>
              </w:rPr>
            </w:pPr>
            <w:r w:rsidRPr="003165E6">
              <w:rPr>
                <w:color w:val="000000"/>
                <w:szCs w:val="18"/>
              </w:rPr>
              <w:t>The health and disability system and wider system to prevent and minimise gambling harm is fair and sustainable and delivers more equitable outcomes for all.</w:t>
            </w:r>
          </w:p>
        </w:tc>
        <w:tc>
          <w:tcPr>
            <w:tcW w:w="3274"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335DC44" w14:textId="77777777" w:rsidR="007179EA" w:rsidRPr="003165E6" w:rsidRDefault="007179EA" w:rsidP="005B24AB">
            <w:pPr>
              <w:pStyle w:val="TableText"/>
              <w:spacing w:before="30"/>
              <w:jc w:val="center"/>
              <w:rPr>
                <w:szCs w:val="18"/>
              </w:rPr>
            </w:pPr>
            <w:r w:rsidRPr="003165E6">
              <w:rPr>
                <w:color w:val="000000"/>
                <w:szCs w:val="18"/>
              </w:rPr>
              <w:t>The health and disability system and wider system to prevent and minimise gambling harm addresses racism and discrimination in all their forms.</w:t>
            </w:r>
          </w:p>
        </w:tc>
        <w:tc>
          <w:tcPr>
            <w:tcW w:w="3034" w:type="dxa"/>
            <w:tcBorders>
              <w:left w:val="single" w:sz="4" w:space="0" w:color="A6A6A6" w:themeColor="background1" w:themeShade="A6"/>
              <w:bottom w:val="single" w:sz="4" w:space="0" w:color="A6A6A6" w:themeColor="background1" w:themeShade="A6"/>
            </w:tcBorders>
            <w:shd w:val="clear" w:color="auto" w:fill="F2F2F2" w:themeFill="background1" w:themeFillShade="F2"/>
          </w:tcPr>
          <w:p w14:paraId="644FDE57" w14:textId="77777777" w:rsidR="007179EA" w:rsidRPr="003165E6" w:rsidRDefault="007179EA" w:rsidP="005B24AB">
            <w:pPr>
              <w:pStyle w:val="TableText"/>
              <w:spacing w:before="30"/>
              <w:jc w:val="center"/>
              <w:rPr>
                <w:szCs w:val="18"/>
              </w:rPr>
            </w:pPr>
            <w:r w:rsidRPr="003165E6">
              <w:rPr>
                <w:color w:val="000000"/>
                <w:szCs w:val="18"/>
              </w:rPr>
              <w:t>The inclusion and protection of mātauranga Māori throughout the health and disability system.</w:t>
            </w:r>
          </w:p>
        </w:tc>
      </w:tr>
      <w:tr w:rsidR="007179EA" w:rsidRPr="00C84D9A" w14:paraId="78E4DCE8" w14:textId="77777777" w:rsidTr="000E2F82">
        <w:trPr>
          <w:cantSplit/>
          <w:trHeight w:val="78"/>
        </w:trPr>
        <w:tc>
          <w:tcPr>
            <w:tcW w:w="1985" w:type="dxa"/>
            <w:vMerge w:val="restart"/>
            <w:tcBorders>
              <w:top w:val="single" w:sz="4" w:space="0" w:color="A6A6A6" w:themeColor="background1" w:themeShade="A6"/>
              <w:bottom w:val="single" w:sz="4" w:space="0" w:color="FFFFFF" w:themeColor="background1"/>
              <w:right w:val="single" w:sz="4" w:space="0" w:color="A6A6A6" w:themeColor="background1" w:themeShade="A6"/>
            </w:tcBorders>
            <w:vAlign w:val="center"/>
          </w:tcPr>
          <w:p w14:paraId="277F2454" w14:textId="77777777" w:rsidR="007179EA" w:rsidRPr="003165E6" w:rsidRDefault="007179EA" w:rsidP="005B24AB">
            <w:pPr>
              <w:pStyle w:val="TableText"/>
              <w:rPr>
                <w:szCs w:val="18"/>
              </w:rPr>
            </w:pPr>
            <w:r>
              <w:rPr>
                <w:szCs w:val="18"/>
              </w:rPr>
              <w:t xml:space="preserve">1. </w:t>
            </w:r>
            <w:r w:rsidRPr="003165E6">
              <w:rPr>
                <w:szCs w:val="18"/>
              </w:rPr>
              <w:t>Create a full spectrum of services and supports</w:t>
            </w:r>
          </w:p>
        </w:tc>
        <w:tc>
          <w:tcPr>
            <w:tcW w:w="9582" w:type="dxa"/>
            <w:gridSpan w:val="4"/>
            <w:tcBorders>
              <w:top w:val="single" w:sz="4" w:space="0" w:color="A6A6A6" w:themeColor="background1" w:themeShade="A6"/>
              <w:left w:val="single" w:sz="4" w:space="0" w:color="A6A6A6" w:themeColor="background1" w:themeShade="A6"/>
              <w:bottom w:val="single" w:sz="4" w:space="0" w:color="FFFFFF" w:themeColor="background1"/>
            </w:tcBorders>
            <w:shd w:val="clear" w:color="auto" w:fill="009CDE"/>
          </w:tcPr>
          <w:p w14:paraId="53A172D2" w14:textId="77777777" w:rsidR="007179EA" w:rsidRPr="003165E6" w:rsidRDefault="007179EA" w:rsidP="005B24AB">
            <w:pPr>
              <w:pStyle w:val="TableText"/>
              <w:jc w:val="center"/>
              <w:rPr>
                <w:color w:val="FFFFFF" w:themeColor="background1"/>
                <w:szCs w:val="18"/>
              </w:rPr>
            </w:pPr>
            <w:r w:rsidRPr="003165E6">
              <w:rPr>
                <w:color w:val="FFFFFF" w:themeColor="background1"/>
                <w:szCs w:val="18"/>
              </w:rPr>
              <w:t>Identify barriers to accessing gambling-harm minimisation services and supports (including identifying gaps)</w:t>
            </w:r>
          </w:p>
        </w:tc>
        <w:tc>
          <w:tcPr>
            <w:tcW w:w="3034" w:type="dxa"/>
            <w:tcBorders>
              <w:top w:val="single" w:sz="4" w:space="0" w:color="A6A6A6" w:themeColor="background1" w:themeShade="A6"/>
              <w:left w:val="nil"/>
              <w:bottom w:val="single" w:sz="4" w:space="0" w:color="FFFFFF" w:themeColor="background1"/>
            </w:tcBorders>
            <w:shd w:val="clear" w:color="auto" w:fill="auto"/>
          </w:tcPr>
          <w:p w14:paraId="73BEC6FD" w14:textId="77777777" w:rsidR="007179EA" w:rsidRPr="003165E6" w:rsidRDefault="007179EA" w:rsidP="005B24AB">
            <w:pPr>
              <w:pStyle w:val="TableText"/>
              <w:jc w:val="center"/>
              <w:rPr>
                <w:szCs w:val="18"/>
              </w:rPr>
            </w:pPr>
          </w:p>
        </w:tc>
      </w:tr>
      <w:tr w:rsidR="007179EA" w:rsidRPr="00C84D9A" w14:paraId="38C072FB" w14:textId="77777777" w:rsidTr="000E2F82">
        <w:trPr>
          <w:cantSplit/>
          <w:trHeight w:val="368"/>
        </w:trPr>
        <w:tc>
          <w:tcPr>
            <w:tcW w:w="1985" w:type="dxa"/>
            <w:vMerge/>
            <w:tcBorders>
              <w:top w:val="single" w:sz="4" w:space="0" w:color="FFFFFF" w:themeColor="background1"/>
              <w:bottom w:val="single" w:sz="4" w:space="0" w:color="FFFFFF" w:themeColor="background1"/>
              <w:right w:val="single" w:sz="4" w:space="0" w:color="A6A6A6" w:themeColor="background1" w:themeShade="A6"/>
            </w:tcBorders>
            <w:vAlign w:val="center"/>
          </w:tcPr>
          <w:p w14:paraId="7EFB9A00" w14:textId="77777777" w:rsidR="007179EA" w:rsidRPr="003165E6" w:rsidRDefault="007179EA" w:rsidP="005B24AB">
            <w:pPr>
              <w:pStyle w:val="TableText"/>
              <w:rPr>
                <w:szCs w:val="18"/>
              </w:rPr>
            </w:pPr>
          </w:p>
        </w:tc>
        <w:tc>
          <w:tcPr>
            <w:tcW w:w="12616" w:type="dxa"/>
            <w:gridSpan w:val="5"/>
            <w:tcBorders>
              <w:top w:val="single" w:sz="4" w:space="0" w:color="FFFFFF" w:themeColor="background1"/>
              <w:left w:val="single" w:sz="4" w:space="0" w:color="A6A6A6" w:themeColor="background1" w:themeShade="A6"/>
              <w:bottom w:val="single" w:sz="4" w:space="0" w:color="FFFFFF" w:themeColor="background1"/>
            </w:tcBorders>
            <w:shd w:val="clear" w:color="auto" w:fill="009CDE"/>
          </w:tcPr>
          <w:p w14:paraId="154FFD98" w14:textId="77777777" w:rsidR="007179EA" w:rsidRPr="003165E6" w:rsidRDefault="007179EA" w:rsidP="005B24AB">
            <w:pPr>
              <w:pStyle w:val="TableText"/>
              <w:jc w:val="center"/>
              <w:rPr>
                <w:color w:val="FFFFFF" w:themeColor="background1"/>
                <w:szCs w:val="18"/>
              </w:rPr>
            </w:pPr>
            <w:r w:rsidRPr="003165E6">
              <w:rPr>
                <w:color w:val="FFFFFF" w:themeColor="background1"/>
                <w:szCs w:val="18"/>
              </w:rPr>
              <w:t>Design and deliver quality gambling-harm min</w:t>
            </w:r>
            <w:r w:rsidR="006B7CFD">
              <w:rPr>
                <w:color w:val="FFFFFF" w:themeColor="background1"/>
                <w:szCs w:val="18"/>
              </w:rPr>
              <w:t>imisation services and supports</w:t>
            </w:r>
          </w:p>
        </w:tc>
      </w:tr>
      <w:tr w:rsidR="007179EA" w:rsidRPr="00C84D9A" w14:paraId="24EDF04C" w14:textId="77777777" w:rsidTr="000E2F82">
        <w:trPr>
          <w:cantSplit/>
          <w:trHeight w:val="367"/>
        </w:trPr>
        <w:tc>
          <w:tcPr>
            <w:tcW w:w="1985" w:type="dxa"/>
            <w:vMerge/>
            <w:tcBorders>
              <w:top w:val="single" w:sz="4" w:space="0" w:color="FFFFFF" w:themeColor="background1"/>
              <w:bottom w:val="single" w:sz="4" w:space="0" w:color="A6A6A6" w:themeColor="background1" w:themeShade="A6"/>
              <w:right w:val="single" w:sz="4" w:space="0" w:color="A6A6A6" w:themeColor="background1" w:themeShade="A6"/>
            </w:tcBorders>
            <w:vAlign w:val="center"/>
          </w:tcPr>
          <w:p w14:paraId="4A07DAF4" w14:textId="77777777" w:rsidR="007179EA" w:rsidRPr="003165E6" w:rsidRDefault="007179EA" w:rsidP="005B24AB">
            <w:pPr>
              <w:pStyle w:val="TableText"/>
              <w:rPr>
                <w:szCs w:val="18"/>
              </w:rPr>
            </w:pPr>
          </w:p>
        </w:tc>
        <w:tc>
          <w:tcPr>
            <w:tcW w:w="3154"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FFFFFF" w:themeFill="background1"/>
          </w:tcPr>
          <w:p w14:paraId="2A679F54" w14:textId="77777777" w:rsidR="007179EA" w:rsidRPr="003165E6" w:rsidDel="00917583" w:rsidRDefault="007179EA" w:rsidP="005B24AB">
            <w:pPr>
              <w:pStyle w:val="TableText"/>
              <w:jc w:val="center"/>
              <w:rPr>
                <w:color w:val="FFFFFF" w:themeColor="background1"/>
                <w:szCs w:val="18"/>
              </w:rPr>
            </w:pPr>
          </w:p>
        </w:tc>
        <w:tc>
          <w:tcPr>
            <w:tcW w:w="9462" w:type="dxa"/>
            <w:gridSpan w:val="4"/>
            <w:tcBorders>
              <w:top w:val="single" w:sz="4" w:space="0" w:color="FFFFFF" w:themeColor="background1"/>
              <w:bottom w:val="single" w:sz="4" w:space="0" w:color="A6A6A6" w:themeColor="background1" w:themeShade="A6"/>
            </w:tcBorders>
            <w:shd w:val="clear" w:color="auto" w:fill="009CDE"/>
          </w:tcPr>
          <w:p w14:paraId="64582770" w14:textId="77777777" w:rsidR="007179EA" w:rsidRPr="003165E6" w:rsidDel="00917583" w:rsidRDefault="007179EA" w:rsidP="006B7CFD">
            <w:pPr>
              <w:pStyle w:val="TableText"/>
              <w:jc w:val="center"/>
              <w:rPr>
                <w:color w:val="FFFFFF" w:themeColor="background1"/>
                <w:szCs w:val="18"/>
              </w:rPr>
            </w:pPr>
            <w:r w:rsidRPr="003165E6">
              <w:rPr>
                <w:color w:val="FFFFFF" w:themeColor="background1"/>
                <w:szCs w:val="18"/>
              </w:rPr>
              <w:t>Develop a skilled, enabled, culturally safe and responsive workforce</w:t>
            </w:r>
            <w:r w:rsidR="006B7CFD">
              <w:rPr>
                <w:color w:val="FFFFFF" w:themeColor="background1"/>
                <w:szCs w:val="18"/>
              </w:rPr>
              <w:br/>
            </w:r>
            <w:r w:rsidRPr="003165E6">
              <w:rPr>
                <w:color w:val="FFFFFF" w:themeColor="background1"/>
                <w:szCs w:val="18"/>
              </w:rPr>
              <w:t>that includes expertise from clinical and lived experience perspectives</w:t>
            </w:r>
          </w:p>
        </w:tc>
      </w:tr>
      <w:tr w:rsidR="007179EA" w:rsidRPr="00C84D9A" w14:paraId="1410C621" w14:textId="77777777" w:rsidTr="000E2F82">
        <w:trPr>
          <w:cantSplit/>
        </w:trPr>
        <w:tc>
          <w:tcPr>
            <w:tcW w:w="1985"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2849B5" w14:textId="77777777" w:rsidR="007179EA" w:rsidRPr="003165E6" w:rsidRDefault="007179EA" w:rsidP="005B24AB">
            <w:pPr>
              <w:pStyle w:val="TableText"/>
              <w:ind w:right="113"/>
              <w:rPr>
                <w:szCs w:val="18"/>
              </w:rPr>
            </w:pPr>
            <w:r>
              <w:rPr>
                <w:szCs w:val="18"/>
              </w:rPr>
              <w:t xml:space="preserve">2. </w:t>
            </w:r>
            <w:r w:rsidRPr="003165E6">
              <w:rPr>
                <w:szCs w:val="18"/>
              </w:rPr>
              <w:t>Shift cultural and social norms</w:t>
            </w:r>
          </w:p>
        </w:tc>
        <w:tc>
          <w:tcPr>
            <w:tcW w:w="6368" w:type="dxa"/>
            <w:gridSpan w:val="3"/>
            <w:tcBorders>
              <w:top w:val="single" w:sz="4" w:space="0" w:color="A6A6A6" w:themeColor="background1" w:themeShade="A6"/>
              <w:left w:val="single" w:sz="4" w:space="0" w:color="A6A6A6" w:themeColor="background1" w:themeShade="A6"/>
            </w:tcBorders>
            <w:shd w:val="clear" w:color="auto" w:fill="84A113"/>
          </w:tcPr>
          <w:p w14:paraId="3FA08423" w14:textId="77777777" w:rsidR="007179EA" w:rsidRPr="003165E6" w:rsidRDefault="007179EA" w:rsidP="005B24AB">
            <w:pPr>
              <w:pStyle w:val="TableText"/>
              <w:jc w:val="center"/>
              <w:rPr>
                <w:color w:val="FFFFFF" w:themeColor="background1"/>
                <w:szCs w:val="18"/>
              </w:rPr>
            </w:pPr>
            <w:r w:rsidRPr="003165E6">
              <w:rPr>
                <w:color w:val="FFFFFF" w:themeColor="background1"/>
                <w:szCs w:val="18"/>
              </w:rPr>
              <w:t>Ensure that people have the information and support</w:t>
            </w:r>
            <w:r w:rsidRPr="003165E6">
              <w:rPr>
                <w:color w:val="FFFFFF" w:themeColor="background1"/>
                <w:szCs w:val="18"/>
              </w:rPr>
              <w:br/>
              <w:t>to make healthy choices about gambling for both themselves and others</w:t>
            </w:r>
          </w:p>
        </w:tc>
        <w:tc>
          <w:tcPr>
            <w:tcW w:w="6248" w:type="dxa"/>
            <w:gridSpan w:val="2"/>
            <w:tcBorders>
              <w:top w:val="single" w:sz="4" w:space="0" w:color="A6A6A6" w:themeColor="background1" w:themeShade="A6"/>
            </w:tcBorders>
            <w:shd w:val="clear" w:color="auto" w:fill="auto"/>
          </w:tcPr>
          <w:p w14:paraId="0BFA1553" w14:textId="77777777" w:rsidR="007179EA" w:rsidRPr="003165E6" w:rsidRDefault="007179EA" w:rsidP="005B24AB">
            <w:pPr>
              <w:pStyle w:val="TableText"/>
              <w:jc w:val="center"/>
              <w:rPr>
                <w:szCs w:val="18"/>
              </w:rPr>
            </w:pPr>
          </w:p>
        </w:tc>
      </w:tr>
      <w:tr w:rsidR="007179EA" w:rsidRPr="00C84D9A" w14:paraId="32C81ECD" w14:textId="77777777" w:rsidTr="000E2F82">
        <w:trPr>
          <w:cantSplit/>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8DA392" w14:textId="77777777" w:rsidR="007179EA" w:rsidRPr="003165E6" w:rsidRDefault="007179EA" w:rsidP="005B24AB">
            <w:pPr>
              <w:pStyle w:val="TableText"/>
              <w:ind w:right="113"/>
              <w:rPr>
                <w:szCs w:val="18"/>
              </w:rPr>
            </w:pPr>
          </w:p>
        </w:tc>
        <w:tc>
          <w:tcPr>
            <w:tcW w:w="12616" w:type="dxa"/>
            <w:gridSpan w:val="5"/>
            <w:tcBorders>
              <w:left w:val="single" w:sz="4" w:space="0" w:color="A6A6A6" w:themeColor="background1" w:themeShade="A6"/>
            </w:tcBorders>
            <w:shd w:val="clear" w:color="auto" w:fill="FAB900"/>
          </w:tcPr>
          <w:p w14:paraId="6EC91218" w14:textId="77777777" w:rsidR="007179EA" w:rsidRPr="003165E6" w:rsidRDefault="007179EA" w:rsidP="005B24AB">
            <w:pPr>
              <w:pStyle w:val="TableText"/>
              <w:jc w:val="center"/>
              <w:rPr>
                <w:szCs w:val="18"/>
              </w:rPr>
            </w:pPr>
            <w:r>
              <w:t xml:space="preserve">Support people to participate effectively and </w:t>
            </w:r>
            <w:r w:rsidRPr="0003777A">
              <w:t>equitabl</w:t>
            </w:r>
            <w:r>
              <w:t>y</w:t>
            </w:r>
            <w:r w:rsidRPr="0003777A">
              <w:t xml:space="preserve"> in </w:t>
            </w:r>
            <w:r>
              <w:t xml:space="preserve">decisions about their </w:t>
            </w:r>
            <w:r w:rsidRPr="0003777A">
              <w:t>communit</w:t>
            </w:r>
            <w:r w:rsidR="006B7CFD">
              <w:t>ies</w:t>
            </w:r>
          </w:p>
        </w:tc>
      </w:tr>
      <w:tr w:rsidR="007179EA" w:rsidRPr="00C84D9A" w14:paraId="74BC1981" w14:textId="77777777" w:rsidTr="000E2F82">
        <w:trPr>
          <w:cantSplit/>
          <w:trHeight w:val="571"/>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27085" w14:textId="77777777" w:rsidR="007179EA" w:rsidRPr="003165E6" w:rsidRDefault="007179EA" w:rsidP="005B24AB">
            <w:pPr>
              <w:pStyle w:val="TableText"/>
              <w:ind w:right="113"/>
              <w:rPr>
                <w:szCs w:val="18"/>
              </w:rPr>
            </w:pPr>
          </w:p>
        </w:tc>
        <w:tc>
          <w:tcPr>
            <w:tcW w:w="3154" w:type="dxa"/>
            <w:tcBorders>
              <w:left w:val="single" w:sz="4" w:space="0" w:color="A6A6A6" w:themeColor="background1" w:themeShade="A6"/>
              <w:bottom w:val="single" w:sz="4" w:space="0" w:color="A6A6A6" w:themeColor="background1" w:themeShade="A6"/>
            </w:tcBorders>
            <w:shd w:val="clear" w:color="auto" w:fill="auto"/>
          </w:tcPr>
          <w:p w14:paraId="6FB3742F" w14:textId="77777777" w:rsidR="007179EA" w:rsidRPr="003165E6" w:rsidRDefault="007179EA" w:rsidP="005B24AB">
            <w:pPr>
              <w:pStyle w:val="TableText"/>
              <w:jc w:val="center"/>
              <w:rPr>
                <w:szCs w:val="18"/>
              </w:rPr>
            </w:pPr>
          </w:p>
        </w:tc>
        <w:tc>
          <w:tcPr>
            <w:tcW w:w="6428" w:type="dxa"/>
            <w:gridSpan w:val="3"/>
            <w:tcBorders>
              <w:bottom w:val="single" w:sz="4" w:space="0" w:color="A6A6A6" w:themeColor="background1" w:themeShade="A6"/>
            </w:tcBorders>
            <w:shd w:val="clear" w:color="auto" w:fill="84A113"/>
          </w:tcPr>
          <w:p w14:paraId="527D0F0E" w14:textId="77777777" w:rsidR="007179EA" w:rsidRPr="003165E6" w:rsidRDefault="007179EA" w:rsidP="006B7CFD">
            <w:pPr>
              <w:pStyle w:val="TableText"/>
              <w:jc w:val="center"/>
              <w:rPr>
                <w:color w:val="FFFFFF" w:themeColor="background1"/>
                <w:szCs w:val="18"/>
              </w:rPr>
            </w:pPr>
            <w:r w:rsidRPr="003165E6">
              <w:rPr>
                <w:color w:val="FFFFFF" w:themeColor="background1"/>
                <w:szCs w:val="18"/>
              </w:rPr>
              <w:t>Reduce the stigma attached to gambling harm that</w:t>
            </w:r>
            <w:r w:rsidR="006B7CFD">
              <w:rPr>
                <w:color w:val="FFFFFF" w:themeColor="background1"/>
                <w:szCs w:val="18"/>
              </w:rPr>
              <w:br/>
            </w:r>
            <w:r w:rsidRPr="003165E6">
              <w:rPr>
                <w:color w:val="FFFFFF" w:themeColor="background1"/>
                <w:szCs w:val="18"/>
              </w:rPr>
              <w:t>prevents people from accessing services and supports</w:t>
            </w:r>
          </w:p>
        </w:tc>
        <w:tc>
          <w:tcPr>
            <w:tcW w:w="3034" w:type="dxa"/>
            <w:tcBorders>
              <w:left w:val="nil"/>
              <w:bottom w:val="single" w:sz="4" w:space="0" w:color="A6A6A6" w:themeColor="background1" w:themeShade="A6"/>
            </w:tcBorders>
            <w:shd w:val="clear" w:color="auto" w:fill="auto"/>
          </w:tcPr>
          <w:p w14:paraId="22B78027" w14:textId="77777777" w:rsidR="007179EA" w:rsidRPr="003165E6" w:rsidRDefault="007179EA" w:rsidP="005B24AB">
            <w:pPr>
              <w:pStyle w:val="TableText"/>
              <w:jc w:val="center"/>
              <w:rPr>
                <w:szCs w:val="18"/>
              </w:rPr>
            </w:pPr>
          </w:p>
        </w:tc>
      </w:tr>
      <w:tr w:rsidR="007179EA" w:rsidRPr="00C84D9A" w14:paraId="1AA1DC6B" w14:textId="77777777" w:rsidTr="000E2F82">
        <w:trPr>
          <w:cantSplit/>
        </w:trPr>
        <w:tc>
          <w:tcPr>
            <w:tcW w:w="1985"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B52AF" w14:textId="77777777" w:rsidR="007179EA" w:rsidRPr="003165E6" w:rsidRDefault="007179EA" w:rsidP="005B24AB">
            <w:pPr>
              <w:pStyle w:val="TableText"/>
              <w:rPr>
                <w:szCs w:val="18"/>
              </w:rPr>
            </w:pPr>
            <w:r>
              <w:rPr>
                <w:szCs w:val="18"/>
              </w:rPr>
              <w:t xml:space="preserve">3. </w:t>
            </w:r>
            <w:r w:rsidRPr="003165E6">
              <w:rPr>
                <w:szCs w:val="18"/>
              </w:rPr>
              <w:t>Strengthen leadership and accountability to achieve equity</w:t>
            </w:r>
          </w:p>
        </w:tc>
        <w:tc>
          <w:tcPr>
            <w:tcW w:w="3154" w:type="dxa"/>
            <w:tcBorders>
              <w:top w:val="single" w:sz="4" w:space="0" w:color="A6A6A6" w:themeColor="background1" w:themeShade="A6"/>
              <w:left w:val="single" w:sz="4" w:space="0" w:color="A6A6A6" w:themeColor="background1" w:themeShade="A6"/>
            </w:tcBorders>
            <w:shd w:val="clear" w:color="auto" w:fill="auto"/>
          </w:tcPr>
          <w:p w14:paraId="6C100845" w14:textId="77777777" w:rsidR="007179EA" w:rsidRPr="003165E6" w:rsidRDefault="007179EA" w:rsidP="005B24AB">
            <w:pPr>
              <w:pStyle w:val="TableText"/>
              <w:jc w:val="center"/>
              <w:rPr>
                <w:color w:val="FFFFFF" w:themeColor="background1"/>
                <w:szCs w:val="18"/>
              </w:rPr>
            </w:pPr>
          </w:p>
        </w:tc>
        <w:tc>
          <w:tcPr>
            <w:tcW w:w="6428" w:type="dxa"/>
            <w:gridSpan w:val="3"/>
            <w:tcBorders>
              <w:top w:val="single" w:sz="4" w:space="0" w:color="A6A6A6" w:themeColor="background1" w:themeShade="A6"/>
            </w:tcBorders>
            <w:shd w:val="clear" w:color="auto" w:fill="FAB900"/>
          </w:tcPr>
          <w:p w14:paraId="3E1A3348" w14:textId="77777777" w:rsidR="007179EA" w:rsidRPr="003165E6" w:rsidRDefault="007179EA" w:rsidP="006B7CFD">
            <w:pPr>
              <w:pStyle w:val="TableText"/>
              <w:jc w:val="center"/>
              <w:rPr>
                <w:color w:val="FFFFFF" w:themeColor="background1"/>
                <w:szCs w:val="18"/>
              </w:rPr>
            </w:pPr>
            <w:r w:rsidRPr="006B7CFD">
              <w:rPr>
                <w:szCs w:val="18"/>
              </w:rPr>
              <w:t>Support healthy policies at national, regional and local levels that</w:t>
            </w:r>
            <w:r w:rsidR="006B7CFD" w:rsidRPr="006B7CFD">
              <w:rPr>
                <w:szCs w:val="18"/>
              </w:rPr>
              <w:br/>
            </w:r>
            <w:r w:rsidRPr="006B7CFD">
              <w:rPr>
                <w:szCs w:val="18"/>
              </w:rPr>
              <w:t>prevent and minimise gambling harm</w:t>
            </w:r>
          </w:p>
        </w:tc>
        <w:tc>
          <w:tcPr>
            <w:tcW w:w="3034" w:type="dxa"/>
            <w:tcBorders>
              <w:top w:val="single" w:sz="4" w:space="0" w:color="A6A6A6" w:themeColor="background1" w:themeShade="A6"/>
            </w:tcBorders>
            <w:shd w:val="clear" w:color="auto" w:fill="auto"/>
          </w:tcPr>
          <w:p w14:paraId="0E2E2082" w14:textId="77777777" w:rsidR="007179EA" w:rsidRPr="003165E6" w:rsidRDefault="007179EA" w:rsidP="005B24AB">
            <w:pPr>
              <w:pStyle w:val="TableText"/>
              <w:jc w:val="center"/>
              <w:rPr>
                <w:szCs w:val="18"/>
              </w:rPr>
            </w:pPr>
          </w:p>
        </w:tc>
      </w:tr>
      <w:tr w:rsidR="007179EA" w:rsidRPr="00C84D9A" w14:paraId="4C6655AC" w14:textId="77777777" w:rsidTr="000E2F82">
        <w:trPr>
          <w:cantSplit/>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91A965" w14:textId="77777777" w:rsidR="007179EA" w:rsidRPr="003165E6" w:rsidRDefault="007179EA" w:rsidP="005B24AB">
            <w:pPr>
              <w:pStyle w:val="TableText"/>
              <w:rPr>
                <w:szCs w:val="18"/>
              </w:rPr>
            </w:pPr>
          </w:p>
        </w:tc>
        <w:tc>
          <w:tcPr>
            <w:tcW w:w="3154" w:type="dxa"/>
            <w:tcBorders>
              <w:left w:val="single" w:sz="4" w:space="0" w:color="A6A6A6" w:themeColor="background1" w:themeShade="A6"/>
              <w:bottom w:val="single" w:sz="4" w:space="0" w:color="A6A6A6" w:themeColor="background1" w:themeShade="A6"/>
              <w:right w:val="single" w:sz="4" w:space="0" w:color="FFFFFF" w:themeColor="background1"/>
            </w:tcBorders>
            <w:shd w:val="clear" w:color="auto" w:fill="F18700"/>
          </w:tcPr>
          <w:p w14:paraId="451C6E31" w14:textId="77777777" w:rsidR="007179EA" w:rsidRPr="003165E6" w:rsidRDefault="007179EA" w:rsidP="005B24AB">
            <w:pPr>
              <w:pStyle w:val="TableText"/>
              <w:jc w:val="center"/>
              <w:rPr>
                <w:color w:val="FFFFFF" w:themeColor="background1"/>
                <w:szCs w:val="18"/>
              </w:rPr>
            </w:pPr>
            <w:r w:rsidRPr="003165E6">
              <w:rPr>
                <w:color w:val="FFFFFF" w:themeColor="background1"/>
                <w:szCs w:val="18"/>
              </w:rPr>
              <w:t>Identify improvements to the legislative and regulatory framework to reduce gambling-related harm</w:t>
            </w:r>
          </w:p>
        </w:tc>
        <w:tc>
          <w:tcPr>
            <w:tcW w:w="6428" w:type="dxa"/>
            <w:gridSpan w:val="3"/>
            <w:tcBorders>
              <w:left w:val="single" w:sz="4" w:space="0" w:color="FFFFFF" w:themeColor="background1"/>
              <w:bottom w:val="single" w:sz="4" w:space="0" w:color="A6A6A6" w:themeColor="background1" w:themeShade="A6"/>
            </w:tcBorders>
            <w:shd w:val="clear" w:color="auto" w:fill="F18700"/>
          </w:tcPr>
          <w:p w14:paraId="6EBC3A38" w14:textId="77777777" w:rsidR="007179EA" w:rsidRPr="003165E6" w:rsidRDefault="007179EA" w:rsidP="005B24AB">
            <w:pPr>
              <w:pStyle w:val="TableText"/>
              <w:jc w:val="center"/>
              <w:rPr>
                <w:color w:val="FFFFFF" w:themeColor="background1"/>
                <w:szCs w:val="18"/>
              </w:rPr>
            </w:pPr>
            <w:r w:rsidRPr="004F5DE8">
              <w:rPr>
                <w:color w:val="FFFFFF" w:themeColor="background1"/>
                <w:szCs w:val="18"/>
              </w:rPr>
              <w:t>Ensure gambling operators are effectively preventing and minimising harm from gambling and support the improvement of harm minimisation practices</w:t>
            </w:r>
          </w:p>
        </w:tc>
        <w:tc>
          <w:tcPr>
            <w:tcW w:w="3034" w:type="dxa"/>
            <w:tcBorders>
              <w:bottom w:val="single" w:sz="4" w:space="0" w:color="A6A6A6" w:themeColor="background1" w:themeShade="A6"/>
            </w:tcBorders>
            <w:shd w:val="clear" w:color="auto" w:fill="auto"/>
          </w:tcPr>
          <w:p w14:paraId="4612702D" w14:textId="77777777" w:rsidR="007179EA" w:rsidRPr="003165E6" w:rsidRDefault="007179EA" w:rsidP="005B24AB">
            <w:pPr>
              <w:pStyle w:val="TableText"/>
              <w:jc w:val="center"/>
              <w:rPr>
                <w:szCs w:val="18"/>
              </w:rPr>
            </w:pPr>
          </w:p>
        </w:tc>
      </w:tr>
      <w:tr w:rsidR="007179EA" w:rsidRPr="00C84D9A" w14:paraId="4DCA8909" w14:textId="77777777" w:rsidTr="000E2F82">
        <w:trPr>
          <w:cantSplit/>
        </w:trPr>
        <w:tc>
          <w:tcPr>
            <w:tcW w:w="1985"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F193D6" w14:textId="77777777" w:rsidR="007179EA" w:rsidRPr="003165E6" w:rsidRDefault="007179EA" w:rsidP="005B24AB">
            <w:pPr>
              <w:pStyle w:val="TableText"/>
              <w:rPr>
                <w:szCs w:val="18"/>
              </w:rPr>
            </w:pPr>
            <w:r>
              <w:rPr>
                <w:szCs w:val="18"/>
              </w:rPr>
              <w:t xml:space="preserve">4. </w:t>
            </w:r>
            <w:r w:rsidRPr="003165E6">
              <w:rPr>
                <w:szCs w:val="18"/>
              </w:rPr>
              <w:t>Strengthen the health and health equity of Māori, Pacific peoples, Asian peoples and young people / rangatahi</w:t>
            </w:r>
          </w:p>
        </w:tc>
        <w:tc>
          <w:tcPr>
            <w:tcW w:w="12616" w:type="dxa"/>
            <w:gridSpan w:val="5"/>
            <w:tcBorders>
              <w:top w:val="single" w:sz="4" w:space="0" w:color="A6A6A6" w:themeColor="background1" w:themeShade="A6"/>
              <w:left w:val="single" w:sz="4" w:space="0" w:color="A6A6A6" w:themeColor="background1" w:themeShade="A6"/>
              <w:bottom w:val="single" w:sz="4" w:space="0" w:color="FFFFFF" w:themeColor="background1"/>
            </w:tcBorders>
            <w:shd w:val="clear" w:color="auto" w:fill="009CDE"/>
          </w:tcPr>
          <w:p w14:paraId="2AC11EE2" w14:textId="77777777" w:rsidR="007179EA" w:rsidRPr="003165E6" w:rsidRDefault="007179EA" w:rsidP="005B24AB">
            <w:pPr>
              <w:pStyle w:val="TableText"/>
              <w:jc w:val="center"/>
              <w:rPr>
                <w:color w:val="FFFFFF" w:themeColor="background1"/>
                <w:szCs w:val="18"/>
              </w:rPr>
            </w:pPr>
            <w:r w:rsidRPr="003165E6">
              <w:rPr>
                <w:color w:val="FFFFFF" w:themeColor="background1"/>
                <w:szCs w:val="18"/>
              </w:rPr>
              <w:t>Collaborate and co-design with iwi and other Māori organisations; Pacific and Asian communities; young people / rangatahi; and people with lived experience of gambling harm to prevent and minimise gambling harm</w:t>
            </w:r>
          </w:p>
        </w:tc>
      </w:tr>
      <w:tr w:rsidR="007179EA" w:rsidRPr="00C84D9A" w14:paraId="07FE30E4" w14:textId="77777777" w:rsidTr="00401790">
        <w:trPr>
          <w:cantSplit/>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7FC4D" w14:textId="77777777" w:rsidR="007179EA" w:rsidRPr="003165E6" w:rsidRDefault="007179EA" w:rsidP="005B24AB">
            <w:pPr>
              <w:pStyle w:val="TableText"/>
              <w:rPr>
                <w:szCs w:val="18"/>
              </w:rPr>
            </w:pPr>
          </w:p>
        </w:tc>
        <w:tc>
          <w:tcPr>
            <w:tcW w:w="12616" w:type="dxa"/>
            <w:gridSpan w:val="5"/>
            <w:tcBorders>
              <w:top w:val="single" w:sz="4" w:space="0" w:color="FFFFFF" w:themeColor="background1"/>
              <w:left w:val="single" w:sz="4" w:space="0" w:color="A6A6A6" w:themeColor="background1" w:themeShade="A6"/>
              <w:bottom w:val="single" w:sz="4" w:space="0" w:color="FFFFFF" w:themeColor="background1"/>
            </w:tcBorders>
            <w:shd w:val="clear" w:color="auto" w:fill="009CDE"/>
          </w:tcPr>
          <w:p w14:paraId="5D97149A" w14:textId="77777777" w:rsidR="007179EA" w:rsidRPr="003165E6" w:rsidRDefault="007179EA" w:rsidP="005B24AB">
            <w:pPr>
              <w:pStyle w:val="TableText"/>
              <w:jc w:val="center"/>
              <w:rPr>
                <w:color w:val="FFFFFF" w:themeColor="background1"/>
                <w:szCs w:val="18"/>
              </w:rPr>
            </w:pPr>
            <w:r w:rsidRPr="003165E6">
              <w:rPr>
                <w:color w:val="FFFFFF" w:themeColor="background1"/>
                <w:szCs w:val="18"/>
              </w:rPr>
              <w:t>Enable the development of kaupapa Māori and gambling-harm prevention and minimisation services centred around the whānau</w:t>
            </w:r>
          </w:p>
        </w:tc>
      </w:tr>
      <w:tr w:rsidR="007179EA" w:rsidRPr="00C84D9A" w14:paraId="6B128535" w14:textId="77777777" w:rsidTr="00401790">
        <w:trPr>
          <w:cantSplit/>
          <w:trHeight w:val="360"/>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63F3E" w14:textId="77777777" w:rsidR="007179EA" w:rsidRPr="003165E6" w:rsidRDefault="007179EA" w:rsidP="005B24AB">
            <w:pPr>
              <w:pStyle w:val="TableText"/>
              <w:rPr>
                <w:szCs w:val="18"/>
              </w:rPr>
            </w:pPr>
          </w:p>
        </w:tc>
        <w:tc>
          <w:tcPr>
            <w:tcW w:w="9582" w:type="dxa"/>
            <w:gridSpan w:val="4"/>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009CDE"/>
          </w:tcPr>
          <w:p w14:paraId="2DD51201" w14:textId="77777777" w:rsidR="007179EA" w:rsidRDefault="007179EA" w:rsidP="005B24AB">
            <w:pPr>
              <w:pStyle w:val="TableText"/>
              <w:jc w:val="center"/>
              <w:rPr>
                <w:color w:val="FFFFFF" w:themeColor="background1"/>
                <w:szCs w:val="18"/>
              </w:rPr>
            </w:pPr>
            <w:r w:rsidRPr="003165E6">
              <w:rPr>
                <w:color w:val="FFFFFF" w:themeColor="background1"/>
                <w:szCs w:val="18"/>
              </w:rPr>
              <w:t>Enable the development of Pacific values-based gambling-harm prevention and minimisation services</w:t>
            </w:r>
          </w:p>
          <w:p w14:paraId="62207A17" w14:textId="77777777" w:rsidR="007179EA" w:rsidRPr="003165E6" w:rsidRDefault="007179EA" w:rsidP="006B7CFD">
            <w:pPr>
              <w:pStyle w:val="TableText"/>
              <w:jc w:val="center"/>
              <w:rPr>
                <w:color w:val="FFFFFF" w:themeColor="background1"/>
                <w:szCs w:val="18"/>
              </w:rPr>
            </w:pPr>
            <w:r>
              <w:rPr>
                <w:color w:val="FFFFFF" w:themeColor="background1"/>
                <w:szCs w:val="18"/>
              </w:rPr>
              <w:t xml:space="preserve">Enable the development of Asian values-based </w:t>
            </w:r>
            <w:r w:rsidRPr="003165E6">
              <w:rPr>
                <w:color w:val="FFFFFF" w:themeColor="background1"/>
                <w:szCs w:val="18"/>
              </w:rPr>
              <w:t>gambling-harm prevention and minimisation services</w:t>
            </w:r>
          </w:p>
        </w:tc>
        <w:tc>
          <w:tcPr>
            <w:tcW w:w="3034" w:type="dxa"/>
            <w:tcBorders>
              <w:top w:val="single" w:sz="4" w:space="0" w:color="FFFFFF" w:themeColor="background1"/>
              <w:left w:val="nil"/>
              <w:bottom w:val="single" w:sz="4" w:space="0" w:color="A6A6A6" w:themeColor="background1" w:themeShade="A6"/>
            </w:tcBorders>
            <w:shd w:val="clear" w:color="auto" w:fill="auto"/>
          </w:tcPr>
          <w:p w14:paraId="12F8BA5F" w14:textId="77777777" w:rsidR="007179EA" w:rsidRPr="003165E6" w:rsidRDefault="007179EA" w:rsidP="005B24AB">
            <w:pPr>
              <w:pStyle w:val="TableText"/>
              <w:jc w:val="center"/>
              <w:rPr>
                <w:color w:val="FFFFFF" w:themeColor="background1"/>
                <w:szCs w:val="18"/>
              </w:rPr>
            </w:pPr>
          </w:p>
        </w:tc>
      </w:tr>
    </w:tbl>
    <w:p w14:paraId="408D3305" w14:textId="77777777" w:rsidR="007179EA" w:rsidRPr="000E2F82" w:rsidRDefault="007179EA" w:rsidP="006B7CFD">
      <w:pPr>
        <w:rPr>
          <w:sz w:val="12"/>
          <w:szCs w:val="12"/>
        </w:rPr>
      </w:pPr>
    </w:p>
    <w:tbl>
      <w:tblPr>
        <w:tblW w:w="14601" w:type="dxa"/>
        <w:tblInd w:w="108" w:type="dxa"/>
        <w:tblLayout w:type="fixed"/>
        <w:tblLook w:val="04A0" w:firstRow="1" w:lastRow="0" w:firstColumn="1" w:lastColumn="0" w:noHBand="0" w:noVBand="1"/>
      </w:tblPr>
      <w:tblGrid>
        <w:gridCol w:w="851"/>
        <w:gridCol w:w="2701"/>
        <w:gridCol w:w="843"/>
        <w:gridCol w:w="3118"/>
        <w:gridCol w:w="834"/>
        <w:gridCol w:w="4269"/>
        <w:gridCol w:w="826"/>
        <w:gridCol w:w="1159"/>
      </w:tblGrid>
      <w:tr w:rsidR="000E2F82" w14:paraId="624C2E3D" w14:textId="77777777" w:rsidTr="000E2F82">
        <w:trPr>
          <w:cantSplit/>
        </w:trPr>
        <w:tc>
          <w:tcPr>
            <w:tcW w:w="851" w:type="dxa"/>
            <w:shd w:val="clear" w:color="auto" w:fill="009CDE"/>
          </w:tcPr>
          <w:p w14:paraId="03EB2EE5" w14:textId="77777777" w:rsidR="000E2F82" w:rsidRPr="003165E6" w:rsidRDefault="000E2F82" w:rsidP="000E2F82">
            <w:pPr>
              <w:pStyle w:val="TableText"/>
            </w:pPr>
          </w:p>
        </w:tc>
        <w:tc>
          <w:tcPr>
            <w:tcW w:w="2701" w:type="dxa"/>
            <w:shd w:val="clear" w:color="auto" w:fill="auto"/>
          </w:tcPr>
          <w:p w14:paraId="7072C621" w14:textId="77777777" w:rsidR="000E2F82" w:rsidRPr="003165E6" w:rsidRDefault="000E2F82" w:rsidP="000E2F82">
            <w:pPr>
              <w:pStyle w:val="TableText"/>
            </w:pPr>
            <w:r w:rsidRPr="003165E6">
              <w:t>Ministry of Health</w:t>
            </w:r>
          </w:p>
        </w:tc>
        <w:tc>
          <w:tcPr>
            <w:tcW w:w="843" w:type="dxa"/>
            <w:shd w:val="clear" w:color="auto" w:fill="FFC000"/>
          </w:tcPr>
          <w:p w14:paraId="7E27D001" w14:textId="77777777" w:rsidR="000E2F82" w:rsidRPr="003165E6" w:rsidRDefault="000E2F82" w:rsidP="000E2F82">
            <w:pPr>
              <w:pStyle w:val="TableText"/>
            </w:pPr>
          </w:p>
        </w:tc>
        <w:tc>
          <w:tcPr>
            <w:tcW w:w="3118" w:type="dxa"/>
          </w:tcPr>
          <w:p w14:paraId="5863A57B" w14:textId="77777777" w:rsidR="000E2F82" w:rsidRPr="003165E6" w:rsidRDefault="000E2F82" w:rsidP="000E2F82">
            <w:pPr>
              <w:pStyle w:val="TableText"/>
            </w:pPr>
            <w:r w:rsidRPr="003165E6">
              <w:t>Ministry of Health and DIA</w:t>
            </w:r>
          </w:p>
        </w:tc>
        <w:tc>
          <w:tcPr>
            <w:tcW w:w="834" w:type="dxa"/>
            <w:shd w:val="clear" w:color="auto" w:fill="84A113"/>
          </w:tcPr>
          <w:p w14:paraId="01D047EA" w14:textId="77777777" w:rsidR="000E2F82" w:rsidRPr="003165E6" w:rsidRDefault="000E2F82" w:rsidP="000E2F82">
            <w:pPr>
              <w:pStyle w:val="TableText"/>
            </w:pPr>
          </w:p>
        </w:tc>
        <w:tc>
          <w:tcPr>
            <w:tcW w:w="4269" w:type="dxa"/>
            <w:shd w:val="clear" w:color="auto" w:fill="auto"/>
          </w:tcPr>
          <w:p w14:paraId="2E638286" w14:textId="77777777" w:rsidR="000E2F82" w:rsidRPr="003165E6" w:rsidRDefault="000E2F82" w:rsidP="000E2F82">
            <w:pPr>
              <w:pStyle w:val="TableText"/>
            </w:pPr>
            <w:r w:rsidRPr="003165E6">
              <w:t>Ministry of Health and Te Hiringa Hauora</w:t>
            </w:r>
          </w:p>
        </w:tc>
        <w:tc>
          <w:tcPr>
            <w:tcW w:w="826" w:type="dxa"/>
            <w:shd w:val="clear" w:color="auto" w:fill="F79646" w:themeFill="accent6"/>
          </w:tcPr>
          <w:p w14:paraId="3A931018" w14:textId="77777777" w:rsidR="000E2F82" w:rsidRPr="003165E6" w:rsidRDefault="000E2F82" w:rsidP="000E2F82">
            <w:pPr>
              <w:pStyle w:val="TableText"/>
            </w:pPr>
          </w:p>
        </w:tc>
        <w:tc>
          <w:tcPr>
            <w:tcW w:w="1159" w:type="dxa"/>
          </w:tcPr>
          <w:p w14:paraId="36DD4927" w14:textId="77777777" w:rsidR="000E2F82" w:rsidRPr="003165E6" w:rsidRDefault="000E2F82" w:rsidP="000E2F82">
            <w:pPr>
              <w:pStyle w:val="TableText"/>
            </w:pPr>
            <w:r w:rsidRPr="003165E6">
              <w:t>DIA</w:t>
            </w:r>
          </w:p>
        </w:tc>
      </w:tr>
    </w:tbl>
    <w:p w14:paraId="1F96C888" w14:textId="77777777" w:rsidR="00401790" w:rsidRPr="000E2F82" w:rsidRDefault="00401790" w:rsidP="00124241">
      <w:pPr>
        <w:rPr>
          <w:sz w:val="12"/>
          <w:szCs w:val="12"/>
        </w:rPr>
      </w:pPr>
    </w:p>
    <w:p w14:paraId="7697D23C" w14:textId="77777777" w:rsidR="00124241" w:rsidRDefault="00124241" w:rsidP="00124241">
      <w:pPr>
        <w:pStyle w:val="Heading2"/>
        <w:sectPr w:rsidR="00124241" w:rsidSect="00124241">
          <w:footerReference w:type="default" r:id="rId26"/>
          <w:pgSz w:w="16834" w:h="11907" w:orient="landscape" w:code="9"/>
          <w:pgMar w:top="1134" w:right="1134" w:bottom="1134" w:left="1134" w:header="284" w:footer="425" w:gutter="0"/>
          <w:cols w:space="720"/>
          <w:docGrid w:linePitch="286"/>
        </w:sectPr>
      </w:pPr>
      <w:bookmarkStart w:id="130" w:name="_Toc74309759"/>
      <w:bookmarkStart w:id="131" w:name="_Toc78882282"/>
      <w:bookmarkStart w:id="132" w:name="_Toc80965846"/>
      <w:bookmarkStart w:id="133" w:name="_Toc89684394"/>
    </w:p>
    <w:p w14:paraId="396936EB" w14:textId="77777777" w:rsidR="007179EA" w:rsidRDefault="007179EA" w:rsidP="00124241">
      <w:pPr>
        <w:pStyle w:val="Heading2"/>
        <w:spacing w:before="0"/>
      </w:pPr>
      <w:bookmarkStart w:id="134" w:name="_Toc90885050"/>
      <w:r>
        <w:lastRenderedPageBreak/>
        <w:t>What needs to change</w:t>
      </w:r>
      <w:bookmarkEnd w:id="130"/>
      <w:bookmarkEnd w:id="131"/>
      <w:bookmarkEnd w:id="132"/>
      <w:bookmarkEnd w:id="133"/>
      <w:bookmarkEnd w:id="134"/>
    </w:p>
    <w:p w14:paraId="146C973C" w14:textId="77777777" w:rsidR="007179EA" w:rsidRPr="0098727C" w:rsidRDefault="007179EA" w:rsidP="00C41E85">
      <w:r>
        <w:t>Based on the above, the key changes to implement the strategy should:</w:t>
      </w:r>
    </w:p>
    <w:p w14:paraId="24F2A5AD" w14:textId="77777777" w:rsidR="00BC6B27" w:rsidRPr="00BC6B27" w:rsidRDefault="00C41E85" w:rsidP="00C41E85">
      <w:pPr>
        <w:pStyle w:val="Bullet"/>
      </w:pPr>
      <w:r>
        <w:t>s</w:t>
      </w:r>
      <w:r w:rsidR="007179EA" w:rsidRPr="00BC6B27">
        <w:rPr>
          <w:rFonts w:eastAsiaTheme="minorHAnsi"/>
        </w:rPr>
        <w:t>trengthen system leadership</w:t>
      </w:r>
      <w:r w:rsidR="007179EA" w:rsidRPr="00BC6B27">
        <w:t xml:space="preserve">, which is </w:t>
      </w:r>
      <w:r w:rsidR="007179EA" w:rsidRPr="00BC6B27">
        <w:rPr>
          <w:rFonts w:eastAsiaTheme="minorHAnsi"/>
        </w:rPr>
        <w:t xml:space="preserve">wider than just </w:t>
      </w:r>
      <w:r w:rsidR="007179EA" w:rsidRPr="00BC6B27">
        <w:t>gambling harm and the</w:t>
      </w:r>
      <w:r w:rsidR="00BC6B27" w:rsidRPr="00BC6B27">
        <w:t xml:space="preserve"> </w:t>
      </w:r>
      <w:r w:rsidR="007179EA" w:rsidRPr="00BC6B27">
        <w:t>mental health and addiction sector, and involves working across government as well as with communities and the sector</w:t>
      </w:r>
    </w:p>
    <w:p w14:paraId="0BCA9F43" w14:textId="77777777" w:rsidR="007179EA" w:rsidRPr="00BC6B27" w:rsidRDefault="00C41E85" w:rsidP="00C41E85">
      <w:pPr>
        <w:pStyle w:val="Bullet"/>
      </w:pPr>
      <w:r>
        <w:t>s</w:t>
      </w:r>
      <w:r w:rsidR="007179EA" w:rsidRPr="00BC6B27">
        <w:t>t</w:t>
      </w:r>
      <w:r w:rsidR="007179EA" w:rsidRPr="00BC6B27">
        <w:rPr>
          <w:rFonts w:eastAsiaTheme="minorHAnsi"/>
        </w:rPr>
        <w:t xml:space="preserve">rengthen </w:t>
      </w:r>
      <w:r w:rsidR="007179EA" w:rsidRPr="00BC6B27">
        <w:t xml:space="preserve">the </w:t>
      </w:r>
      <w:r w:rsidR="007179EA" w:rsidRPr="00BC6B27">
        <w:rPr>
          <w:rFonts w:eastAsiaTheme="minorHAnsi"/>
        </w:rPr>
        <w:t>focus on equity and public health approach</w:t>
      </w:r>
      <w:r w:rsidR="007179EA" w:rsidRPr="00BC6B27">
        <w:t xml:space="preserve">es, which includes addressing the </w:t>
      </w:r>
      <w:r w:rsidR="007179EA" w:rsidRPr="00BC6B27">
        <w:rPr>
          <w:rFonts w:eastAsiaTheme="minorHAnsi"/>
        </w:rPr>
        <w:t>stigma associated with gambling and gambling harm</w:t>
      </w:r>
      <w:r w:rsidR="007179EA" w:rsidRPr="00BC6B27">
        <w:t xml:space="preserve"> that prevents people from seeking help</w:t>
      </w:r>
    </w:p>
    <w:p w14:paraId="774C96C4" w14:textId="77777777" w:rsidR="00BC6B27" w:rsidRPr="00BC6B27" w:rsidRDefault="00C41E85" w:rsidP="00C41E85">
      <w:pPr>
        <w:pStyle w:val="Bullet"/>
        <w:rPr>
          <w:rFonts w:eastAsiaTheme="minorHAnsi"/>
        </w:rPr>
      </w:pPr>
      <w:r>
        <w:t>s</w:t>
      </w:r>
      <w:r w:rsidR="007179EA" w:rsidRPr="00BC6B27">
        <w:t>trengthen c</w:t>
      </w:r>
      <w:r w:rsidR="007179EA" w:rsidRPr="00BC6B27">
        <w:rPr>
          <w:rFonts w:eastAsiaTheme="minorHAnsi"/>
        </w:rPr>
        <w:t xml:space="preserve">ollaboration and </w:t>
      </w:r>
      <w:r w:rsidR="007179EA" w:rsidRPr="00BC6B27">
        <w:t xml:space="preserve">opportunities to engage and support </w:t>
      </w:r>
      <w:r w:rsidR="007179EA" w:rsidRPr="00BC6B27">
        <w:rPr>
          <w:rFonts w:eastAsiaTheme="minorHAnsi"/>
        </w:rPr>
        <w:t>Māori and Pacific people, Asians communities, young people/rangatahi, people with lived experience and the sector</w:t>
      </w:r>
    </w:p>
    <w:p w14:paraId="5040DDB4" w14:textId="77777777" w:rsidR="00BC6B27" w:rsidRPr="00BC6B27" w:rsidRDefault="00C41E85" w:rsidP="00C41E85">
      <w:pPr>
        <w:pStyle w:val="Bullet"/>
      </w:pPr>
      <w:r>
        <w:t>e</w:t>
      </w:r>
      <w:r w:rsidR="007179EA" w:rsidRPr="00BC6B27">
        <w:t xml:space="preserve">mpower affected </w:t>
      </w:r>
      <w:r w:rsidR="007179EA" w:rsidRPr="00BC6B27">
        <w:rPr>
          <w:rFonts w:eastAsiaTheme="minorHAnsi"/>
        </w:rPr>
        <w:t>communities</w:t>
      </w:r>
      <w:r w:rsidR="007179EA" w:rsidRPr="00BC6B27">
        <w:t xml:space="preserve"> and priority populations</w:t>
      </w:r>
      <w:r w:rsidR="007179EA" w:rsidRPr="00BC6B27">
        <w:rPr>
          <w:rFonts w:eastAsiaTheme="minorHAnsi"/>
        </w:rPr>
        <w:t xml:space="preserve"> </w:t>
      </w:r>
      <w:r w:rsidR="007179EA" w:rsidRPr="00BC6B27">
        <w:t xml:space="preserve">and lived experience </w:t>
      </w:r>
      <w:r w:rsidR="007179EA" w:rsidRPr="00BC6B27">
        <w:rPr>
          <w:rFonts w:eastAsiaTheme="minorHAnsi"/>
        </w:rPr>
        <w:t xml:space="preserve">to have </w:t>
      </w:r>
      <w:r w:rsidR="007179EA" w:rsidRPr="00BC6B27">
        <w:t xml:space="preserve">a </w:t>
      </w:r>
      <w:r w:rsidR="007179EA" w:rsidRPr="00BC6B27">
        <w:rPr>
          <w:rFonts w:eastAsiaTheme="minorHAnsi"/>
        </w:rPr>
        <w:t xml:space="preserve">greater involvement in the design and delivery </w:t>
      </w:r>
      <w:r w:rsidR="007179EA" w:rsidRPr="00BC6B27">
        <w:t>of services</w:t>
      </w:r>
      <w:r w:rsidR="007179EA" w:rsidRPr="00BC6B27">
        <w:rPr>
          <w:rFonts w:eastAsiaTheme="minorHAnsi"/>
        </w:rPr>
        <w:t xml:space="preserve"> and supports</w:t>
      </w:r>
    </w:p>
    <w:p w14:paraId="63863002" w14:textId="77777777" w:rsidR="007179EA" w:rsidRPr="00BC6B27" w:rsidRDefault="00C41E85" w:rsidP="00C41E85">
      <w:pPr>
        <w:pStyle w:val="Bullet"/>
        <w:rPr>
          <w:rFonts w:eastAsiaTheme="minorHAnsi"/>
        </w:rPr>
      </w:pPr>
      <w:r>
        <w:t>f</w:t>
      </w:r>
      <w:r w:rsidR="007179EA" w:rsidRPr="00BC6B27">
        <w:t xml:space="preserve">ocus on developing a </w:t>
      </w:r>
      <w:r w:rsidR="007179EA" w:rsidRPr="00BC6B27">
        <w:rPr>
          <w:rFonts w:eastAsiaTheme="minorHAnsi"/>
        </w:rPr>
        <w:t xml:space="preserve">skilled, culturally safe, </w:t>
      </w:r>
      <w:r w:rsidR="007179EA" w:rsidRPr="00BC6B27">
        <w:t xml:space="preserve">diverse and </w:t>
      </w:r>
      <w:r w:rsidR="007179EA" w:rsidRPr="00BC6B27">
        <w:rPr>
          <w:rFonts w:eastAsiaTheme="minorHAnsi"/>
        </w:rPr>
        <w:t>appropriate workforce, including supporting entry into the workforce for Māori, Pacific peoples, Asian peoples, young people/rangatahi and people with lived experience</w:t>
      </w:r>
    </w:p>
    <w:p w14:paraId="2DECB2F7" w14:textId="77777777" w:rsidR="007179EA" w:rsidRPr="00BC6B27" w:rsidRDefault="00C41E85" w:rsidP="00C41E85">
      <w:pPr>
        <w:pStyle w:val="Bullet"/>
        <w:rPr>
          <w:rFonts w:eastAsiaTheme="minorHAnsi"/>
        </w:rPr>
      </w:pPr>
      <w:r>
        <w:rPr>
          <w:rFonts w:eastAsiaTheme="minorHAnsi"/>
        </w:rPr>
        <w:t>c</w:t>
      </w:r>
      <w:r w:rsidR="007179EA" w:rsidRPr="00BC6B27">
        <w:rPr>
          <w:rFonts w:eastAsiaTheme="minorHAnsi"/>
        </w:rPr>
        <w:t>ontinue to develop and test innovative service and support models – with a focus on groups that experience the highest levels of gambling harm</w:t>
      </w:r>
      <w:r w:rsidR="007179EA" w:rsidRPr="00BC6B27">
        <w:t xml:space="preserve"> and expanding digital services and supports</w:t>
      </w:r>
    </w:p>
    <w:p w14:paraId="6C9A7955" w14:textId="77777777" w:rsidR="007179EA" w:rsidRPr="00BC6B27" w:rsidRDefault="00C41E85" w:rsidP="00C41E85">
      <w:pPr>
        <w:pStyle w:val="Bullet"/>
        <w:rPr>
          <w:rFonts w:eastAsiaTheme="minorHAnsi"/>
        </w:rPr>
      </w:pPr>
      <w:r>
        <w:rPr>
          <w:rFonts w:eastAsiaTheme="minorHAnsi"/>
        </w:rPr>
        <w:t>c</w:t>
      </w:r>
      <w:r w:rsidR="007179EA" w:rsidRPr="00BC6B27">
        <w:rPr>
          <w:rFonts w:eastAsiaTheme="minorHAnsi"/>
        </w:rPr>
        <w:t>ontinue to use research and evidence to inform our approach.</w:t>
      </w:r>
    </w:p>
    <w:p w14:paraId="7D2D9648" w14:textId="77777777" w:rsidR="00C41E85" w:rsidRDefault="00C41E85" w:rsidP="00C41E85"/>
    <w:p w14:paraId="58EB3148" w14:textId="77777777" w:rsidR="007179EA" w:rsidRDefault="007179EA" w:rsidP="00C41E85">
      <w:r>
        <w:t>These shifts in focus, together with the principle</w:t>
      </w:r>
      <w:r w:rsidRPr="00B92935">
        <w:t xml:space="preserve"> </w:t>
      </w:r>
      <w:r>
        <w:t xml:space="preserve">to </w:t>
      </w:r>
      <w:r w:rsidR="00BC6B27">
        <w:t>‘</w:t>
      </w:r>
      <w:r w:rsidRPr="00D3474B">
        <w:t>put people and communities at the centre</w:t>
      </w:r>
      <w:r w:rsidR="00BC6B27">
        <w:t>’</w:t>
      </w:r>
      <w:r>
        <w:t>, will enable us to better address inequities for priority populations. Refer to the draft service plan for further information about proposed service activities.</w:t>
      </w:r>
    </w:p>
    <w:p w14:paraId="51CE6B00" w14:textId="77777777" w:rsidR="00C41E85" w:rsidRDefault="00C41E85" w:rsidP="00C41E85"/>
    <w:p w14:paraId="76EBC2A7" w14:textId="77777777" w:rsidR="007179EA" w:rsidRDefault="007179EA" w:rsidP="00C41E85">
      <w:pPr>
        <w:pStyle w:val="Heading2"/>
      </w:pPr>
      <w:bookmarkStart w:id="135" w:name="_Toc74309761"/>
      <w:bookmarkStart w:id="136" w:name="_Toc78882283"/>
      <w:bookmarkStart w:id="137" w:name="_Toc80965847"/>
      <w:bookmarkStart w:id="138" w:name="_Toc89684395"/>
      <w:bookmarkStart w:id="139" w:name="_Toc90885051"/>
      <w:r w:rsidRPr="000251AA">
        <w:lastRenderedPageBreak/>
        <w:t>How we will measure progress</w:t>
      </w:r>
      <w:bookmarkEnd w:id="135"/>
      <w:bookmarkEnd w:id="136"/>
      <w:bookmarkEnd w:id="137"/>
      <w:bookmarkEnd w:id="138"/>
      <w:bookmarkEnd w:id="139"/>
    </w:p>
    <w:p w14:paraId="4D9770D6" w14:textId="77777777" w:rsidR="00BC6B27" w:rsidRDefault="007179EA" w:rsidP="00C41E85">
      <w:pPr>
        <w:keepNext/>
        <w:keepLines/>
      </w:pPr>
      <w:r>
        <w:t>Several submissions wanted more details about how we would monitor progress, which submissions from industry recommending performance targets.</w:t>
      </w:r>
    </w:p>
    <w:p w14:paraId="45D0986F" w14:textId="77777777" w:rsidR="007179EA" w:rsidRPr="00A85131" w:rsidRDefault="007179EA" w:rsidP="00C41E85">
      <w:pPr>
        <w:keepNext/>
        <w:keepLines/>
      </w:pPr>
    </w:p>
    <w:p w14:paraId="6E74BA3B" w14:textId="77777777" w:rsidR="007179EA" w:rsidRDefault="007179EA" w:rsidP="00C41E85">
      <w:pPr>
        <w:keepNext/>
        <w:keepLines/>
      </w:pPr>
      <w:r w:rsidRPr="00CF49C5">
        <w:t xml:space="preserve">We will know if we have made a difference by listening to </w:t>
      </w:r>
      <w:r>
        <w:t>the feedback we receive,</w:t>
      </w:r>
      <w:r w:rsidRPr="00CF49C5">
        <w:t xml:space="preserve"> for example, </w:t>
      </w:r>
      <w:r>
        <w:t xml:space="preserve">from </w:t>
      </w:r>
      <w:r w:rsidRPr="00CF49C5">
        <w:t xml:space="preserve">our communities, service providers and </w:t>
      </w:r>
      <w:r>
        <w:t>e</w:t>
      </w:r>
      <w:r w:rsidRPr="00CF49C5">
        <w:t xml:space="preserve">xpert </w:t>
      </w:r>
      <w:r>
        <w:t>a</w:t>
      </w:r>
      <w:r w:rsidRPr="00CF49C5">
        <w:t xml:space="preserve">dvisory and </w:t>
      </w:r>
      <w:r>
        <w:t>l</w:t>
      </w:r>
      <w:r w:rsidRPr="00CF49C5">
        <w:t xml:space="preserve">ived </w:t>
      </w:r>
      <w:r>
        <w:t>e</w:t>
      </w:r>
      <w:r w:rsidRPr="00CF49C5">
        <w:t xml:space="preserve">xperience </w:t>
      </w:r>
      <w:r>
        <w:t>g</w:t>
      </w:r>
      <w:r w:rsidRPr="00CF49C5">
        <w:t>roups</w:t>
      </w:r>
      <w:r>
        <w:t>,</w:t>
      </w:r>
      <w:r w:rsidRPr="00CF49C5">
        <w:t xml:space="preserve"> and through analysing data and evidence, including research, evaluation and service data</w:t>
      </w:r>
      <w:r>
        <w:t>.</w:t>
      </w:r>
    </w:p>
    <w:p w14:paraId="0F195675" w14:textId="77777777" w:rsidR="007179EA" w:rsidRPr="00CF49C5" w:rsidRDefault="007179EA" w:rsidP="00C41E85">
      <w:pPr>
        <w:keepNext/>
        <w:keepLines/>
      </w:pPr>
    </w:p>
    <w:p w14:paraId="5A168511" w14:textId="77777777" w:rsidR="007179EA" w:rsidRPr="000251AA" w:rsidRDefault="007179EA" w:rsidP="00C41E85">
      <w:pPr>
        <w:keepNext/>
        <w:keepLines/>
      </w:pPr>
      <w:r w:rsidRPr="000251AA">
        <w:t xml:space="preserve">We will measure and report on progress </w:t>
      </w:r>
      <w:r>
        <w:t>by</w:t>
      </w:r>
      <w:r w:rsidRPr="000251AA">
        <w:t>:</w:t>
      </w:r>
    </w:p>
    <w:p w14:paraId="2CFBD0B7" w14:textId="77777777" w:rsidR="00BC6B27" w:rsidRDefault="007179EA" w:rsidP="00C41E85">
      <w:pPr>
        <w:pStyle w:val="Bullet"/>
        <w:keepNext/>
        <w:keepLines/>
      </w:pPr>
      <w:r w:rsidRPr="0003439F">
        <w:t xml:space="preserve">publishing data, evidence and research, including clear </w:t>
      </w:r>
      <w:r>
        <w:t xml:space="preserve">accessible </w:t>
      </w:r>
      <w:r w:rsidRPr="0003439F">
        <w:t xml:space="preserve">summaries of key findings. </w:t>
      </w:r>
      <w:r>
        <w:t>We</w:t>
      </w:r>
      <w:r w:rsidRPr="000251AA">
        <w:t xml:space="preserve"> currently publish research and evaluation reports</w:t>
      </w:r>
      <w:r>
        <w:t xml:space="preserve">, clinical service data, prevalence data, as well as information about </w:t>
      </w:r>
      <w:r w:rsidRPr="000251AA">
        <w:t>service</w:t>
      </w:r>
      <w:r>
        <w:t>s on our</w:t>
      </w:r>
      <w:r w:rsidRPr="000251AA">
        <w:t xml:space="preserve"> website</w:t>
      </w:r>
      <w:r w:rsidRPr="00C41E85">
        <w:rPr>
          <w:rStyle w:val="FootnoteReference"/>
        </w:rPr>
        <w:footnoteReference w:id="57"/>
      </w:r>
    </w:p>
    <w:p w14:paraId="5382D9C4" w14:textId="77777777" w:rsidR="007179EA" w:rsidRDefault="007179EA" w:rsidP="00C41E85">
      <w:pPr>
        <w:pStyle w:val="Bullet"/>
      </w:pPr>
      <w:r w:rsidRPr="000251AA">
        <w:t xml:space="preserve">commissioning and publishing a </w:t>
      </w:r>
      <w:r>
        <w:t>needs assessment</w:t>
      </w:r>
      <w:r w:rsidRPr="000251AA">
        <w:t xml:space="preserve"> every three</w:t>
      </w:r>
      <w:r w:rsidR="00E06D9F">
        <w:t xml:space="preserve"> </w:t>
      </w:r>
      <w:r w:rsidR="0018228E">
        <w:t>years</w:t>
      </w:r>
      <w:r w:rsidRPr="000251AA">
        <w:t xml:space="preserve">. </w:t>
      </w:r>
      <w:r>
        <w:t xml:space="preserve">The next </w:t>
      </w:r>
      <w:r w:rsidRPr="00DD32D8">
        <w:t xml:space="preserve">needs </w:t>
      </w:r>
      <w:r w:rsidRPr="007F69B8">
        <w:t>assessment</w:t>
      </w:r>
      <w:r>
        <w:t>, due to be commissioned in 2023, will consider the impact of the strategy including any of</w:t>
      </w:r>
      <w:r w:rsidRPr="007F69B8">
        <w:t xml:space="preserve"> proposed changes outlined in this </w:t>
      </w:r>
      <w:r>
        <w:t xml:space="preserve">draft that are </w:t>
      </w:r>
      <w:r w:rsidRPr="007F69B8">
        <w:t>adopted.</w:t>
      </w:r>
    </w:p>
    <w:p w14:paraId="5DE91383" w14:textId="77777777" w:rsidR="007179EA" w:rsidRDefault="007179EA" w:rsidP="00C41E85"/>
    <w:p w14:paraId="519E643A" w14:textId="77777777" w:rsidR="007179EA" w:rsidRDefault="007179EA" w:rsidP="00C41E85">
      <w:r w:rsidRPr="000251AA">
        <w:t>We will also explore the development of a set of service</w:t>
      </w:r>
      <w:r>
        <w:t>-</w:t>
      </w:r>
      <w:r w:rsidRPr="000251AA">
        <w:t xml:space="preserve"> and system-leve</w:t>
      </w:r>
      <w:r>
        <w:t>l</w:t>
      </w:r>
      <w:r w:rsidRPr="000251AA">
        <w:t xml:space="preserve"> indicators for gambling harm. </w:t>
      </w:r>
      <w:r>
        <w:t xml:space="preserve">In response to submissions noted above, we will consult with interested stakeholders as we develop long term indicators. </w:t>
      </w:r>
      <w:r w:rsidRPr="000251AA">
        <w:t xml:space="preserve">These </w:t>
      </w:r>
      <w:r>
        <w:t xml:space="preserve">indicators may </w:t>
      </w:r>
      <w:r w:rsidRPr="000251AA">
        <w:t>include rates of harm and service access with an equity lens</w:t>
      </w:r>
      <w:r>
        <w:t>, for example,</w:t>
      </w:r>
      <w:r w:rsidRPr="000251AA">
        <w:t xml:space="preserve"> by population group and geographical location. Th</w:t>
      </w:r>
      <w:r>
        <w:t xml:space="preserve">ey </w:t>
      </w:r>
      <w:r w:rsidRPr="000251AA">
        <w:t>will take account</w:t>
      </w:r>
      <w:r>
        <w:t xml:space="preserve"> of </w:t>
      </w:r>
      <w:r w:rsidRPr="000251AA">
        <w:t xml:space="preserve">work </w:t>
      </w:r>
      <w:r>
        <w:t>currently being done by</w:t>
      </w:r>
      <w:r w:rsidRPr="000251AA">
        <w:t xml:space="preserve"> the Ministry and Mental Health and Wellbeing Commission </w:t>
      </w:r>
      <w:r>
        <w:t>as well as</w:t>
      </w:r>
      <w:r w:rsidRPr="000251AA">
        <w:t xml:space="preserve"> the transformation of the </w:t>
      </w:r>
      <w:r>
        <w:t>h</w:t>
      </w:r>
      <w:r w:rsidRPr="000251AA">
        <w:t xml:space="preserve">ealth and </w:t>
      </w:r>
      <w:r>
        <w:t>d</w:t>
      </w:r>
      <w:r w:rsidRPr="000251AA">
        <w:t xml:space="preserve">isability </w:t>
      </w:r>
      <w:r>
        <w:t>s</w:t>
      </w:r>
      <w:r w:rsidRPr="000251AA">
        <w:t>ystem.</w:t>
      </w:r>
    </w:p>
    <w:p w14:paraId="4477E487" w14:textId="77777777" w:rsidR="007179EA" w:rsidRDefault="007179EA" w:rsidP="00C41E85"/>
    <w:p w14:paraId="4686F89E" w14:textId="77777777" w:rsidR="007179EA" w:rsidRPr="0003777A" w:rsidRDefault="007179EA" w:rsidP="00FB094A">
      <w:pPr>
        <w:pStyle w:val="Heading1"/>
      </w:pPr>
      <w:bookmarkStart w:id="140" w:name="_Draft_service_plan"/>
      <w:bookmarkStart w:id="141" w:name="_Toc89684396"/>
      <w:bookmarkStart w:id="142" w:name="_Toc90885052"/>
      <w:bookmarkEnd w:id="140"/>
      <w:r w:rsidRPr="00D70A45">
        <w:lastRenderedPageBreak/>
        <w:t xml:space="preserve">Draft </w:t>
      </w:r>
      <w:r>
        <w:t>s</w:t>
      </w:r>
      <w:r w:rsidRPr="00D70A45">
        <w:t xml:space="preserve">ervice </w:t>
      </w:r>
      <w:r>
        <w:t>p</w:t>
      </w:r>
      <w:r w:rsidRPr="00D70A45">
        <w:t>lan</w:t>
      </w:r>
      <w:r>
        <w:t xml:space="preserve"> </w:t>
      </w:r>
      <w:r w:rsidRPr="00D70A45">
        <w:t>2022/23 to 2024/25</w:t>
      </w:r>
      <w:bookmarkEnd w:id="141"/>
      <w:bookmarkEnd w:id="142"/>
    </w:p>
    <w:p w14:paraId="42FC9C9D" w14:textId="77777777" w:rsidR="007179EA" w:rsidRPr="00483631" w:rsidRDefault="007179EA" w:rsidP="00E042FA">
      <w:pPr>
        <w:pStyle w:val="Heading2"/>
      </w:pPr>
      <w:bookmarkStart w:id="143" w:name="_Toc71102156"/>
      <w:bookmarkStart w:id="144" w:name="_Toc78882286"/>
      <w:bookmarkStart w:id="145" w:name="_Toc80965850"/>
      <w:bookmarkStart w:id="146" w:name="_Toc89684397"/>
      <w:bookmarkStart w:id="147" w:name="_Toc90885053"/>
      <w:r w:rsidRPr="00483631">
        <w:t xml:space="preserve">Purpose of the </w:t>
      </w:r>
      <w:r>
        <w:t>s</w:t>
      </w:r>
      <w:r w:rsidRPr="00483631">
        <w:t xml:space="preserve">ervice </w:t>
      </w:r>
      <w:r>
        <w:t>p</w:t>
      </w:r>
      <w:r w:rsidRPr="00483631">
        <w:t>lan</w:t>
      </w:r>
      <w:bookmarkEnd w:id="143"/>
      <w:bookmarkEnd w:id="144"/>
      <w:bookmarkEnd w:id="145"/>
      <w:bookmarkEnd w:id="146"/>
      <w:bookmarkEnd w:id="147"/>
    </w:p>
    <w:p w14:paraId="70111D5B" w14:textId="77777777" w:rsidR="00BC6B27" w:rsidRDefault="007179EA" w:rsidP="00E042FA">
      <w:bookmarkStart w:id="148" w:name="_Hlk89165290"/>
      <w:bookmarkStart w:id="149" w:name="_Toc71102157"/>
      <w:r w:rsidRPr="00262521">
        <w:t>Th</w:t>
      </w:r>
      <w:r>
        <w:t xml:space="preserve">e proposed service plan below </w:t>
      </w:r>
      <w:r w:rsidRPr="00262521">
        <w:t>sets out the Ministry</w:t>
      </w:r>
      <w:r w:rsidR="00BC6B27">
        <w:t>’</w:t>
      </w:r>
      <w:r w:rsidRPr="00262521">
        <w:t>s service and investment priorities and budgets for the three</w:t>
      </w:r>
      <w:r w:rsidR="00E06D9F">
        <w:t xml:space="preserve"> </w:t>
      </w:r>
      <w:r w:rsidR="0018228E">
        <w:t>years</w:t>
      </w:r>
      <w:r w:rsidRPr="00262521">
        <w:t xml:space="preserve"> from 1 July 2022 to 30 June 2025.</w:t>
      </w:r>
    </w:p>
    <w:p w14:paraId="5BA02298" w14:textId="77777777" w:rsidR="00E042FA" w:rsidRDefault="00E042FA" w:rsidP="00E042FA"/>
    <w:p w14:paraId="295C08D9" w14:textId="77777777" w:rsidR="007179EA" w:rsidRPr="00014DE3" w:rsidRDefault="007179EA" w:rsidP="00E042FA">
      <w:pPr>
        <w:rPr>
          <w:i/>
          <w:iCs/>
        </w:rPr>
      </w:pPr>
      <w:r>
        <w:t>These are the Ministry</w:t>
      </w:r>
      <w:r w:rsidR="00BC6B27">
        <w:t>’</w:t>
      </w:r>
      <w:r>
        <w:t>s commitments for how it will work towards delivering the strategic goals, outcomes, objectives and priority action areas outlined in the strategic plan. This covers priority action areas led by the Ministry and Te Hiringa Hauora, in collaboration with DIA and other stakeholders.</w:t>
      </w:r>
    </w:p>
    <w:p w14:paraId="4ACC2853" w14:textId="77777777" w:rsidR="00E042FA" w:rsidRDefault="00E042FA" w:rsidP="00E042FA"/>
    <w:p w14:paraId="1533DA89" w14:textId="77777777" w:rsidR="007179EA" w:rsidRDefault="007179EA" w:rsidP="00E042FA">
      <w:r>
        <w:t>The proposals respond to recommendations from the needs assessment, feedback from consultation hui and submissions, and findings from other available research. They also build on progress and lessons taken from the current service plan.</w:t>
      </w:r>
    </w:p>
    <w:p w14:paraId="01538035" w14:textId="77777777" w:rsidR="00E042FA" w:rsidRDefault="00E042FA" w:rsidP="00E042FA"/>
    <w:p w14:paraId="7B6A1AD6" w14:textId="77777777" w:rsidR="00BC6B27" w:rsidRDefault="007179EA" w:rsidP="00E042FA">
      <w:r>
        <w:t>We are committed to strengthening system leadership and collaboration to reduce longstanding inequities in gambling harm.</w:t>
      </w:r>
    </w:p>
    <w:p w14:paraId="30947CAE" w14:textId="77777777" w:rsidR="00E042FA" w:rsidRDefault="00E042FA" w:rsidP="00E042FA"/>
    <w:p w14:paraId="4B7FE4AB" w14:textId="77777777" w:rsidR="00BC6B27" w:rsidRDefault="007179EA" w:rsidP="00E042FA">
      <w:r>
        <w:t>We recognise that gambling harm inequities continue to affect priority populations (Māori and Pacific people, Asian people and rangatahi). Each of these groups has called for greater involvement in service design, evaluation, and research, to develop services and supports that innovate and respond to this diversity.</w:t>
      </w:r>
    </w:p>
    <w:p w14:paraId="04745C93" w14:textId="77777777" w:rsidR="00E042FA" w:rsidRDefault="00E042FA" w:rsidP="00E042FA"/>
    <w:p w14:paraId="7F102ED1" w14:textId="77777777" w:rsidR="00BC6B27" w:rsidRDefault="007179EA" w:rsidP="00E042FA">
      <w:r>
        <w:t>We are also committed to increasing access to services and supports and reversing the trend where we see client interventions declining whilst numbers experiencing gambling harm increase with population growth.</w:t>
      </w:r>
    </w:p>
    <w:p w14:paraId="2AE109B4" w14:textId="77777777" w:rsidR="007179EA" w:rsidRPr="00A84175" w:rsidRDefault="007179EA" w:rsidP="00E042FA"/>
    <w:p w14:paraId="163E08F2" w14:textId="77777777" w:rsidR="007179EA" w:rsidRDefault="007179EA" w:rsidP="00E042FA">
      <w:r w:rsidRPr="00A84175">
        <w:t xml:space="preserve">We </w:t>
      </w:r>
      <w:r>
        <w:t xml:space="preserve">have listened to and considered consultation feedback and </w:t>
      </w:r>
      <w:r w:rsidRPr="00A84175">
        <w:t>are proposing</w:t>
      </w:r>
      <w:r>
        <w:t xml:space="preserve"> to increase investment in new and enhanced activities</w:t>
      </w:r>
      <w:r w:rsidRPr="00A84175">
        <w:t xml:space="preserve"> </w:t>
      </w:r>
      <w:r>
        <w:t>because we believe that this is necessary to enable more effective system-wide leadership and response to prevent and minimise gambling harm.</w:t>
      </w:r>
    </w:p>
    <w:p w14:paraId="64E9FB7C" w14:textId="77777777" w:rsidR="007179EA" w:rsidRDefault="007179EA" w:rsidP="00E042FA"/>
    <w:p w14:paraId="7F61C080" w14:textId="77777777" w:rsidR="007179EA" w:rsidRDefault="007179EA" w:rsidP="00E042FA">
      <w:r>
        <w:t>The</w:t>
      </w:r>
      <w:r w:rsidRPr="00014DE3">
        <w:t xml:space="preserve"> </w:t>
      </w:r>
      <w:r>
        <w:t>table below summarises the proposed service and investment priorities.</w:t>
      </w:r>
    </w:p>
    <w:p w14:paraId="6422E363" w14:textId="77777777" w:rsidR="00E042FA" w:rsidRDefault="00E042FA" w:rsidP="00E042FA"/>
    <w:p w14:paraId="297A3498" w14:textId="058FD799" w:rsidR="007179EA" w:rsidRDefault="00E042FA" w:rsidP="00E042FA">
      <w:pPr>
        <w:pStyle w:val="Table"/>
      </w:pPr>
      <w:bookmarkStart w:id="150" w:name="_Toc89335317"/>
      <w:bookmarkStart w:id="151" w:name="_Toc90626951"/>
      <w:r>
        <w:lastRenderedPageBreak/>
        <w:t>Table </w:t>
      </w:r>
      <w:fldSimple w:instr=" SEQ Table \* ARABIC ">
        <w:r w:rsidR="00451900">
          <w:rPr>
            <w:noProof/>
          </w:rPr>
          <w:t>1</w:t>
        </w:r>
      </w:fldSimple>
      <w:r w:rsidR="007179EA">
        <w:t>: Summary of service and investment priorities</w:t>
      </w:r>
      <w:bookmarkEnd w:id="150"/>
      <w:bookmarkEnd w:id="15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05"/>
        <w:gridCol w:w="5675"/>
      </w:tblGrid>
      <w:tr w:rsidR="007179EA" w:rsidRPr="00E042FA" w14:paraId="168492EF" w14:textId="77777777" w:rsidTr="00E042FA">
        <w:trPr>
          <w:cantSplit/>
        </w:trPr>
        <w:tc>
          <w:tcPr>
            <w:tcW w:w="2405" w:type="dxa"/>
            <w:tcBorders>
              <w:top w:val="nil"/>
              <w:bottom w:val="nil"/>
            </w:tcBorders>
            <w:shd w:val="clear" w:color="auto" w:fill="D9D9D9" w:themeFill="background1" w:themeFillShade="D9"/>
          </w:tcPr>
          <w:p w14:paraId="504066B6" w14:textId="77777777" w:rsidR="007179EA" w:rsidRPr="00E042FA" w:rsidRDefault="007179EA" w:rsidP="00E042FA">
            <w:pPr>
              <w:pStyle w:val="TableText"/>
              <w:keepNext/>
              <w:ind w:right="113"/>
              <w:rPr>
                <w:b/>
              </w:rPr>
            </w:pPr>
            <w:r w:rsidRPr="00E042FA">
              <w:rPr>
                <w:b/>
              </w:rPr>
              <w:t>Service and investment priorities</w:t>
            </w:r>
          </w:p>
        </w:tc>
        <w:tc>
          <w:tcPr>
            <w:tcW w:w="5675" w:type="dxa"/>
            <w:tcBorders>
              <w:top w:val="nil"/>
              <w:bottom w:val="nil"/>
            </w:tcBorders>
            <w:shd w:val="clear" w:color="auto" w:fill="D9D9D9" w:themeFill="background1" w:themeFillShade="D9"/>
          </w:tcPr>
          <w:p w14:paraId="51B1367F" w14:textId="77777777" w:rsidR="007179EA" w:rsidRPr="00E042FA" w:rsidRDefault="007179EA" w:rsidP="00E042FA">
            <w:pPr>
              <w:pStyle w:val="TableText"/>
              <w:keepNext/>
              <w:rPr>
                <w:rFonts w:cs="Segoe UI"/>
                <w:b/>
              </w:rPr>
            </w:pPr>
            <w:r w:rsidRPr="00E042FA">
              <w:rPr>
                <w:rFonts w:cs="Segoe UI"/>
                <w:b/>
              </w:rPr>
              <w:t>Summary of service plan commitments</w:t>
            </w:r>
          </w:p>
        </w:tc>
      </w:tr>
      <w:tr w:rsidR="007179EA" w14:paraId="40384EEF" w14:textId="77777777" w:rsidTr="00E042FA">
        <w:trPr>
          <w:cantSplit/>
        </w:trPr>
        <w:tc>
          <w:tcPr>
            <w:tcW w:w="2405" w:type="dxa"/>
            <w:tcBorders>
              <w:top w:val="nil"/>
            </w:tcBorders>
          </w:tcPr>
          <w:p w14:paraId="7705AAC5" w14:textId="77777777" w:rsidR="007179EA" w:rsidRPr="00A84175" w:rsidRDefault="007179EA" w:rsidP="00E042FA">
            <w:pPr>
              <w:pStyle w:val="TableText"/>
              <w:ind w:right="113"/>
            </w:pPr>
            <w:r w:rsidRPr="00A84175">
              <w:t>Strengthen our public healt</w:t>
            </w:r>
            <w:r w:rsidR="00E042FA">
              <w:t>h approach including prevention</w:t>
            </w:r>
          </w:p>
        </w:tc>
        <w:tc>
          <w:tcPr>
            <w:tcW w:w="5675" w:type="dxa"/>
            <w:tcBorders>
              <w:top w:val="nil"/>
            </w:tcBorders>
          </w:tcPr>
          <w:p w14:paraId="2F754081" w14:textId="77777777" w:rsidR="007179EA" w:rsidRPr="00A84175" w:rsidRDefault="007179EA" w:rsidP="00E042FA">
            <w:pPr>
              <w:pStyle w:val="TableText"/>
            </w:pPr>
            <w:r>
              <w:rPr>
                <w:rFonts w:cs="Segoe UI"/>
              </w:rPr>
              <w:t xml:space="preserve">We will fund public health services and initiatives to building </w:t>
            </w:r>
            <w:r w:rsidRPr="00A84175">
              <w:rPr>
                <w:rFonts w:cs="Segoe UI"/>
              </w:rPr>
              <w:t>community awareness and resilience,</w:t>
            </w:r>
            <w:r>
              <w:rPr>
                <w:rFonts w:cs="Segoe UI"/>
              </w:rPr>
              <w:t xml:space="preserve"> </w:t>
            </w:r>
            <w:r w:rsidRPr="00A84175">
              <w:rPr>
                <w:rFonts w:cs="Segoe UI"/>
              </w:rPr>
              <w:t>address stigma and barriers, and enable access to service</w:t>
            </w:r>
            <w:r>
              <w:rPr>
                <w:rFonts w:cs="Segoe UI"/>
              </w:rPr>
              <w:t>s</w:t>
            </w:r>
            <w:r w:rsidRPr="00A84175">
              <w:rPr>
                <w:rFonts w:cs="Segoe UI"/>
              </w:rPr>
              <w:t xml:space="preserve"> and supports. This will reflect the diverse experiences of priority populations, including young people, and people with lived experience.</w:t>
            </w:r>
          </w:p>
        </w:tc>
      </w:tr>
      <w:tr w:rsidR="007179EA" w14:paraId="590C6732" w14:textId="77777777" w:rsidTr="00E042FA">
        <w:trPr>
          <w:cantSplit/>
        </w:trPr>
        <w:tc>
          <w:tcPr>
            <w:tcW w:w="2405" w:type="dxa"/>
          </w:tcPr>
          <w:p w14:paraId="4B38F7E5" w14:textId="77777777" w:rsidR="007179EA" w:rsidRPr="00A84175" w:rsidRDefault="007179EA" w:rsidP="00E042FA">
            <w:pPr>
              <w:pStyle w:val="TableText"/>
              <w:ind w:right="113"/>
            </w:pPr>
            <w:r w:rsidRPr="00A84175">
              <w:rPr>
                <w:rFonts w:cs="Segoe UI"/>
              </w:rPr>
              <w:t>Enable innovative, culturally appropri</w:t>
            </w:r>
            <w:r w:rsidR="00E042FA">
              <w:rPr>
                <w:rFonts w:cs="Segoe UI"/>
              </w:rPr>
              <w:t>ate service and support models</w:t>
            </w:r>
          </w:p>
        </w:tc>
        <w:tc>
          <w:tcPr>
            <w:tcW w:w="5675" w:type="dxa"/>
          </w:tcPr>
          <w:p w14:paraId="638AFA8F" w14:textId="77777777" w:rsidR="007179EA" w:rsidRPr="00A84175" w:rsidRDefault="007179EA" w:rsidP="00E042FA">
            <w:pPr>
              <w:pStyle w:val="TableText"/>
              <w:rPr>
                <w:rFonts w:cs="Segoe UI"/>
              </w:rPr>
            </w:pPr>
            <w:r w:rsidRPr="00A84175">
              <w:rPr>
                <w:rFonts w:cs="Segoe UI"/>
              </w:rPr>
              <w:t xml:space="preserve">The Ministry will re-tender for public health and clinical intervention services in early 2022. </w:t>
            </w:r>
            <w:r>
              <w:rPr>
                <w:rFonts w:cs="Segoe UI"/>
              </w:rPr>
              <w:t xml:space="preserve">This will include </w:t>
            </w:r>
            <w:r w:rsidRPr="00A84175">
              <w:rPr>
                <w:rFonts w:cs="Segoe UI"/>
              </w:rPr>
              <w:t>kaupapa Māori services and services based on Pacific and Asian world views. We are proposing to increase investment in clinical services to increase the FTE rate for gambling harm clinical intervention and support services to align with other Ministry-funded mental health and addiction clinical FTE rates.</w:t>
            </w:r>
          </w:p>
          <w:p w14:paraId="65BB2F24" w14:textId="77777777" w:rsidR="007179EA" w:rsidRPr="00A84175" w:rsidRDefault="007179EA" w:rsidP="00E042FA">
            <w:pPr>
              <w:pStyle w:val="TableText"/>
            </w:pPr>
            <w:r w:rsidRPr="00A84175">
              <w:rPr>
                <w:rFonts w:cs="Segoe UI"/>
              </w:rPr>
              <w:t>We will also develop and evaluate innovative service models and approaches.</w:t>
            </w:r>
          </w:p>
        </w:tc>
      </w:tr>
      <w:tr w:rsidR="007179EA" w14:paraId="64C466C6" w14:textId="77777777" w:rsidTr="00E042FA">
        <w:trPr>
          <w:cantSplit/>
        </w:trPr>
        <w:tc>
          <w:tcPr>
            <w:tcW w:w="2405" w:type="dxa"/>
          </w:tcPr>
          <w:p w14:paraId="4BDFD150" w14:textId="77777777" w:rsidR="007179EA" w:rsidRPr="00A84175" w:rsidRDefault="007179EA" w:rsidP="00E042FA">
            <w:pPr>
              <w:pStyle w:val="TableText"/>
              <w:ind w:right="113"/>
            </w:pPr>
            <w:r w:rsidRPr="00A84175">
              <w:rPr>
                <w:rFonts w:cs="Segoe UI"/>
              </w:rPr>
              <w:t>Invest i</w:t>
            </w:r>
            <w:r w:rsidR="00E042FA">
              <w:rPr>
                <w:rFonts w:cs="Segoe UI"/>
              </w:rPr>
              <w:t>n digital services and supports</w:t>
            </w:r>
          </w:p>
        </w:tc>
        <w:tc>
          <w:tcPr>
            <w:tcW w:w="5675" w:type="dxa"/>
          </w:tcPr>
          <w:p w14:paraId="646DD655" w14:textId="77777777" w:rsidR="007179EA" w:rsidRPr="00A84175" w:rsidRDefault="007179EA" w:rsidP="00E042FA">
            <w:pPr>
              <w:pStyle w:val="TableText"/>
            </w:pPr>
            <w:r>
              <w:rPr>
                <w:rFonts w:cs="Segoe UI"/>
              </w:rPr>
              <w:t>We will develop digital</w:t>
            </w:r>
            <w:r w:rsidRPr="00A84175">
              <w:rPr>
                <w:rFonts w:cs="Segoe UI"/>
              </w:rPr>
              <w:t xml:space="preserve"> service and support</w:t>
            </w:r>
            <w:r>
              <w:rPr>
                <w:rFonts w:cs="Segoe UI"/>
              </w:rPr>
              <w:t>s</w:t>
            </w:r>
            <w:r w:rsidRPr="00A84175">
              <w:rPr>
                <w:rFonts w:cs="Segoe UI"/>
              </w:rPr>
              <w:t xml:space="preserve"> to </w:t>
            </w:r>
            <w:r>
              <w:rPr>
                <w:rFonts w:cs="Segoe UI"/>
              </w:rPr>
              <w:t>provide choice and be more</w:t>
            </w:r>
            <w:r w:rsidRPr="00A84175">
              <w:rPr>
                <w:rFonts w:cs="Segoe UI"/>
              </w:rPr>
              <w:t xml:space="preserve"> accessible, innovative and responsive to different needs and preferences.</w:t>
            </w:r>
          </w:p>
        </w:tc>
      </w:tr>
      <w:tr w:rsidR="007179EA" w14:paraId="3EB22410" w14:textId="77777777" w:rsidTr="00E042FA">
        <w:trPr>
          <w:cantSplit/>
        </w:trPr>
        <w:tc>
          <w:tcPr>
            <w:tcW w:w="2405" w:type="dxa"/>
          </w:tcPr>
          <w:p w14:paraId="5DA7A959" w14:textId="77777777" w:rsidR="007179EA" w:rsidRPr="00A84175" w:rsidRDefault="007179EA" w:rsidP="00E042FA">
            <w:pPr>
              <w:pStyle w:val="TableText"/>
              <w:ind w:right="113"/>
            </w:pPr>
            <w:r w:rsidRPr="00A84175">
              <w:t>Strengthen system and sect</w:t>
            </w:r>
            <w:r w:rsidR="00E042FA">
              <w:t>or leadership and collaboration</w:t>
            </w:r>
          </w:p>
        </w:tc>
        <w:tc>
          <w:tcPr>
            <w:tcW w:w="5675" w:type="dxa"/>
          </w:tcPr>
          <w:p w14:paraId="041898FF" w14:textId="77777777" w:rsidR="007179EA" w:rsidRPr="00A84175" w:rsidRDefault="007179EA" w:rsidP="00E042FA">
            <w:pPr>
              <w:pStyle w:val="TableText"/>
            </w:pPr>
            <w:r w:rsidRPr="00A84175">
              <w:t>We will work in collaboration with Māori and other priority populations, service providers, agencies</w:t>
            </w:r>
            <w:r>
              <w:t>,</w:t>
            </w:r>
            <w:r w:rsidRPr="00A84175">
              <w:t xml:space="preserve"> the research and evaluation section gambling industry.</w:t>
            </w:r>
            <w:r w:rsidR="00BC6B27">
              <w:t xml:space="preserve"> </w:t>
            </w:r>
            <w:r w:rsidRPr="00A84175">
              <w:t>We will commission and work with services to enable sector and community leadership.</w:t>
            </w:r>
            <w:r>
              <w:t xml:space="preserve"> </w:t>
            </w:r>
            <w:r w:rsidRPr="00A84175">
              <w:t>We will invest in the National Coordination Service and International Gamb</w:t>
            </w:r>
            <w:r w:rsidR="00E042FA">
              <w:t>ling Conference and Think Tank.</w:t>
            </w:r>
          </w:p>
        </w:tc>
      </w:tr>
      <w:tr w:rsidR="007179EA" w14:paraId="09F5B371" w14:textId="77777777" w:rsidTr="00E042FA">
        <w:trPr>
          <w:cantSplit/>
        </w:trPr>
        <w:tc>
          <w:tcPr>
            <w:tcW w:w="2405" w:type="dxa"/>
          </w:tcPr>
          <w:p w14:paraId="531E40D8" w14:textId="77777777" w:rsidR="007179EA" w:rsidRPr="00A84175" w:rsidRDefault="007179EA" w:rsidP="00E042FA">
            <w:pPr>
              <w:pStyle w:val="TableText"/>
              <w:ind w:right="113"/>
            </w:pPr>
            <w:r w:rsidRPr="00A84175">
              <w:rPr>
                <w:rFonts w:cs="Segoe UI"/>
              </w:rPr>
              <w:t>Sustain fun</w:t>
            </w:r>
            <w:r w:rsidR="00E042FA">
              <w:rPr>
                <w:rFonts w:cs="Segoe UI"/>
              </w:rPr>
              <w:t>ding in research and evaluation</w:t>
            </w:r>
          </w:p>
        </w:tc>
        <w:tc>
          <w:tcPr>
            <w:tcW w:w="5675" w:type="dxa"/>
          </w:tcPr>
          <w:p w14:paraId="4AAA7FCD" w14:textId="77777777" w:rsidR="007179EA" w:rsidRPr="00A84175" w:rsidRDefault="007179EA" w:rsidP="00E042FA">
            <w:pPr>
              <w:pStyle w:val="TableText"/>
            </w:pPr>
            <w:r w:rsidRPr="00A84175">
              <w:rPr>
                <w:rFonts w:cs="Segoe UI"/>
              </w:rPr>
              <w:t>This will better inform our understanding of gambling behaviour and service efficacy, informed by greater engagement with affected communities. This includes further research into youth and online gambling.</w:t>
            </w:r>
          </w:p>
        </w:tc>
      </w:tr>
      <w:tr w:rsidR="007179EA" w14:paraId="015F0769" w14:textId="77777777" w:rsidTr="00E042FA">
        <w:trPr>
          <w:cantSplit/>
        </w:trPr>
        <w:tc>
          <w:tcPr>
            <w:tcW w:w="2405" w:type="dxa"/>
          </w:tcPr>
          <w:p w14:paraId="31F1B2F8" w14:textId="77777777" w:rsidR="007179EA" w:rsidRPr="00A84175" w:rsidRDefault="007179EA" w:rsidP="00E042FA">
            <w:pPr>
              <w:pStyle w:val="TableText"/>
              <w:ind w:right="113"/>
            </w:pPr>
            <w:r w:rsidRPr="00A84175">
              <w:t>Invest in developing a</w:t>
            </w:r>
            <w:r w:rsidR="00E042FA">
              <w:t xml:space="preserve"> </w:t>
            </w:r>
            <w:r w:rsidRPr="00A84175">
              <w:t>skilled, enabled, culturally safe and responsive workforce</w:t>
            </w:r>
          </w:p>
        </w:tc>
        <w:tc>
          <w:tcPr>
            <w:tcW w:w="5675" w:type="dxa"/>
          </w:tcPr>
          <w:p w14:paraId="206BA16C" w14:textId="77777777" w:rsidR="00BC6B27" w:rsidRDefault="007179EA" w:rsidP="00E042FA">
            <w:pPr>
              <w:pStyle w:val="TableText"/>
            </w:pPr>
            <w:r w:rsidRPr="00A84175">
              <w:t>We will strengthen training pathways to develop and diversify the gambling harm and peer workforce.</w:t>
            </w:r>
          </w:p>
          <w:p w14:paraId="5C1C7118" w14:textId="77777777" w:rsidR="007179EA" w:rsidRPr="00A84175" w:rsidRDefault="007179EA" w:rsidP="00E042FA">
            <w:pPr>
              <w:pStyle w:val="TableText"/>
            </w:pPr>
            <w:r w:rsidRPr="00A84175">
              <w:t>This will include a range of scholarships for priority populations and people with lived experience to enter the gambling harm workforce, including New Zealand Qualification Authority (NZQA) level 7 and lower level qualifications and peer workforce qualifications.</w:t>
            </w:r>
          </w:p>
          <w:p w14:paraId="4A2B7CC9" w14:textId="77777777" w:rsidR="007179EA" w:rsidRPr="00A84175" w:rsidRDefault="007179EA" w:rsidP="00E042FA">
            <w:pPr>
              <w:pStyle w:val="TableText"/>
            </w:pPr>
            <w:r w:rsidRPr="00A84175">
              <w:t>We will continue to invest in workforce development for the contracted public health and clinical gambling harm workforce.</w:t>
            </w:r>
          </w:p>
        </w:tc>
      </w:tr>
      <w:tr w:rsidR="007179EA" w14:paraId="5A4AE641" w14:textId="77777777" w:rsidTr="00E042FA">
        <w:trPr>
          <w:cantSplit/>
        </w:trPr>
        <w:tc>
          <w:tcPr>
            <w:tcW w:w="2405" w:type="dxa"/>
          </w:tcPr>
          <w:p w14:paraId="35ABF933" w14:textId="77777777" w:rsidR="007179EA" w:rsidRPr="00A84175" w:rsidRDefault="007179EA" w:rsidP="00E042FA">
            <w:pPr>
              <w:pStyle w:val="TableText"/>
              <w:ind w:right="113"/>
            </w:pPr>
            <w:r w:rsidRPr="00A84175">
              <w:t>Invest in stronger Ministry leadership and delivery</w:t>
            </w:r>
          </w:p>
        </w:tc>
        <w:tc>
          <w:tcPr>
            <w:tcW w:w="5675" w:type="dxa"/>
          </w:tcPr>
          <w:p w14:paraId="2183D9E5" w14:textId="77777777" w:rsidR="007179EA" w:rsidRPr="00A84175" w:rsidRDefault="007179EA" w:rsidP="00E042FA">
            <w:pPr>
              <w:pStyle w:val="TableText"/>
            </w:pPr>
            <w:r w:rsidRPr="00A84175">
              <w:t>We are proposing an increased to the Ministry</w:t>
            </w:r>
            <w:r w:rsidR="00BC6B27">
              <w:t>’</w:t>
            </w:r>
            <w:r w:rsidRPr="00A84175">
              <w:t>s operating costs to strengthen the Ministry</w:t>
            </w:r>
            <w:r w:rsidR="00BC6B27">
              <w:t>’</w:t>
            </w:r>
            <w:r w:rsidRPr="00A84175">
              <w:t>s leadership function and deliver an expanded work pro</w:t>
            </w:r>
            <w:r w:rsidR="00E042FA">
              <w:t>gramme.</w:t>
            </w:r>
          </w:p>
        </w:tc>
      </w:tr>
    </w:tbl>
    <w:p w14:paraId="06703112" w14:textId="77777777" w:rsidR="00E042FA" w:rsidRDefault="00E042FA" w:rsidP="00E042FA"/>
    <w:p w14:paraId="191730C5" w14:textId="77777777" w:rsidR="007179EA" w:rsidRDefault="007179EA" w:rsidP="00E042FA">
      <w:pPr>
        <w:pStyle w:val="Heading3"/>
      </w:pPr>
      <w:r>
        <w:lastRenderedPageBreak/>
        <w:t>How the service plan aligns with the strategic framework</w:t>
      </w:r>
    </w:p>
    <w:bookmarkEnd w:id="148"/>
    <w:p w14:paraId="29B6B602" w14:textId="77777777" w:rsidR="00BC6B27" w:rsidRDefault="007179EA" w:rsidP="00E042FA">
      <w:pPr>
        <w:keepNext/>
      </w:pPr>
      <w:r w:rsidRPr="005E3C65">
        <w:t xml:space="preserve">The strategic framework </w:t>
      </w:r>
      <w:r w:rsidRPr="00892A1F">
        <w:t>highlights</w:t>
      </w:r>
      <w:r>
        <w:t xml:space="preserve"> </w:t>
      </w:r>
      <w:r w:rsidRPr="005E3C65">
        <w:t>the priority action areas</w:t>
      </w:r>
      <w:r>
        <w:t xml:space="preserve"> that align with </w:t>
      </w:r>
      <w:r w:rsidRPr="003D2E77">
        <w:t>the service plan</w:t>
      </w:r>
      <w:r w:rsidRPr="005E3C65">
        <w:t>, these include</w:t>
      </w:r>
    </w:p>
    <w:p w14:paraId="6171264B" w14:textId="77777777" w:rsidR="007179EA" w:rsidRPr="00BC6B27" w:rsidRDefault="007179EA" w:rsidP="003116E7">
      <w:pPr>
        <w:pStyle w:val="Bullet"/>
        <w:keepNext/>
      </w:pPr>
      <w:r w:rsidRPr="00BC6B27">
        <w:t>placing people at the centre, including lived experience of gambling harm, affected groups, communities and stakeholders</w:t>
      </w:r>
    </w:p>
    <w:p w14:paraId="4CD6F498" w14:textId="77777777" w:rsidR="007179EA" w:rsidRPr="00BC6B27" w:rsidRDefault="007179EA" w:rsidP="00E042FA">
      <w:pPr>
        <w:pStyle w:val="Bullet"/>
      </w:pPr>
      <w:r w:rsidRPr="00BC6B27">
        <w:t>a stronger focus on equity and supporting priority populations: Māori, Pacific peoples, Asian peoples and young people/rangatahi, by developing age and culture a</w:t>
      </w:r>
      <w:r w:rsidR="00E042FA">
        <w:t>ppropriate services and support</w:t>
      </w:r>
    </w:p>
    <w:p w14:paraId="6D7253E4" w14:textId="77777777" w:rsidR="00BC6B27" w:rsidRPr="00BC6B27" w:rsidRDefault="007179EA" w:rsidP="00E042FA">
      <w:pPr>
        <w:pStyle w:val="Bullet"/>
      </w:pPr>
      <w:r w:rsidRPr="00BC6B27">
        <w:t>strengthening public health prevention and education, including a new focus to support for young people/rangatahi and to address stigma relate</w:t>
      </w:r>
      <w:r w:rsidR="00E042FA">
        <w:t>d to gambling and gambling harm</w:t>
      </w:r>
    </w:p>
    <w:p w14:paraId="56094883" w14:textId="77777777" w:rsidR="007179EA" w:rsidRPr="00BC6B27" w:rsidRDefault="007179EA" w:rsidP="00E042FA">
      <w:pPr>
        <w:pStyle w:val="Bullet"/>
      </w:pPr>
      <w:r w:rsidRPr="00BC6B27">
        <w:t>an increased focus on creating a diverse, skilled, culturally responsive and safe</w:t>
      </w:r>
      <w:r w:rsidR="00BC6B27" w:rsidRPr="00BC6B27">
        <w:t xml:space="preserve"> </w:t>
      </w:r>
      <w:r w:rsidRPr="00BC6B27">
        <w:t>workforce, including support for Māori, Pacific peoples, Asian peoples, young people/rangatahi and people with lived</w:t>
      </w:r>
      <w:r w:rsidR="00E042FA">
        <w:t xml:space="preserve"> experience enter the workforce</w:t>
      </w:r>
    </w:p>
    <w:p w14:paraId="3D2FBF01" w14:textId="77777777" w:rsidR="007179EA" w:rsidRPr="00BC6B27" w:rsidRDefault="007179EA" w:rsidP="00E042FA">
      <w:pPr>
        <w:pStyle w:val="Bullet"/>
      </w:pPr>
      <w:r w:rsidRPr="00BC6B27">
        <w:t>better sharing of information and evidence from research and evaluations to enable robust, evidence-based decisions about services and policies.</w:t>
      </w:r>
    </w:p>
    <w:p w14:paraId="6BBF550A" w14:textId="77777777" w:rsidR="00E042FA" w:rsidRDefault="00E042FA" w:rsidP="00E042FA"/>
    <w:p w14:paraId="262E4C02" w14:textId="77777777" w:rsidR="007179EA" w:rsidRPr="00141285" w:rsidRDefault="007179EA" w:rsidP="00E042FA">
      <w:r w:rsidRPr="00141285">
        <w:t>Most of the submissions that commented on the service plan supported the overall scope and mix of services, the proposed research priorities and new investments, particularly activities to:</w:t>
      </w:r>
    </w:p>
    <w:p w14:paraId="5926A771" w14:textId="77777777" w:rsidR="00BC6B27" w:rsidRPr="00BC6B27" w:rsidRDefault="007179EA" w:rsidP="00E042FA">
      <w:pPr>
        <w:pStyle w:val="Bullet"/>
      </w:pPr>
      <w:r w:rsidRPr="00BC6B27">
        <w:t>address health inequities, including rangatahi as a priority population, and investments to develop the gambling harm and peer workforce</w:t>
      </w:r>
    </w:p>
    <w:p w14:paraId="3AF2752A" w14:textId="77777777" w:rsidR="007179EA" w:rsidRPr="00BC6B27" w:rsidRDefault="007179EA" w:rsidP="00E042FA">
      <w:pPr>
        <w:pStyle w:val="Bullet"/>
      </w:pPr>
      <w:r w:rsidRPr="00BC6B27">
        <w:t>develop more culturally appropriate and intensive support models of care, to improve access and choice</w:t>
      </w:r>
    </w:p>
    <w:p w14:paraId="0285A14E" w14:textId="77777777" w:rsidR="007179EA" w:rsidRPr="00BC6B27" w:rsidRDefault="007179EA" w:rsidP="00E042FA">
      <w:pPr>
        <w:pStyle w:val="Bullet"/>
      </w:pPr>
      <w:r w:rsidRPr="00BC6B27">
        <w:t>strengthen the approach to public health, to address stigma and improve health education</w:t>
      </w:r>
    </w:p>
    <w:p w14:paraId="5B89E708" w14:textId="77777777" w:rsidR="00BC6B27" w:rsidRPr="00BC6B27" w:rsidRDefault="007179EA" w:rsidP="00E042FA">
      <w:pPr>
        <w:pStyle w:val="Bullet"/>
      </w:pPr>
      <w:r w:rsidRPr="00BC6B27">
        <w:t>strengthen the voice of lived experience and peer support, and</w:t>
      </w:r>
    </w:p>
    <w:p w14:paraId="5470F280" w14:textId="77777777" w:rsidR="00BC6B27" w:rsidRPr="00BC6B27" w:rsidRDefault="007179EA" w:rsidP="00E042FA">
      <w:pPr>
        <w:pStyle w:val="Bullet"/>
      </w:pPr>
      <w:r w:rsidRPr="00BC6B27">
        <w:t>continue developing technological and service innovations.</w:t>
      </w:r>
    </w:p>
    <w:p w14:paraId="0C140C1E" w14:textId="77777777" w:rsidR="007179EA" w:rsidRDefault="007179EA" w:rsidP="00E042FA"/>
    <w:p w14:paraId="782198C9" w14:textId="77777777" w:rsidR="00BC6B27" w:rsidRDefault="00E042FA" w:rsidP="007179EA">
      <w:pPr>
        <w:spacing w:after="120"/>
        <w:rPr>
          <w:rFonts w:cs="Segoe UI"/>
          <w:szCs w:val="21"/>
        </w:rPr>
      </w:pPr>
      <w:r>
        <w:rPr>
          <w:rFonts w:cs="Segoe UI"/>
          <w:szCs w:val="21"/>
        </w:rPr>
        <w:t xml:space="preserve"> </w:t>
      </w:r>
      <w:r w:rsidR="007179EA" w:rsidRPr="003D2E77">
        <w:rPr>
          <w:rFonts w:cs="Segoe UI"/>
          <w:szCs w:val="21"/>
        </w:rPr>
        <w:t xml:space="preserve">We note that several of the </w:t>
      </w:r>
      <w:r w:rsidR="007179EA">
        <w:rPr>
          <w:rFonts w:cs="Segoe UI"/>
          <w:szCs w:val="21"/>
        </w:rPr>
        <w:t xml:space="preserve">proposed </w:t>
      </w:r>
      <w:r w:rsidR="007179EA" w:rsidRPr="003D2E77">
        <w:rPr>
          <w:rFonts w:cs="Segoe UI"/>
          <w:szCs w:val="21"/>
        </w:rPr>
        <w:t>strategic priority actions and objectives described in the strategic plan will permeate throughout the service plan.</w:t>
      </w:r>
      <w:r w:rsidR="00BC6B27">
        <w:rPr>
          <w:rFonts w:cs="Segoe UI"/>
          <w:szCs w:val="21"/>
        </w:rPr>
        <w:t xml:space="preserve"> </w:t>
      </w:r>
      <w:r w:rsidR="007179EA" w:rsidRPr="003D2E77">
        <w:rPr>
          <w:rFonts w:cs="Segoe UI"/>
          <w:szCs w:val="21"/>
        </w:rPr>
        <w:t xml:space="preserve">For example, the strategic focus to address </w:t>
      </w:r>
      <w:r w:rsidR="007179EA">
        <w:rPr>
          <w:rFonts w:cs="Segoe UI"/>
          <w:szCs w:val="21"/>
        </w:rPr>
        <w:t xml:space="preserve">equity issues </w:t>
      </w:r>
      <w:r w:rsidR="007179EA" w:rsidRPr="003D2E77">
        <w:rPr>
          <w:rFonts w:cs="Segoe UI"/>
          <w:szCs w:val="21"/>
        </w:rPr>
        <w:t xml:space="preserve">and to provide a spectrum of services and support necessarily requires identifying and responding to the needs of </w:t>
      </w:r>
      <w:r w:rsidR="007179EA">
        <w:rPr>
          <w:rFonts w:cs="Segoe UI"/>
          <w:szCs w:val="21"/>
        </w:rPr>
        <w:t>Māori</w:t>
      </w:r>
      <w:r w:rsidR="007179EA" w:rsidRPr="003D2E77">
        <w:rPr>
          <w:rFonts w:cs="Segoe UI"/>
          <w:szCs w:val="21"/>
        </w:rPr>
        <w:t>, Pacific, Asian and young people (the priority populations) and placing people at the centre, which will be reflected to varying degrees in each of the activities described in the service plan. For example, to</w:t>
      </w:r>
      <w:r>
        <w:rPr>
          <w:rFonts w:cs="Segoe UI"/>
          <w:szCs w:val="21"/>
        </w:rPr>
        <w:t>:</w:t>
      </w:r>
    </w:p>
    <w:p w14:paraId="3BEF5892" w14:textId="77777777" w:rsidR="00BC6B27" w:rsidRPr="00BC6B27" w:rsidRDefault="007179EA" w:rsidP="00E042FA">
      <w:pPr>
        <w:pStyle w:val="Bullet"/>
      </w:pPr>
      <w:r w:rsidRPr="00BC6B27">
        <w:t>ensure there is meaningful, inclusive engagement, to collaborate with affected communities and lived experience in service design, delivery, and evaluation</w:t>
      </w:r>
    </w:p>
    <w:p w14:paraId="6825B520" w14:textId="77777777" w:rsidR="00E042FA" w:rsidRPr="00BC6B27" w:rsidRDefault="007179EA" w:rsidP="00E042FA">
      <w:pPr>
        <w:pStyle w:val="Bullet"/>
      </w:pPr>
      <w:r w:rsidRPr="00BC6B27">
        <w:t>provide age appropriate, culturally responsive and holistic service models, such as to support Kaupapa Māori services or services based on Pacific and Asian world views. This will identify barriers to equitable access and provide a range of services and supports along a continuum of need</w:t>
      </w:r>
    </w:p>
    <w:p w14:paraId="09A26F89" w14:textId="77777777" w:rsidR="007179EA" w:rsidRPr="00BC6B27" w:rsidRDefault="007179EA" w:rsidP="00E042FA">
      <w:pPr>
        <w:pStyle w:val="Bullet"/>
      </w:pPr>
      <w:r w:rsidRPr="00BC6B27">
        <w:rPr>
          <w:rFonts w:eastAsiaTheme="minorEastAsia"/>
          <w:color w:val="000000" w:themeColor="text1"/>
          <w:kern w:val="24"/>
          <w:lang w:eastAsia="en-NZ"/>
        </w:rPr>
        <w:lastRenderedPageBreak/>
        <w:t>improve awareness of the risks and signs of gambling harm, how to seek help and making positive behaviour and lifestyle changes and enable supportive conversations to challenge stigma and enhance mana</w:t>
      </w:r>
    </w:p>
    <w:p w14:paraId="379D8541" w14:textId="77777777" w:rsidR="00BC6B27" w:rsidRPr="00BC6B27" w:rsidRDefault="007179EA" w:rsidP="00E042FA">
      <w:pPr>
        <w:pStyle w:val="Bullet"/>
        <w:rPr>
          <w:rFonts w:eastAsiaTheme="minorEastAsia"/>
          <w:lang w:eastAsia="en-NZ"/>
        </w:rPr>
      </w:pPr>
      <w:r w:rsidRPr="00BC6B27">
        <w:t>enable innovation and flexibility, supported by evidence from</w:t>
      </w:r>
      <w:r w:rsidRPr="00BC6B27">
        <w:rPr>
          <w:rFonts w:eastAsiaTheme="minorEastAsia"/>
          <w:lang w:eastAsia="en-NZ"/>
        </w:rPr>
        <w:t xml:space="preserve"> research and evaluation to improve equitable access and outcomes</w:t>
      </w:r>
    </w:p>
    <w:p w14:paraId="310DE814" w14:textId="77777777" w:rsidR="007179EA" w:rsidRPr="00BC6B27" w:rsidRDefault="007179EA" w:rsidP="00E042FA">
      <w:pPr>
        <w:pStyle w:val="Bullet"/>
      </w:pPr>
      <w:r w:rsidRPr="00BC6B27">
        <w:t>develop a diverse, skilled, culturally responsive and safe</w:t>
      </w:r>
      <w:r w:rsidRPr="00BC6B27" w:rsidDel="00CF42C8">
        <w:t xml:space="preserve"> </w:t>
      </w:r>
      <w:r w:rsidRPr="00BC6B27">
        <w:t>gambling harm workforce</w:t>
      </w:r>
      <w:r w:rsidR="00E042FA">
        <w:t>.</w:t>
      </w:r>
    </w:p>
    <w:p w14:paraId="7D8D1C75" w14:textId="77777777" w:rsidR="00E042FA" w:rsidRDefault="00E042FA" w:rsidP="00E042FA"/>
    <w:p w14:paraId="2989A280" w14:textId="1BC7F6D1" w:rsidR="007179EA" w:rsidRPr="00002B3E" w:rsidRDefault="00E042FA" w:rsidP="00E042FA">
      <w:r>
        <w:fldChar w:fldCharType="begin"/>
      </w:r>
      <w:r>
        <w:instrText xml:space="preserve"> REF _Ref90609834 \h </w:instrText>
      </w:r>
      <w:r>
        <w:fldChar w:fldCharType="separate"/>
      </w:r>
      <w:r w:rsidR="00451900">
        <w:t>Table </w:t>
      </w:r>
      <w:r w:rsidR="00451900">
        <w:rPr>
          <w:noProof/>
        </w:rPr>
        <w:t>2</w:t>
      </w:r>
      <w:r>
        <w:fldChar w:fldCharType="end"/>
      </w:r>
      <w:r w:rsidR="007179EA">
        <w:t xml:space="preserve"> </w:t>
      </w:r>
      <w:r w:rsidR="007179EA" w:rsidRPr="004A3B78">
        <w:t>shows how the activities in the proposed service plan align with the strategic objectives that they are most likely to impact.</w:t>
      </w:r>
    </w:p>
    <w:p w14:paraId="202BD4DB" w14:textId="77777777" w:rsidR="00E042FA" w:rsidRDefault="00E042FA" w:rsidP="00E042FA"/>
    <w:p w14:paraId="4C918C8E" w14:textId="77777777" w:rsidR="00BC6B27" w:rsidRDefault="007179EA" w:rsidP="00E042FA">
      <w:r w:rsidRPr="00D519B4">
        <w:t xml:space="preserve">Some submissions suggested the proposed changes did not go far enough to address the causes of problem gambling and should be </w:t>
      </w:r>
      <w:r w:rsidR="00BC6B27">
        <w:t>‘</w:t>
      </w:r>
      <w:r w:rsidRPr="00D519B4">
        <w:t>bolder</w:t>
      </w:r>
      <w:r w:rsidR="00BC6B27">
        <w:t>’</w:t>
      </w:r>
      <w:r w:rsidRPr="00D519B4">
        <w:t xml:space="preserve"> and more was required in research. Industry submissions, mostly from NCGM sector, did not support </w:t>
      </w:r>
      <w:r w:rsidR="00BC6B27">
        <w:t>“</w:t>
      </w:r>
      <w:r w:rsidRPr="00D519B4">
        <w:t>more of the same</w:t>
      </w:r>
      <w:r w:rsidR="00BC6B27">
        <w:t>”</w:t>
      </w:r>
      <w:r w:rsidRPr="00D519B4">
        <w:t xml:space="preserve"> or additional funding unless it would make the strategy more effective. They called for an overhaul of services, to improve access to face-to-face counselling, after</w:t>
      </w:r>
      <w:r w:rsidR="00E042FA">
        <w:noBreakHyphen/>
      </w:r>
      <w:r w:rsidRPr="00D519B4">
        <w:t>hours, and weekend support, and provide for more longer term, holistic support.</w:t>
      </w:r>
    </w:p>
    <w:p w14:paraId="06CA09DE" w14:textId="77777777" w:rsidR="00E042FA" w:rsidRDefault="00E042FA" w:rsidP="00E042FA"/>
    <w:p w14:paraId="0FE93ACE" w14:textId="77777777" w:rsidR="00BC6B27" w:rsidRDefault="007179EA" w:rsidP="00E042FA">
      <w:r w:rsidRPr="00133E1F">
        <w:t xml:space="preserve">We acknowledge many submissions </w:t>
      </w:r>
      <w:r>
        <w:t xml:space="preserve">affirmed </w:t>
      </w:r>
      <w:r w:rsidRPr="00CF42C8">
        <w:t>the needs assessment conclusion that more progress needs to be made</w:t>
      </w:r>
      <w:r>
        <w:t>. T</w:t>
      </w:r>
      <w:r w:rsidRPr="00CF42C8">
        <w:t>he proposed service plan described below includes additional new investments to address identified gaps and priorities that we expect will contribute to this change.</w:t>
      </w:r>
      <w:r>
        <w:t xml:space="preserve"> As discussed in the strategic framework above, change also needs to be balanced against the need to provide for continuity of services to meet the needs of cohorts within the population.</w:t>
      </w:r>
    </w:p>
    <w:p w14:paraId="0181AA4F" w14:textId="77777777" w:rsidR="00E042FA" w:rsidRDefault="00E042FA" w:rsidP="00E042FA"/>
    <w:p w14:paraId="666F5863" w14:textId="77777777" w:rsidR="007179EA" w:rsidRPr="00F6044D" w:rsidRDefault="007179EA" w:rsidP="00E042FA">
      <w:r w:rsidRPr="00DC4773">
        <w:t xml:space="preserve">Societal and cultural change of the kind required to achieve our strategic goal: </w:t>
      </w:r>
      <w:r w:rsidR="00BC6B27">
        <w:t>‘</w:t>
      </w:r>
      <w:r w:rsidRPr="00DC4773">
        <w:t>promoting equity and wellbeing by preventing and reducing gambling-related harm</w:t>
      </w:r>
      <w:r w:rsidR="00BC6B27">
        <w:t>’</w:t>
      </w:r>
      <w:r w:rsidRPr="00DC4773">
        <w:t>, will take time to impact on our priority populations (Mā</w:t>
      </w:r>
      <w:r w:rsidRPr="00F6044D">
        <w:t xml:space="preserve">ori, Pacific peoples, Asian peoples and young people/rangatahi) as will changes to enablers such as attitudes to gambling harm, service models and workforce mix, capacity, and capability. </w:t>
      </w:r>
      <w:r>
        <w:t>The current strategic framework has a six-year timeframe, and work is proposed to develop long term indicators to measure progress towards improving the health equity and wellbeing in relation to gambling harm.</w:t>
      </w:r>
    </w:p>
    <w:p w14:paraId="589EB6F0" w14:textId="77777777" w:rsidR="007179EA" w:rsidRPr="00BC6B27" w:rsidRDefault="007179EA" w:rsidP="00E042FA"/>
    <w:p w14:paraId="5BDD0CD9" w14:textId="3E495CE8" w:rsidR="007179EA" w:rsidRPr="003D2E77" w:rsidRDefault="00E042FA" w:rsidP="003116E7">
      <w:pPr>
        <w:pStyle w:val="Table"/>
      </w:pPr>
      <w:bookmarkStart w:id="152" w:name="_Ref90609834"/>
      <w:bookmarkStart w:id="153" w:name="_Toc89335318"/>
      <w:bookmarkStart w:id="154" w:name="_Toc90626952"/>
      <w:r>
        <w:lastRenderedPageBreak/>
        <w:t>Table </w:t>
      </w:r>
      <w:fldSimple w:instr=" SEQ Table \* ARABIC ">
        <w:r w:rsidR="00451900">
          <w:rPr>
            <w:noProof/>
          </w:rPr>
          <w:t>2</w:t>
        </w:r>
      </w:fldSimple>
      <w:bookmarkEnd w:id="152"/>
      <w:r w:rsidR="007179EA">
        <w:t xml:space="preserve">: </w:t>
      </w:r>
      <w:r w:rsidR="007179EA" w:rsidRPr="00ED47C6">
        <w:t xml:space="preserve">Service </w:t>
      </w:r>
      <w:r>
        <w:t>p</w:t>
      </w:r>
      <w:r w:rsidR="007179EA" w:rsidRPr="00ED47C6">
        <w:t xml:space="preserve">lan </w:t>
      </w:r>
      <w:r>
        <w:t>a</w:t>
      </w:r>
      <w:r w:rsidR="007179EA" w:rsidRPr="00ED47C6">
        <w:t xml:space="preserve">ctivity by </w:t>
      </w:r>
      <w:r>
        <w:t>s</w:t>
      </w:r>
      <w:r w:rsidR="007179EA" w:rsidRPr="00ED47C6">
        <w:t>trategic objectives</w:t>
      </w:r>
      <w:bookmarkEnd w:id="153"/>
      <w:bookmarkEnd w:id="15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1275"/>
        <w:gridCol w:w="1276"/>
        <w:gridCol w:w="1276"/>
        <w:gridCol w:w="2268"/>
      </w:tblGrid>
      <w:tr w:rsidR="007179EA" w:rsidRPr="00E042FA" w14:paraId="200EA130" w14:textId="77777777" w:rsidTr="003116E7">
        <w:trPr>
          <w:cantSplit/>
          <w:tblHeader/>
        </w:trPr>
        <w:tc>
          <w:tcPr>
            <w:tcW w:w="1985" w:type="dxa"/>
            <w:tcBorders>
              <w:top w:val="nil"/>
              <w:bottom w:val="nil"/>
            </w:tcBorders>
            <w:shd w:val="clear" w:color="auto" w:fill="D9D9D9" w:themeFill="background1" w:themeFillShade="D9"/>
          </w:tcPr>
          <w:p w14:paraId="4A42BDBE" w14:textId="77777777" w:rsidR="007179EA" w:rsidRPr="00E042FA" w:rsidRDefault="007179EA" w:rsidP="003116E7">
            <w:pPr>
              <w:pStyle w:val="TableText"/>
              <w:keepNext/>
              <w:rPr>
                <w:b/>
              </w:rPr>
            </w:pPr>
            <w:r w:rsidRPr="00E042FA">
              <w:rPr>
                <w:b/>
              </w:rPr>
              <w:t>Service plan activity area</w:t>
            </w:r>
          </w:p>
        </w:tc>
        <w:tc>
          <w:tcPr>
            <w:tcW w:w="1275" w:type="dxa"/>
            <w:tcBorders>
              <w:top w:val="nil"/>
              <w:bottom w:val="nil"/>
            </w:tcBorders>
            <w:shd w:val="clear" w:color="auto" w:fill="D9D9D9" w:themeFill="background1" w:themeFillShade="D9"/>
          </w:tcPr>
          <w:p w14:paraId="7D7604DA" w14:textId="77777777" w:rsidR="007179EA" w:rsidRPr="00E042FA" w:rsidRDefault="007179EA" w:rsidP="003116E7">
            <w:pPr>
              <w:pStyle w:val="TableText"/>
              <w:keepNext/>
              <w:jc w:val="center"/>
              <w:rPr>
                <w:b/>
                <w:bCs/>
              </w:rPr>
            </w:pPr>
            <w:r w:rsidRPr="00E042FA">
              <w:rPr>
                <w:b/>
              </w:rPr>
              <w:t>Objective 1</w:t>
            </w:r>
            <w:r w:rsidR="00E042FA" w:rsidRPr="00E042FA">
              <w:br/>
            </w:r>
            <w:r w:rsidRPr="00E042FA">
              <w:rPr>
                <w:bCs/>
              </w:rPr>
              <w:t>Create a full spectrum of services and supports</w:t>
            </w:r>
          </w:p>
        </w:tc>
        <w:tc>
          <w:tcPr>
            <w:tcW w:w="1276" w:type="dxa"/>
            <w:tcBorders>
              <w:top w:val="nil"/>
              <w:bottom w:val="nil"/>
            </w:tcBorders>
            <w:shd w:val="clear" w:color="auto" w:fill="D9D9D9" w:themeFill="background1" w:themeFillShade="D9"/>
          </w:tcPr>
          <w:p w14:paraId="33A50F70" w14:textId="77777777" w:rsidR="007179EA" w:rsidRPr="00E042FA" w:rsidRDefault="007179EA" w:rsidP="003116E7">
            <w:pPr>
              <w:pStyle w:val="TableText"/>
              <w:keepNext/>
              <w:jc w:val="center"/>
              <w:rPr>
                <w:b/>
                <w:bCs/>
              </w:rPr>
            </w:pPr>
            <w:r w:rsidRPr="00E042FA">
              <w:rPr>
                <w:b/>
              </w:rPr>
              <w:t>Objective 2</w:t>
            </w:r>
            <w:r w:rsidR="00E042FA" w:rsidRPr="00E042FA">
              <w:br/>
            </w:r>
            <w:r w:rsidRPr="00E042FA">
              <w:rPr>
                <w:bCs/>
              </w:rPr>
              <w:t>Shift cultural and social norms</w:t>
            </w:r>
          </w:p>
        </w:tc>
        <w:tc>
          <w:tcPr>
            <w:tcW w:w="1276" w:type="dxa"/>
            <w:tcBorders>
              <w:top w:val="nil"/>
              <w:bottom w:val="nil"/>
            </w:tcBorders>
            <w:shd w:val="clear" w:color="auto" w:fill="D9D9D9" w:themeFill="background1" w:themeFillShade="D9"/>
          </w:tcPr>
          <w:p w14:paraId="5E4E196C" w14:textId="77777777" w:rsidR="007179EA" w:rsidRPr="00E042FA" w:rsidRDefault="007179EA" w:rsidP="003116E7">
            <w:pPr>
              <w:pStyle w:val="TableText"/>
              <w:keepNext/>
              <w:jc w:val="center"/>
              <w:rPr>
                <w:b/>
                <w:bCs/>
              </w:rPr>
            </w:pPr>
            <w:r w:rsidRPr="00E042FA">
              <w:rPr>
                <w:b/>
              </w:rPr>
              <w:t>Objective 3</w:t>
            </w:r>
            <w:r w:rsidR="00E042FA" w:rsidRPr="00E042FA">
              <w:br/>
            </w:r>
            <w:r w:rsidRPr="00E042FA">
              <w:rPr>
                <w:bCs/>
              </w:rPr>
              <w:t>Strengthe</w:t>
            </w:r>
            <w:r w:rsidR="00E042FA" w:rsidRPr="00E042FA">
              <w:rPr>
                <w:bCs/>
              </w:rPr>
              <w:t>n leadership and accountability</w:t>
            </w:r>
          </w:p>
        </w:tc>
        <w:tc>
          <w:tcPr>
            <w:tcW w:w="2268" w:type="dxa"/>
            <w:tcBorders>
              <w:top w:val="nil"/>
              <w:bottom w:val="nil"/>
            </w:tcBorders>
            <w:shd w:val="clear" w:color="auto" w:fill="D9D9D9" w:themeFill="background1" w:themeFillShade="D9"/>
          </w:tcPr>
          <w:p w14:paraId="753226FD" w14:textId="77777777" w:rsidR="007179EA" w:rsidRPr="00E042FA" w:rsidRDefault="007179EA" w:rsidP="003116E7">
            <w:pPr>
              <w:pStyle w:val="TableText"/>
              <w:keepNext/>
              <w:jc w:val="center"/>
              <w:rPr>
                <w:b/>
                <w:bCs/>
              </w:rPr>
            </w:pPr>
            <w:r w:rsidRPr="00E042FA">
              <w:rPr>
                <w:b/>
              </w:rPr>
              <w:t>Objective 4</w:t>
            </w:r>
            <w:r w:rsidR="00E042FA" w:rsidRPr="00E042FA">
              <w:br/>
            </w:r>
            <w:r w:rsidRPr="00E042FA">
              <w:rPr>
                <w:bCs/>
              </w:rPr>
              <w:t>Strengthen the health and health equity of Māori and Pacific peoples, Asian peoples and young people/rangatahi</w:t>
            </w:r>
          </w:p>
        </w:tc>
      </w:tr>
      <w:tr w:rsidR="007179EA" w:rsidRPr="00E042FA" w14:paraId="1DCA909D" w14:textId="77777777" w:rsidTr="003116E7">
        <w:trPr>
          <w:cantSplit/>
        </w:trPr>
        <w:tc>
          <w:tcPr>
            <w:tcW w:w="1985" w:type="dxa"/>
            <w:tcBorders>
              <w:top w:val="nil"/>
              <w:bottom w:val="nil"/>
            </w:tcBorders>
            <w:shd w:val="clear" w:color="auto" w:fill="F2F2F2" w:themeFill="background1" w:themeFillShade="F2"/>
          </w:tcPr>
          <w:p w14:paraId="6C4A69DA" w14:textId="77777777" w:rsidR="007179EA" w:rsidRPr="00E042FA" w:rsidRDefault="003116E7" w:rsidP="003116E7">
            <w:pPr>
              <w:pStyle w:val="TableText"/>
              <w:keepNext/>
              <w:rPr>
                <w:b/>
              </w:rPr>
            </w:pPr>
            <w:r>
              <w:rPr>
                <w:b/>
              </w:rPr>
              <w:t>Public h</w:t>
            </w:r>
            <w:r w:rsidR="00E042FA" w:rsidRPr="00E042FA">
              <w:rPr>
                <w:b/>
              </w:rPr>
              <w:t>ealth</w:t>
            </w:r>
          </w:p>
        </w:tc>
        <w:tc>
          <w:tcPr>
            <w:tcW w:w="1275" w:type="dxa"/>
            <w:tcBorders>
              <w:top w:val="nil"/>
              <w:bottom w:val="nil"/>
            </w:tcBorders>
            <w:shd w:val="clear" w:color="auto" w:fill="F2F2F2" w:themeFill="background1" w:themeFillShade="F2"/>
          </w:tcPr>
          <w:p w14:paraId="7DCBD1F8" w14:textId="77777777" w:rsidR="007179EA" w:rsidRPr="00E042FA" w:rsidRDefault="007179EA" w:rsidP="003116E7">
            <w:pPr>
              <w:pStyle w:val="TableText"/>
              <w:keepNext/>
              <w:jc w:val="center"/>
              <w:rPr>
                <w:b/>
                <w:bCs/>
              </w:rPr>
            </w:pPr>
          </w:p>
        </w:tc>
        <w:tc>
          <w:tcPr>
            <w:tcW w:w="1276" w:type="dxa"/>
            <w:tcBorders>
              <w:top w:val="nil"/>
              <w:bottom w:val="nil"/>
            </w:tcBorders>
            <w:shd w:val="clear" w:color="auto" w:fill="F2F2F2" w:themeFill="background1" w:themeFillShade="F2"/>
          </w:tcPr>
          <w:p w14:paraId="0F430804" w14:textId="77777777" w:rsidR="007179EA" w:rsidRPr="00E042FA" w:rsidRDefault="007179EA" w:rsidP="003116E7">
            <w:pPr>
              <w:pStyle w:val="TableText"/>
              <w:keepNext/>
              <w:jc w:val="center"/>
              <w:rPr>
                <w:b/>
                <w:bCs/>
              </w:rPr>
            </w:pPr>
          </w:p>
        </w:tc>
        <w:tc>
          <w:tcPr>
            <w:tcW w:w="1276" w:type="dxa"/>
            <w:tcBorders>
              <w:top w:val="nil"/>
              <w:bottom w:val="nil"/>
            </w:tcBorders>
            <w:shd w:val="clear" w:color="auto" w:fill="F2F2F2" w:themeFill="background1" w:themeFillShade="F2"/>
          </w:tcPr>
          <w:p w14:paraId="19972ABE" w14:textId="77777777" w:rsidR="007179EA" w:rsidRPr="00E042FA" w:rsidRDefault="007179EA" w:rsidP="003116E7">
            <w:pPr>
              <w:pStyle w:val="TableText"/>
              <w:keepNext/>
              <w:jc w:val="center"/>
              <w:rPr>
                <w:b/>
                <w:bCs/>
              </w:rPr>
            </w:pPr>
          </w:p>
        </w:tc>
        <w:tc>
          <w:tcPr>
            <w:tcW w:w="2268" w:type="dxa"/>
            <w:tcBorders>
              <w:top w:val="nil"/>
              <w:bottom w:val="nil"/>
            </w:tcBorders>
            <w:shd w:val="clear" w:color="auto" w:fill="F2F2F2" w:themeFill="background1" w:themeFillShade="F2"/>
          </w:tcPr>
          <w:p w14:paraId="574F71B8" w14:textId="77777777" w:rsidR="007179EA" w:rsidRPr="00E042FA" w:rsidRDefault="007179EA" w:rsidP="003116E7">
            <w:pPr>
              <w:pStyle w:val="TableText"/>
              <w:keepNext/>
              <w:jc w:val="center"/>
              <w:rPr>
                <w:b/>
                <w:bCs/>
              </w:rPr>
            </w:pPr>
          </w:p>
        </w:tc>
      </w:tr>
      <w:tr w:rsidR="007179EA" w:rsidRPr="006F6CE8" w14:paraId="657C19CD" w14:textId="77777777" w:rsidTr="003116E7">
        <w:trPr>
          <w:cantSplit/>
        </w:trPr>
        <w:tc>
          <w:tcPr>
            <w:tcW w:w="1985" w:type="dxa"/>
            <w:tcBorders>
              <w:top w:val="nil"/>
            </w:tcBorders>
            <w:shd w:val="clear" w:color="auto" w:fill="auto"/>
          </w:tcPr>
          <w:p w14:paraId="7F1A98AB" w14:textId="77777777" w:rsidR="007179EA" w:rsidRPr="00236226" w:rsidRDefault="007179EA" w:rsidP="003116E7">
            <w:pPr>
              <w:pStyle w:val="TableText"/>
              <w:keepNext/>
              <w:rPr>
                <w:rFonts w:cs="Segoe UI"/>
                <w:szCs w:val="18"/>
              </w:rPr>
            </w:pPr>
            <w:r w:rsidRPr="006F6CE8">
              <w:rPr>
                <w:rFonts w:cs="Segoe UI"/>
                <w:szCs w:val="18"/>
              </w:rPr>
              <w:t>Primary prevention (public health action)</w:t>
            </w:r>
          </w:p>
        </w:tc>
        <w:tc>
          <w:tcPr>
            <w:tcW w:w="1275" w:type="dxa"/>
            <w:tcBorders>
              <w:top w:val="nil"/>
            </w:tcBorders>
            <w:shd w:val="clear" w:color="auto" w:fill="auto"/>
          </w:tcPr>
          <w:p w14:paraId="3A5FDCD2" w14:textId="77777777" w:rsidR="007179EA" w:rsidRPr="003118A4" w:rsidRDefault="007179EA" w:rsidP="003116E7">
            <w:pPr>
              <w:pStyle w:val="TableText"/>
              <w:keepNext/>
              <w:jc w:val="center"/>
              <w:rPr>
                <w:rFonts w:cs="Segoe UI"/>
                <w:szCs w:val="18"/>
              </w:rPr>
            </w:pPr>
            <w:r w:rsidRPr="003118A4">
              <w:rPr>
                <w:rFonts w:ascii="Segoe UI Symbol" w:hAnsi="Segoe UI Symbol" w:cs="Segoe UI Symbol"/>
                <w:szCs w:val="18"/>
              </w:rPr>
              <w:t>✓</w:t>
            </w:r>
          </w:p>
        </w:tc>
        <w:tc>
          <w:tcPr>
            <w:tcW w:w="1276" w:type="dxa"/>
            <w:tcBorders>
              <w:top w:val="nil"/>
            </w:tcBorders>
            <w:shd w:val="clear" w:color="auto" w:fill="auto"/>
          </w:tcPr>
          <w:p w14:paraId="0AA73225" w14:textId="77777777" w:rsidR="007179EA" w:rsidRPr="003118A4" w:rsidRDefault="007179EA" w:rsidP="003116E7">
            <w:pPr>
              <w:pStyle w:val="TableText"/>
              <w:keepNext/>
              <w:jc w:val="center"/>
              <w:rPr>
                <w:rFonts w:cs="Segoe UI"/>
                <w:szCs w:val="18"/>
              </w:rPr>
            </w:pPr>
            <w:r w:rsidRPr="003118A4">
              <w:rPr>
                <w:rFonts w:ascii="Segoe UI Symbol" w:hAnsi="Segoe UI Symbol" w:cs="Segoe UI Symbol"/>
                <w:bCs/>
                <w:szCs w:val="18"/>
              </w:rPr>
              <w:t>✓</w:t>
            </w:r>
          </w:p>
        </w:tc>
        <w:tc>
          <w:tcPr>
            <w:tcW w:w="1276" w:type="dxa"/>
            <w:tcBorders>
              <w:top w:val="nil"/>
            </w:tcBorders>
            <w:shd w:val="clear" w:color="auto" w:fill="auto"/>
          </w:tcPr>
          <w:p w14:paraId="4B3B5E5A" w14:textId="77777777" w:rsidR="007179EA" w:rsidRPr="00FB1375" w:rsidRDefault="007179EA" w:rsidP="003116E7">
            <w:pPr>
              <w:pStyle w:val="TableText"/>
              <w:keepNext/>
              <w:jc w:val="center"/>
              <w:rPr>
                <w:rFonts w:cs="Segoe UI"/>
                <w:szCs w:val="18"/>
              </w:rPr>
            </w:pPr>
            <w:r w:rsidRPr="00FB1375">
              <w:rPr>
                <w:rFonts w:ascii="Segoe UI Symbol" w:hAnsi="Segoe UI Symbol" w:cs="Segoe UI Symbol"/>
                <w:bCs/>
                <w:szCs w:val="18"/>
              </w:rPr>
              <w:t>✓</w:t>
            </w:r>
          </w:p>
        </w:tc>
        <w:tc>
          <w:tcPr>
            <w:tcW w:w="2268" w:type="dxa"/>
            <w:tcBorders>
              <w:top w:val="nil"/>
            </w:tcBorders>
            <w:shd w:val="clear" w:color="auto" w:fill="auto"/>
          </w:tcPr>
          <w:p w14:paraId="3F9F8347" w14:textId="77777777" w:rsidR="007179EA" w:rsidRPr="00FB1375" w:rsidRDefault="007179EA" w:rsidP="003116E7">
            <w:pPr>
              <w:pStyle w:val="TableText"/>
              <w:keepNext/>
              <w:jc w:val="center"/>
              <w:rPr>
                <w:rFonts w:cs="Segoe UI"/>
                <w:szCs w:val="18"/>
              </w:rPr>
            </w:pPr>
            <w:r w:rsidRPr="00FB1375">
              <w:rPr>
                <w:rFonts w:ascii="Segoe UI Symbol" w:hAnsi="Segoe UI Symbol" w:cs="Segoe UI Symbol"/>
                <w:bCs/>
                <w:szCs w:val="18"/>
              </w:rPr>
              <w:t>✓</w:t>
            </w:r>
          </w:p>
        </w:tc>
      </w:tr>
      <w:tr w:rsidR="007179EA" w:rsidRPr="006F6CE8" w14:paraId="627676B9" w14:textId="77777777" w:rsidTr="003116E7">
        <w:trPr>
          <w:cantSplit/>
        </w:trPr>
        <w:tc>
          <w:tcPr>
            <w:tcW w:w="1985" w:type="dxa"/>
            <w:shd w:val="clear" w:color="auto" w:fill="auto"/>
          </w:tcPr>
          <w:p w14:paraId="64F6B399" w14:textId="77777777" w:rsidR="007179EA" w:rsidRPr="003116E7" w:rsidRDefault="007179EA" w:rsidP="003116E7">
            <w:pPr>
              <w:pStyle w:val="TableText"/>
              <w:keepNext/>
              <w:ind w:right="-57"/>
              <w:rPr>
                <w:rFonts w:cs="Segoe UI"/>
                <w:bCs/>
                <w:spacing w:val="-2"/>
                <w:szCs w:val="18"/>
              </w:rPr>
            </w:pPr>
            <w:r w:rsidRPr="003116E7">
              <w:rPr>
                <w:rFonts w:cs="Segoe UI"/>
                <w:bCs/>
                <w:spacing w:val="-2"/>
                <w:szCs w:val="18"/>
              </w:rPr>
              <w:t xml:space="preserve">Workforce </w:t>
            </w:r>
            <w:r w:rsidR="003116E7" w:rsidRPr="003116E7">
              <w:rPr>
                <w:rFonts w:cs="Segoe UI"/>
                <w:bCs/>
                <w:spacing w:val="-2"/>
                <w:szCs w:val="18"/>
              </w:rPr>
              <w:t>d</w:t>
            </w:r>
            <w:r w:rsidRPr="003116E7">
              <w:rPr>
                <w:rFonts w:cs="Segoe UI"/>
                <w:bCs/>
                <w:spacing w:val="-2"/>
                <w:szCs w:val="18"/>
              </w:rPr>
              <w:t>evelopment (public</w:t>
            </w:r>
            <w:r w:rsidR="003116E7" w:rsidRPr="003116E7">
              <w:rPr>
                <w:rFonts w:cs="Segoe UI"/>
                <w:bCs/>
                <w:spacing w:val="-2"/>
                <w:szCs w:val="18"/>
              </w:rPr>
              <w:t> </w:t>
            </w:r>
            <w:r w:rsidRPr="003116E7">
              <w:rPr>
                <w:rFonts w:cs="Segoe UI"/>
                <w:bCs/>
                <w:spacing w:val="-2"/>
                <w:szCs w:val="18"/>
              </w:rPr>
              <w:t>health)</w:t>
            </w:r>
          </w:p>
        </w:tc>
        <w:tc>
          <w:tcPr>
            <w:tcW w:w="1275" w:type="dxa"/>
            <w:shd w:val="clear" w:color="auto" w:fill="auto"/>
          </w:tcPr>
          <w:p w14:paraId="6754E486" w14:textId="77777777" w:rsidR="007179EA" w:rsidRPr="003118A4" w:rsidRDefault="007179EA" w:rsidP="003116E7">
            <w:pPr>
              <w:pStyle w:val="TableText"/>
              <w:keepN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3ECFD0C1" w14:textId="77777777" w:rsidR="007179EA" w:rsidRPr="003118A4" w:rsidRDefault="007179EA" w:rsidP="003116E7">
            <w:pPr>
              <w:pStyle w:val="TableText"/>
              <w:keepN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4588616B" w14:textId="77777777" w:rsidR="007179EA" w:rsidRPr="00FB1375" w:rsidRDefault="007179EA" w:rsidP="003116E7">
            <w:pPr>
              <w:pStyle w:val="TableText"/>
              <w:keepNext/>
              <w:jc w:val="center"/>
              <w:rPr>
                <w:rFonts w:cs="Segoe UI"/>
                <w:bCs/>
                <w:szCs w:val="18"/>
              </w:rPr>
            </w:pPr>
            <w:r w:rsidRPr="00FB1375">
              <w:rPr>
                <w:rFonts w:ascii="Segoe UI Symbol" w:hAnsi="Segoe UI Symbol" w:cs="Segoe UI Symbol"/>
                <w:bCs/>
                <w:szCs w:val="18"/>
              </w:rPr>
              <w:t>✓</w:t>
            </w:r>
          </w:p>
        </w:tc>
        <w:tc>
          <w:tcPr>
            <w:tcW w:w="2268" w:type="dxa"/>
            <w:shd w:val="clear" w:color="auto" w:fill="auto"/>
          </w:tcPr>
          <w:p w14:paraId="1C0E0F87" w14:textId="77777777" w:rsidR="007179EA" w:rsidRPr="00FB1375" w:rsidRDefault="007179EA" w:rsidP="003116E7">
            <w:pPr>
              <w:pStyle w:val="TableText"/>
              <w:keepNext/>
              <w:jc w:val="center"/>
              <w:rPr>
                <w:rFonts w:cs="Segoe UI"/>
                <w:bCs/>
                <w:szCs w:val="18"/>
              </w:rPr>
            </w:pPr>
            <w:r w:rsidRPr="00FB1375">
              <w:rPr>
                <w:rFonts w:ascii="Segoe UI Symbol" w:hAnsi="Segoe UI Symbol" w:cs="Segoe UI Symbol"/>
                <w:bCs/>
                <w:szCs w:val="18"/>
              </w:rPr>
              <w:t>✓</w:t>
            </w:r>
          </w:p>
        </w:tc>
      </w:tr>
      <w:tr w:rsidR="007179EA" w:rsidRPr="006F6CE8" w14:paraId="2EA81569" w14:textId="77777777" w:rsidTr="003116E7">
        <w:trPr>
          <w:cantSplit/>
        </w:trPr>
        <w:tc>
          <w:tcPr>
            <w:tcW w:w="1985" w:type="dxa"/>
            <w:shd w:val="clear" w:color="auto" w:fill="auto"/>
          </w:tcPr>
          <w:p w14:paraId="75B57863" w14:textId="77777777" w:rsidR="007179EA" w:rsidRPr="003118A4" w:rsidRDefault="007179EA" w:rsidP="003116E7">
            <w:pPr>
              <w:pStyle w:val="TableText"/>
              <w:keepNext/>
              <w:rPr>
                <w:rFonts w:cs="Segoe UI"/>
                <w:bCs/>
                <w:szCs w:val="18"/>
              </w:rPr>
            </w:pPr>
            <w:r w:rsidRPr="006F6CE8">
              <w:rPr>
                <w:rFonts w:cs="Segoe UI"/>
                <w:bCs/>
                <w:szCs w:val="18"/>
              </w:rPr>
              <w:t>Awareness and education programme</w:t>
            </w:r>
            <w:r w:rsidRPr="00236226">
              <w:rPr>
                <w:rFonts w:cs="Segoe UI"/>
                <w:bCs/>
                <w:szCs w:val="18"/>
              </w:rPr>
              <w:t xml:space="preserve"> </w:t>
            </w:r>
            <w:r>
              <w:rPr>
                <w:rFonts w:cs="Segoe UI"/>
                <w:bCs/>
                <w:szCs w:val="18"/>
              </w:rPr>
              <w:t>(include youth</w:t>
            </w:r>
            <w:r w:rsidRPr="00236226">
              <w:rPr>
                <w:rFonts w:cs="Segoe UI"/>
                <w:bCs/>
                <w:szCs w:val="18"/>
              </w:rPr>
              <w:t>)</w:t>
            </w:r>
          </w:p>
        </w:tc>
        <w:tc>
          <w:tcPr>
            <w:tcW w:w="1275" w:type="dxa"/>
            <w:shd w:val="clear" w:color="auto" w:fill="auto"/>
          </w:tcPr>
          <w:p w14:paraId="4DD85E5B" w14:textId="77777777" w:rsidR="007179EA" w:rsidRPr="003118A4" w:rsidRDefault="007179EA" w:rsidP="003116E7">
            <w:pPr>
              <w:pStyle w:val="TableText"/>
              <w:keepN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00A8B496" w14:textId="77777777" w:rsidR="007179EA" w:rsidRPr="00FB1375" w:rsidRDefault="007179EA" w:rsidP="003116E7">
            <w:pPr>
              <w:pStyle w:val="TableText"/>
              <w:keepN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632484B4" w14:textId="77777777" w:rsidR="007179EA" w:rsidRPr="00FB1375" w:rsidRDefault="007179EA" w:rsidP="003116E7">
            <w:pPr>
              <w:pStyle w:val="TableText"/>
              <w:keepNext/>
              <w:jc w:val="center"/>
              <w:rPr>
                <w:rFonts w:cs="Segoe UI"/>
                <w:bCs/>
                <w:szCs w:val="18"/>
              </w:rPr>
            </w:pPr>
          </w:p>
        </w:tc>
        <w:tc>
          <w:tcPr>
            <w:tcW w:w="2268" w:type="dxa"/>
            <w:shd w:val="clear" w:color="auto" w:fill="auto"/>
          </w:tcPr>
          <w:p w14:paraId="0B03DFA9" w14:textId="77777777" w:rsidR="007179EA" w:rsidRPr="006F6CE8" w:rsidRDefault="007179EA" w:rsidP="003116E7">
            <w:pPr>
              <w:pStyle w:val="TableText"/>
              <w:keepNext/>
              <w:jc w:val="center"/>
              <w:rPr>
                <w:rFonts w:cs="Segoe UI"/>
                <w:bCs/>
                <w:szCs w:val="18"/>
              </w:rPr>
            </w:pPr>
            <w:r w:rsidRPr="00FB1375">
              <w:rPr>
                <w:rFonts w:ascii="Segoe UI Symbol" w:hAnsi="Segoe UI Symbol" w:cs="Segoe UI Symbol"/>
                <w:bCs/>
                <w:szCs w:val="18"/>
              </w:rPr>
              <w:t>✓</w:t>
            </w:r>
          </w:p>
        </w:tc>
      </w:tr>
      <w:tr w:rsidR="007179EA" w:rsidRPr="006F6CE8" w14:paraId="40D044FD" w14:textId="77777777" w:rsidTr="003116E7">
        <w:trPr>
          <w:cantSplit/>
        </w:trPr>
        <w:tc>
          <w:tcPr>
            <w:tcW w:w="1985" w:type="dxa"/>
            <w:shd w:val="clear" w:color="auto" w:fill="auto"/>
          </w:tcPr>
          <w:p w14:paraId="014A2DC6" w14:textId="77777777" w:rsidR="007179EA" w:rsidRPr="00236226" w:rsidRDefault="007179EA" w:rsidP="003116E7">
            <w:pPr>
              <w:pStyle w:val="TableText"/>
              <w:keepNext/>
              <w:rPr>
                <w:rFonts w:cs="Segoe UI"/>
                <w:bCs/>
                <w:szCs w:val="18"/>
              </w:rPr>
            </w:pPr>
            <w:r w:rsidRPr="006F6CE8">
              <w:rPr>
                <w:rFonts w:cs="Segoe UI"/>
                <w:bCs/>
                <w:szCs w:val="18"/>
              </w:rPr>
              <w:t>D</w:t>
            </w:r>
            <w:r w:rsidRPr="00236226">
              <w:rPr>
                <w:rFonts w:cs="Segoe UI"/>
                <w:bCs/>
                <w:szCs w:val="18"/>
              </w:rPr>
              <w:t xml:space="preserve">e-stigmatisation media campaign – </w:t>
            </w:r>
            <w:r w:rsidR="003116E7">
              <w:rPr>
                <w:rFonts w:cs="Segoe UI"/>
                <w:bCs/>
                <w:szCs w:val="18"/>
              </w:rPr>
              <w:t>n</w:t>
            </w:r>
            <w:r w:rsidRPr="00236226">
              <w:rPr>
                <w:rFonts w:cs="Segoe UI"/>
                <w:bCs/>
                <w:szCs w:val="18"/>
              </w:rPr>
              <w:t>ew</w:t>
            </w:r>
          </w:p>
        </w:tc>
        <w:tc>
          <w:tcPr>
            <w:tcW w:w="1275" w:type="dxa"/>
            <w:shd w:val="clear" w:color="auto" w:fill="auto"/>
          </w:tcPr>
          <w:p w14:paraId="15CAA321" w14:textId="77777777" w:rsidR="007179EA" w:rsidRPr="003118A4" w:rsidRDefault="007179EA" w:rsidP="003116E7">
            <w:pPr>
              <w:pStyle w:val="TableText"/>
              <w:keepNext/>
              <w:jc w:val="center"/>
              <w:rPr>
                <w:rFonts w:cs="Segoe UI"/>
                <w:bCs/>
                <w:szCs w:val="18"/>
              </w:rPr>
            </w:pPr>
          </w:p>
        </w:tc>
        <w:tc>
          <w:tcPr>
            <w:tcW w:w="1276" w:type="dxa"/>
            <w:shd w:val="clear" w:color="auto" w:fill="auto"/>
          </w:tcPr>
          <w:p w14:paraId="19E0E42F" w14:textId="77777777" w:rsidR="007179EA" w:rsidRPr="003118A4" w:rsidRDefault="007179EA" w:rsidP="003116E7">
            <w:pPr>
              <w:pStyle w:val="TableText"/>
              <w:keepN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639EB115" w14:textId="77777777" w:rsidR="007179EA" w:rsidRPr="003118A4" w:rsidRDefault="007179EA" w:rsidP="003116E7">
            <w:pPr>
              <w:pStyle w:val="TableText"/>
              <w:keepNext/>
              <w:jc w:val="center"/>
              <w:rPr>
                <w:rFonts w:cs="Segoe UI"/>
                <w:bCs/>
                <w:szCs w:val="18"/>
              </w:rPr>
            </w:pPr>
          </w:p>
        </w:tc>
        <w:tc>
          <w:tcPr>
            <w:tcW w:w="2268" w:type="dxa"/>
            <w:shd w:val="clear" w:color="auto" w:fill="auto"/>
          </w:tcPr>
          <w:p w14:paraId="59FC5831" w14:textId="77777777" w:rsidR="007179EA" w:rsidRPr="00FB1375" w:rsidRDefault="007179EA" w:rsidP="003116E7">
            <w:pPr>
              <w:pStyle w:val="TableText"/>
              <w:keepNext/>
              <w:jc w:val="center"/>
              <w:rPr>
                <w:rFonts w:cs="Segoe UI"/>
                <w:bCs/>
                <w:szCs w:val="18"/>
              </w:rPr>
            </w:pPr>
            <w:r w:rsidRPr="00FB1375">
              <w:rPr>
                <w:rFonts w:ascii="Segoe UI Symbol" w:hAnsi="Segoe UI Symbol" w:cs="Segoe UI Symbol"/>
                <w:bCs/>
                <w:szCs w:val="18"/>
              </w:rPr>
              <w:t>✓</w:t>
            </w:r>
          </w:p>
        </w:tc>
      </w:tr>
      <w:tr w:rsidR="007179EA" w:rsidRPr="006F6CE8" w14:paraId="70C651A3" w14:textId="77777777" w:rsidTr="003116E7">
        <w:trPr>
          <w:cantSplit/>
        </w:trPr>
        <w:tc>
          <w:tcPr>
            <w:tcW w:w="1985" w:type="dxa"/>
            <w:shd w:val="clear" w:color="auto" w:fill="auto"/>
          </w:tcPr>
          <w:p w14:paraId="10F37B0D" w14:textId="77777777" w:rsidR="007179EA" w:rsidRPr="00236226" w:rsidRDefault="007179EA" w:rsidP="006F1C71">
            <w:pPr>
              <w:pStyle w:val="TableText"/>
              <w:rPr>
                <w:rFonts w:cs="Segoe UI"/>
                <w:bCs/>
                <w:szCs w:val="18"/>
              </w:rPr>
            </w:pPr>
            <w:r w:rsidRPr="006F6CE8">
              <w:rPr>
                <w:rFonts w:cs="Segoe UI"/>
                <w:bCs/>
                <w:szCs w:val="18"/>
              </w:rPr>
              <w:t>National coordination service</w:t>
            </w:r>
          </w:p>
        </w:tc>
        <w:tc>
          <w:tcPr>
            <w:tcW w:w="1275" w:type="dxa"/>
            <w:shd w:val="clear" w:color="auto" w:fill="auto"/>
          </w:tcPr>
          <w:p w14:paraId="67C44CBB" w14:textId="77777777" w:rsidR="007179EA" w:rsidRPr="003118A4" w:rsidRDefault="007179EA" w:rsidP="003116E7">
            <w:pPr>
              <w:pStyle w:val="TableText"/>
              <w:jc w:val="center"/>
              <w:rPr>
                <w:rFonts w:cs="Segoe UI"/>
                <w:bCs/>
                <w:szCs w:val="18"/>
              </w:rPr>
            </w:pPr>
          </w:p>
        </w:tc>
        <w:tc>
          <w:tcPr>
            <w:tcW w:w="1276" w:type="dxa"/>
            <w:shd w:val="clear" w:color="auto" w:fill="auto"/>
          </w:tcPr>
          <w:p w14:paraId="70C085CF" w14:textId="77777777" w:rsidR="007179EA" w:rsidRPr="003118A4" w:rsidRDefault="007179EA" w:rsidP="003116E7">
            <w:pPr>
              <w:pStyle w:val="TableText"/>
              <w:jc w:val="center"/>
              <w:rPr>
                <w:rFonts w:cs="Segoe UI"/>
                <w:bCs/>
                <w:szCs w:val="18"/>
              </w:rPr>
            </w:pPr>
          </w:p>
        </w:tc>
        <w:tc>
          <w:tcPr>
            <w:tcW w:w="1276" w:type="dxa"/>
            <w:shd w:val="clear" w:color="auto" w:fill="auto"/>
          </w:tcPr>
          <w:p w14:paraId="24DA5B46"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2268" w:type="dxa"/>
            <w:shd w:val="clear" w:color="auto" w:fill="auto"/>
          </w:tcPr>
          <w:p w14:paraId="67EC56AE"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6F6CE8" w14:paraId="4BB92FDD" w14:textId="77777777" w:rsidTr="003116E7">
        <w:trPr>
          <w:cantSplit/>
        </w:trPr>
        <w:tc>
          <w:tcPr>
            <w:tcW w:w="1985" w:type="dxa"/>
            <w:shd w:val="clear" w:color="auto" w:fill="auto"/>
          </w:tcPr>
          <w:p w14:paraId="0336C0CC" w14:textId="77777777" w:rsidR="007179EA" w:rsidRPr="003118A4" w:rsidRDefault="007179EA" w:rsidP="006F1C71">
            <w:pPr>
              <w:pStyle w:val="TableText"/>
              <w:rPr>
                <w:rFonts w:cs="Segoe UI"/>
                <w:bCs/>
                <w:szCs w:val="18"/>
              </w:rPr>
            </w:pPr>
            <w:r w:rsidRPr="006F6CE8">
              <w:rPr>
                <w:rFonts w:cs="Segoe UI"/>
                <w:szCs w:val="18"/>
              </w:rPr>
              <w:t>Gambling Harm Lived Experience Advisory Group</w:t>
            </w:r>
          </w:p>
        </w:tc>
        <w:tc>
          <w:tcPr>
            <w:tcW w:w="1275" w:type="dxa"/>
            <w:shd w:val="clear" w:color="auto" w:fill="auto"/>
          </w:tcPr>
          <w:p w14:paraId="668EF8D8"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15ED7328" w14:textId="77777777" w:rsidR="007179EA" w:rsidRPr="00FB1375"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5167733D"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c>
          <w:tcPr>
            <w:tcW w:w="2268" w:type="dxa"/>
            <w:shd w:val="clear" w:color="auto" w:fill="auto"/>
          </w:tcPr>
          <w:p w14:paraId="08BCBD5C"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6F6CE8" w14:paraId="69F8703F" w14:textId="77777777" w:rsidTr="003116E7">
        <w:trPr>
          <w:cantSplit/>
        </w:trPr>
        <w:tc>
          <w:tcPr>
            <w:tcW w:w="1985" w:type="dxa"/>
            <w:shd w:val="clear" w:color="auto" w:fill="auto"/>
          </w:tcPr>
          <w:p w14:paraId="1A6E0907" w14:textId="77777777" w:rsidR="007179EA" w:rsidRPr="00236226" w:rsidRDefault="007179EA" w:rsidP="006F1C71">
            <w:pPr>
              <w:pStyle w:val="TableText"/>
              <w:rPr>
                <w:rFonts w:cs="Segoe UI"/>
                <w:bCs/>
                <w:szCs w:val="18"/>
              </w:rPr>
            </w:pPr>
            <w:r w:rsidRPr="006F6CE8">
              <w:rPr>
                <w:rFonts w:cs="Segoe UI"/>
                <w:szCs w:val="18"/>
              </w:rPr>
              <w:t>MVE administration service and database</w:t>
            </w:r>
          </w:p>
        </w:tc>
        <w:tc>
          <w:tcPr>
            <w:tcW w:w="1275" w:type="dxa"/>
            <w:shd w:val="clear" w:color="auto" w:fill="auto"/>
          </w:tcPr>
          <w:p w14:paraId="0A5D1FEC"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319E5410" w14:textId="77777777" w:rsidR="007179EA" w:rsidRPr="003118A4" w:rsidRDefault="007179EA" w:rsidP="003116E7">
            <w:pPr>
              <w:pStyle w:val="TableText"/>
              <w:jc w:val="center"/>
              <w:rPr>
                <w:rFonts w:cs="Segoe UI"/>
                <w:bCs/>
                <w:szCs w:val="18"/>
              </w:rPr>
            </w:pPr>
          </w:p>
        </w:tc>
        <w:tc>
          <w:tcPr>
            <w:tcW w:w="1276" w:type="dxa"/>
            <w:shd w:val="clear" w:color="auto" w:fill="auto"/>
          </w:tcPr>
          <w:p w14:paraId="220BAD8D" w14:textId="77777777" w:rsidR="007179EA" w:rsidRPr="003118A4" w:rsidRDefault="007179EA" w:rsidP="003116E7">
            <w:pPr>
              <w:pStyle w:val="TableText"/>
              <w:jc w:val="center"/>
              <w:rPr>
                <w:rFonts w:cs="Segoe UI"/>
                <w:bCs/>
                <w:szCs w:val="18"/>
              </w:rPr>
            </w:pPr>
          </w:p>
        </w:tc>
        <w:tc>
          <w:tcPr>
            <w:tcW w:w="2268" w:type="dxa"/>
            <w:shd w:val="clear" w:color="auto" w:fill="auto"/>
          </w:tcPr>
          <w:p w14:paraId="350DB57E" w14:textId="77777777" w:rsidR="007179EA" w:rsidRPr="00FB1375" w:rsidRDefault="007179EA" w:rsidP="003116E7">
            <w:pPr>
              <w:pStyle w:val="TableText"/>
              <w:jc w:val="center"/>
              <w:rPr>
                <w:rFonts w:cs="Segoe UI"/>
                <w:bCs/>
                <w:szCs w:val="18"/>
              </w:rPr>
            </w:pPr>
            <w:r w:rsidRPr="003118A4">
              <w:rPr>
                <w:rFonts w:ascii="Segoe UI Symbol" w:hAnsi="Segoe UI Symbol" w:cs="Segoe UI Symbol"/>
                <w:bCs/>
                <w:szCs w:val="18"/>
              </w:rPr>
              <w:t>✓</w:t>
            </w:r>
          </w:p>
        </w:tc>
      </w:tr>
      <w:tr w:rsidR="007179EA" w:rsidRPr="006F6CE8" w14:paraId="5DD133ED" w14:textId="77777777" w:rsidTr="003116E7">
        <w:trPr>
          <w:cantSplit/>
        </w:trPr>
        <w:tc>
          <w:tcPr>
            <w:tcW w:w="1985" w:type="dxa"/>
            <w:tcBorders>
              <w:bottom w:val="single" w:sz="4" w:space="0" w:color="A6A6A6" w:themeColor="background1" w:themeShade="A6"/>
            </w:tcBorders>
            <w:shd w:val="clear" w:color="auto" w:fill="auto"/>
          </w:tcPr>
          <w:p w14:paraId="7AF71A0B" w14:textId="77777777" w:rsidR="007179EA" w:rsidRPr="00236226" w:rsidRDefault="007179EA" w:rsidP="006F1C71">
            <w:pPr>
              <w:pStyle w:val="TableText"/>
              <w:rPr>
                <w:rFonts w:cs="Segoe UI"/>
                <w:bCs/>
                <w:szCs w:val="18"/>
              </w:rPr>
            </w:pPr>
            <w:r w:rsidRPr="006F6CE8">
              <w:rPr>
                <w:rFonts w:cs="Segoe UI"/>
                <w:bCs/>
                <w:szCs w:val="18"/>
              </w:rPr>
              <w:t>Conference support</w:t>
            </w:r>
          </w:p>
        </w:tc>
        <w:tc>
          <w:tcPr>
            <w:tcW w:w="1275" w:type="dxa"/>
            <w:tcBorders>
              <w:bottom w:val="single" w:sz="4" w:space="0" w:color="A6A6A6" w:themeColor="background1" w:themeShade="A6"/>
            </w:tcBorders>
            <w:shd w:val="clear" w:color="auto" w:fill="auto"/>
          </w:tcPr>
          <w:p w14:paraId="74AF0D2E" w14:textId="77777777" w:rsidR="007179EA" w:rsidRPr="003118A4" w:rsidRDefault="007179EA" w:rsidP="003116E7">
            <w:pPr>
              <w:pStyle w:val="TableText"/>
              <w:jc w:val="center"/>
              <w:rPr>
                <w:rFonts w:cs="Segoe UI"/>
                <w:bCs/>
                <w:szCs w:val="18"/>
              </w:rPr>
            </w:pPr>
          </w:p>
        </w:tc>
        <w:tc>
          <w:tcPr>
            <w:tcW w:w="1276" w:type="dxa"/>
            <w:tcBorders>
              <w:bottom w:val="single" w:sz="4" w:space="0" w:color="A6A6A6" w:themeColor="background1" w:themeShade="A6"/>
            </w:tcBorders>
            <w:shd w:val="clear" w:color="auto" w:fill="auto"/>
          </w:tcPr>
          <w:p w14:paraId="7A99A135" w14:textId="77777777" w:rsidR="007179EA" w:rsidRPr="003118A4" w:rsidRDefault="007179EA" w:rsidP="003116E7">
            <w:pPr>
              <w:pStyle w:val="TableText"/>
              <w:jc w:val="center"/>
              <w:rPr>
                <w:rFonts w:cs="Segoe UI"/>
                <w:bCs/>
                <w:szCs w:val="18"/>
              </w:rPr>
            </w:pPr>
          </w:p>
        </w:tc>
        <w:tc>
          <w:tcPr>
            <w:tcW w:w="1276" w:type="dxa"/>
            <w:tcBorders>
              <w:bottom w:val="single" w:sz="4" w:space="0" w:color="A6A6A6" w:themeColor="background1" w:themeShade="A6"/>
            </w:tcBorders>
            <w:shd w:val="clear" w:color="auto" w:fill="auto"/>
          </w:tcPr>
          <w:p w14:paraId="72CA6610"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2268" w:type="dxa"/>
            <w:tcBorders>
              <w:bottom w:val="single" w:sz="4" w:space="0" w:color="A6A6A6" w:themeColor="background1" w:themeShade="A6"/>
            </w:tcBorders>
            <w:shd w:val="clear" w:color="auto" w:fill="auto"/>
          </w:tcPr>
          <w:p w14:paraId="59BA5EBC" w14:textId="77777777" w:rsidR="007179EA" w:rsidRPr="00FB1375" w:rsidRDefault="007179EA" w:rsidP="003116E7">
            <w:pPr>
              <w:pStyle w:val="TableText"/>
              <w:jc w:val="center"/>
              <w:rPr>
                <w:rFonts w:cs="Segoe UI"/>
                <w:bCs/>
                <w:szCs w:val="18"/>
              </w:rPr>
            </w:pPr>
          </w:p>
        </w:tc>
      </w:tr>
      <w:tr w:rsidR="007179EA" w:rsidRPr="003116E7" w14:paraId="1BBCB7AD" w14:textId="77777777" w:rsidTr="003116E7">
        <w:trPr>
          <w:cantSplit/>
        </w:trPr>
        <w:tc>
          <w:tcPr>
            <w:tcW w:w="1985" w:type="dxa"/>
            <w:tcBorders>
              <w:top w:val="single" w:sz="4" w:space="0" w:color="A6A6A6" w:themeColor="background1" w:themeShade="A6"/>
              <w:bottom w:val="nil"/>
            </w:tcBorders>
            <w:shd w:val="clear" w:color="auto" w:fill="F2F2F2" w:themeFill="background1" w:themeFillShade="F2"/>
          </w:tcPr>
          <w:p w14:paraId="3DC1FEF0" w14:textId="77777777" w:rsidR="007179EA" w:rsidRPr="003116E7" w:rsidRDefault="007179EA" w:rsidP="006F1C71">
            <w:pPr>
              <w:pStyle w:val="TableText"/>
              <w:rPr>
                <w:rFonts w:cs="Segoe UI"/>
                <w:b/>
                <w:szCs w:val="18"/>
              </w:rPr>
            </w:pPr>
            <w:r w:rsidRPr="003116E7">
              <w:rPr>
                <w:rFonts w:cs="Segoe UI"/>
                <w:b/>
                <w:szCs w:val="18"/>
              </w:rPr>
              <w:t>Clinical intervention</w:t>
            </w:r>
          </w:p>
        </w:tc>
        <w:tc>
          <w:tcPr>
            <w:tcW w:w="1275" w:type="dxa"/>
            <w:tcBorders>
              <w:top w:val="single" w:sz="4" w:space="0" w:color="A6A6A6" w:themeColor="background1" w:themeShade="A6"/>
              <w:bottom w:val="nil"/>
            </w:tcBorders>
            <w:shd w:val="clear" w:color="auto" w:fill="F2F2F2" w:themeFill="background1" w:themeFillShade="F2"/>
          </w:tcPr>
          <w:p w14:paraId="565E0FFB" w14:textId="77777777" w:rsidR="007179EA" w:rsidRPr="003116E7" w:rsidRDefault="007179EA" w:rsidP="003116E7">
            <w:pPr>
              <w:pStyle w:val="TableText"/>
              <w:jc w:val="center"/>
              <w:rPr>
                <w:rFonts w:cs="Segoe UI"/>
                <w:b/>
                <w:bCs/>
                <w:szCs w:val="18"/>
              </w:rPr>
            </w:pPr>
          </w:p>
        </w:tc>
        <w:tc>
          <w:tcPr>
            <w:tcW w:w="1276" w:type="dxa"/>
            <w:tcBorders>
              <w:top w:val="single" w:sz="4" w:space="0" w:color="A6A6A6" w:themeColor="background1" w:themeShade="A6"/>
              <w:bottom w:val="nil"/>
            </w:tcBorders>
            <w:shd w:val="clear" w:color="auto" w:fill="F2F2F2" w:themeFill="background1" w:themeFillShade="F2"/>
          </w:tcPr>
          <w:p w14:paraId="7198055E" w14:textId="77777777" w:rsidR="007179EA" w:rsidRPr="003116E7" w:rsidRDefault="007179EA" w:rsidP="003116E7">
            <w:pPr>
              <w:pStyle w:val="TableText"/>
              <w:jc w:val="center"/>
              <w:rPr>
                <w:rFonts w:cs="Segoe UI"/>
                <w:b/>
                <w:bCs/>
                <w:szCs w:val="18"/>
              </w:rPr>
            </w:pPr>
          </w:p>
        </w:tc>
        <w:tc>
          <w:tcPr>
            <w:tcW w:w="1276" w:type="dxa"/>
            <w:tcBorders>
              <w:top w:val="single" w:sz="4" w:space="0" w:color="A6A6A6" w:themeColor="background1" w:themeShade="A6"/>
              <w:bottom w:val="nil"/>
            </w:tcBorders>
            <w:shd w:val="clear" w:color="auto" w:fill="F2F2F2" w:themeFill="background1" w:themeFillShade="F2"/>
          </w:tcPr>
          <w:p w14:paraId="7012EAA5" w14:textId="77777777" w:rsidR="007179EA" w:rsidRPr="003116E7" w:rsidRDefault="007179EA" w:rsidP="003116E7">
            <w:pPr>
              <w:pStyle w:val="TableText"/>
              <w:jc w:val="center"/>
              <w:rPr>
                <w:rFonts w:cs="Segoe UI"/>
                <w:b/>
                <w:bCs/>
                <w:szCs w:val="18"/>
              </w:rPr>
            </w:pPr>
          </w:p>
        </w:tc>
        <w:tc>
          <w:tcPr>
            <w:tcW w:w="2268" w:type="dxa"/>
            <w:tcBorders>
              <w:top w:val="single" w:sz="4" w:space="0" w:color="A6A6A6" w:themeColor="background1" w:themeShade="A6"/>
              <w:bottom w:val="nil"/>
            </w:tcBorders>
            <w:shd w:val="clear" w:color="auto" w:fill="F2F2F2" w:themeFill="background1" w:themeFillShade="F2"/>
          </w:tcPr>
          <w:p w14:paraId="20C0B3C1" w14:textId="77777777" w:rsidR="007179EA" w:rsidRPr="003116E7" w:rsidRDefault="007179EA" w:rsidP="003116E7">
            <w:pPr>
              <w:pStyle w:val="TableText"/>
              <w:jc w:val="center"/>
              <w:rPr>
                <w:rFonts w:cs="Segoe UI"/>
                <w:b/>
                <w:bCs/>
                <w:szCs w:val="18"/>
              </w:rPr>
            </w:pPr>
          </w:p>
        </w:tc>
      </w:tr>
      <w:tr w:rsidR="007179EA" w:rsidRPr="006F6CE8" w14:paraId="27882036" w14:textId="77777777" w:rsidTr="003116E7">
        <w:trPr>
          <w:cantSplit/>
        </w:trPr>
        <w:tc>
          <w:tcPr>
            <w:tcW w:w="1985" w:type="dxa"/>
            <w:tcBorders>
              <w:top w:val="nil"/>
            </w:tcBorders>
            <w:shd w:val="clear" w:color="auto" w:fill="auto"/>
          </w:tcPr>
          <w:p w14:paraId="31DF230B" w14:textId="77777777" w:rsidR="007179EA" w:rsidRPr="00236226" w:rsidRDefault="007179EA" w:rsidP="006F1C71">
            <w:pPr>
              <w:pStyle w:val="TableText"/>
              <w:rPr>
                <w:rFonts w:cs="Segoe UI"/>
                <w:bCs/>
                <w:szCs w:val="18"/>
              </w:rPr>
            </w:pPr>
            <w:r w:rsidRPr="006F6CE8">
              <w:rPr>
                <w:rFonts w:cs="Segoe UI"/>
                <w:bCs/>
                <w:szCs w:val="18"/>
              </w:rPr>
              <w:t>Cli</w:t>
            </w:r>
            <w:r w:rsidRPr="00236226">
              <w:rPr>
                <w:rFonts w:cs="Segoe UI"/>
                <w:bCs/>
                <w:szCs w:val="18"/>
              </w:rPr>
              <w:t>nical interventions and support</w:t>
            </w:r>
          </w:p>
        </w:tc>
        <w:tc>
          <w:tcPr>
            <w:tcW w:w="1275" w:type="dxa"/>
            <w:tcBorders>
              <w:top w:val="nil"/>
            </w:tcBorders>
            <w:shd w:val="clear" w:color="auto" w:fill="auto"/>
          </w:tcPr>
          <w:p w14:paraId="58502381"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tcBorders>
              <w:top w:val="nil"/>
            </w:tcBorders>
            <w:shd w:val="clear" w:color="auto" w:fill="auto"/>
          </w:tcPr>
          <w:p w14:paraId="156EE2C8"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tcBorders>
              <w:top w:val="nil"/>
            </w:tcBorders>
            <w:shd w:val="clear" w:color="auto" w:fill="auto"/>
          </w:tcPr>
          <w:p w14:paraId="59FEE11B" w14:textId="77777777" w:rsidR="007179EA" w:rsidRPr="003118A4" w:rsidRDefault="007179EA" w:rsidP="003116E7">
            <w:pPr>
              <w:pStyle w:val="TableText"/>
              <w:jc w:val="center"/>
              <w:rPr>
                <w:rFonts w:cs="Segoe UI"/>
                <w:bCs/>
                <w:szCs w:val="18"/>
              </w:rPr>
            </w:pPr>
          </w:p>
        </w:tc>
        <w:tc>
          <w:tcPr>
            <w:tcW w:w="2268" w:type="dxa"/>
            <w:tcBorders>
              <w:top w:val="nil"/>
            </w:tcBorders>
            <w:shd w:val="clear" w:color="auto" w:fill="auto"/>
          </w:tcPr>
          <w:p w14:paraId="220EA978"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6F6CE8" w14:paraId="1D740ACF" w14:textId="77777777" w:rsidTr="003116E7">
        <w:trPr>
          <w:cantSplit/>
        </w:trPr>
        <w:tc>
          <w:tcPr>
            <w:tcW w:w="1985" w:type="dxa"/>
            <w:shd w:val="clear" w:color="auto" w:fill="auto"/>
          </w:tcPr>
          <w:p w14:paraId="2C487343" w14:textId="77777777" w:rsidR="007179EA" w:rsidRPr="003116E7" w:rsidRDefault="007179EA" w:rsidP="003116E7">
            <w:pPr>
              <w:pStyle w:val="TableText"/>
              <w:ind w:right="-57"/>
              <w:rPr>
                <w:rFonts w:cs="Segoe UI"/>
                <w:bCs/>
                <w:spacing w:val="-2"/>
                <w:szCs w:val="18"/>
              </w:rPr>
            </w:pPr>
            <w:r w:rsidRPr="003116E7">
              <w:rPr>
                <w:rFonts w:cs="Segoe UI"/>
                <w:spacing w:val="-2"/>
                <w:szCs w:val="18"/>
              </w:rPr>
              <w:t>Helpline and web</w:t>
            </w:r>
            <w:r w:rsidR="003116E7" w:rsidRPr="003116E7">
              <w:rPr>
                <w:rFonts w:cs="Segoe UI"/>
                <w:spacing w:val="-2"/>
                <w:szCs w:val="18"/>
              </w:rPr>
              <w:noBreakHyphen/>
            </w:r>
            <w:r w:rsidRPr="003116E7">
              <w:rPr>
                <w:rFonts w:cs="Segoe UI"/>
                <w:spacing w:val="-2"/>
                <w:szCs w:val="18"/>
              </w:rPr>
              <w:t>based services (e</w:t>
            </w:r>
            <w:r w:rsidR="003116E7" w:rsidRPr="003116E7">
              <w:rPr>
                <w:rFonts w:cs="Segoe UI"/>
                <w:spacing w:val="-2"/>
                <w:szCs w:val="18"/>
              </w:rPr>
              <w:noBreakHyphen/>
            </w:r>
            <w:r w:rsidRPr="003116E7">
              <w:rPr>
                <w:rFonts w:cs="Segoe UI"/>
                <w:spacing w:val="-2"/>
                <w:szCs w:val="18"/>
              </w:rPr>
              <w:t>services)</w:t>
            </w:r>
          </w:p>
        </w:tc>
        <w:tc>
          <w:tcPr>
            <w:tcW w:w="1275" w:type="dxa"/>
            <w:shd w:val="clear" w:color="auto" w:fill="auto"/>
          </w:tcPr>
          <w:p w14:paraId="727A9B4B"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64A470CC" w14:textId="77777777" w:rsidR="007179EA" w:rsidRPr="00FB1375"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13883953" w14:textId="77777777" w:rsidR="007179EA" w:rsidRPr="00FB1375" w:rsidRDefault="007179EA" w:rsidP="003116E7">
            <w:pPr>
              <w:pStyle w:val="TableText"/>
              <w:jc w:val="center"/>
              <w:rPr>
                <w:rFonts w:cs="Segoe UI"/>
                <w:bCs/>
                <w:szCs w:val="18"/>
              </w:rPr>
            </w:pPr>
          </w:p>
        </w:tc>
        <w:tc>
          <w:tcPr>
            <w:tcW w:w="2268" w:type="dxa"/>
            <w:shd w:val="clear" w:color="auto" w:fill="auto"/>
          </w:tcPr>
          <w:p w14:paraId="6C0BD840"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6F6CE8" w14:paraId="495A83E7" w14:textId="77777777" w:rsidTr="003116E7">
        <w:trPr>
          <w:cantSplit/>
        </w:trPr>
        <w:tc>
          <w:tcPr>
            <w:tcW w:w="1985" w:type="dxa"/>
            <w:shd w:val="clear" w:color="auto" w:fill="auto"/>
          </w:tcPr>
          <w:p w14:paraId="07CF6EE9" w14:textId="77777777" w:rsidR="007179EA" w:rsidRPr="00236226" w:rsidRDefault="007179EA" w:rsidP="006F1C71">
            <w:pPr>
              <w:pStyle w:val="TableText"/>
              <w:rPr>
                <w:rFonts w:cs="Segoe UI"/>
                <w:bCs/>
                <w:szCs w:val="18"/>
              </w:rPr>
            </w:pPr>
            <w:r w:rsidRPr="006F6CE8">
              <w:rPr>
                <w:rFonts w:cs="Segoe UI"/>
                <w:bCs/>
                <w:szCs w:val="18"/>
              </w:rPr>
              <w:t>Data collection and reporting</w:t>
            </w:r>
          </w:p>
        </w:tc>
        <w:tc>
          <w:tcPr>
            <w:tcW w:w="1275" w:type="dxa"/>
            <w:shd w:val="clear" w:color="auto" w:fill="auto"/>
          </w:tcPr>
          <w:p w14:paraId="3BDE8D9A" w14:textId="77777777" w:rsidR="007179EA" w:rsidRPr="003118A4" w:rsidRDefault="007179EA" w:rsidP="003116E7">
            <w:pPr>
              <w:pStyle w:val="TableText"/>
              <w:jc w:val="center"/>
              <w:rPr>
                <w:rFonts w:cs="Segoe UI"/>
                <w:bCs/>
                <w:szCs w:val="18"/>
              </w:rPr>
            </w:pPr>
          </w:p>
        </w:tc>
        <w:tc>
          <w:tcPr>
            <w:tcW w:w="1276" w:type="dxa"/>
            <w:shd w:val="clear" w:color="auto" w:fill="auto"/>
          </w:tcPr>
          <w:p w14:paraId="63EB262F" w14:textId="77777777" w:rsidR="007179EA" w:rsidRPr="003118A4" w:rsidRDefault="007179EA" w:rsidP="003116E7">
            <w:pPr>
              <w:pStyle w:val="TableText"/>
              <w:jc w:val="center"/>
              <w:rPr>
                <w:rFonts w:cs="Segoe UI"/>
                <w:bCs/>
                <w:szCs w:val="18"/>
              </w:rPr>
            </w:pPr>
          </w:p>
        </w:tc>
        <w:tc>
          <w:tcPr>
            <w:tcW w:w="1276" w:type="dxa"/>
            <w:shd w:val="clear" w:color="auto" w:fill="auto"/>
          </w:tcPr>
          <w:p w14:paraId="4F24BFBA"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2268" w:type="dxa"/>
            <w:shd w:val="clear" w:color="auto" w:fill="auto"/>
          </w:tcPr>
          <w:p w14:paraId="4FDC1690" w14:textId="77777777" w:rsidR="007179EA" w:rsidRPr="00FB1375" w:rsidRDefault="007179EA" w:rsidP="003116E7">
            <w:pPr>
              <w:pStyle w:val="TableText"/>
              <w:jc w:val="center"/>
              <w:rPr>
                <w:rFonts w:cs="Segoe UI"/>
                <w:bCs/>
                <w:szCs w:val="18"/>
              </w:rPr>
            </w:pPr>
            <w:r w:rsidRPr="003118A4">
              <w:rPr>
                <w:rFonts w:ascii="Segoe UI Symbol" w:hAnsi="Segoe UI Symbol" w:cs="Segoe UI Symbol"/>
                <w:bCs/>
                <w:szCs w:val="18"/>
              </w:rPr>
              <w:t>✓</w:t>
            </w:r>
          </w:p>
        </w:tc>
      </w:tr>
      <w:tr w:rsidR="007179EA" w:rsidRPr="006F6CE8" w14:paraId="7A7C3904" w14:textId="77777777" w:rsidTr="003116E7">
        <w:trPr>
          <w:cantSplit/>
        </w:trPr>
        <w:tc>
          <w:tcPr>
            <w:tcW w:w="1985" w:type="dxa"/>
            <w:tcBorders>
              <w:bottom w:val="single" w:sz="4" w:space="0" w:color="A6A6A6" w:themeColor="background1" w:themeShade="A6"/>
            </w:tcBorders>
            <w:shd w:val="clear" w:color="auto" w:fill="auto"/>
          </w:tcPr>
          <w:p w14:paraId="30831CD8" w14:textId="77777777" w:rsidR="007179EA" w:rsidRPr="00236226" w:rsidRDefault="007179EA" w:rsidP="003116E7">
            <w:pPr>
              <w:pStyle w:val="TableText"/>
              <w:ind w:right="-57"/>
              <w:rPr>
                <w:rFonts w:cs="Segoe UI"/>
                <w:bCs/>
                <w:szCs w:val="18"/>
              </w:rPr>
            </w:pPr>
            <w:r w:rsidRPr="006F6CE8">
              <w:rPr>
                <w:rFonts w:cs="Segoe UI"/>
                <w:szCs w:val="18"/>
              </w:rPr>
              <w:t>Workforce development (clinical)</w:t>
            </w:r>
          </w:p>
        </w:tc>
        <w:tc>
          <w:tcPr>
            <w:tcW w:w="1275" w:type="dxa"/>
            <w:tcBorders>
              <w:bottom w:val="single" w:sz="4" w:space="0" w:color="A6A6A6" w:themeColor="background1" w:themeShade="A6"/>
            </w:tcBorders>
            <w:shd w:val="clear" w:color="auto" w:fill="auto"/>
          </w:tcPr>
          <w:p w14:paraId="30F661D6"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tcBorders>
              <w:bottom w:val="single" w:sz="4" w:space="0" w:color="A6A6A6" w:themeColor="background1" w:themeShade="A6"/>
            </w:tcBorders>
            <w:shd w:val="clear" w:color="auto" w:fill="auto"/>
          </w:tcPr>
          <w:p w14:paraId="771420A3"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tcBorders>
              <w:bottom w:val="single" w:sz="4" w:space="0" w:color="A6A6A6" w:themeColor="background1" w:themeShade="A6"/>
            </w:tcBorders>
            <w:shd w:val="clear" w:color="auto" w:fill="auto"/>
          </w:tcPr>
          <w:p w14:paraId="5A34FB82" w14:textId="77777777" w:rsidR="007179EA" w:rsidRPr="00FB1375"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2268" w:type="dxa"/>
            <w:tcBorders>
              <w:bottom w:val="single" w:sz="4" w:space="0" w:color="A6A6A6" w:themeColor="background1" w:themeShade="A6"/>
            </w:tcBorders>
            <w:shd w:val="clear" w:color="auto" w:fill="auto"/>
          </w:tcPr>
          <w:p w14:paraId="3DA19274"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3116E7" w14:paraId="53D3CA68" w14:textId="77777777" w:rsidTr="003116E7">
        <w:trPr>
          <w:cantSplit/>
        </w:trPr>
        <w:tc>
          <w:tcPr>
            <w:tcW w:w="1985" w:type="dxa"/>
            <w:tcBorders>
              <w:top w:val="single" w:sz="4" w:space="0" w:color="A6A6A6" w:themeColor="background1" w:themeShade="A6"/>
              <w:bottom w:val="nil"/>
            </w:tcBorders>
            <w:shd w:val="clear" w:color="auto" w:fill="F2F2F2" w:themeFill="background1" w:themeFillShade="F2"/>
          </w:tcPr>
          <w:p w14:paraId="0AA4363B" w14:textId="77777777" w:rsidR="007179EA" w:rsidRPr="003116E7" w:rsidRDefault="007179EA" w:rsidP="006F1C71">
            <w:pPr>
              <w:pStyle w:val="TableText"/>
              <w:rPr>
                <w:rFonts w:cs="Segoe UI"/>
                <w:b/>
                <w:szCs w:val="18"/>
              </w:rPr>
            </w:pPr>
            <w:r w:rsidRPr="003116E7">
              <w:rPr>
                <w:rFonts w:cs="Segoe UI"/>
                <w:b/>
                <w:szCs w:val="18"/>
              </w:rPr>
              <w:t>Research/evaluation</w:t>
            </w:r>
          </w:p>
        </w:tc>
        <w:tc>
          <w:tcPr>
            <w:tcW w:w="1275" w:type="dxa"/>
            <w:tcBorders>
              <w:top w:val="single" w:sz="4" w:space="0" w:color="A6A6A6" w:themeColor="background1" w:themeShade="A6"/>
              <w:bottom w:val="nil"/>
            </w:tcBorders>
            <w:shd w:val="clear" w:color="auto" w:fill="F2F2F2" w:themeFill="background1" w:themeFillShade="F2"/>
          </w:tcPr>
          <w:p w14:paraId="58C13EF0" w14:textId="77777777" w:rsidR="007179EA" w:rsidRPr="003116E7" w:rsidRDefault="007179EA" w:rsidP="003116E7">
            <w:pPr>
              <w:pStyle w:val="TableText"/>
              <w:jc w:val="center"/>
              <w:rPr>
                <w:rFonts w:cs="Segoe UI"/>
                <w:b/>
                <w:bCs/>
                <w:szCs w:val="18"/>
              </w:rPr>
            </w:pPr>
          </w:p>
        </w:tc>
        <w:tc>
          <w:tcPr>
            <w:tcW w:w="1276" w:type="dxa"/>
            <w:tcBorders>
              <w:top w:val="single" w:sz="4" w:space="0" w:color="A6A6A6" w:themeColor="background1" w:themeShade="A6"/>
              <w:bottom w:val="nil"/>
            </w:tcBorders>
            <w:shd w:val="clear" w:color="auto" w:fill="F2F2F2" w:themeFill="background1" w:themeFillShade="F2"/>
          </w:tcPr>
          <w:p w14:paraId="08985E4C" w14:textId="77777777" w:rsidR="007179EA" w:rsidRPr="003116E7" w:rsidRDefault="007179EA" w:rsidP="003116E7">
            <w:pPr>
              <w:pStyle w:val="TableText"/>
              <w:jc w:val="center"/>
              <w:rPr>
                <w:rFonts w:cs="Segoe UI"/>
                <w:b/>
                <w:bCs/>
                <w:szCs w:val="18"/>
              </w:rPr>
            </w:pPr>
          </w:p>
        </w:tc>
        <w:tc>
          <w:tcPr>
            <w:tcW w:w="1276" w:type="dxa"/>
            <w:tcBorders>
              <w:top w:val="single" w:sz="4" w:space="0" w:color="A6A6A6" w:themeColor="background1" w:themeShade="A6"/>
              <w:bottom w:val="nil"/>
            </w:tcBorders>
            <w:shd w:val="clear" w:color="auto" w:fill="F2F2F2" w:themeFill="background1" w:themeFillShade="F2"/>
          </w:tcPr>
          <w:p w14:paraId="58664CAB" w14:textId="77777777" w:rsidR="007179EA" w:rsidRPr="003116E7" w:rsidRDefault="007179EA" w:rsidP="003116E7">
            <w:pPr>
              <w:pStyle w:val="TableText"/>
              <w:jc w:val="center"/>
              <w:rPr>
                <w:rFonts w:cs="Segoe UI"/>
                <w:b/>
                <w:bCs/>
                <w:szCs w:val="18"/>
              </w:rPr>
            </w:pPr>
          </w:p>
        </w:tc>
        <w:tc>
          <w:tcPr>
            <w:tcW w:w="2268" w:type="dxa"/>
            <w:tcBorders>
              <w:top w:val="single" w:sz="4" w:space="0" w:color="A6A6A6" w:themeColor="background1" w:themeShade="A6"/>
              <w:bottom w:val="nil"/>
            </w:tcBorders>
            <w:shd w:val="clear" w:color="auto" w:fill="F2F2F2" w:themeFill="background1" w:themeFillShade="F2"/>
          </w:tcPr>
          <w:p w14:paraId="67982BC3" w14:textId="77777777" w:rsidR="007179EA" w:rsidRPr="003116E7" w:rsidRDefault="007179EA" w:rsidP="003116E7">
            <w:pPr>
              <w:pStyle w:val="TableText"/>
              <w:jc w:val="center"/>
              <w:rPr>
                <w:rFonts w:cs="Segoe UI"/>
                <w:b/>
                <w:bCs/>
                <w:szCs w:val="18"/>
              </w:rPr>
            </w:pPr>
          </w:p>
        </w:tc>
      </w:tr>
      <w:tr w:rsidR="007179EA" w:rsidRPr="006F6CE8" w14:paraId="7F4EC568" w14:textId="77777777" w:rsidTr="003116E7">
        <w:trPr>
          <w:cantSplit/>
        </w:trPr>
        <w:tc>
          <w:tcPr>
            <w:tcW w:w="1985" w:type="dxa"/>
            <w:tcBorders>
              <w:top w:val="nil"/>
            </w:tcBorders>
            <w:shd w:val="clear" w:color="auto" w:fill="auto"/>
          </w:tcPr>
          <w:p w14:paraId="7F08C734" w14:textId="77777777" w:rsidR="007179EA" w:rsidRPr="00236226" w:rsidRDefault="007179EA" w:rsidP="006F1C71">
            <w:pPr>
              <w:pStyle w:val="TableText"/>
              <w:rPr>
                <w:rFonts w:cs="Segoe UI"/>
                <w:bCs/>
                <w:szCs w:val="18"/>
              </w:rPr>
            </w:pPr>
            <w:r w:rsidRPr="00DC4773">
              <w:rPr>
                <w:rFonts w:cs="Segoe UI"/>
                <w:szCs w:val="18"/>
              </w:rPr>
              <w:t>Research</w:t>
            </w:r>
          </w:p>
        </w:tc>
        <w:tc>
          <w:tcPr>
            <w:tcW w:w="1275" w:type="dxa"/>
            <w:tcBorders>
              <w:top w:val="nil"/>
            </w:tcBorders>
            <w:shd w:val="clear" w:color="auto" w:fill="auto"/>
          </w:tcPr>
          <w:p w14:paraId="0ECF046A" w14:textId="77777777" w:rsidR="007179EA" w:rsidRPr="003118A4" w:rsidRDefault="007179EA" w:rsidP="003116E7">
            <w:pPr>
              <w:pStyle w:val="TableText"/>
              <w:jc w:val="center"/>
              <w:rPr>
                <w:rFonts w:cs="Segoe UI"/>
                <w:bCs/>
                <w:szCs w:val="18"/>
              </w:rPr>
            </w:pPr>
            <w:r w:rsidRPr="00DB2AF8">
              <w:rPr>
                <w:rFonts w:ascii="Segoe UI Symbol" w:hAnsi="Segoe UI Symbol" w:cs="Segoe UI Symbol"/>
                <w:bCs/>
                <w:szCs w:val="18"/>
              </w:rPr>
              <w:t>✓</w:t>
            </w:r>
          </w:p>
        </w:tc>
        <w:tc>
          <w:tcPr>
            <w:tcW w:w="1276" w:type="dxa"/>
            <w:tcBorders>
              <w:top w:val="nil"/>
            </w:tcBorders>
            <w:shd w:val="clear" w:color="auto" w:fill="auto"/>
          </w:tcPr>
          <w:p w14:paraId="36E906FD" w14:textId="77777777" w:rsidR="007179EA" w:rsidRPr="00FB1375" w:rsidRDefault="007179EA" w:rsidP="003116E7">
            <w:pPr>
              <w:pStyle w:val="TableText"/>
              <w:jc w:val="center"/>
              <w:rPr>
                <w:rFonts w:cs="Segoe UI"/>
                <w:bCs/>
                <w:szCs w:val="18"/>
              </w:rPr>
            </w:pPr>
            <w:r w:rsidRPr="00DB2AF8">
              <w:rPr>
                <w:rFonts w:ascii="Segoe UI Symbol" w:hAnsi="Segoe UI Symbol" w:cs="Segoe UI Symbol"/>
                <w:bCs/>
                <w:szCs w:val="18"/>
              </w:rPr>
              <w:t>✓</w:t>
            </w:r>
          </w:p>
        </w:tc>
        <w:tc>
          <w:tcPr>
            <w:tcW w:w="1276" w:type="dxa"/>
            <w:tcBorders>
              <w:top w:val="nil"/>
            </w:tcBorders>
            <w:shd w:val="clear" w:color="auto" w:fill="auto"/>
          </w:tcPr>
          <w:p w14:paraId="24BDDF65" w14:textId="77777777" w:rsidR="007179EA" w:rsidRPr="00FB1375" w:rsidRDefault="007179EA" w:rsidP="003116E7">
            <w:pPr>
              <w:pStyle w:val="TableText"/>
              <w:jc w:val="center"/>
              <w:rPr>
                <w:rFonts w:cs="Segoe UI"/>
                <w:bCs/>
                <w:szCs w:val="18"/>
              </w:rPr>
            </w:pPr>
            <w:r w:rsidRPr="00DB2AF8">
              <w:rPr>
                <w:rFonts w:ascii="Segoe UI Symbol" w:hAnsi="Segoe UI Symbol" w:cs="Segoe UI Symbol"/>
                <w:bCs/>
                <w:szCs w:val="18"/>
              </w:rPr>
              <w:t>✓</w:t>
            </w:r>
          </w:p>
        </w:tc>
        <w:tc>
          <w:tcPr>
            <w:tcW w:w="2268" w:type="dxa"/>
            <w:tcBorders>
              <w:top w:val="nil"/>
            </w:tcBorders>
            <w:shd w:val="clear" w:color="auto" w:fill="auto"/>
          </w:tcPr>
          <w:p w14:paraId="232FE41C" w14:textId="77777777" w:rsidR="007179EA" w:rsidRPr="003C1CD6" w:rsidRDefault="007179EA" w:rsidP="003116E7">
            <w:pPr>
              <w:pStyle w:val="TableText"/>
              <w:jc w:val="center"/>
              <w:rPr>
                <w:rFonts w:cs="Segoe UI"/>
                <w:bCs/>
                <w:szCs w:val="18"/>
              </w:rPr>
            </w:pPr>
            <w:r w:rsidRPr="00DB2AF8">
              <w:rPr>
                <w:rFonts w:ascii="Segoe UI Symbol" w:hAnsi="Segoe UI Symbol" w:cs="Segoe UI Symbol"/>
                <w:bCs/>
                <w:szCs w:val="18"/>
              </w:rPr>
              <w:t>✓</w:t>
            </w:r>
          </w:p>
        </w:tc>
      </w:tr>
      <w:tr w:rsidR="007179EA" w:rsidRPr="006F6CE8" w14:paraId="4EF2B913" w14:textId="77777777" w:rsidTr="003116E7">
        <w:trPr>
          <w:cantSplit/>
        </w:trPr>
        <w:tc>
          <w:tcPr>
            <w:tcW w:w="1985" w:type="dxa"/>
            <w:tcBorders>
              <w:bottom w:val="single" w:sz="4" w:space="0" w:color="A6A6A6" w:themeColor="background1" w:themeShade="A6"/>
            </w:tcBorders>
            <w:shd w:val="clear" w:color="auto" w:fill="auto"/>
          </w:tcPr>
          <w:p w14:paraId="0BF832AD" w14:textId="77777777" w:rsidR="007179EA" w:rsidRPr="00236226" w:rsidRDefault="007179EA" w:rsidP="006F1C71">
            <w:pPr>
              <w:pStyle w:val="TableText"/>
              <w:rPr>
                <w:rFonts w:cs="Segoe UI"/>
                <w:bCs/>
                <w:szCs w:val="18"/>
              </w:rPr>
            </w:pPr>
            <w:r w:rsidRPr="006F6CE8">
              <w:rPr>
                <w:rFonts w:cs="Segoe UI"/>
                <w:szCs w:val="18"/>
              </w:rPr>
              <w:t>Evaluation (including outcomes reporting)</w:t>
            </w:r>
          </w:p>
        </w:tc>
        <w:tc>
          <w:tcPr>
            <w:tcW w:w="1275" w:type="dxa"/>
            <w:tcBorders>
              <w:bottom w:val="single" w:sz="4" w:space="0" w:color="A6A6A6" w:themeColor="background1" w:themeShade="A6"/>
            </w:tcBorders>
            <w:shd w:val="clear" w:color="auto" w:fill="auto"/>
          </w:tcPr>
          <w:p w14:paraId="4BBCCF1E"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tcBorders>
              <w:bottom w:val="single" w:sz="4" w:space="0" w:color="A6A6A6" w:themeColor="background1" w:themeShade="A6"/>
            </w:tcBorders>
            <w:shd w:val="clear" w:color="auto" w:fill="auto"/>
          </w:tcPr>
          <w:p w14:paraId="25629B8D"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tcBorders>
              <w:bottom w:val="single" w:sz="4" w:space="0" w:color="A6A6A6" w:themeColor="background1" w:themeShade="A6"/>
            </w:tcBorders>
            <w:shd w:val="clear" w:color="auto" w:fill="auto"/>
          </w:tcPr>
          <w:p w14:paraId="52F6280B"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c>
          <w:tcPr>
            <w:tcW w:w="2268" w:type="dxa"/>
            <w:tcBorders>
              <w:bottom w:val="single" w:sz="4" w:space="0" w:color="A6A6A6" w:themeColor="background1" w:themeShade="A6"/>
            </w:tcBorders>
            <w:shd w:val="clear" w:color="auto" w:fill="auto"/>
          </w:tcPr>
          <w:p w14:paraId="486B1433"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3116E7" w14:paraId="643D5045" w14:textId="77777777" w:rsidTr="003116E7">
        <w:trPr>
          <w:cantSplit/>
        </w:trPr>
        <w:tc>
          <w:tcPr>
            <w:tcW w:w="1985" w:type="dxa"/>
            <w:tcBorders>
              <w:top w:val="single" w:sz="4" w:space="0" w:color="A6A6A6" w:themeColor="background1" w:themeShade="A6"/>
              <w:bottom w:val="nil"/>
            </w:tcBorders>
            <w:shd w:val="clear" w:color="auto" w:fill="F2F2F2" w:themeFill="background1" w:themeFillShade="F2"/>
          </w:tcPr>
          <w:p w14:paraId="50B2F1DB" w14:textId="77777777" w:rsidR="007179EA" w:rsidRPr="003116E7" w:rsidRDefault="007179EA" w:rsidP="00723DC0">
            <w:pPr>
              <w:pStyle w:val="TableText"/>
              <w:keepNext/>
              <w:rPr>
                <w:rFonts w:cs="Segoe UI"/>
                <w:b/>
                <w:szCs w:val="18"/>
              </w:rPr>
            </w:pPr>
            <w:r w:rsidRPr="003116E7">
              <w:rPr>
                <w:rFonts w:cs="Segoe UI"/>
                <w:b/>
                <w:szCs w:val="18"/>
              </w:rPr>
              <w:lastRenderedPageBreak/>
              <w:t>New services and innovation</w:t>
            </w:r>
          </w:p>
        </w:tc>
        <w:tc>
          <w:tcPr>
            <w:tcW w:w="1275" w:type="dxa"/>
            <w:tcBorders>
              <w:top w:val="single" w:sz="4" w:space="0" w:color="A6A6A6" w:themeColor="background1" w:themeShade="A6"/>
              <w:bottom w:val="nil"/>
            </w:tcBorders>
            <w:shd w:val="clear" w:color="auto" w:fill="F2F2F2" w:themeFill="background1" w:themeFillShade="F2"/>
          </w:tcPr>
          <w:p w14:paraId="7BF5443C" w14:textId="77777777" w:rsidR="007179EA" w:rsidRPr="003116E7" w:rsidRDefault="007179EA" w:rsidP="00723DC0">
            <w:pPr>
              <w:pStyle w:val="TableText"/>
              <w:keepNext/>
              <w:jc w:val="center"/>
              <w:rPr>
                <w:rFonts w:cs="Segoe UI"/>
                <w:b/>
                <w:bCs/>
                <w:szCs w:val="18"/>
              </w:rPr>
            </w:pPr>
          </w:p>
        </w:tc>
        <w:tc>
          <w:tcPr>
            <w:tcW w:w="1276" w:type="dxa"/>
            <w:tcBorders>
              <w:top w:val="single" w:sz="4" w:space="0" w:color="A6A6A6" w:themeColor="background1" w:themeShade="A6"/>
              <w:bottom w:val="nil"/>
            </w:tcBorders>
            <w:shd w:val="clear" w:color="auto" w:fill="F2F2F2" w:themeFill="background1" w:themeFillShade="F2"/>
          </w:tcPr>
          <w:p w14:paraId="0B479E4C" w14:textId="77777777" w:rsidR="007179EA" w:rsidRPr="003116E7" w:rsidRDefault="007179EA" w:rsidP="00723DC0">
            <w:pPr>
              <w:pStyle w:val="TableText"/>
              <w:keepNext/>
              <w:jc w:val="center"/>
              <w:rPr>
                <w:rFonts w:cs="Segoe UI"/>
                <w:b/>
                <w:bCs/>
                <w:szCs w:val="18"/>
              </w:rPr>
            </w:pPr>
          </w:p>
        </w:tc>
        <w:tc>
          <w:tcPr>
            <w:tcW w:w="1276" w:type="dxa"/>
            <w:tcBorders>
              <w:top w:val="single" w:sz="4" w:space="0" w:color="A6A6A6" w:themeColor="background1" w:themeShade="A6"/>
              <w:bottom w:val="nil"/>
            </w:tcBorders>
            <w:shd w:val="clear" w:color="auto" w:fill="F2F2F2" w:themeFill="background1" w:themeFillShade="F2"/>
          </w:tcPr>
          <w:p w14:paraId="55907DAF" w14:textId="77777777" w:rsidR="007179EA" w:rsidRPr="003116E7" w:rsidRDefault="007179EA" w:rsidP="00723DC0">
            <w:pPr>
              <w:pStyle w:val="TableText"/>
              <w:keepNext/>
              <w:jc w:val="center"/>
              <w:rPr>
                <w:rFonts w:cs="Segoe UI"/>
                <w:b/>
                <w:bCs/>
                <w:szCs w:val="18"/>
              </w:rPr>
            </w:pPr>
          </w:p>
        </w:tc>
        <w:tc>
          <w:tcPr>
            <w:tcW w:w="2268" w:type="dxa"/>
            <w:tcBorders>
              <w:top w:val="single" w:sz="4" w:space="0" w:color="A6A6A6" w:themeColor="background1" w:themeShade="A6"/>
              <w:bottom w:val="nil"/>
            </w:tcBorders>
            <w:shd w:val="clear" w:color="auto" w:fill="F2F2F2" w:themeFill="background1" w:themeFillShade="F2"/>
          </w:tcPr>
          <w:p w14:paraId="233285A2" w14:textId="77777777" w:rsidR="007179EA" w:rsidRPr="003116E7" w:rsidRDefault="007179EA" w:rsidP="00723DC0">
            <w:pPr>
              <w:pStyle w:val="TableText"/>
              <w:keepNext/>
              <w:jc w:val="center"/>
              <w:rPr>
                <w:rFonts w:cs="Segoe UI"/>
                <w:b/>
                <w:bCs/>
                <w:szCs w:val="18"/>
              </w:rPr>
            </w:pPr>
          </w:p>
        </w:tc>
      </w:tr>
      <w:tr w:rsidR="007179EA" w:rsidRPr="006F6CE8" w14:paraId="11012DA5" w14:textId="77777777" w:rsidTr="003116E7">
        <w:trPr>
          <w:cantSplit/>
        </w:trPr>
        <w:tc>
          <w:tcPr>
            <w:tcW w:w="1985" w:type="dxa"/>
            <w:tcBorders>
              <w:top w:val="nil"/>
            </w:tcBorders>
            <w:shd w:val="clear" w:color="auto" w:fill="auto"/>
          </w:tcPr>
          <w:p w14:paraId="1F3D5EA7" w14:textId="77777777" w:rsidR="007179EA" w:rsidRPr="003118A4" w:rsidRDefault="007179EA" w:rsidP="00723DC0">
            <w:pPr>
              <w:pStyle w:val="TableText"/>
              <w:keepNext/>
              <w:rPr>
                <w:rFonts w:cs="Segoe UI"/>
                <w:bCs/>
                <w:szCs w:val="18"/>
              </w:rPr>
            </w:pPr>
            <w:r>
              <w:rPr>
                <w:rFonts w:cs="Segoe UI"/>
                <w:szCs w:val="18"/>
              </w:rPr>
              <w:t xml:space="preserve">New ways </w:t>
            </w:r>
            <w:r w:rsidRPr="006F6CE8">
              <w:rPr>
                <w:rFonts w:cs="Segoe UI"/>
                <w:szCs w:val="18"/>
              </w:rPr>
              <w:t>to address inequity (public health and intervention services)</w:t>
            </w:r>
          </w:p>
        </w:tc>
        <w:tc>
          <w:tcPr>
            <w:tcW w:w="1275" w:type="dxa"/>
            <w:tcBorders>
              <w:top w:val="nil"/>
            </w:tcBorders>
            <w:shd w:val="clear" w:color="auto" w:fill="auto"/>
          </w:tcPr>
          <w:p w14:paraId="1065029D" w14:textId="77777777" w:rsidR="007179EA" w:rsidRPr="003118A4" w:rsidRDefault="007179EA" w:rsidP="00723DC0">
            <w:pPr>
              <w:pStyle w:val="TableText"/>
              <w:keepNext/>
              <w:jc w:val="center"/>
              <w:rPr>
                <w:rFonts w:cs="Segoe UI"/>
                <w:bCs/>
                <w:szCs w:val="18"/>
              </w:rPr>
            </w:pPr>
            <w:r w:rsidRPr="003118A4">
              <w:rPr>
                <w:rFonts w:ascii="Segoe UI Symbol" w:hAnsi="Segoe UI Symbol" w:cs="Segoe UI Symbol"/>
                <w:bCs/>
                <w:szCs w:val="18"/>
              </w:rPr>
              <w:t>✓</w:t>
            </w:r>
          </w:p>
        </w:tc>
        <w:tc>
          <w:tcPr>
            <w:tcW w:w="1276" w:type="dxa"/>
            <w:tcBorders>
              <w:top w:val="nil"/>
            </w:tcBorders>
            <w:shd w:val="clear" w:color="auto" w:fill="auto"/>
          </w:tcPr>
          <w:p w14:paraId="0E2201A0" w14:textId="77777777" w:rsidR="007179EA" w:rsidRPr="00FB1375" w:rsidRDefault="007179EA" w:rsidP="00723DC0">
            <w:pPr>
              <w:pStyle w:val="TableText"/>
              <w:keepNext/>
              <w:jc w:val="center"/>
              <w:rPr>
                <w:rFonts w:cs="Segoe UI"/>
                <w:bCs/>
                <w:szCs w:val="18"/>
              </w:rPr>
            </w:pPr>
            <w:r w:rsidRPr="003118A4">
              <w:rPr>
                <w:rFonts w:ascii="Segoe UI Symbol" w:hAnsi="Segoe UI Symbol" w:cs="Segoe UI Symbol"/>
                <w:bCs/>
                <w:szCs w:val="18"/>
              </w:rPr>
              <w:t>✓</w:t>
            </w:r>
          </w:p>
        </w:tc>
        <w:tc>
          <w:tcPr>
            <w:tcW w:w="1276" w:type="dxa"/>
            <w:tcBorders>
              <w:top w:val="nil"/>
            </w:tcBorders>
            <w:shd w:val="clear" w:color="auto" w:fill="auto"/>
          </w:tcPr>
          <w:p w14:paraId="49A520A1" w14:textId="77777777" w:rsidR="007179EA" w:rsidRPr="00FB1375" w:rsidRDefault="007179EA" w:rsidP="00723DC0">
            <w:pPr>
              <w:pStyle w:val="TableText"/>
              <w:keepNext/>
              <w:jc w:val="center"/>
              <w:rPr>
                <w:rFonts w:cs="Segoe UI"/>
                <w:bCs/>
                <w:szCs w:val="18"/>
              </w:rPr>
            </w:pPr>
          </w:p>
        </w:tc>
        <w:tc>
          <w:tcPr>
            <w:tcW w:w="2268" w:type="dxa"/>
            <w:tcBorders>
              <w:top w:val="nil"/>
            </w:tcBorders>
            <w:shd w:val="clear" w:color="auto" w:fill="auto"/>
          </w:tcPr>
          <w:p w14:paraId="5EE1A198" w14:textId="77777777" w:rsidR="007179EA" w:rsidRPr="00FB1375" w:rsidRDefault="007179EA" w:rsidP="00723DC0">
            <w:pPr>
              <w:pStyle w:val="TableText"/>
              <w:keepNext/>
              <w:jc w:val="center"/>
              <w:rPr>
                <w:rFonts w:cs="Segoe UI"/>
                <w:bCs/>
                <w:szCs w:val="18"/>
              </w:rPr>
            </w:pPr>
            <w:r w:rsidRPr="00FB1375">
              <w:rPr>
                <w:rFonts w:ascii="Segoe UI Symbol" w:hAnsi="Segoe UI Symbol" w:cs="Segoe UI Symbol"/>
                <w:bCs/>
                <w:szCs w:val="18"/>
              </w:rPr>
              <w:t>✓</w:t>
            </w:r>
          </w:p>
        </w:tc>
      </w:tr>
      <w:tr w:rsidR="007179EA" w:rsidRPr="006F6CE8" w14:paraId="534E980A" w14:textId="77777777" w:rsidTr="003116E7">
        <w:trPr>
          <w:cantSplit/>
        </w:trPr>
        <w:tc>
          <w:tcPr>
            <w:tcW w:w="1985" w:type="dxa"/>
            <w:shd w:val="clear" w:color="auto" w:fill="auto"/>
          </w:tcPr>
          <w:p w14:paraId="7540DC38" w14:textId="77777777" w:rsidR="007179EA" w:rsidRPr="006F6CE8" w:rsidRDefault="007179EA" w:rsidP="00723DC0">
            <w:pPr>
              <w:pStyle w:val="TableText"/>
              <w:keepNext/>
              <w:rPr>
                <w:rFonts w:cs="Segoe UI"/>
                <w:bCs/>
                <w:szCs w:val="18"/>
              </w:rPr>
            </w:pPr>
            <w:r w:rsidRPr="006F6CE8">
              <w:rPr>
                <w:rFonts w:cs="Segoe UI"/>
                <w:bCs/>
                <w:szCs w:val="18"/>
              </w:rPr>
              <w:t>Technology</w:t>
            </w:r>
            <w:r>
              <w:rPr>
                <w:rFonts w:cs="Segoe UI"/>
                <w:bCs/>
                <w:szCs w:val="18"/>
              </w:rPr>
              <w:t xml:space="preserve">, digital </w:t>
            </w:r>
            <w:r w:rsidRPr="00236226">
              <w:rPr>
                <w:rFonts w:cs="Segoe UI"/>
                <w:bCs/>
                <w:szCs w:val="18"/>
              </w:rPr>
              <w:t>tools and services</w:t>
            </w:r>
          </w:p>
        </w:tc>
        <w:tc>
          <w:tcPr>
            <w:tcW w:w="1275" w:type="dxa"/>
            <w:shd w:val="clear" w:color="auto" w:fill="auto"/>
          </w:tcPr>
          <w:p w14:paraId="544D42E8" w14:textId="77777777" w:rsidR="007179EA" w:rsidRPr="003118A4" w:rsidRDefault="007179EA" w:rsidP="00723DC0">
            <w:pPr>
              <w:pStyle w:val="TableText"/>
              <w:keepN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330CB425" w14:textId="77777777" w:rsidR="007179EA" w:rsidRPr="003118A4" w:rsidRDefault="007179EA" w:rsidP="00723DC0">
            <w:pPr>
              <w:pStyle w:val="TableText"/>
              <w:keepN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0967BE92" w14:textId="77777777" w:rsidR="007179EA" w:rsidRPr="00FB1375" w:rsidRDefault="007179EA" w:rsidP="00723DC0">
            <w:pPr>
              <w:pStyle w:val="TableText"/>
              <w:keepNext/>
              <w:jc w:val="center"/>
              <w:rPr>
                <w:rFonts w:cs="Segoe UI"/>
                <w:bCs/>
                <w:szCs w:val="18"/>
              </w:rPr>
            </w:pPr>
            <w:r w:rsidRPr="00FB1375">
              <w:rPr>
                <w:rFonts w:ascii="Segoe UI Symbol" w:hAnsi="Segoe UI Symbol" w:cs="Segoe UI Symbol"/>
                <w:bCs/>
                <w:szCs w:val="18"/>
              </w:rPr>
              <w:t>✓</w:t>
            </w:r>
          </w:p>
        </w:tc>
        <w:tc>
          <w:tcPr>
            <w:tcW w:w="2268" w:type="dxa"/>
            <w:shd w:val="clear" w:color="auto" w:fill="auto"/>
          </w:tcPr>
          <w:p w14:paraId="6C069352" w14:textId="77777777" w:rsidR="007179EA" w:rsidRPr="00FB1375" w:rsidRDefault="007179EA" w:rsidP="00723DC0">
            <w:pPr>
              <w:pStyle w:val="TableText"/>
              <w:keepNext/>
              <w:jc w:val="center"/>
              <w:rPr>
                <w:rFonts w:cs="Segoe UI"/>
                <w:bCs/>
                <w:szCs w:val="18"/>
              </w:rPr>
            </w:pPr>
            <w:r w:rsidRPr="00FB1375">
              <w:rPr>
                <w:rFonts w:ascii="Segoe UI Symbol" w:hAnsi="Segoe UI Symbol" w:cs="Segoe UI Symbol"/>
                <w:bCs/>
                <w:szCs w:val="18"/>
              </w:rPr>
              <w:t>✓</w:t>
            </w:r>
          </w:p>
        </w:tc>
      </w:tr>
      <w:tr w:rsidR="007179EA" w:rsidRPr="006F6CE8" w14:paraId="1115436F" w14:textId="77777777" w:rsidTr="003116E7">
        <w:trPr>
          <w:cantSplit/>
        </w:trPr>
        <w:tc>
          <w:tcPr>
            <w:tcW w:w="1985" w:type="dxa"/>
            <w:shd w:val="clear" w:color="auto" w:fill="auto"/>
          </w:tcPr>
          <w:p w14:paraId="092B9D2A" w14:textId="77777777" w:rsidR="007179EA" w:rsidRPr="00236226" w:rsidRDefault="007179EA" w:rsidP="006F1C71">
            <w:pPr>
              <w:pStyle w:val="TableText"/>
              <w:rPr>
                <w:rFonts w:cs="Segoe UI"/>
                <w:bCs/>
                <w:szCs w:val="18"/>
              </w:rPr>
            </w:pPr>
            <w:r w:rsidRPr="006F6CE8">
              <w:rPr>
                <w:rFonts w:cs="Segoe UI"/>
                <w:szCs w:val="18"/>
              </w:rPr>
              <w:t xml:space="preserve">Intensive support </w:t>
            </w:r>
            <w:r>
              <w:rPr>
                <w:rFonts w:cs="Segoe UI"/>
                <w:szCs w:val="18"/>
              </w:rPr>
              <w:t>model</w:t>
            </w:r>
          </w:p>
        </w:tc>
        <w:tc>
          <w:tcPr>
            <w:tcW w:w="1275" w:type="dxa"/>
            <w:shd w:val="clear" w:color="auto" w:fill="auto"/>
          </w:tcPr>
          <w:p w14:paraId="69390C74"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4C9FA0D2" w14:textId="77777777" w:rsidR="007179EA" w:rsidRPr="003118A4" w:rsidRDefault="007179EA" w:rsidP="003116E7">
            <w:pPr>
              <w:pStyle w:val="TableText"/>
              <w:jc w:val="center"/>
              <w:rPr>
                <w:rFonts w:cs="Segoe UI"/>
                <w:bCs/>
                <w:szCs w:val="18"/>
              </w:rPr>
            </w:pPr>
          </w:p>
        </w:tc>
        <w:tc>
          <w:tcPr>
            <w:tcW w:w="1276" w:type="dxa"/>
            <w:shd w:val="clear" w:color="auto" w:fill="auto"/>
          </w:tcPr>
          <w:p w14:paraId="22E97A99" w14:textId="77777777" w:rsidR="007179EA" w:rsidRPr="003118A4" w:rsidRDefault="007179EA" w:rsidP="003116E7">
            <w:pPr>
              <w:pStyle w:val="TableText"/>
              <w:jc w:val="center"/>
              <w:rPr>
                <w:rFonts w:cs="Segoe UI"/>
                <w:bCs/>
                <w:szCs w:val="18"/>
              </w:rPr>
            </w:pPr>
          </w:p>
        </w:tc>
        <w:tc>
          <w:tcPr>
            <w:tcW w:w="2268" w:type="dxa"/>
            <w:shd w:val="clear" w:color="auto" w:fill="auto"/>
          </w:tcPr>
          <w:p w14:paraId="7210FF0B"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6F6CE8" w14:paraId="6006F88D" w14:textId="77777777" w:rsidTr="003116E7">
        <w:trPr>
          <w:cantSplit/>
        </w:trPr>
        <w:tc>
          <w:tcPr>
            <w:tcW w:w="1985" w:type="dxa"/>
            <w:shd w:val="clear" w:color="auto" w:fill="auto"/>
          </w:tcPr>
          <w:p w14:paraId="77C8A54E" w14:textId="77777777" w:rsidR="007179EA" w:rsidRPr="00236226" w:rsidRDefault="007179EA" w:rsidP="006F1C71">
            <w:pPr>
              <w:pStyle w:val="TableText"/>
              <w:rPr>
                <w:rFonts w:cs="Segoe UI"/>
                <w:bCs/>
                <w:szCs w:val="18"/>
              </w:rPr>
            </w:pPr>
            <w:r w:rsidRPr="006F6CE8">
              <w:rPr>
                <w:rFonts w:cs="Segoe UI"/>
                <w:szCs w:val="18"/>
              </w:rPr>
              <w:t>Peer workforce and expansion</w:t>
            </w:r>
          </w:p>
        </w:tc>
        <w:tc>
          <w:tcPr>
            <w:tcW w:w="1275" w:type="dxa"/>
            <w:shd w:val="clear" w:color="auto" w:fill="auto"/>
          </w:tcPr>
          <w:p w14:paraId="677A9313"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646935EA"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33462F12" w14:textId="77777777" w:rsidR="007179EA" w:rsidRPr="003118A4" w:rsidRDefault="007179EA" w:rsidP="003116E7">
            <w:pPr>
              <w:pStyle w:val="TableText"/>
              <w:jc w:val="center"/>
              <w:rPr>
                <w:rFonts w:cs="Segoe UI"/>
                <w:bCs/>
                <w:szCs w:val="18"/>
              </w:rPr>
            </w:pPr>
          </w:p>
        </w:tc>
        <w:tc>
          <w:tcPr>
            <w:tcW w:w="2268" w:type="dxa"/>
            <w:shd w:val="clear" w:color="auto" w:fill="auto"/>
          </w:tcPr>
          <w:p w14:paraId="26888FF2"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6F6CE8" w14:paraId="7F370933" w14:textId="77777777" w:rsidTr="003116E7">
        <w:trPr>
          <w:cantSplit/>
        </w:trPr>
        <w:tc>
          <w:tcPr>
            <w:tcW w:w="1985" w:type="dxa"/>
            <w:shd w:val="clear" w:color="auto" w:fill="auto"/>
          </w:tcPr>
          <w:p w14:paraId="067A1790" w14:textId="77777777" w:rsidR="007179EA" w:rsidRPr="00236226" w:rsidRDefault="007179EA" w:rsidP="003116E7">
            <w:pPr>
              <w:pStyle w:val="TableText"/>
              <w:rPr>
                <w:rFonts w:cs="Segoe UI"/>
                <w:bCs/>
                <w:szCs w:val="18"/>
              </w:rPr>
            </w:pPr>
            <w:r w:rsidRPr="006F6CE8">
              <w:rPr>
                <w:rFonts w:cs="Segoe UI"/>
                <w:szCs w:val="18"/>
              </w:rPr>
              <w:t>Developing NZQA level</w:t>
            </w:r>
            <w:r w:rsidR="003116E7">
              <w:rPr>
                <w:rFonts w:cs="Segoe UI"/>
                <w:szCs w:val="18"/>
              </w:rPr>
              <w:t> </w:t>
            </w:r>
            <w:r w:rsidRPr="006F6CE8">
              <w:rPr>
                <w:rFonts w:cs="Segoe UI"/>
                <w:szCs w:val="18"/>
              </w:rPr>
              <w:t xml:space="preserve">7 gambling harm </w:t>
            </w:r>
            <w:r>
              <w:rPr>
                <w:rFonts w:cs="Segoe UI"/>
                <w:szCs w:val="18"/>
              </w:rPr>
              <w:t>content</w:t>
            </w:r>
          </w:p>
        </w:tc>
        <w:tc>
          <w:tcPr>
            <w:tcW w:w="1275" w:type="dxa"/>
            <w:shd w:val="clear" w:color="auto" w:fill="auto"/>
          </w:tcPr>
          <w:p w14:paraId="14E696BA"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shd w:val="clear" w:color="auto" w:fill="auto"/>
          </w:tcPr>
          <w:p w14:paraId="6D3125E0" w14:textId="77777777" w:rsidR="007179EA" w:rsidRPr="003118A4" w:rsidRDefault="007179EA" w:rsidP="003116E7">
            <w:pPr>
              <w:pStyle w:val="TableText"/>
              <w:jc w:val="center"/>
              <w:rPr>
                <w:rFonts w:cs="Segoe UI"/>
                <w:bCs/>
                <w:szCs w:val="18"/>
              </w:rPr>
            </w:pPr>
          </w:p>
        </w:tc>
        <w:tc>
          <w:tcPr>
            <w:tcW w:w="1276" w:type="dxa"/>
            <w:shd w:val="clear" w:color="auto" w:fill="auto"/>
          </w:tcPr>
          <w:p w14:paraId="1186E715" w14:textId="77777777" w:rsidR="007179EA" w:rsidRPr="00FB1375"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2268" w:type="dxa"/>
            <w:shd w:val="clear" w:color="auto" w:fill="auto"/>
          </w:tcPr>
          <w:p w14:paraId="7F5BC8E6"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6F6CE8" w14:paraId="5D208115" w14:textId="77777777" w:rsidTr="003116E7">
        <w:trPr>
          <w:cantSplit/>
        </w:trPr>
        <w:tc>
          <w:tcPr>
            <w:tcW w:w="1985" w:type="dxa"/>
            <w:tcBorders>
              <w:bottom w:val="single" w:sz="4" w:space="0" w:color="A6A6A6" w:themeColor="background1" w:themeShade="A6"/>
            </w:tcBorders>
            <w:shd w:val="clear" w:color="auto" w:fill="auto"/>
          </w:tcPr>
          <w:p w14:paraId="7D68EE39" w14:textId="77777777" w:rsidR="007179EA" w:rsidRPr="003118A4" w:rsidRDefault="007179EA" w:rsidP="003116E7">
            <w:pPr>
              <w:pStyle w:val="TableText"/>
              <w:rPr>
                <w:rFonts w:cs="Segoe UI"/>
                <w:bCs/>
                <w:szCs w:val="18"/>
              </w:rPr>
            </w:pPr>
            <w:r w:rsidRPr="006F6CE8">
              <w:rPr>
                <w:rFonts w:cs="Segoe UI"/>
                <w:bCs/>
                <w:szCs w:val="18"/>
              </w:rPr>
              <w:t xml:space="preserve">Gambling Harm workforce scholarships – </w:t>
            </w:r>
            <w:r w:rsidR="003116E7">
              <w:rPr>
                <w:rFonts w:cs="Segoe UI"/>
                <w:bCs/>
                <w:szCs w:val="18"/>
              </w:rPr>
              <w:t>n</w:t>
            </w:r>
            <w:r w:rsidRPr="006F6CE8">
              <w:rPr>
                <w:rFonts w:cs="Segoe UI"/>
                <w:bCs/>
                <w:szCs w:val="18"/>
              </w:rPr>
              <w:t>ew</w:t>
            </w:r>
          </w:p>
        </w:tc>
        <w:tc>
          <w:tcPr>
            <w:tcW w:w="1275" w:type="dxa"/>
            <w:tcBorders>
              <w:bottom w:val="single" w:sz="4" w:space="0" w:color="A6A6A6" w:themeColor="background1" w:themeShade="A6"/>
            </w:tcBorders>
            <w:shd w:val="clear" w:color="auto" w:fill="auto"/>
          </w:tcPr>
          <w:p w14:paraId="3D87F4EC" w14:textId="77777777" w:rsidR="007179EA" w:rsidRPr="003118A4" w:rsidRDefault="007179EA" w:rsidP="003116E7">
            <w:pPr>
              <w:pStyle w:val="TableText"/>
              <w:jc w:val="center"/>
              <w:rPr>
                <w:rFonts w:cs="Segoe UI"/>
                <w:bCs/>
                <w:szCs w:val="18"/>
              </w:rPr>
            </w:pPr>
            <w:r w:rsidRPr="003118A4">
              <w:rPr>
                <w:rFonts w:ascii="Segoe UI Symbol" w:hAnsi="Segoe UI Symbol" w:cs="Segoe UI Symbol"/>
                <w:bCs/>
                <w:szCs w:val="18"/>
              </w:rPr>
              <w:t>✓</w:t>
            </w:r>
          </w:p>
        </w:tc>
        <w:tc>
          <w:tcPr>
            <w:tcW w:w="1276" w:type="dxa"/>
            <w:tcBorders>
              <w:bottom w:val="single" w:sz="4" w:space="0" w:color="A6A6A6" w:themeColor="background1" w:themeShade="A6"/>
            </w:tcBorders>
            <w:shd w:val="clear" w:color="auto" w:fill="auto"/>
          </w:tcPr>
          <w:p w14:paraId="23CBD116" w14:textId="77777777" w:rsidR="007179EA" w:rsidRPr="003118A4" w:rsidRDefault="007179EA" w:rsidP="003116E7">
            <w:pPr>
              <w:pStyle w:val="TableText"/>
              <w:jc w:val="center"/>
              <w:rPr>
                <w:rFonts w:cs="Segoe UI"/>
                <w:bCs/>
                <w:szCs w:val="18"/>
              </w:rPr>
            </w:pPr>
          </w:p>
        </w:tc>
        <w:tc>
          <w:tcPr>
            <w:tcW w:w="1276" w:type="dxa"/>
            <w:tcBorders>
              <w:bottom w:val="single" w:sz="4" w:space="0" w:color="A6A6A6" w:themeColor="background1" w:themeShade="A6"/>
            </w:tcBorders>
            <w:shd w:val="clear" w:color="auto" w:fill="auto"/>
          </w:tcPr>
          <w:p w14:paraId="5D20FA2E"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c>
          <w:tcPr>
            <w:tcW w:w="2268" w:type="dxa"/>
            <w:tcBorders>
              <w:bottom w:val="single" w:sz="4" w:space="0" w:color="A6A6A6" w:themeColor="background1" w:themeShade="A6"/>
            </w:tcBorders>
            <w:shd w:val="clear" w:color="auto" w:fill="auto"/>
          </w:tcPr>
          <w:p w14:paraId="552A9199" w14:textId="77777777" w:rsidR="007179EA" w:rsidRPr="00FB1375" w:rsidRDefault="007179EA" w:rsidP="003116E7">
            <w:pPr>
              <w:pStyle w:val="TableText"/>
              <w:jc w:val="center"/>
              <w:rPr>
                <w:rFonts w:cs="Segoe UI"/>
                <w:bCs/>
                <w:szCs w:val="18"/>
              </w:rPr>
            </w:pPr>
            <w:r w:rsidRPr="00FB1375">
              <w:rPr>
                <w:rFonts w:ascii="Segoe UI Symbol" w:hAnsi="Segoe UI Symbol" w:cs="Segoe UI Symbol"/>
                <w:bCs/>
                <w:szCs w:val="18"/>
              </w:rPr>
              <w:t>✓</w:t>
            </w:r>
          </w:p>
        </w:tc>
      </w:tr>
      <w:tr w:rsidR="007179EA" w:rsidRPr="003116E7" w14:paraId="6F6500F8" w14:textId="77777777" w:rsidTr="003116E7">
        <w:trPr>
          <w:cantSplit/>
        </w:trPr>
        <w:tc>
          <w:tcPr>
            <w:tcW w:w="1985" w:type="dxa"/>
            <w:tcBorders>
              <w:top w:val="single" w:sz="4" w:space="0" w:color="A6A6A6" w:themeColor="background1" w:themeShade="A6"/>
              <w:bottom w:val="nil"/>
            </w:tcBorders>
            <w:shd w:val="clear" w:color="auto" w:fill="F2F2F2" w:themeFill="background1" w:themeFillShade="F2"/>
          </w:tcPr>
          <w:p w14:paraId="4304EF0D" w14:textId="77777777" w:rsidR="007179EA" w:rsidRPr="003116E7" w:rsidRDefault="007179EA" w:rsidP="006F1C71">
            <w:pPr>
              <w:pStyle w:val="TableText"/>
              <w:rPr>
                <w:rFonts w:cs="Segoe UI"/>
                <w:b/>
                <w:szCs w:val="18"/>
              </w:rPr>
            </w:pPr>
            <w:r w:rsidRPr="003116E7">
              <w:rPr>
                <w:rFonts w:cs="Segoe UI"/>
                <w:b/>
                <w:szCs w:val="18"/>
              </w:rPr>
              <w:t>Ministry operating costs</w:t>
            </w:r>
          </w:p>
        </w:tc>
        <w:tc>
          <w:tcPr>
            <w:tcW w:w="1275" w:type="dxa"/>
            <w:tcBorders>
              <w:top w:val="single" w:sz="4" w:space="0" w:color="A6A6A6" w:themeColor="background1" w:themeShade="A6"/>
              <w:bottom w:val="nil"/>
            </w:tcBorders>
            <w:shd w:val="clear" w:color="auto" w:fill="F2F2F2" w:themeFill="background1" w:themeFillShade="F2"/>
          </w:tcPr>
          <w:p w14:paraId="2F539932" w14:textId="77777777" w:rsidR="007179EA" w:rsidRPr="003116E7" w:rsidRDefault="007179EA" w:rsidP="003116E7">
            <w:pPr>
              <w:pStyle w:val="TableText"/>
              <w:jc w:val="center"/>
              <w:rPr>
                <w:rFonts w:cs="Segoe UI"/>
                <w:b/>
                <w:bCs/>
                <w:szCs w:val="18"/>
              </w:rPr>
            </w:pPr>
          </w:p>
        </w:tc>
        <w:tc>
          <w:tcPr>
            <w:tcW w:w="1276" w:type="dxa"/>
            <w:tcBorders>
              <w:top w:val="single" w:sz="4" w:space="0" w:color="A6A6A6" w:themeColor="background1" w:themeShade="A6"/>
              <w:bottom w:val="nil"/>
            </w:tcBorders>
            <w:shd w:val="clear" w:color="auto" w:fill="F2F2F2" w:themeFill="background1" w:themeFillShade="F2"/>
          </w:tcPr>
          <w:p w14:paraId="3528D3FA" w14:textId="77777777" w:rsidR="007179EA" w:rsidRPr="003116E7" w:rsidRDefault="007179EA" w:rsidP="003116E7">
            <w:pPr>
              <w:pStyle w:val="TableText"/>
              <w:jc w:val="center"/>
              <w:rPr>
                <w:rFonts w:cs="Segoe UI"/>
                <w:b/>
                <w:bCs/>
                <w:szCs w:val="18"/>
              </w:rPr>
            </w:pPr>
          </w:p>
        </w:tc>
        <w:tc>
          <w:tcPr>
            <w:tcW w:w="1276" w:type="dxa"/>
            <w:tcBorders>
              <w:top w:val="single" w:sz="4" w:space="0" w:color="A6A6A6" w:themeColor="background1" w:themeShade="A6"/>
              <w:bottom w:val="nil"/>
            </w:tcBorders>
            <w:shd w:val="clear" w:color="auto" w:fill="F2F2F2" w:themeFill="background1" w:themeFillShade="F2"/>
          </w:tcPr>
          <w:p w14:paraId="7A58FC3A" w14:textId="77777777" w:rsidR="007179EA" w:rsidRPr="003116E7" w:rsidRDefault="007179EA" w:rsidP="003116E7">
            <w:pPr>
              <w:pStyle w:val="TableText"/>
              <w:jc w:val="center"/>
              <w:rPr>
                <w:rFonts w:cs="Segoe UI"/>
                <w:b/>
                <w:bCs/>
                <w:szCs w:val="18"/>
              </w:rPr>
            </w:pPr>
          </w:p>
        </w:tc>
        <w:tc>
          <w:tcPr>
            <w:tcW w:w="2268" w:type="dxa"/>
            <w:tcBorders>
              <w:top w:val="single" w:sz="4" w:space="0" w:color="A6A6A6" w:themeColor="background1" w:themeShade="A6"/>
              <w:bottom w:val="nil"/>
            </w:tcBorders>
            <w:shd w:val="clear" w:color="auto" w:fill="F2F2F2" w:themeFill="background1" w:themeFillShade="F2"/>
          </w:tcPr>
          <w:p w14:paraId="42D1382D" w14:textId="77777777" w:rsidR="007179EA" w:rsidRPr="003116E7" w:rsidRDefault="007179EA" w:rsidP="003116E7">
            <w:pPr>
              <w:pStyle w:val="TableText"/>
              <w:jc w:val="center"/>
              <w:rPr>
                <w:rFonts w:cs="Segoe UI"/>
                <w:b/>
                <w:bCs/>
                <w:szCs w:val="18"/>
              </w:rPr>
            </w:pPr>
          </w:p>
        </w:tc>
      </w:tr>
      <w:tr w:rsidR="007179EA" w:rsidRPr="006F6CE8" w14:paraId="34BF01FF" w14:textId="77777777" w:rsidTr="003116E7">
        <w:trPr>
          <w:cantSplit/>
        </w:trPr>
        <w:tc>
          <w:tcPr>
            <w:tcW w:w="1985" w:type="dxa"/>
            <w:tcBorders>
              <w:top w:val="nil"/>
            </w:tcBorders>
            <w:shd w:val="clear" w:color="auto" w:fill="auto"/>
          </w:tcPr>
          <w:p w14:paraId="10E31625" w14:textId="77777777" w:rsidR="007179EA" w:rsidRPr="00236226" w:rsidRDefault="007179EA" w:rsidP="006F1C71">
            <w:pPr>
              <w:pStyle w:val="TableText"/>
              <w:rPr>
                <w:rFonts w:cs="Segoe UI"/>
                <w:szCs w:val="18"/>
              </w:rPr>
            </w:pPr>
            <w:r>
              <w:rPr>
                <w:rFonts w:cs="Segoe UI"/>
                <w:szCs w:val="18"/>
              </w:rPr>
              <w:t>A</w:t>
            </w:r>
            <w:r w:rsidRPr="00236226">
              <w:rPr>
                <w:rFonts w:cs="Segoe UI"/>
                <w:szCs w:val="18"/>
              </w:rPr>
              <w:t>dvice about gambling harm</w:t>
            </w:r>
            <w:r>
              <w:rPr>
                <w:rFonts w:cs="Segoe UI"/>
                <w:szCs w:val="18"/>
              </w:rPr>
              <w:t>, strategy and policy</w:t>
            </w:r>
          </w:p>
        </w:tc>
        <w:tc>
          <w:tcPr>
            <w:tcW w:w="1275" w:type="dxa"/>
            <w:tcBorders>
              <w:top w:val="nil"/>
            </w:tcBorders>
            <w:shd w:val="clear" w:color="auto" w:fill="auto"/>
          </w:tcPr>
          <w:p w14:paraId="72D53A38" w14:textId="77777777" w:rsidR="007179EA" w:rsidRPr="003118A4" w:rsidRDefault="007179EA" w:rsidP="003116E7">
            <w:pPr>
              <w:pStyle w:val="TableText"/>
              <w:jc w:val="center"/>
              <w:rPr>
                <w:rFonts w:cs="Segoe UI"/>
                <w:szCs w:val="18"/>
              </w:rPr>
            </w:pPr>
            <w:r w:rsidRPr="003118A4">
              <w:rPr>
                <w:rFonts w:ascii="Segoe UI Symbol" w:hAnsi="Segoe UI Symbol" w:cs="Segoe UI Symbol"/>
                <w:szCs w:val="18"/>
              </w:rPr>
              <w:t>✓</w:t>
            </w:r>
          </w:p>
        </w:tc>
        <w:tc>
          <w:tcPr>
            <w:tcW w:w="1276" w:type="dxa"/>
            <w:tcBorders>
              <w:top w:val="nil"/>
            </w:tcBorders>
            <w:shd w:val="clear" w:color="auto" w:fill="auto"/>
          </w:tcPr>
          <w:p w14:paraId="792759B2" w14:textId="77777777" w:rsidR="007179EA" w:rsidRPr="003118A4" w:rsidRDefault="007179EA" w:rsidP="003116E7">
            <w:pPr>
              <w:pStyle w:val="TableText"/>
              <w:jc w:val="center"/>
              <w:rPr>
                <w:rFonts w:cs="Segoe UI"/>
                <w:szCs w:val="18"/>
              </w:rPr>
            </w:pPr>
            <w:r w:rsidRPr="003118A4">
              <w:rPr>
                <w:rFonts w:ascii="Segoe UI Symbol" w:hAnsi="Segoe UI Symbol" w:cs="Segoe UI Symbol"/>
                <w:szCs w:val="18"/>
              </w:rPr>
              <w:t>✓</w:t>
            </w:r>
          </w:p>
        </w:tc>
        <w:tc>
          <w:tcPr>
            <w:tcW w:w="1276" w:type="dxa"/>
            <w:tcBorders>
              <w:top w:val="nil"/>
            </w:tcBorders>
            <w:shd w:val="clear" w:color="auto" w:fill="auto"/>
          </w:tcPr>
          <w:p w14:paraId="75A8FC78" w14:textId="77777777" w:rsidR="007179EA" w:rsidRPr="00FB1375" w:rsidRDefault="007179EA" w:rsidP="003116E7">
            <w:pPr>
              <w:pStyle w:val="TableText"/>
              <w:jc w:val="center"/>
              <w:rPr>
                <w:rFonts w:cs="Segoe UI"/>
                <w:szCs w:val="18"/>
              </w:rPr>
            </w:pPr>
            <w:r w:rsidRPr="00FB1375">
              <w:rPr>
                <w:rFonts w:ascii="Segoe UI Symbol" w:hAnsi="Segoe UI Symbol" w:cs="Segoe UI Symbol"/>
                <w:szCs w:val="18"/>
              </w:rPr>
              <w:t>✓</w:t>
            </w:r>
          </w:p>
        </w:tc>
        <w:tc>
          <w:tcPr>
            <w:tcW w:w="2268" w:type="dxa"/>
            <w:tcBorders>
              <w:top w:val="nil"/>
            </w:tcBorders>
            <w:shd w:val="clear" w:color="auto" w:fill="auto"/>
          </w:tcPr>
          <w:p w14:paraId="6EEA7CB4" w14:textId="77777777" w:rsidR="007179EA" w:rsidRPr="00FB1375" w:rsidRDefault="007179EA" w:rsidP="003116E7">
            <w:pPr>
              <w:pStyle w:val="TableText"/>
              <w:jc w:val="center"/>
              <w:rPr>
                <w:rFonts w:cs="Segoe UI"/>
                <w:szCs w:val="18"/>
              </w:rPr>
            </w:pPr>
            <w:r w:rsidRPr="00FB1375">
              <w:rPr>
                <w:rFonts w:ascii="Segoe UI Symbol" w:hAnsi="Segoe UI Symbol" w:cs="Segoe UI Symbol"/>
                <w:szCs w:val="18"/>
              </w:rPr>
              <w:t>✓</w:t>
            </w:r>
          </w:p>
        </w:tc>
      </w:tr>
      <w:tr w:rsidR="007179EA" w:rsidRPr="006F6CE8" w14:paraId="43804F95" w14:textId="77777777" w:rsidTr="003116E7">
        <w:trPr>
          <w:cantSplit/>
        </w:trPr>
        <w:tc>
          <w:tcPr>
            <w:tcW w:w="1985" w:type="dxa"/>
            <w:shd w:val="clear" w:color="auto" w:fill="auto"/>
          </w:tcPr>
          <w:p w14:paraId="1EBC702D" w14:textId="77777777" w:rsidR="007179EA" w:rsidRPr="00236226" w:rsidRDefault="007179EA" w:rsidP="006F1C71">
            <w:pPr>
              <w:pStyle w:val="TableText"/>
              <w:rPr>
                <w:rFonts w:cs="Segoe UI"/>
                <w:szCs w:val="18"/>
              </w:rPr>
            </w:pPr>
            <w:r w:rsidRPr="006F6CE8">
              <w:rPr>
                <w:rFonts w:cs="Segoe UI"/>
                <w:szCs w:val="18"/>
              </w:rPr>
              <w:t>Contract management (services, R&amp;E)</w:t>
            </w:r>
          </w:p>
        </w:tc>
        <w:tc>
          <w:tcPr>
            <w:tcW w:w="1275" w:type="dxa"/>
            <w:shd w:val="clear" w:color="auto" w:fill="auto"/>
          </w:tcPr>
          <w:p w14:paraId="3E282E56" w14:textId="77777777" w:rsidR="007179EA" w:rsidRPr="003118A4" w:rsidDel="004C31D4" w:rsidRDefault="007179EA" w:rsidP="003116E7">
            <w:pPr>
              <w:pStyle w:val="TableText"/>
              <w:jc w:val="center"/>
              <w:rPr>
                <w:rFonts w:cs="Segoe UI"/>
                <w:szCs w:val="18"/>
              </w:rPr>
            </w:pPr>
            <w:r w:rsidRPr="003118A4">
              <w:rPr>
                <w:rFonts w:ascii="Segoe UI Symbol" w:hAnsi="Segoe UI Symbol" w:cs="Segoe UI Symbol"/>
                <w:bCs/>
                <w:szCs w:val="18"/>
              </w:rPr>
              <w:t>✓</w:t>
            </w:r>
          </w:p>
        </w:tc>
        <w:tc>
          <w:tcPr>
            <w:tcW w:w="1276" w:type="dxa"/>
            <w:shd w:val="clear" w:color="auto" w:fill="auto"/>
          </w:tcPr>
          <w:p w14:paraId="268677BB" w14:textId="77777777" w:rsidR="007179EA" w:rsidRPr="003118A4" w:rsidDel="004C31D4" w:rsidRDefault="007179EA" w:rsidP="003116E7">
            <w:pPr>
              <w:pStyle w:val="TableText"/>
              <w:jc w:val="center"/>
              <w:rPr>
                <w:rFonts w:cs="Segoe UI"/>
                <w:szCs w:val="18"/>
              </w:rPr>
            </w:pPr>
            <w:r w:rsidRPr="003118A4">
              <w:rPr>
                <w:rFonts w:ascii="Segoe UI Symbol" w:hAnsi="Segoe UI Symbol" w:cs="Segoe UI Symbol"/>
                <w:bCs/>
                <w:szCs w:val="18"/>
              </w:rPr>
              <w:t>✓</w:t>
            </w:r>
          </w:p>
        </w:tc>
        <w:tc>
          <w:tcPr>
            <w:tcW w:w="1276" w:type="dxa"/>
            <w:shd w:val="clear" w:color="auto" w:fill="auto"/>
          </w:tcPr>
          <w:p w14:paraId="0FABF649" w14:textId="77777777" w:rsidR="007179EA" w:rsidRPr="00FB1375" w:rsidDel="004C31D4" w:rsidRDefault="007179EA" w:rsidP="003116E7">
            <w:pPr>
              <w:pStyle w:val="TableText"/>
              <w:jc w:val="center"/>
              <w:rPr>
                <w:rFonts w:cs="Segoe UI"/>
                <w:szCs w:val="18"/>
              </w:rPr>
            </w:pPr>
            <w:r w:rsidRPr="00FB1375">
              <w:rPr>
                <w:rFonts w:ascii="Segoe UI Symbol" w:hAnsi="Segoe UI Symbol" w:cs="Segoe UI Symbol"/>
                <w:bCs/>
                <w:szCs w:val="18"/>
              </w:rPr>
              <w:t>✓</w:t>
            </w:r>
          </w:p>
        </w:tc>
        <w:tc>
          <w:tcPr>
            <w:tcW w:w="2268" w:type="dxa"/>
            <w:shd w:val="clear" w:color="auto" w:fill="auto"/>
          </w:tcPr>
          <w:p w14:paraId="53140E95" w14:textId="77777777" w:rsidR="007179EA" w:rsidRPr="00FB1375" w:rsidDel="004C31D4" w:rsidRDefault="007179EA" w:rsidP="003116E7">
            <w:pPr>
              <w:pStyle w:val="TableText"/>
              <w:jc w:val="center"/>
              <w:rPr>
                <w:rFonts w:cs="Segoe UI"/>
                <w:szCs w:val="18"/>
              </w:rPr>
            </w:pPr>
            <w:r w:rsidRPr="00FB1375">
              <w:rPr>
                <w:rFonts w:ascii="Segoe UI Symbol" w:hAnsi="Segoe UI Symbol" w:cs="Segoe UI Symbol"/>
                <w:bCs/>
                <w:szCs w:val="18"/>
              </w:rPr>
              <w:t>✓</w:t>
            </w:r>
          </w:p>
        </w:tc>
      </w:tr>
      <w:tr w:rsidR="007179EA" w:rsidRPr="006752F3" w14:paraId="6FFB8EE7" w14:textId="77777777" w:rsidTr="003116E7">
        <w:trPr>
          <w:cantSplit/>
        </w:trPr>
        <w:tc>
          <w:tcPr>
            <w:tcW w:w="1985" w:type="dxa"/>
            <w:shd w:val="clear" w:color="auto" w:fill="auto"/>
          </w:tcPr>
          <w:p w14:paraId="2C79DEB9" w14:textId="77777777" w:rsidR="007179EA" w:rsidRPr="006F6CE8" w:rsidRDefault="007179EA" w:rsidP="006F1C71">
            <w:pPr>
              <w:pStyle w:val="TableText"/>
              <w:rPr>
                <w:rFonts w:cs="Segoe UI"/>
                <w:szCs w:val="18"/>
                <w:highlight w:val="yellow"/>
              </w:rPr>
            </w:pPr>
            <w:r w:rsidRPr="006F6CE8">
              <w:rPr>
                <w:rFonts w:cs="Segoe UI"/>
                <w:szCs w:val="18"/>
              </w:rPr>
              <w:t>Data analysis</w:t>
            </w:r>
          </w:p>
        </w:tc>
        <w:tc>
          <w:tcPr>
            <w:tcW w:w="1275" w:type="dxa"/>
            <w:shd w:val="clear" w:color="auto" w:fill="auto"/>
          </w:tcPr>
          <w:p w14:paraId="5A621FA5" w14:textId="77777777" w:rsidR="007179EA" w:rsidRPr="003118A4" w:rsidDel="004C31D4" w:rsidRDefault="007179EA" w:rsidP="003116E7">
            <w:pPr>
              <w:pStyle w:val="TableText"/>
              <w:jc w:val="center"/>
              <w:rPr>
                <w:rFonts w:cs="Segoe UI"/>
                <w:szCs w:val="18"/>
              </w:rPr>
            </w:pPr>
            <w:r w:rsidRPr="003118A4">
              <w:rPr>
                <w:rFonts w:ascii="Segoe UI Symbol" w:hAnsi="Segoe UI Symbol" w:cs="Segoe UI Symbol"/>
                <w:bCs/>
                <w:szCs w:val="18"/>
              </w:rPr>
              <w:t>✓</w:t>
            </w:r>
          </w:p>
        </w:tc>
        <w:tc>
          <w:tcPr>
            <w:tcW w:w="1276" w:type="dxa"/>
            <w:shd w:val="clear" w:color="auto" w:fill="auto"/>
          </w:tcPr>
          <w:p w14:paraId="0164DEE0" w14:textId="77777777" w:rsidR="007179EA" w:rsidRPr="003118A4" w:rsidDel="004C31D4" w:rsidRDefault="007179EA" w:rsidP="003116E7">
            <w:pPr>
              <w:pStyle w:val="TableText"/>
              <w:jc w:val="center"/>
              <w:rPr>
                <w:rFonts w:cs="Segoe UI"/>
                <w:szCs w:val="18"/>
              </w:rPr>
            </w:pPr>
            <w:r w:rsidRPr="003118A4">
              <w:rPr>
                <w:rFonts w:ascii="Segoe UI Symbol" w:hAnsi="Segoe UI Symbol" w:cs="Segoe UI Symbol"/>
                <w:bCs/>
                <w:szCs w:val="18"/>
              </w:rPr>
              <w:t>✓</w:t>
            </w:r>
          </w:p>
        </w:tc>
        <w:tc>
          <w:tcPr>
            <w:tcW w:w="1276" w:type="dxa"/>
            <w:shd w:val="clear" w:color="auto" w:fill="auto"/>
          </w:tcPr>
          <w:p w14:paraId="15C6FA5D" w14:textId="77777777" w:rsidR="007179EA" w:rsidRPr="00FB1375" w:rsidDel="004C31D4" w:rsidRDefault="007179EA" w:rsidP="003116E7">
            <w:pPr>
              <w:pStyle w:val="TableText"/>
              <w:jc w:val="center"/>
              <w:rPr>
                <w:rFonts w:cs="Segoe UI"/>
                <w:szCs w:val="18"/>
              </w:rPr>
            </w:pPr>
            <w:r w:rsidRPr="00FB1375">
              <w:rPr>
                <w:rFonts w:ascii="Segoe UI Symbol" w:hAnsi="Segoe UI Symbol" w:cs="Segoe UI Symbol"/>
                <w:bCs/>
                <w:szCs w:val="18"/>
              </w:rPr>
              <w:t>✓</w:t>
            </w:r>
          </w:p>
        </w:tc>
        <w:tc>
          <w:tcPr>
            <w:tcW w:w="2268" w:type="dxa"/>
            <w:shd w:val="clear" w:color="auto" w:fill="auto"/>
          </w:tcPr>
          <w:p w14:paraId="0D7F841A" w14:textId="77777777" w:rsidR="007179EA" w:rsidRPr="00FB1375" w:rsidDel="004C31D4" w:rsidRDefault="007179EA" w:rsidP="003116E7">
            <w:pPr>
              <w:pStyle w:val="TableText"/>
              <w:jc w:val="center"/>
              <w:rPr>
                <w:rFonts w:cs="Segoe UI"/>
                <w:szCs w:val="18"/>
              </w:rPr>
            </w:pPr>
            <w:r w:rsidRPr="00FB1375">
              <w:rPr>
                <w:rFonts w:ascii="Segoe UI Symbol" w:hAnsi="Segoe UI Symbol" w:cs="Segoe UI Symbol"/>
                <w:bCs/>
                <w:szCs w:val="18"/>
              </w:rPr>
              <w:t>✓</w:t>
            </w:r>
          </w:p>
        </w:tc>
      </w:tr>
    </w:tbl>
    <w:p w14:paraId="20A637FB" w14:textId="77777777" w:rsidR="007179EA" w:rsidRPr="00CF42C8" w:rsidRDefault="007179EA" w:rsidP="00723DC0"/>
    <w:p w14:paraId="23BE6463" w14:textId="77777777" w:rsidR="007179EA" w:rsidRPr="007F4B4C" w:rsidRDefault="007179EA" w:rsidP="00723DC0">
      <w:pPr>
        <w:pStyle w:val="Heading2"/>
      </w:pPr>
      <w:bookmarkStart w:id="155" w:name="_Toc78882288"/>
      <w:bookmarkStart w:id="156" w:name="_Toc80965852"/>
      <w:bookmarkStart w:id="157" w:name="_Toc89684398"/>
      <w:bookmarkStart w:id="158" w:name="_Toc71102162"/>
      <w:bookmarkStart w:id="159" w:name="_Toc71102171"/>
      <w:bookmarkStart w:id="160" w:name="_Toc90885054"/>
      <w:bookmarkEnd w:id="149"/>
      <w:r w:rsidRPr="00483631">
        <w:lastRenderedPageBreak/>
        <w:t xml:space="preserve">Indicative </w:t>
      </w:r>
      <w:bookmarkStart w:id="161" w:name="_Toc156877681"/>
      <w:r w:rsidRPr="00483631">
        <w:t>budget for 2022/23 to 2024/25</w:t>
      </w:r>
      <w:bookmarkEnd w:id="155"/>
      <w:bookmarkEnd w:id="156"/>
      <w:bookmarkEnd w:id="157"/>
      <w:bookmarkEnd w:id="160"/>
    </w:p>
    <w:p w14:paraId="5A1DF963" w14:textId="77777777" w:rsidR="00BC6B27" w:rsidRDefault="007179EA" w:rsidP="00723DC0">
      <w:pPr>
        <w:keepNext/>
        <w:keepLines/>
      </w:pPr>
      <w:r>
        <w:t>The proposed service plan outlines the services that the Ministry considers it will require for the 2022/23 to 2024/25 levy period to make further progress towards the strategy</w:t>
      </w:r>
      <w:r w:rsidR="00BC6B27">
        <w:t>’</w:t>
      </w:r>
      <w:r>
        <w:t>s goal and objectives. The plan also sets out the estimated costs of providing the activities to prevent and minimise gambling harm.</w:t>
      </w:r>
    </w:p>
    <w:p w14:paraId="4AF5397C" w14:textId="77777777" w:rsidR="007179EA" w:rsidRDefault="007179EA" w:rsidP="00723DC0">
      <w:pPr>
        <w:keepNext/>
        <w:keepLines/>
      </w:pPr>
    </w:p>
    <w:p w14:paraId="3CAB20D0" w14:textId="77777777" w:rsidR="00BC6B27" w:rsidRDefault="007179EA" w:rsidP="00723DC0">
      <w:pPr>
        <w:keepNext/>
        <w:keepLines/>
      </w:pPr>
      <w:r>
        <w:t xml:space="preserve">The draft service plan outlines a </w:t>
      </w:r>
      <w:r w:rsidRPr="004726BF">
        <w:t xml:space="preserve">total investment package of </w:t>
      </w:r>
      <w:r w:rsidRPr="006B1E9E">
        <w:t>$</w:t>
      </w:r>
      <w:r w:rsidRPr="004726BF">
        <w:t>76.</w:t>
      </w:r>
      <w:r>
        <w:t>123</w:t>
      </w:r>
      <w:r w:rsidR="00046A83">
        <w:t> million</w:t>
      </w:r>
      <w:r w:rsidRPr="004726BF">
        <w:t xml:space="preserve"> over three</w:t>
      </w:r>
      <w:r w:rsidR="0018228E">
        <w:t> years</w:t>
      </w:r>
      <w:r w:rsidRPr="004726BF">
        <w:t xml:space="preserve">, which is a proposed increase of </w:t>
      </w:r>
      <w:r w:rsidRPr="006B1E9E">
        <w:t>$</w:t>
      </w:r>
      <w:r w:rsidRPr="004726BF">
        <w:t>1</w:t>
      </w:r>
      <w:r>
        <w:t>5.784</w:t>
      </w:r>
      <w:r w:rsidR="00046A83">
        <w:t> million</w:t>
      </w:r>
      <w:r w:rsidRPr="004726BF">
        <w:t xml:space="preserve"> from the current levy period</w:t>
      </w:r>
      <w:r w:rsidRPr="00B46C6E">
        <w:t>. These costs cover the four</w:t>
      </w:r>
      <w:r w:rsidRPr="00386A2B">
        <w:t xml:space="preserve"> nominal budget areas, plus a line item</w:t>
      </w:r>
      <w:r>
        <w:t xml:space="preserve"> for new services and innovation:</w:t>
      </w:r>
    </w:p>
    <w:p w14:paraId="0C16B271" w14:textId="77777777" w:rsidR="007179EA" w:rsidRPr="00483631" w:rsidRDefault="007179EA" w:rsidP="00723DC0">
      <w:pPr>
        <w:pStyle w:val="Bullet"/>
      </w:pPr>
      <w:r w:rsidRPr="00483631">
        <w:t>public health services</w:t>
      </w:r>
    </w:p>
    <w:p w14:paraId="5DC85B96" w14:textId="77777777" w:rsidR="007179EA" w:rsidRPr="00483631" w:rsidRDefault="007179EA" w:rsidP="00723DC0">
      <w:pPr>
        <w:pStyle w:val="Bullet"/>
      </w:pPr>
      <w:r>
        <w:t xml:space="preserve">clinical </w:t>
      </w:r>
      <w:r w:rsidRPr="00483631">
        <w:t xml:space="preserve">intervention </w:t>
      </w:r>
      <w:r>
        <w:t xml:space="preserve">and support </w:t>
      </w:r>
      <w:r w:rsidRPr="00483631">
        <w:t>services</w:t>
      </w:r>
    </w:p>
    <w:p w14:paraId="6A6E6EB8" w14:textId="77777777" w:rsidR="007179EA" w:rsidRDefault="007179EA" w:rsidP="00723DC0">
      <w:pPr>
        <w:pStyle w:val="Bullet"/>
      </w:pPr>
      <w:r w:rsidRPr="00483631">
        <w:t>research and evaluation</w:t>
      </w:r>
    </w:p>
    <w:p w14:paraId="299A71E5" w14:textId="77777777" w:rsidR="00BC6B27" w:rsidRDefault="007179EA" w:rsidP="00723DC0">
      <w:pPr>
        <w:pStyle w:val="Bullet"/>
      </w:pPr>
      <w:r w:rsidRPr="0003777A">
        <w:t>new services</w:t>
      </w:r>
      <w:r>
        <w:t xml:space="preserve"> and </w:t>
      </w:r>
      <w:r w:rsidRPr="0003777A">
        <w:t>innovation</w:t>
      </w:r>
    </w:p>
    <w:p w14:paraId="25102AFF" w14:textId="77777777" w:rsidR="007179EA" w:rsidRPr="00483631" w:rsidRDefault="007179EA" w:rsidP="00723DC0">
      <w:pPr>
        <w:pStyle w:val="Bullet"/>
      </w:pPr>
      <w:r w:rsidRPr="00483631">
        <w:t>Ministry operating costs.</w:t>
      </w:r>
    </w:p>
    <w:bookmarkEnd w:id="161"/>
    <w:p w14:paraId="784E3314" w14:textId="77777777" w:rsidR="007179EA" w:rsidRDefault="007179EA" w:rsidP="00723DC0"/>
    <w:p w14:paraId="6B0A7A2D" w14:textId="419DCC6A" w:rsidR="00BC6B27" w:rsidRDefault="00723DC0" w:rsidP="00723DC0">
      <w:r>
        <w:fldChar w:fldCharType="begin"/>
      </w:r>
      <w:r>
        <w:instrText xml:space="preserve"> REF _Ref90610443 \h </w:instrText>
      </w:r>
      <w:r>
        <w:fldChar w:fldCharType="separate"/>
      </w:r>
      <w:r w:rsidR="00451900">
        <w:t>Table </w:t>
      </w:r>
      <w:r w:rsidR="00451900">
        <w:rPr>
          <w:noProof/>
        </w:rPr>
        <w:t>3</w:t>
      </w:r>
      <w:r>
        <w:fldChar w:fldCharType="end"/>
      </w:r>
      <w:r w:rsidR="007179EA">
        <w:t xml:space="preserve"> below shows the indicative cost of the budget proposed for the new levy period from 1 July 2022 to 30 June 2025.</w:t>
      </w:r>
      <w:r w:rsidR="007179EA" w:rsidRPr="00B2453D" w:rsidDel="00352520">
        <w:t xml:space="preserve"> </w:t>
      </w:r>
      <w:r w:rsidR="007179EA">
        <w:t xml:space="preserve">These totals include the costs incurred from activities that were planned for the current levy period will not be completed until the new levy period. These delays, due to impacts from the response to </w:t>
      </w:r>
      <w:r w:rsidR="001461C6">
        <w:t>COVID</w:t>
      </w:r>
      <w:r w:rsidR="001461C6">
        <w:noBreakHyphen/>
        <w:t>19</w:t>
      </w:r>
      <w:r w:rsidR="007179EA">
        <w:t>, contributed to a forecast underspend o</w:t>
      </w:r>
      <w:r w:rsidR="007179EA" w:rsidRPr="00BA2DF6">
        <w:t xml:space="preserve">f </w:t>
      </w:r>
      <w:r w:rsidR="007179EA" w:rsidRPr="003D2E77">
        <w:t>$</w:t>
      </w:r>
      <w:r w:rsidR="007179EA" w:rsidRPr="00BA2DF6">
        <w:t>6</w:t>
      </w:r>
      <w:r w:rsidR="007179EA">
        <w:t>.</w:t>
      </w:r>
      <w:r w:rsidR="007179EA">
        <w:rPr>
          <w:rFonts w:cs="Segoe UI"/>
          <w:color w:val="242424"/>
          <w:szCs w:val="21"/>
          <w:shd w:val="clear" w:color="auto" w:fill="FFFFFF"/>
        </w:rPr>
        <w:t>452</w:t>
      </w:r>
      <w:r w:rsidR="00046A83">
        <w:rPr>
          <w:rFonts w:cs="Segoe UI"/>
          <w:color w:val="242424"/>
          <w:szCs w:val="21"/>
          <w:shd w:val="clear" w:color="auto" w:fill="FFFFFF"/>
        </w:rPr>
        <w:t> million</w:t>
      </w:r>
      <w:r w:rsidR="007179EA">
        <w:t xml:space="preserve"> approximately that will be carried forward. This spending is included in the total costs for the 2022/23–2024/25 period.</w:t>
      </w:r>
      <w:r w:rsidR="007179EA" w:rsidRPr="00723DC0">
        <w:rPr>
          <w:rStyle w:val="FootnoteReference"/>
          <w:rFonts w:eastAsia="MS Gothic"/>
        </w:rPr>
        <w:footnoteReference w:id="58"/>
      </w:r>
    </w:p>
    <w:p w14:paraId="0BFE108E" w14:textId="77777777" w:rsidR="007179EA" w:rsidRDefault="007179EA" w:rsidP="00723DC0">
      <w:bookmarkStart w:id="162" w:name="_Ref80792473"/>
      <w:bookmarkStart w:id="163" w:name="_Toc8398933"/>
      <w:bookmarkStart w:id="164" w:name="_Toc4156633"/>
    </w:p>
    <w:p w14:paraId="2CCDC2F9" w14:textId="663D0373" w:rsidR="007179EA" w:rsidRDefault="00723DC0" w:rsidP="00723DC0">
      <w:pPr>
        <w:pStyle w:val="Table"/>
      </w:pPr>
      <w:bookmarkStart w:id="165" w:name="_Ref90610443"/>
      <w:bookmarkStart w:id="166" w:name="_Toc89335319"/>
      <w:bookmarkStart w:id="167" w:name="_Toc90626953"/>
      <w:r>
        <w:t>Table </w:t>
      </w:r>
      <w:fldSimple w:instr=" SEQ Table \* ARABIC ">
        <w:r w:rsidR="00451900">
          <w:rPr>
            <w:noProof/>
          </w:rPr>
          <w:t>3</w:t>
        </w:r>
      </w:fldSimple>
      <w:bookmarkEnd w:id="162"/>
      <w:bookmarkEnd w:id="165"/>
      <w:r w:rsidR="007179EA">
        <w:t>: Budget to prevent and minimise gambling harm (GST exclusive), 2022/23 to 2024/</w:t>
      </w:r>
      <w:bookmarkEnd w:id="163"/>
      <w:bookmarkEnd w:id="164"/>
      <w:r w:rsidR="007179EA">
        <w:t>25</w:t>
      </w:r>
      <w:bookmarkEnd w:id="166"/>
      <w:bookmarkEnd w:id="167"/>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026"/>
        <w:gridCol w:w="1013"/>
        <w:gridCol w:w="1014"/>
        <w:gridCol w:w="1013"/>
        <w:gridCol w:w="1014"/>
      </w:tblGrid>
      <w:tr w:rsidR="007179EA" w:rsidRPr="00CC0844" w14:paraId="16C41C55" w14:textId="77777777" w:rsidTr="00723DC0">
        <w:trPr>
          <w:cantSplit/>
        </w:trPr>
        <w:tc>
          <w:tcPr>
            <w:tcW w:w="4026" w:type="dxa"/>
            <w:tcBorders>
              <w:top w:val="nil"/>
              <w:left w:val="nil"/>
              <w:bottom w:val="nil"/>
              <w:right w:val="nil"/>
            </w:tcBorders>
            <w:shd w:val="clear" w:color="auto" w:fill="D9D9D9" w:themeFill="background1" w:themeFillShade="D9"/>
            <w:noWrap/>
            <w:hideMark/>
          </w:tcPr>
          <w:p w14:paraId="6CBD8473" w14:textId="77777777" w:rsidR="007179EA" w:rsidRPr="00CC0844" w:rsidRDefault="007179EA" w:rsidP="005B24AB">
            <w:pPr>
              <w:pStyle w:val="TableText"/>
              <w:rPr>
                <w:b/>
              </w:rPr>
            </w:pPr>
            <w:r w:rsidRPr="00CC0844">
              <w:rPr>
                <w:b/>
              </w:rPr>
              <w:t>Service area</w:t>
            </w:r>
          </w:p>
        </w:tc>
        <w:tc>
          <w:tcPr>
            <w:tcW w:w="1013" w:type="dxa"/>
            <w:tcBorders>
              <w:top w:val="nil"/>
              <w:left w:val="nil"/>
              <w:bottom w:val="nil"/>
              <w:right w:val="nil"/>
            </w:tcBorders>
            <w:shd w:val="clear" w:color="auto" w:fill="D9D9D9" w:themeFill="background1" w:themeFillShade="D9"/>
            <w:noWrap/>
            <w:hideMark/>
          </w:tcPr>
          <w:p w14:paraId="3D8F203F" w14:textId="77777777" w:rsidR="007179EA" w:rsidRPr="00CC0844" w:rsidRDefault="007179EA" w:rsidP="005B24AB">
            <w:pPr>
              <w:pStyle w:val="TableText"/>
              <w:jc w:val="center"/>
              <w:rPr>
                <w:b/>
              </w:rPr>
            </w:pPr>
            <w:r w:rsidRPr="00CC0844">
              <w:rPr>
                <w:b/>
              </w:rPr>
              <w:t>2022/23</w:t>
            </w:r>
            <w:r w:rsidRPr="00CC0844">
              <w:rPr>
                <w:b/>
              </w:rPr>
              <w:br/>
              <w:t>($m)</w:t>
            </w:r>
          </w:p>
        </w:tc>
        <w:tc>
          <w:tcPr>
            <w:tcW w:w="1014" w:type="dxa"/>
            <w:tcBorders>
              <w:top w:val="nil"/>
              <w:left w:val="nil"/>
              <w:bottom w:val="nil"/>
              <w:right w:val="nil"/>
            </w:tcBorders>
            <w:shd w:val="clear" w:color="auto" w:fill="D9D9D9" w:themeFill="background1" w:themeFillShade="D9"/>
            <w:noWrap/>
            <w:hideMark/>
          </w:tcPr>
          <w:p w14:paraId="36D4DD17" w14:textId="77777777" w:rsidR="007179EA" w:rsidRPr="00CC0844" w:rsidRDefault="007179EA" w:rsidP="005B24AB">
            <w:pPr>
              <w:pStyle w:val="TableText"/>
              <w:jc w:val="center"/>
              <w:rPr>
                <w:b/>
              </w:rPr>
            </w:pPr>
            <w:r w:rsidRPr="00CC0844">
              <w:rPr>
                <w:b/>
              </w:rPr>
              <w:t>2023/24</w:t>
            </w:r>
            <w:r w:rsidRPr="00CC0844">
              <w:rPr>
                <w:b/>
              </w:rPr>
              <w:br/>
              <w:t>($m)</w:t>
            </w:r>
          </w:p>
        </w:tc>
        <w:tc>
          <w:tcPr>
            <w:tcW w:w="1013" w:type="dxa"/>
            <w:tcBorders>
              <w:top w:val="nil"/>
              <w:left w:val="nil"/>
              <w:bottom w:val="nil"/>
              <w:right w:val="nil"/>
            </w:tcBorders>
            <w:shd w:val="clear" w:color="auto" w:fill="D9D9D9" w:themeFill="background1" w:themeFillShade="D9"/>
            <w:noWrap/>
            <w:hideMark/>
          </w:tcPr>
          <w:p w14:paraId="1F328AC8" w14:textId="77777777" w:rsidR="007179EA" w:rsidRPr="00CC0844" w:rsidRDefault="007179EA" w:rsidP="005B24AB">
            <w:pPr>
              <w:pStyle w:val="TableText"/>
              <w:jc w:val="center"/>
              <w:rPr>
                <w:b/>
              </w:rPr>
            </w:pPr>
            <w:r w:rsidRPr="00CC0844">
              <w:rPr>
                <w:b/>
              </w:rPr>
              <w:t>2024/25</w:t>
            </w:r>
            <w:r w:rsidRPr="00CC0844">
              <w:rPr>
                <w:b/>
              </w:rPr>
              <w:br/>
              <w:t>($m)</w:t>
            </w:r>
          </w:p>
        </w:tc>
        <w:tc>
          <w:tcPr>
            <w:tcW w:w="1014" w:type="dxa"/>
            <w:tcBorders>
              <w:top w:val="nil"/>
              <w:left w:val="nil"/>
              <w:bottom w:val="nil"/>
              <w:right w:val="nil"/>
            </w:tcBorders>
            <w:shd w:val="clear" w:color="auto" w:fill="D9D9D9" w:themeFill="background1" w:themeFillShade="D9"/>
            <w:hideMark/>
          </w:tcPr>
          <w:p w14:paraId="7102E2CF" w14:textId="77777777" w:rsidR="007179EA" w:rsidRPr="00CC0844" w:rsidRDefault="007179EA" w:rsidP="005B24AB">
            <w:pPr>
              <w:pStyle w:val="TableText"/>
              <w:jc w:val="center"/>
              <w:rPr>
                <w:b/>
              </w:rPr>
            </w:pPr>
            <w:r w:rsidRPr="00CC0844">
              <w:rPr>
                <w:b/>
              </w:rPr>
              <w:t>Total</w:t>
            </w:r>
            <w:r w:rsidRPr="00CC0844">
              <w:rPr>
                <w:b/>
              </w:rPr>
              <w:br/>
              <w:t>($m)</w:t>
            </w:r>
          </w:p>
        </w:tc>
      </w:tr>
      <w:tr w:rsidR="007179EA" w14:paraId="04132932" w14:textId="77777777" w:rsidTr="00723DC0">
        <w:trPr>
          <w:cantSplit/>
        </w:trPr>
        <w:tc>
          <w:tcPr>
            <w:tcW w:w="4026" w:type="dxa"/>
            <w:tcBorders>
              <w:top w:val="nil"/>
              <w:left w:val="nil"/>
              <w:bottom w:val="single" w:sz="4" w:space="0" w:color="A6A6A6" w:themeColor="background1" w:themeShade="A6"/>
              <w:right w:val="nil"/>
            </w:tcBorders>
            <w:noWrap/>
            <w:hideMark/>
          </w:tcPr>
          <w:p w14:paraId="7C7FA98A" w14:textId="77777777" w:rsidR="007179EA" w:rsidRPr="003D2E77" w:rsidRDefault="007179EA" w:rsidP="005B24AB">
            <w:pPr>
              <w:pStyle w:val="TableText"/>
            </w:pPr>
            <w:r w:rsidRPr="003D2E77">
              <w:t>Public health services (harm prevention and minimisation)</w:t>
            </w:r>
          </w:p>
        </w:tc>
        <w:tc>
          <w:tcPr>
            <w:tcW w:w="1013" w:type="dxa"/>
            <w:tcBorders>
              <w:top w:val="nil"/>
              <w:left w:val="nil"/>
              <w:bottom w:val="single" w:sz="4" w:space="0" w:color="A6A6A6" w:themeColor="background1" w:themeShade="A6"/>
              <w:right w:val="nil"/>
            </w:tcBorders>
            <w:shd w:val="clear" w:color="auto" w:fill="FFFFFF"/>
            <w:noWrap/>
            <w:hideMark/>
          </w:tcPr>
          <w:p w14:paraId="489809F8" w14:textId="77777777" w:rsidR="007179EA" w:rsidRPr="003D2E77" w:rsidRDefault="007179EA" w:rsidP="00723DC0">
            <w:pPr>
              <w:pStyle w:val="TableText"/>
              <w:tabs>
                <w:tab w:val="decimal" w:pos="397"/>
              </w:tabs>
              <w:rPr>
                <w:rFonts w:eastAsia="Arial Unicode MS"/>
                <w:lang w:eastAsia="en-NZ"/>
              </w:rPr>
            </w:pPr>
            <w:r w:rsidRPr="00D9558A">
              <w:t>8.050</w:t>
            </w:r>
          </w:p>
        </w:tc>
        <w:tc>
          <w:tcPr>
            <w:tcW w:w="1014" w:type="dxa"/>
            <w:tcBorders>
              <w:top w:val="nil"/>
              <w:left w:val="nil"/>
              <w:bottom w:val="single" w:sz="4" w:space="0" w:color="A6A6A6" w:themeColor="background1" w:themeShade="A6"/>
              <w:right w:val="nil"/>
            </w:tcBorders>
            <w:shd w:val="clear" w:color="auto" w:fill="FFFFFF"/>
            <w:noWrap/>
            <w:hideMark/>
          </w:tcPr>
          <w:p w14:paraId="0BC34C3C" w14:textId="77777777" w:rsidR="007179EA" w:rsidRPr="003D2E77" w:rsidRDefault="007179EA" w:rsidP="00723DC0">
            <w:pPr>
              <w:pStyle w:val="TableText"/>
              <w:tabs>
                <w:tab w:val="decimal" w:pos="397"/>
              </w:tabs>
              <w:rPr>
                <w:rFonts w:eastAsia="Arial Unicode MS"/>
                <w:lang w:eastAsia="en-NZ"/>
              </w:rPr>
            </w:pPr>
            <w:r w:rsidRPr="00D9558A">
              <w:t>8.800</w:t>
            </w:r>
          </w:p>
        </w:tc>
        <w:tc>
          <w:tcPr>
            <w:tcW w:w="1013" w:type="dxa"/>
            <w:tcBorders>
              <w:top w:val="nil"/>
              <w:left w:val="nil"/>
              <w:bottom w:val="single" w:sz="4" w:space="0" w:color="A6A6A6" w:themeColor="background1" w:themeShade="A6"/>
              <w:right w:val="nil"/>
            </w:tcBorders>
            <w:shd w:val="clear" w:color="auto" w:fill="FFFFFF"/>
            <w:noWrap/>
            <w:hideMark/>
          </w:tcPr>
          <w:p w14:paraId="5E5044CE" w14:textId="77777777" w:rsidR="007179EA" w:rsidRPr="003D2E77" w:rsidRDefault="007179EA" w:rsidP="00723DC0">
            <w:pPr>
              <w:pStyle w:val="TableText"/>
              <w:tabs>
                <w:tab w:val="decimal" w:pos="397"/>
              </w:tabs>
              <w:rPr>
                <w:rFonts w:eastAsia="Arial Unicode MS"/>
                <w:lang w:eastAsia="en-NZ"/>
              </w:rPr>
            </w:pPr>
            <w:r>
              <w:t>7.990</w:t>
            </w:r>
          </w:p>
        </w:tc>
        <w:tc>
          <w:tcPr>
            <w:tcW w:w="1014" w:type="dxa"/>
            <w:tcBorders>
              <w:top w:val="nil"/>
              <w:left w:val="nil"/>
              <w:bottom w:val="single" w:sz="4" w:space="0" w:color="A6A6A6" w:themeColor="background1" w:themeShade="A6"/>
              <w:right w:val="nil"/>
            </w:tcBorders>
            <w:shd w:val="clear" w:color="auto" w:fill="FFFFFF"/>
            <w:hideMark/>
          </w:tcPr>
          <w:p w14:paraId="486C76B7" w14:textId="77777777" w:rsidR="007179EA" w:rsidRPr="003D2E77" w:rsidRDefault="007179EA" w:rsidP="00723DC0">
            <w:pPr>
              <w:pStyle w:val="TableText"/>
              <w:tabs>
                <w:tab w:val="decimal" w:pos="397"/>
              </w:tabs>
              <w:rPr>
                <w:rFonts w:eastAsia="Arial Unicode MS"/>
                <w:lang w:eastAsia="en-NZ"/>
              </w:rPr>
            </w:pPr>
            <w:r w:rsidRPr="00D9558A">
              <w:t>2</w:t>
            </w:r>
            <w:r>
              <w:t>4.840</w:t>
            </w:r>
          </w:p>
        </w:tc>
      </w:tr>
      <w:tr w:rsidR="007179EA" w14:paraId="1CB15E71" w14:textId="77777777" w:rsidTr="00723DC0">
        <w:trPr>
          <w:cantSplit/>
        </w:trPr>
        <w:tc>
          <w:tcPr>
            <w:tcW w:w="4026" w:type="dxa"/>
            <w:tcBorders>
              <w:top w:val="single" w:sz="4" w:space="0" w:color="A6A6A6" w:themeColor="background1" w:themeShade="A6"/>
              <w:left w:val="nil"/>
              <w:bottom w:val="single" w:sz="4" w:space="0" w:color="A6A6A6" w:themeColor="background1" w:themeShade="A6"/>
              <w:right w:val="nil"/>
            </w:tcBorders>
            <w:noWrap/>
            <w:hideMark/>
          </w:tcPr>
          <w:p w14:paraId="6E20070D" w14:textId="77777777" w:rsidR="007179EA" w:rsidRPr="003D2E77" w:rsidRDefault="007179EA" w:rsidP="005B24AB">
            <w:pPr>
              <w:pStyle w:val="TableText"/>
            </w:pPr>
            <w:r w:rsidRPr="003D2E77">
              <w:t>Clinical in</w:t>
            </w:r>
            <w:r w:rsidR="00723DC0">
              <w:t>tervention and support services</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5DBB7E26" w14:textId="77777777" w:rsidR="007179EA" w:rsidRPr="003D2E77" w:rsidRDefault="007179EA" w:rsidP="00723DC0">
            <w:pPr>
              <w:pStyle w:val="TableText"/>
              <w:tabs>
                <w:tab w:val="decimal" w:pos="397"/>
              </w:tabs>
              <w:rPr>
                <w:rFonts w:eastAsia="Arial Unicode MS"/>
                <w:lang w:eastAsia="en-NZ"/>
              </w:rPr>
            </w:pPr>
            <w:r w:rsidRPr="006727C4">
              <w:t>1</w:t>
            </w:r>
            <w:r>
              <w:t>0.571</w:t>
            </w:r>
          </w:p>
        </w:tc>
        <w:tc>
          <w:tcPr>
            <w:tcW w:w="1014" w:type="dxa"/>
            <w:tcBorders>
              <w:top w:val="single" w:sz="4" w:space="0" w:color="A6A6A6" w:themeColor="background1" w:themeShade="A6"/>
              <w:left w:val="nil"/>
              <w:bottom w:val="single" w:sz="4" w:space="0" w:color="A6A6A6" w:themeColor="background1" w:themeShade="A6"/>
              <w:right w:val="nil"/>
            </w:tcBorders>
            <w:noWrap/>
            <w:hideMark/>
          </w:tcPr>
          <w:p w14:paraId="7CE35E87" w14:textId="77777777" w:rsidR="007179EA" w:rsidRPr="003D2E77" w:rsidRDefault="007179EA" w:rsidP="00723DC0">
            <w:pPr>
              <w:pStyle w:val="TableText"/>
              <w:tabs>
                <w:tab w:val="decimal" w:pos="397"/>
              </w:tabs>
              <w:rPr>
                <w:rFonts w:eastAsia="Arial Unicode MS"/>
                <w:lang w:eastAsia="en-NZ"/>
              </w:rPr>
            </w:pPr>
            <w:r w:rsidRPr="006727C4">
              <w:t>11.</w:t>
            </w:r>
            <w:r>
              <w:t>571</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39AE625F" w14:textId="77777777" w:rsidR="007179EA" w:rsidRPr="003D2E77" w:rsidRDefault="007179EA" w:rsidP="00723DC0">
            <w:pPr>
              <w:pStyle w:val="TableText"/>
              <w:tabs>
                <w:tab w:val="decimal" w:pos="397"/>
              </w:tabs>
              <w:rPr>
                <w:rFonts w:eastAsia="Arial Unicode MS"/>
                <w:lang w:eastAsia="en-NZ"/>
              </w:rPr>
            </w:pPr>
            <w:r>
              <w:t>12.071</w:t>
            </w:r>
          </w:p>
        </w:tc>
        <w:tc>
          <w:tcPr>
            <w:tcW w:w="1014" w:type="dxa"/>
            <w:tcBorders>
              <w:top w:val="single" w:sz="4" w:space="0" w:color="A6A6A6" w:themeColor="background1" w:themeShade="A6"/>
              <w:left w:val="nil"/>
              <w:bottom w:val="single" w:sz="4" w:space="0" w:color="A6A6A6" w:themeColor="background1" w:themeShade="A6"/>
              <w:right w:val="nil"/>
            </w:tcBorders>
            <w:hideMark/>
          </w:tcPr>
          <w:p w14:paraId="72009DC4" w14:textId="77777777" w:rsidR="007179EA" w:rsidRPr="003D2E77" w:rsidRDefault="007179EA" w:rsidP="00723DC0">
            <w:pPr>
              <w:pStyle w:val="TableText"/>
              <w:tabs>
                <w:tab w:val="decimal" w:pos="397"/>
              </w:tabs>
              <w:rPr>
                <w:rFonts w:eastAsia="Arial Unicode MS"/>
                <w:lang w:eastAsia="en-NZ"/>
              </w:rPr>
            </w:pPr>
            <w:r w:rsidRPr="006727C4">
              <w:t>34.</w:t>
            </w:r>
            <w:r>
              <w:t>213</w:t>
            </w:r>
          </w:p>
        </w:tc>
      </w:tr>
      <w:tr w:rsidR="007179EA" w14:paraId="494DD590" w14:textId="77777777" w:rsidTr="00723DC0">
        <w:trPr>
          <w:cantSplit/>
        </w:trPr>
        <w:tc>
          <w:tcPr>
            <w:tcW w:w="4026" w:type="dxa"/>
            <w:tcBorders>
              <w:top w:val="single" w:sz="4" w:space="0" w:color="A6A6A6" w:themeColor="background1" w:themeShade="A6"/>
              <w:left w:val="nil"/>
              <w:bottom w:val="single" w:sz="4" w:space="0" w:color="A6A6A6" w:themeColor="background1" w:themeShade="A6"/>
              <w:right w:val="nil"/>
            </w:tcBorders>
            <w:noWrap/>
            <w:hideMark/>
          </w:tcPr>
          <w:p w14:paraId="5B80E0CD" w14:textId="77777777" w:rsidR="007179EA" w:rsidRPr="003D2E77" w:rsidRDefault="007179EA" w:rsidP="005B24AB">
            <w:pPr>
              <w:pStyle w:val="TableText"/>
            </w:pPr>
            <w:r w:rsidRPr="003D2E77">
              <w:t>Research and evaluation</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7A3D0ACF" w14:textId="77777777" w:rsidR="007179EA" w:rsidRPr="003D2E77" w:rsidRDefault="007179EA" w:rsidP="00723DC0">
            <w:pPr>
              <w:pStyle w:val="TableText"/>
              <w:tabs>
                <w:tab w:val="decimal" w:pos="397"/>
              </w:tabs>
              <w:rPr>
                <w:rFonts w:eastAsia="Arial Unicode MS"/>
                <w:lang w:eastAsia="en-NZ"/>
              </w:rPr>
            </w:pPr>
            <w:r w:rsidRPr="00A17A00">
              <w:t>1.765</w:t>
            </w:r>
          </w:p>
        </w:tc>
        <w:tc>
          <w:tcPr>
            <w:tcW w:w="1014" w:type="dxa"/>
            <w:tcBorders>
              <w:top w:val="single" w:sz="4" w:space="0" w:color="A6A6A6" w:themeColor="background1" w:themeShade="A6"/>
              <w:left w:val="nil"/>
              <w:bottom w:val="single" w:sz="4" w:space="0" w:color="A6A6A6" w:themeColor="background1" w:themeShade="A6"/>
              <w:right w:val="nil"/>
            </w:tcBorders>
            <w:noWrap/>
            <w:hideMark/>
          </w:tcPr>
          <w:p w14:paraId="12D4AE73" w14:textId="77777777" w:rsidR="007179EA" w:rsidRPr="003D2E77" w:rsidRDefault="007179EA" w:rsidP="00723DC0">
            <w:pPr>
              <w:pStyle w:val="TableText"/>
              <w:tabs>
                <w:tab w:val="decimal" w:pos="397"/>
              </w:tabs>
              <w:rPr>
                <w:rFonts w:eastAsia="Arial Unicode MS"/>
                <w:lang w:eastAsia="en-NZ"/>
              </w:rPr>
            </w:pPr>
            <w:r w:rsidRPr="00A17A00">
              <w:t>2.393</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04352003" w14:textId="77777777" w:rsidR="007179EA" w:rsidRPr="003D2E77" w:rsidRDefault="007179EA" w:rsidP="00723DC0">
            <w:pPr>
              <w:pStyle w:val="TableText"/>
              <w:tabs>
                <w:tab w:val="decimal" w:pos="397"/>
              </w:tabs>
              <w:rPr>
                <w:rFonts w:eastAsia="Arial Unicode MS"/>
                <w:lang w:eastAsia="en-NZ"/>
              </w:rPr>
            </w:pPr>
            <w:r w:rsidRPr="00A17A00">
              <w:t>1.500</w:t>
            </w:r>
          </w:p>
        </w:tc>
        <w:tc>
          <w:tcPr>
            <w:tcW w:w="1014" w:type="dxa"/>
            <w:tcBorders>
              <w:top w:val="single" w:sz="4" w:space="0" w:color="A6A6A6" w:themeColor="background1" w:themeShade="A6"/>
              <w:left w:val="nil"/>
              <w:bottom w:val="single" w:sz="4" w:space="0" w:color="A6A6A6" w:themeColor="background1" w:themeShade="A6"/>
              <w:right w:val="nil"/>
            </w:tcBorders>
            <w:hideMark/>
          </w:tcPr>
          <w:p w14:paraId="0519C958" w14:textId="77777777" w:rsidR="007179EA" w:rsidRPr="003D2E77" w:rsidRDefault="007179EA" w:rsidP="00723DC0">
            <w:pPr>
              <w:pStyle w:val="TableText"/>
              <w:tabs>
                <w:tab w:val="decimal" w:pos="397"/>
              </w:tabs>
              <w:rPr>
                <w:rFonts w:eastAsia="Arial Unicode MS"/>
                <w:lang w:eastAsia="en-NZ"/>
              </w:rPr>
            </w:pPr>
            <w:r w:rsidRPr="00A17A00">
              <w:t>5.658</w:t>
            </w:r>
          </w:p>
        </w:tc>
      </w:tr>
      <w:tr w:rsidR="007179EA" w14:paraId="178AACC1" w14:textId="77777777" w:rsidTr="00723DC0">
        <w:trPr>
          <w:cantSplit/>
        </w:trPr>
        <w:tc>
          <w:tcPr>
            <w:tcW w:w="4026" w:type="dxa"/>
            <w:tcBorders>
              <w:top w:val="single" w:sz="4" w:space="0" w:color="A6A6A6" w:themeColor="background1" w:themeShade="A6"/>
              <w:left w:val="nil"/>
              <w:bottom w:val="single" w:sz="4" w:space="0" w:color="A6A6A6" w:themeColor="background1" w:themeShade="A6"/>
              <w:right w:val="nil"/>
            </w:tcBorders>
            <w:noWrap/>
            <w:hideMark/>
          </w:tcPr>
          <w:p w14:paraId="4A06CFAD" w14:textId="77777777" w:rsidR="007179EA" w:rsidRPr="003D2E77" w:rsidRDefault="007179EA" w:rsidP="005B24AB">
            <w:pPr>
              <w:pStyle w:val="TableText"/>
            </w:pPr>
            <w:r w:rsidRPr="003D2E77">
              <w:t>New services</w:t>
            </w:r>
            <w:r>
              <w:t xml:space="preserve"> and</w:t>
            </w:r>
            <w:r w:rsidR="00723DC0">
              <w:t xml:space="preserve"> innovation</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0259FBF0" w14:textId="77777777" w:rsidR="007179EA" w:rsidRPr="003D2E77" w:rsidRDefault="007179EA" w:rsidP="00723DC0">
            <w:pPr>
              <w:pStyle w:val="TableText"/>
              <w:tabs>
                <w:tab w:val="decimal" w:pos="397"/>
              </w:tabs>
              <w:rPr>
                <w:rFonts w:eastAsia="Arial Unicode MS"/>
                <w:lang w:eastAsia="en-NZ"/>
              </w:rPr>
            </w:pPr>
            <w:r>
              <w:t>2.831</w:t>
            </w:r>
          </w:p>
        </w:tc>
        <w:tc>
          <w:tcPr>
            <w:tcW w:w="1014" w:type="dxa"/>
            <w:tcBorders>
              <w:top w:val="single" w:sz="4" w:space="0" w:color="A6A6A6" w:themeColor="background1" w:themeShade="A6"/>
              <w:left w:val="nil"/>
              <w:bottom w:val="single" w:sz="4" w:space="0" w:color="A6A6A6" w:themeColor="background1" w:themeShade="A6"/>
              <w:right w:val="nil"/>
            </w:tcBorders>
            <w:noWrap/>
            <w:hideMark/>
          </w:tcPr>
          <w:p w14:paraId="5122E2BB" w14:textId="77777777" w:rsidR="007179EA" w:rsidRPr="003D2E77" w:rsidRDefault="007179EA" w:rsidP="00723DC0">
            <w:pPr>
              <w:pStyle w:val="TableText"/>
              <w:tabs>
                <w:tab w:val="decimal" w:pos="397"/>
              </w:tabs>
              <w:rPr>
                <w:rFonts w:eastAsia="Arial Unicode MS"/>
                <w:lang w:eastAsia="en-NZ"/>
              </w:rPr>
            </w:pPr>
            <w:r w:rsidRPr="008A38EF">
              <w:t>2.</w:t>
            </w:r>
            <w:r>
              <w:t>769</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4260F0C9" w14:textId="77777777" w:rsidR="007179EA" w:rsidRPr="003D2E77" w:rsidRDefault="007179EA" w:rsidP="00723DC0">
            <w:pPr>
              <w:pStyle w:val="TableText"/>
              <w:tabs>
                <w:tab w:val="decimal" w:pos="397"/>
              </w:tabs>
              <w:rPr>
                <w:rFonts w:eastAsia="Arial Unicode MS"/>
                <w:lang w:eastAsia="en-NZ"/>
              </w:rPr>
            </w:pPr>
            <w:r w:rsidRPr="008A38EF">
              <w:t>2.</w:t>
            </w:r>
            <w:r>
              <w:t>341</w:t>
            </w:r>
          </w:p>
        </w:tc>
        <w:tc>
          <w:tcPr>
            <w:tcW w:w="1014" w:type="dxa"/>
            <w:tcBorders>
              <w:top w:val="single" w:sz="4" w:space="0" w:color="A6A6A6" w:themeColor="background1" w:themeShade="A6"/>
              <w:left w:val="nil"/>
              <w:bottom w:val="single" w:sz="4" w:space="0" w:color="A6A6A6" w:themeColor="background1" w:themeShade="A6"/>
              <w:right w:val="nil"/>
            </w:tcBorders>
            <w:hideMark/>
          </w:tcPr>
          <w:p w14:paraId="1C021920" w14:textId="77777777" w:rsidR="007179EA" w:rsidRPr="003D2E77" w:rsidRDefault="007179EA" w:rsidP="00723DC0">
            <w:pPr>
              <w:pStyle w:val="TableText"/>
              <w:tabs>
                <w:tab w:val="decimal" w:pos="397"/>
              </w:tabs>
              <w:rPr>
                <w:rFonts w:eastAsia="Arial Unicode MS"/>
                <w:lang w:eastAsia="en-NZ"/>
              </w:rPr>
            </w:pPr>
            <w:r w:rsidRPr="008A38EF">
              <w:t>7.</w:t>
            </w:r>
            <w:r>
              <w:t>941</w:t>
            </w:r>
          </w:p>
        </w:tc>
      </w:tr>
      <w:tr w:rsidR="007179EA" w14:paraId="67DD9199" w14:textId="77777777" w:rsidTr="00723DC0">
        <w:trPr>
          <w:cantSplit/>
        </w:trPr>
        <w:tc>
          <w:tcPr>
            <w:tcW w:w="4026" w:type="dxa"/>
            <w:tcBorders>
              <w:top w:val="single" w:sz="4" w:space="0" w:color="A6A6A6" w:themeColor="background1" w:themeShade="A6"/>
              <w:left w:val="nil"/>
              <w:bottom w:val="single" w:sz="4" w:space="0" w:color="A6A6A6" w:themeColor="background1" w:themeShade="A6"/>
              <w:right w:val="nil"/>
            </w:tcBorders>
            <w:noWrap/>
            <w:hideMark/>
          </w:tcPr>
          <w:p w14:paraId="3E123092" w14:textId="77777777" w:rsidR="007179EA" w:rsidRPr="003D2E77" w:rsidRDefault="007179EA" w:rsidP="005B24AB">
            <w:pPr>
              <w:pStyle w:val="TableText"/>
            </w:pPr>
            <w:r w:rsidRPr="003D2E77">
              <w:t>Ministry operating costs</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5ADE1D51" w14:textId="77777777" w:rsidR="007179EA" w:rsidRPr="003D2E77" w:rsidRDefault="007179EA" w:rsidP="00723DC0">
            <w:pPr>
              <w:pStyle w:val="TableText"/>
              <w:tabs>
                <w:tab w:val="decimal" w:pos="397"/>
              </w:tabs>
            </w:pPr>
            <w:r w:rsidRPr="00006561">
              <w:t>1.157</w:t>
            </w:r>
          </w:p>
        </w:tc>
        <w:tc>
          <w:tcPr>
            <w:tcW w:w="1014" w:type="dxa"/>
            <w:tcBorders>
              <w:top w:val="single" w:sz="4" w:space="0" w:color="A6A6A6" w:themeColor="background1" w:themeShade="A6"/>
              <w:left w:val="nil"/>
              <w:bottom w:val="single" w:sz="4" w:space="0" w:color="A6A6A6" w:themeColor="background1" w:themeShade="A6"/>
              <w:right w:val="nil"/>
            </w:tcBorders>
            <w:noWrap/>
            <w:hideMark/>
          </w:tcPr>
          <w:p w14:paraId="161782D2" w14:textId="77777777" w:rsidR="007179EA" w:rsidRPr="003D2E77" w:rsidRDefault="007179EA" w:rsidP="00723DC0">
            <w:pPr>
              <w:pStyle w:val="TableText"/>
              <w:tabs>
                <w:tab w:val="decimal" w:pos="397"/>
              </w:tabs>
            </w:pPr>
            <w:r w:rsidRPr="00006561">
              <w:t>1.157</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1F027654" w14:textId="77777777" w:rsidR="007179EA" w:rsidRPr="003D2E77" w:rsidRDefault="007179EA" w:rsidP="00723DC0">
            <w:pPr>
              <w:pStyle w:val="TableText"/>
              <w:tabs>
                <w:tab w:val="decimal" w:pos="397"/>
              </w:tabs>
            </w:pPr>
            <w:r w:rsidRPr="00006561">
              <w:t>1.157</w:t>
            </w:r>
          </w:p>
        </w:tc>
        <w:tc>
          <w:tcPr>
            <w:tcW w:w="1014" w:type="dxa"/>
            <w:tcBorders>
              <w:top w:val="single" w:sz="4" w:space="0" w:color="A6A6A6" w:themeColor="background1" w:themeShade="A6"/>
              <w:left w:val="nil"/>
              <w:bottom w:val="single" w:sz="4" w:space="0" w:color="A6A6A6" w:themeColor="background1" w:themeShade="A6"/>
              <w:right w:val="nil"/>
            </w:tcBorders>
            <w:hideMark/>
          </w:tcPr>
          <w:p w14:paraId="3C82254B" w14:textId="77777777" w:rsidR="007179EA" w:rsidRPr="003D2E77" w:rsidRDefault="007179EA" w:rsidP="00723DC0">
            <w:pPr>
              <w:pStyle w:val="TableText"/>
              <w:tabs>
                <w:tab w:val="decimal" w:pos="397"/>
              </w:tabs>
            </w:pPr>
            <w:r w:rsidRPr="00006561">
              <w:t>3.471</w:t>
            </w:r>
          </w:p>
        </w:tc>
      </w:tr>
      <w:tr w:rsidR="007179EA" w:rsidRPr="00CC0844" w14:paraId="19C08616" w14:textId="77777777" w:rsidTr="00723DC0">
        <w:trPr>
          <w:cantSplit/>
        </w:trPr>
        <w:tc>
          <w:tcPr>
            <w:tcW w:w="4026" w:type="dxa"/>
            <w:tcBorders>
              <w:top w:val="single" w:sz="4" w:space="0" w:color="A6A6A6" w:themeColor="background1" w:themeShade="A6"/>
              <w:left w:val="nil"/>
              <w:bottom w:val="single" w:sz="4" w:space="0" w:color="A6A6A6" w:themeColor="background1" w:themeShade="A6"/>
              <w:right w:val="nil"/>
            </w:tcBorders>
            <w:noWrap/>
            <w:hideMark/>
          </w:tcPr>
          <w:p w14:paraId="3A27953E" w14:textId="77777777" w:rsidR="007179EA" w:rsidRPr="003D2E77" w:rsidRDefault="007179EA" w:rsidP="005B24AB">
            <w:pPr>
              <w:pStyle w:val="TableText"/>
              <w:rPr>
                <w:b/>
              </w:rPr>
            </w:pPr>
            <w:r w:rsidRPr="003D2E77">
              <w:rPr>
                <w:b/>
              </w:rPr>
              <w:t>Total ($m)</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1B952C44" w14:textId="77777777" w:rsidR="007179EA" w:rsidRPr="003D2E77" w:rsidRDefault="007179EA" w:rsidP="00723DC0">
            <w:pPr>
              <w:pStyle w:val="TableText"/>
              <w:tabs>
                <w:tab w:val="decimal" w:pos="397"/>
              </w:tabs>
              <w:rPr>
                <w:rFonts w:eastAsia="Arial Unicode MS"/>
                <w:b/>
                <w:lang w:eastAsia="en-NZ"/>
              </w:rPr>
            </w:pPr>
            <w:r w:rsidRPr="00CE1B79">
              <w:t>2</w:t>
            </w:r>
            <w:r>
              <w:t>4.374</w:t>
            </w:r>
          </w:p>
        </w:tc>
        <w:tc>
          <w:tcPr>
            <w:tcW w:w="1014" w:type="dxa"/>
            <w:tcBorders>
              <w:top w:val="single" w:sz="4" w:space="0" w:color="A6A6A6" w:themeColor="background1" w:themeShade="A6"/>
              <w:left w:val="nil"/>
              <w:bottom w:val="single" w:sz="4" w:space="0" w:color="A6A6A6" w:themeColor="background1" w:themeShade="A6"/>
              <w:right w:val="nil"/>
            </w:tcBorders>
            <w:noWrap/>
            <w:hideMark/>
          </w:tcPr>
          <w:p w14:paraId="44CFDDC8" w14:textId="77777777" w:rsidR="007179EA" w:rsidRPr="003D2E77" w:rsidRDefault="007179EA" w:rsidP="00723DC0">
            <w:pPr>
              <w:pStyle w:val="TableText"/>
              <w:tabs>
                <w:tab w:val="decimal" w:pos="397"/>
              </w:tabs>
              <w:rPr>
                <w:rFonts w:eastAsia="Arial Unicode MS"/>
                <w:b/>
                <w:lang w:eastAsia="en-NZ"/>
              </w:rPr>
            </w:pPr>
            <w:r w:rsidRPr="00CE1B79">
              <w:t>2</w:t>
            </w:r>
            <w:r>
              <w:t>6.690</w:t>
            </w:r>
          </w:p>
        </w:tc>
        <w:tc>
          <w:tcPr>
            <w:tcW w:w="1013" w:type="dxa"/>
            <w:tcBorders>
              <w:top w:val="single" w:sz="4" w:space="0" w:color="A6A6A6" w:themeColor="background1" w:themeShade="A6"/>
              <w:left w:val="nil"/>
              <w:bottom w:val="single" w:sz="4" w:space="0" w:color="A6A6A6" w:themeColor="background1" w:themeShade="A6"/>
              <w:right w:val="nil"/>
            </w:tcBorders>
            <w:noWrap/>
            <w:hideMark/>
          </w:tcPr>
          <w:p w14:paraId="757C1A85" w14:textId="77777777" w:rsidR="007179EA" w:rsidRPr="003D2E77" w:rsidRDefault="007179EA" w:rsidP="00723DC0">
            <w:pPr>
              <w:pStyle w:val="TableText"/>
              <w:tabs>
                <w:tab w:val="decimal" w:pos="397"/>
              </w:tabs>
              <w:rPr>
                <w:rFonts w:eastAsia="Arial Unicode MS"/>
                <w:b/>
                <w:lang w:eastAsia="en-NZ"/>
              </w:rPr>
            </w:pPr>
            <w:r w:rsidRPr="00CE1B79">
              <w:t>2</w:t>
            </w:r>
            <w:r>
              <w:t>5.059</w:t>
            </w:r>
          </w:p>
        </w:tc>
        <w:tc>
          <w:tcPr>
            <w:tcW w:w="1014" w:type="dxa"/>
            <w:tcBorders>
              <w:top w:val="single" w:sz="4" w:space="0" w:color="A6A6A6" w:themeColor="background1" w:themeShade="A6"/>
              <w:left w:val="nil"/>
              <w:bottom w:val="single" w:sz="4" w:space="0" w:color="A6A6A6" w:themeColor="background1" w:themeShade="A6"/>
              <w:right w:val="nil"/>
            </w:tcBorders>
            <w:hideMark/>
          </w:tcPr>
          <w:p w14:paraId="35124A7E" w14:textId="77777777" w:rsidR="007179EA" w:rsidRPr="003D2E77" w:rsidRDefault="007179EA" w:rsidP="00723DC0">
            <w:pPr>
              <w:pStyle w:val="TableText"/>
              <w:tabs>
                <w:tab w:val="decimal" w:pos="397"/>
              </w:tabs>
              <w:rPr>
                <w:rFonts w:eastAsia="Arial Unicode MS"/>
                <w:b/>
                <w:lang w:eastAsia="en-NZ"/>
              </w:rPr>
            </w:pPr>
            <w:r w:rsidRPr="00CE1B79">
              <w:t>76.</w:t>
            </w:r>
            <w:r>
              <w:t>123</w:t>
            </w:r>
          </w:p>
        </w:tc>
      </w:tr>
    </w:tbl>
    <w:p w14:paraId="09E4CA52" w14:textId="77777777" w:rsidR="007179EA" w:rsidRDefault="007179EA" w:rsidP="00723DC0">
      <w:pPr>
        <w:pStyle w:val="Note"/>
      </w:pPr>
      <w:r>
        <w:t>Note: The service areas are discussed in more detail later in this document</w:t>
      </w:r>
      <w:bookmarkStart w:id="168" w:name="_Hlk89427606"/>
      <w:r>
        <w:t>.</w:t>
      </w:r>
      <w:r w:rsidR="00BC6B27">
        <w:t xml:space="preserve"> </w:t>
      </w:r>
      <w:r>
        <w:t>Budget totals may not sum due to rounding.</w:t>
      </w:r>
    </w:p>
    <w:p w14:paraId="2932547A" w14:textId="77777777" w:rsidR="00BB2CC8" w:rsidRPr="00723DC0" w:rsidRDefault="00BB2CC8" w:rsidP="00723DC0"/>
    <w:bookmarkEnd w:id="168"/>
    <w:p w14:paraId="0ADF9800" w14:textId="77777777" w:rsidR="007179EA" w:rsidRPr="007F4B4C" w:rsidRDefault="007179EA" w:rsidP="00BB2CC8">
      <w:pPr>
        <w:pStyle w:val="Heading3"/>
      </w:pPr>
      <w:r>
        <w:lastRenderedPageBreak/>
        <w:t>Areas of additional investment</w:t>
      </w:r>
    </w:p>
    <w:p w14:paraId="3ED6FD02" w14:textId="3378F95F" w:rsidR="00BC6B27" w:rsidRDefault="00BB2CC8" w:rsidP="00BB2CC8">
      <w:r>
        <w:fldChar w:fldCharType="begin"/>
      </w:r>
      <w:r>
        <w:instrText xml:space="preserve"> REF _Ref90610541 \h </w:instrText>
      </w:r>
      <w:r>
        <w:fldChar w:fldCharType="separate"/>
      </w:r>
      <w:r w:rsidR="00451900">
        <w:t>Table </w:t>
      </w:r>
      <w:r w:rsidR="00451900">
        <w:rPr>
          <w:noProof/>
        </w:rPr>
        <w:t>4</w:t>
      </w:r>
      <w:r>
        <w:fldChar w:fldCharType="end"/>
      </w:r>
      <w:r w:rsidR="007179EA">
        <w:t xml:space="preserve"> shows the changes in funding by service area compared with the budget for the current strategy period.</w:t>
      </w:r>
    </w:p>
    <w:p w14:paraId="58B51ABB" w14:textId="77777777" w:rsidR="00BB2CC8" w:rsidRDefault="00BB2CC8" w:rsidP="00BB2CC8"/>
    <w:p w14:paraId="36CF4C14" w14:textId="25A8FBC2" w:rsidR="007179EA" w:rsidRDefault="00BB2CC8" w:rsidP="00BB2CC8">
      <w:pPr>
        <w:pStyle w:val="Table"/>
      </w:pPr>
      <w:bookmarkStart w:id="169" w:name="_Ref90610541"/>
      <w:bookmarkStart w:id="170" w:name="_Toc89335320"/>
      <w:bookmarkStart w:id="171" w:name="_Toc90626954"/>
      <w:r>
        <w:t>Table </w:t>
      </w:r>
      <w:fldSimple w:instr=" SEQ Table \* ARABIC ">
        <w:r w:rsidR="00451900">
          <w:rPr>
            <w:noProof/>
          </w:rPr>
          <w:t>4</w:t>
        </w:r>
      </w:fldSimple>
      <w:bookmarkEnd w:id="169"/>
      <w:r w:rsidR="007179EA">
        <w:t xml:space="preserve">: </w:t>
      </w:r>
      <w:r w:rsidR="007179EA" w:rsidRPr="0073440D">
        <w:t>Proposed budget changes compared with current levy period (over three</w:t>
      </w:r>
      <w:r w:rsidR="0018228E">
        <w:t> years</w:t>
      </w:r>
      <w:r w:rsidR="007179EA" w:rsidRPr="0073440D">
        <w:t>)</w:t>
      </w:r>
      <w:bookmarkEnd w:id="170"/>
      <w:bookmarkEnd w:id="171"/>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330"/>
        <w:gridCol w:w="1375"/>
        <w:gridCol w:w="1375"/>
      </w:tblGrid>
      <w:tr w:rsidR="007179EA" w:rsidRPr="00CC0844" w14:paraId="7D7CCB4D" w14:textId="77777777" w:rsidTr="00030C79">
        <w:trPr>
          <w:cantSplit/>
        </w:trPr>
        <w:tc>
          <w:tcPr>
            <w:tcW w:w="5330" w:type="dxa"/>
            <w:tcBorders>
              <w:top w:val="nil"/>
              <w:left w:val="nil"/>
              <w:bottom w:val="nil"/>
              <w:right w:val="nil"/>
            </w:tcBorders>
            <w:shd w:val="clear" w:color="auto" w:fill="D9D9D9" w:themeFill="background1" w:themeFillShade="D9"/>
            <w:noWrap/>
            <w:hideMark/>
          </w:tcPr>
          <w:p w14:paraId="49A6746E" w14:textId="77777777" w:rsidR="007179EA" w:rsidRPr="00CC0844" w:rsidRDefault="007179EA" w:rsidP="005B24AB">
            <w:pPr>
              <w:pStyle w:val="TableText"/>
              <w:rPr>
                <w:b/>
              </w:rPr>
            </w:pPr>
            <w:r w:rsidRPr="00CC0844">
              <w:rPr>
                <w:b/>
              </w:rPr>
              <w:t>Service area</w:t>
            </w:r>
          </w:p>
        </w:tc>
        <w:tc>
          <w:tcPr>
            <w:tcW w:w="1375" w:type="dxa"/>
            <w:tcBorders>
              <w:top w:val="nil"/>
              <w:left w:val="nil"/>
              <w:bottom w:val="nil"/>
              <w:right w:val="nil"/>
            </w:tcBorders>
            <w:shd w:val="clear" w:color="auto" w:fill="D9D9D9" w:themeFill="background1" w:themeFillShade="D9"/>
            <w:noWrap/>
            <w:hideMark/>
          </w:tcPr>
          <w:p w14:paraId="11CD7FA6" w14:textId="77777777" w:rsidR="007179EA" w:rsidRPr="00CC0844" w:rsidRDefault="007179EA" w:rsidP="00030C79">
            <w:pPr>
              <w:pStyle w:val="TableText"/>
              <w:jc w:val="center"/>
              <w:rPr>
                <w:b/>
              </w:rPr>
            </w:pPr>
            <w:r>
              <w:rPr>
                <w:b/>
              </w:rPr>
              <w:t>Change</w:t>
            </w:r>
            <w:r w:rsidR="00030C79">
              <w:rPr>
                <w:b/>
              </w:rPr>
              <w:br/>
            </w:r>
            <w:r>
              <w:rPr>
                <w:b/>
              </w:rPr>
              <w:t>($m)</w:t>
            </w:r>
          </w:p>
        </w:tc>
        <w:tc>
          <w:tcPr>
            <w:tcW w:w="1375" w:type="dxa"/>
            <w:tcBorders>
              <w:top w:val="nil"/>
              <w:left w:val="nil"/>
              <w:bottom w:val="nil"/>
              <w:right w:val="nil"/>
            </w:tcBorders>
            <w:shd w:val="clear" w:color="auto" w:fill="D9D9D9" w:themeFill="background1" w:themeFillShade="D9"/>
            <w:noWrap/>
            <w:hideMark/>
          </w:tcPr>
          <w:p w14:paraId="13A6B50F" w14:textId="77777777" w:rsidR="007179EA" w:rsidRPr="00CC0844" w:rsidRDefault="007179EA" w:rsidP="005B24AB">
            <w:pPr>
              <w:pStyle w:val="TableText"/>
              <w:jc w:val="center"/>
              <w:rPr>
                <w:b/>
              </w:rPr>
            </w:pPr>
            <w:r>
              <w:rPr>
                <w:b/>
              </w:rPr>
              <w:t>Total</w:t>
            </w:r>
            <w:r w:rsidRPr="00CC0844">
              <w:rPr>
                <w:b/>
              </w:rPr>
              <w:br/>
              <w:t>($m)</w:t>
            </w:r>
          </w:p>
        </w:tc>
      </w:tr>
      <w:tr w:rsidR="007179EA" w14:paraId="5C3ADD18" w14:textId="77777777" w:rsidTr="00030C79">
        <w:trPr>
          <w:cantSplit/>
        </w:trPr>
        <w:tc>
          <w:tcPr>
            <w:tcW w:w="5330" w:type="dxa"/>
            <w:tcBorders>
              <w:top w:val="nil"/>
              <w:left w:val="nil"/>
              <w:bottom w:val="nil"/>
              <w:right w:val="nil"/>
            </w:tcBorders>
            <w:shd w:val="clear" w:color="auto" w:fill="F2F2F2" w:themeFill="background1" w:themeFillShade="F2"/>
            <w:noWrap/>
          </w:tcPr>
          <w:p w14:paraId="3790346C" w14:textId="77777777" w:rsidR="007179EA" w:rsidRPr="006E4BDD" w:rsidRDefault="007179EA" w:rsidP="005B24AB">
            <w:pPr>
              <w:pStyle w:val="TableText"/>
              <w:rPr>
                <w:b/>
                <w:bCs/>
              </w:rPr>
            </w:pPr>
            <w:r w:rsidRPr="006E4BDD">
              <w:rPr>
                <w:b/>
                <w:bCs/>
              </w:rPr>
              <w:t>Areas increased</w:t>
            </w:r>
          </w:p>
        </w:tc>
        <w:tc>
          <w:tcPr>
            <w:tcW w:w="1375" w:type="dxa"/>
            <w:tcBorders>
              <w:top w:val="nil"/>
              <w:left w:val="nil"/>
              <w:bottom w:val="nil"/>
              <w:right w:val="nil"/>
            </w:tcBorders>
            <w:shd w:val="clear" w:color="auto" w:fill="F2F2F2" w:themeFill="background1" w:themeFillShade="F2"/>
            <w:noWrap/>
          </w:tcPr>
          <w:p w14:paraId="3237D8FE" w14:textId="77777777" w:rsidR="007179EA" w:rsidRPr="006E4BDD" w:rsidRDefault="007179EA" w:rsidP="00030C79">
            <w:pPr>
              <w:pStyle w:val="TableText"/>
              <w:jc w:val="center"/>
            </w:pPr>
          </w:p>
        </w:tc>
        <w:tc>
          <w:tcPr>
            <w:tcW w:w="1375" w:type="dxa"/>
            <w:tcBorders>
              <w:top w:val="nil"/>
              <w:left w:val="nil"/>
              <w:bottom w:val="nil"/>
              <w:right w:val="nil"/>
            </w:tcBorders>
            <w:shd w:val="clear" w:color="auto" w:fill="F2F2F2" w:themeFill="background1" w:themeFillShade="F2"/>
            <w:noWrap/>
          </w:tcPr>
          <w:p w14:paraId="238C663C" w14:textId="77777777" w:rsidR="007179EA" w:rsidRPr="006E4BDD" w:rsidRDefault="007179EA" w:rsidP="00030C79">
            <w:pPr>
              <w:pStyle w:val="TableText"/>
              <w:jc w:val="center"/>
              <w:rPr>
                <w:b/>
                <w:bCs/>
              </w:rPr>
            </w:pPr>
            <w:r w:rsidRPr="006E4BDD">
              <w:rPr>
                <w:b/>
                <w:bCs/>
              </w:rPr>
              <w:t>Total</w:t>
            </w:r>
          </w:p>
        </w:tc>
      </w:tr>
      <w:tr w:rsidR="007179EA" w14:paraId="790E75B4" w14:textId="77777777" w:rsidTr="00030C79">
        <w:trPr>
          <w:cantSplit/>
        </w:trPr>
        <w:tc>
          <w:tcPr>
            <w:tcW w:w="5330" w:type="dxa"/>
            <w:tcBorders>
              <w:top w:val="nil"/>
              <w:left w:val="nil"/>
              <w:bottom w:val="single" w:sz="4" w:space="0" w:color="A6A6A6" w:themeColor="background1" w:themeShade="A6"/>
              <w:right w:val="nil"/>
            </w:tcBorders>
            <w:noWrap/>
            <w:hideMark/>
          </w:tcPr>
          <w:p w14:paraId="5940BEA1" w14:textId="77777777" w:rsidR="007179EA" w:rsidRPr="006E4BDD" w:rsidRDefault="007179EA" w:rsidP="005B24AB">
            <w:pPr>
              <w:pStyle w:val="TableText"/>
            </w:pPr>
            <w:r w:rsidRPr="006E4BDD">
              <w:t>Public health services (harm prevention and minimisation)</w:t>
            </w:r>
          </w:p>
        </w:tc>
        <w:tc>
          <w:tcPr>
            <w:tcW w:w="1375" w:type="dxa"/>
            <w:tcBorders>
              <w:top w:val="nil"/>
              <w:left w:val="nil"/>
              <w:bottom w:val="single" w:sz="4" w:space="0" w:color="A6A6A6" w:themeColor="background1" w:themeShade="A6"/>
              <w:right w:val="nil"/>
            </w:tcBorders>
            <w:shd w:val="clear" w:color="auto" w:fill="FFFFFF"/>
            <w:noWrap/>
          </w:tcPr>
          <w:p w14:paraId="23DE0952" w14:textId="77777777" w:rsidR="007179EA" w:rsidRPr="006E4BDD" w:rsidRDefault="007179EA" w:rsidP="00030C79">
            <w:pPr>
              <w:pStyle w:val="TableText"/>
              <w:jc w:val="center"/>
              <w:rPr>
                <w:rFonts w:eastAsia="Arial Unicode MS"/>
                <w:lang w:eastAsia="en-NZ"/>
              </w:rPr>
            </w:pPr>
            <w:r w:rsidRPr="006E4BDD">
              <w:t>+4.</w:t>
            </w:r>
            <w:r>
              <w:t>310</w:t>
            </w:r>
          </w:p>
        </w:tc>
        <w:tc>
          <w:tcPr>
            <w:tcW w:w="1375" w:type="dxa"/>
            <w:vMerge w:val="restart"/>
            <w:tcBorders>
              <w:top w:val="nil"/>
              <w:left w:val="nil"/>
              <w:right w:val="nil"/>
            </w:tcBorders>
            <w:shd w:val="clear" w:color="auto" w:fill="FFFFFF"/>
            <w:noWrap/>
            <w:vAlign w:val="center"/>
          </w:tcPr>
          <w:p w14:paraId="181858AC" w14:textId="77777777" w:rsidR="007179EA" w:rsidRPr="006E4BDD" w:rsidRDefault="007179EA" w:rsidP="00030C79">
            <w:pPr>
              <w:pStyle w:val="TableText"/>
              <w:tabs>
                <w:tab w:val="decimal" w:pos="609"/>
              </w:tabs>
              <w:rPr>
                <w:rFonts w:eastAsia="Arial Unicode MS"/>
                <w:lang w:eastAsia="en-NZ"/>
              </w:rPr>
            </w:pPr>
            <w:r w:rsidRPr="006E4BDD">
              <w:t>+1</w:t>
            </w:r>
            <w:r>
              <w:t>6.755</w:t>
            </w:r>
          </w:p>
        </w:tc>
      </w:tr>
      <w:tr w:rsidR="007179EA" w14:paraId="5A2362FB" w14:textId="77777777" w:rsidTr="00030C79">
        <w:trPr>
          <w:cantSplit/>
        </w:trPr>
        <w:tc>
          <w:tcPr>
            <w:tcW w:w="5330" w:type="dxa"/>
            <w:tcBorders>
              <w:top w:val="single" w:sz="4" w:space="0" w:color="A6A6A6" w:themeColor="background1" w:themeShade="A6"/>
              <w:left w:val="nil"/>
              <w:bottom w:val="single" w:sz="4" w:space="0" w:color="A6A6A6" w:themeColor="background1" w:themeShade="A6"/>
              <w:right w:val="nil"/>
            </w:tcBorders>
            <w:noWrap/>
            <w:hideMark/>
          </w:tcPr>
          <w:p w14:paraId="3AC67593" w14:textId="77777777" w:rsidR="007179EA" w:rsidRPr="006E4BDD" w:rsidRDefault="007179EA" w:rsidP="00BB2CC8">
            <w:pPr>
              <w:pStyle w:val="TableText"/>
            </w:pPr>
            <w:r w:rsidRPr="006E4BDD">
              <w:t>Clinical intervention and support services</w:t>
            </w:r>
          </w:p>
        </w:tc>
        <w:tc>
          <w:tcPr>
            <w:tcW w:w="1375" w:type="dxa"/>
            <w:tcBorders>
              <w:top w:val="single" w:sz="4" w:space="0" w:color="A6A6A6" w:themeColor="background1" w:themeShade="A6"/>
              <w:left w:val="nil"/>
              <w:bottom w:val="single" w:sz="4" w:space="0" w:color="A6A6A6" w:themeColor="background1" w:themeShade="A6"/>
              <w:right w:val="nil"/>
            </w:tcBorders>
            <w:noWrap/>
          </w:tcPr>
          <w:p w14:paraId="6A99538E" w14:textId="77777777" w:rsidR="007179EA" w:rsidRPr="006E4BDD" w:rsidRDefault="007179EA" w:rsidP="00030C79">
            <w:pPr>
              <w:pStyle w:val="TableText"/>
              <w:jc w:val="center"/>
              <w:rPr>
                <w:rFonts w:eastAsia="Arial Unicode MS"/>
                <w:lang w:eastAsia="en-NZ"/>
              </w:rPr>
            </w:pPr>
            <w:r w:rsidRPr="006E4BDD">
              <w:t>+</w:t>
            </w:r>
            <w:r>
              <w:t>8.970</w:t>
            </w:r>
          </w:p>
        </w:tc>
        <w:tc>
          <w:tcPr>
            <w:tcW w:w="1375" w:type="dxa"/>
            <w:vMerge/>
            <w:tcBorders>
              <w:left w:val="nil"/>
              <w:right w:val="nil"/>
            </w:tcBorders>
            <w:noWrap/>
          </w:tcPr>
          <w:p w14:paraId="17274F8C" w14:textId="77777777" w:rsidR="007179EA" w:rsidRPr="006E4BDD" w:rsidRDefault="007179EA" w:rsidP="00030C79">
            <w:pPr>
              <w:pStyle w:val="TableText"/>
              <w:tabs>
                <w:tab w:val="decimal" w:pos="609"/>
              </w:tabs>
              <w:rPr>
                <w:rFonts w:eastAsia="Arial Unicode MS"/>
                <w:lang w:eastAsia="en-NZ"/>
              </w:rPr>
            </w:pPr>
          </w:p>
        </w:tc>
      </w:tr>
      <w:tr w:rsidR="007179EA" w14:paraId="6AF2E207" w14:textId="77777777" w:rsidTr="00030C79">
        <w:trPr>
          <w:cantSplit/>
        </w:trPr>
        <w:tc>
          <w:tcPr>
            <w:tcW w:w="5330" w:type="dxa"/>
            <w:tcBorders>
              <w:top w:val="single" w:sz="4" w:space="0" w:color="A6A6A6" w:themeColor="background1" w:themeShade="A6"/>
              <w:left w:val="nil"/>
              <w:bottom w:val="single" w:sz="4" w:space="0" w:color="A6A6A6" w:themeColor="background1" w:themeShade="A6"/>
              <w:right w:val="nil"/>
            </w:tcBorders>
            <w:noWrap/>
            <w:hideMark/>
          </w:tcPr>
          <w:p w14:paraId="1A992F12" w14:textId="77777777" w:rsidR="007179EA" w:rsidRPr="006E4BDD" w:rsidRDefault="00BB2CC8" w:rsidP="005B24AB">
            <w:pPr>
              <w:pStyle w:val="TableText"/>
            </w:pPr>
            <w:r>
              <w:t>New services and innovation</w:t>
            </w:r>
          </w:p>
        </w:tc>
        <w:tc>
          <w:tcPr>
            <w:tcW w:w="1375" w:type="dxa"/>
            <w:tcBorders>
              <w:top w:val="single" w:sz="4" w:space="0" w:color="A6A6A6" w:themeColor="background1" w:themeShade="A6"/>
              <w:left w:val="nil"/>
              <w:bottom w:val="single" w:sz="4" w:space="0" w:color="A6A6A6" w:themeColor="background1" w:themeShade="A6"/>
              <w:right w:val="nil"/>
            </w:tcBorders>
            <w:noWrap/>
          </w:tcPr>
          <w:p w14:paraId="01AF90FF" w14:textId="77777777" w:rsidR="007179EA" w:rsidRPr="006E4BDD" w:rsidRDefault="007179EA" w:rsidP="00030C79">
            <w:pPr>
              <w:pStyle w:val="TableText"/>
              <w:jc w:val="center"/>
              <w:rPr>
                <w:rFonts w:eastAsia="Arial Unicode MS"/>
                <w:lang w:eastAsia="en-NZ"/>
              </w:rPr>
            </w:pPr>
            <w:r w:rsidRPr="006E4BDD">
              <w:t>+2.</w:t>
            </w:r>
            <w:r>
              <w:t>941</w:t>
            </w:r>
          </w:p>
        </w:tc>
        <w:tc>
          <w:tcPr>
            <w:tcW w:w="1375" w:type="dxa"/>
            <w:vMerge/>
            <w:tcBorders>
              <w:left w:val="nil"/>
              <w:right w:val="nil"/>
            </w:tcBorders>
            <w:noWrap/>
          </w:tcPr>
          <w:p w14:paraId="475A36BE" w14:textId="77777777" w:rsidR="007179EA" w:rsidRPr="006E4BDD" w:rsidRDefault="007179EA" w:rsidP="00030C79">
            <w:pPr>
              <w:pStyle w:val="TableText"/>
              <w:tabs>
                <w:tab w:val="decimal" w:pos="609"/>
              </w:tabs>
              <w:rPr>
                <w:rFonts w:eastAsia="Arial Unicode MS"/>
                <w:lang w:eastAsia="en-NZ"/>
              </w:rPr>
            </w:pPr>
          </w:p>
        </w:tc>
      </w:tr>
      <w:tr w:rsidR="007179EA" w14:paraId="3417FA35" w14:textId="77777777" w:rsidTr="00030C79">
        <w:trPr>
          <w:cantSplit/>
        </w:trPr>
        <w:tc>
          <w:tcPr>
            <w:tcW w:w="5330" w:type="dxa"/>
            <w:tcBorders>
              <w:top w:val="single" w:sz="4" w:space="0" w:color="A6A6A6" w:themeColor="background1" w:themeShade="A6"/>
              <w:left w:val="nil"/>
              <w:bottom w:val="single" w:sz="4" w:space="0" w:color="A6A6A6" w:themeColor="background1" w:themeShade="A6"/>
              <w:right w:val="nil"/>
            </w:tcBorders>
            <w:noWrap/>
          </w:tcPr>
          <w:p w14:paraId="02D61092" w14:textId="77777777" w:rsidR="007179EA" w:rsidRPr="006E4BDD" w:rsidRDefault="007179EA" w:rsidP="005B24AB">
            <w:pPr>
              <w:pStyle w:val="TableText"/>
            </w:pPr>
            <w:r w:rsidRPr="006E4BDD">
              <w:t>Ministry operating costs</w:t>
            </w:r>
          </w:p>
        </w:tc>
        <w:tc>
          <w:tcPr>
            <w:tcW w:w="1375" w:type="dxa"/>
            <w:tcBorders>
              <w:top w:val="single" w:sz="4" w:space="0" w:color="A6A6A6" w:themeColor="background1" w:themeShade="A6"/>
              <w:left w:val="nil"/>
              <w:bottom w:val="single" w:sz="4" w:space="0" w:color="A6A6A6" w:themeColor="background1" w:themeShade="A6"/>
              <w:right w:val="nil"/>
            </w:tcBorders>
            <w:noWrap/>
          </w:tcPr>
          <w:p w14:paraId="69466569" w14:textId="77777777" w:rsidR="007179EA" w:rsidRPr="006E4BDD" w:rsidRDefault="007179EA" w:rsidP="00030C79">
            <w:pPr>
              <w:pStyle w:val="TableText"/>
              <w:jc w:val="center"/>
              <w:rPr>
                <w:rFonts w:eastAsia="Arial Unicode MS"/>
                <w:lang w:eastAsia="en-NZ"/>
              </w:rPr>
            </w:pPr>
            <w:r w:rsidRPr="006E4BDD">
              <w:t>+0.534</w:t>
            </w:r>
          </w:p>
        </w:tc>
        <w:tc>
          <w:tcPr>
            <w:tcW w:w="1375" w:type="dxa"/>
            <w:vMerge/>
            <w:tcBorders>
              <w:left w:val="nil"/>
              <w:bottom w:val="single" w:sz="4" w:space="0" w:color="A6A6A6" w:themeColor="background1" w:themeShade="A6"/>
              <w:right w:val="nil"/>
            </w:tcBorders>
            <w:noWrap/>
          </w:tcPr>
          <w:p w14:paraId="4CAD6C13" w14:textId="77777777" w:rsidR="007179EA" w:rsidRPr="006E4BDD" w:rsidRDefault="007179EA" w:rsidP="00030C79">
            <w:pPr>
              <w:pStyle w:val="TableText"/>
              <w:tabs>
                <w:tab w:val="decimal" w:pos="609"/>
              </w:tabs>
              <w:rPr>
                <w:rFonts w:eastAsia="Arial Unicode MS"/>
                <w:lang w:eastAsia="en-NZ"/>
              </w:rPr>
            </w:pPr>
          </w:p>
        </w:tc>
      </w:tr>
      <w:tr w:rsidR="007179EA" w14:paraId="45CD6145" w14:textId="77777777" w:rsidTr="00030C79">
        <w:trPr>
          <w:cantSplit/>
        </w:trPr>
        <w:tc>
          <w:tcPr>
            <w:tcW w:w="5330" w:type="dxa"/>
            <w:tcBorders>
              <w:top w:val="single" w:sz="4" w:space="0" w:color="A6A6A6" w:themeColor="background1" w:themeShade="A6"/>
              <w:left w:val="nil"/>
              <w:bottom w:val="nil"/>
              <w:right w:val="nil"/>
            </w:tcBorders>
            <w:shd w:val="clear" w:color="auto" w:fill="F2F2F2" w:themeFill="background1" w:themeFillShade="F2"/>
            <w:noWrap/>
          </w:tcPr>
          <w:p w14:paraId="16E68CE9" w14:textId="77777777" w:rsidR="007179EA" w:rsidRPr="006E4BDD" w:rsidRDefault="007179EA" w:rsidP="005B24AB">
            <w:pPr>
              <w:pStyle w:val="TableText"/>
              <w:rPr>
                <w:b/>
                <w:bCs/>
              </w:rPr>
            </w:pPr>
            <w:r w:rsidRPr="006E4BDD">
              <w:rPr>
                <w:b/>
                <w:bCs/>
              </w:rPr>
              <w:t>Areas decreased</w:t>
            </w:r>
          </w:p>
        </w:tc>
        <w:tc>
          <w:tcPr>
            <w:tcW w:w="1375" w:type="dxa"/>
            <w:tcBorders>
              <w:top w:val="single" w:sz="4" w:space="0" w:color="A6A6A6" w:themeColor="background1" w:themeShade="A6"/>
              <w:left w:val="nil"/>
              <w:bottom w:val="nil"/>
              <w:right w:val="nil"/>
            </w:tcBorders>
            <w:shd w:val="clear" w:color="auto" w:fill="F2F2F2" w:themeFill="background1" w:themeFillShade="F2"/>
            <w:noWrap/>
          </w:tcPr>
          <w:p w14:paraId="25B88F54" w14:textId="77777777" w:rsidR="007179EA" w:rsidRPr="006E4BDD" w:rsidRDefault="007179EA" w:rsidP="00030C79">
            <w:pPr>
              <w:pStyle w:val="TableText"/>
              <w:jc w:val="center"/>
            </w:pPr>
          </w:p>
        </w:tc>
        <w:tc>
          <w:tcPr>
            <w:tcW w:w="1375" w:type="dxa"/>
            <w:tcBorders>
              <w:top w:val="single" w:sz="4" w:space="0" w:color="A6A6A6" w:themeColor="background1" w:themeShade="A6"/>
              <w:left w:val="nil"/>
              <w:bottom w:val="nil"/>
              <w:right w:val="nil"/>
            </w:tcBorders>
            <w:shd w:val="clear" w:color="auto" w:fill="F2F2F2" w:themeFill="background1" w:themeFillShade="F2"/>
            <w:noWrap/>
          </w:tcPr>
          <w:p w14:paraId="345F4456" w14:textId="77777777" w:rsidR="007179EA" w:rsidRPr="006E4BDD" w:rsidRDefault="007179EA" w:rsidP="00030C79">
            <w:pPr>
              <w:pStyle w:val="TableText"/>
              <w:tabs>
                <w:tab w:val="decimal" w:pos="609"/>
              </w:tabs>
            </w:pPr>
          </w:p>
        </w:tc>
      </w:tr>
      <w:tr w:rsidR="007179EA" w:rsidRPr="00CC0844" w14:paraId="742150B9" w14:textId="77777777" w:rsidTr="00030C79">
        <w:trPr>
          <w:cantSplit/>
        </w:trPr>
        <w:tc>
          <w:tcPr>
            <w:tcW w:w="5330" w:type="dxa"/>
            <w:tcBorders>
              <w:top w:val="nil"/>
              <w:left w:val="nil"/>
              <w:bottom w:val="single" w:sz="4" w:space="0" w:color="A6A6A6" w:themeColor="background1" w:themeShade="A6"/>
              <w:right w:val="nil"/>
            </w:tcBorders>
            <w:noWrap/>
            <w:hideMark/>
          </w:tcPr>
          <w:p w14:paraId="73197F96" w14:textId="77777777" w:rsidR="007179EA" w:rsidRPr="006E4BDD" w:rsidRDefault="007179EA" w:rsidP="005B24AB">
            <w:pPr>
              <w:pStyle w:val="TableText"/>
              <w:rPr>
                <w:b/>
              </w:rPr>
            </w:pPr>
            <w:r w:rsidRPr="006E4BDD">
              <w:t>Research and evaluation</w:t>
            </w:r>
          </w:p>
        </w:tc>
        <w:tc>
          <w:tcPr>
            <w:tcW w:w="1375" w:type="dxa"/>
            <w:tcBorders>
              <w:top w:val="nil"/>
              <w:left w:val="nil"/>
              <w:bottom w:val="single" w:sz="4" w:space="0" w:color="A6A6A6" w:themeColor="background1" w:themeShade="A6"/>
              <w:right w:val="nil"/>
            </w:tcBorders>
            <w:noWrap/>
          </w:tcPr>
          <w:p w14:paraId="3440906F" w14:textId="77777777" w:rsidR="007179EA" w:rsidRPr="006E4BDD" w:rsidRDefault="007179EA" w:rsidP="00030C79">
            <w:pPr>
              <w:pStyle w:val="TableText"/>
              <w:jc w:val="center"/>
              <w:rPr>
                <w:rFonts w:eastAsia="Arial Unicode MS"/>
                <w:b/>
                <w:lang w:eastAsia="en-NZ"/>
              </w:rPr>
            </w:pPr>
            <w:r w:rsidRPr="006E4BDD">
              <w:t>-0.971</w:t>
            </w:r>
          </w:p>
        </w:tc>
        <w:tc>
          <w:tcPr>
            <w:tcW w:w="1375" w:type="dxa"/>
            <w:tcBorders>
              <w:top w:val="nil"/>
              <w:left w:val="nil"/>
              <w:bottom w:val="single" w:sz="4" w:space="0" w:color="A6A6A6" w:themeColor="background1" w:themeShade="A6"/>
              <w:right w:val="nil"/>
            </w:tcBorders>
            <w:noWrap/>
          </w:tcPr>
          <w:p w14:paraId="2BF1BE61" w14:textId="77777777" w:rsidR="007179EA" w:rsidRPr="006E4BDD" w:rsidRDefault="007179EA" w:rsidP="00030C79">
            <w:pPr>
              <w:pStyle w:val="TableText"/>
              <w:tabs>
                <w:tab w:val="decimal" w:pos="609"/>
              </w:tabs>
              <w:rPr>
                <w:rFonts w:eastAsia="Arial Unicode MS"/>
                <w:b/>
                <w:lang w:eastAsia="en-NZ"/>
              </w:rPr>
            </w:pPr>
            <w:r w:rsidRPr="006E4BDD">
              <w:t>-0.971</w:t>
            </w:r>
          </w:p>
        </w:tc>
      </w:tr>
      <w:tr w:rsidR="007179EA" w:rsidRPr="00CC0844" w14:paraId="717722FE" w14:textId="77777777" w:rsidTr="00030C79">
        <w:trPr>
          <w:cantSplit/>
        </w:trPr>
        <w:tc>
          <w:tcPr>
            <w:tcW w:w="533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noWrap/>
          </w:tcPr>
          <w:p w14:paraId="3D22BFF8" w14:textId="77777777" w:rsidR="007179EA" w:rsidRPr="006E4BDD" w:rsidRDefault="007179EA" w:rsidP="005B24AB">
            <w:pPr>
              <w:pStyle w:val="TableText"/>
              <w:rPr>
                <w:b/>
                <w:bCs/>
              </w:rPr>
            </w:pPr>
            <w:r w:rsidRPr="006E4BDD">
              <w:rPr>
                <w:b/>
                <w:bCs/>
              </w:rPr>
              <w:t>Total change</w:t>
            </w:r>
          </w:p>
        </w:tc>
        <w:tc>
          <w:tcPr>
            <w:tcW w:w="1375"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noWrap/>
          </w:tcPr>
          <w:p w14:paraId="792B632F" w14:textId="77777777" w:rsidR="007179EA" w:rsidRPr="006E4BDD" w:rsidRDefault="007179EA" w:rsidP="00030C79">
            <w:pPr>
              <w:pStyle w:val="TableText"/>
              <w:jc w:val="center"/>
              <w:rPr>
                <w:rFonts w:eastAsia="Arial Unicode MS"/>
                <w:b/>
                <w:lang w:eastAsia="en-NZ"/>
              </w:rPr>
            </w:pPr>
          </w:p>
        </w:tc>
        <w:tc>
          <w:tcPr>
            <w:tcW w:w="1375"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noWrap/>
          </w:tcPr>
          <w:p w14:paraId="1088F6F7" w14:textId="77777777" w:rsidR="007179EA" w:rsidRPr="006E4BDD" w:rsidRDefault="007179EA" w:rsidP="00030C79">
            <w:pPr>
              <w:pStyle w:val="TableText"/>
              <w:tabs>
                <w:tab w:val="decimal" w:pos="609"/>
              </w:tabs>
              <w:rPr>
                <w:rFonts w:eastAsia="Arial Unicode MS"/>
                <w:b/>
                <w:lang w:eastAsia="en-NZ"/>
              </w:rPr>
            </w:pPr>
            <w:r w:rsidRPr="006E4BDD">
              <w:t>+1</w:t>
            </w:r>
            <w:r>
              <w:t>5.784</w:t>
            </w:r>
          </w:p>
        </w:tc>
      </w:tr>
    </w:tbl>
    <w:p w14:paraId="02864C22" w14:textId="77777777" w:rsidR="007179EA" w:rsidRDefault="007179EA" w:rsidP="00030C79"/>
    <w:p w14:paraId="75237084" w14:textId="77777777" w:rsidR="00BC6B27" w:rsidRDefault="007179EA" w:rsidP="00030C79">
      <w:bookmarkStart w:id="172" w:name="_Toc78882289"/>
      <w:bookmarkStart w:id="173" w:name="_Hlk89379365"/>
      <w:r>
        <w:t>The Ministry has considered the submissions and where appropriate has revised proposals and funds allocated to position services so they will have the greatest impact on preventing and minimise gambling harm.</w:t>
      </w:r>
      <w:bookmarkEnd w:id="172"/>
    </w:p>
    <w:p w14:paraId="6BA072B0" w14:textId="77777777" w:rsidR="00030C79" w:rsidRDefault="00030C79" w:rsidP="00030C79"/>
    <w:p w14:paraId="055CA8BA" w14:textId="77777777" w:rsidR="00BC6B27" w:rsidRDefault="007179EA" w:rsidP="00030C79">
      <w:r>
        <w:t>The key areas of additional investment compared with the current strategy are listed below, showing the three-year total funding allocated to each of these:</w:t>
      </w:r>
    </w:p>
    <w:p w14:paraId="4EC19281" w14:textId="77777777" w:rsidR="007179EA" w:rsidRPr="00BC6B27" w:rsidRDefault="007179EA" w:rsidP="00030C79">
      <w:pPr>
        <w:pStyle w:val="Bullet"/>
      </w:pPr>
      <w:r w:rsidRPr="00BC6B27">
        <w:t>strengthen public health and education services, including addressing stigma and for young people/rangatahi ($0.650</w:t>
      </w:r>
      <w:r w:rsidR="00046A83">
        <w:t> million</w:t>
      </w:r>
      <w:r w:rsidRPr="00BC6B27">
        <w:t>)</w:t>
      </w:r>
    </w:p>
    <w:p w14:paraId="731E3BC6" w14:textId="77777777" w:rsidR="007179EA" w:rsidRPr="00BC6B27" w:rsidRDefault="007179EA" w:rsidP="00030C79">
      <w:pPr>
        <w:pStyle w:val="Bullet"/>
      </w:pPr>
      <w:r w:rsidRPr="00BC6B27">
        <w:t xml:space="preserve">dedicated funding for the </w:t>
      </w:r>
      <w:r w:rsidR="00030C79">
        <w:t>m</w:t>
      </w:r>
      <w:r w:rsidRPr="00BC6B27">
        <w:t>ulti-venue exclusion administration service and database ($0.800</w:t>
      </w:r>
      <w:r w:rsidR="00046A83">
        <w:t> million</w:t>
      </w:r>
      <w:r w:rsidRPr="00BC6B27">
        <w:t>)</w:t>
      </w:r>
    </w:p>
    <w:p w14:paraId="69E7FDC2" w14:textId="77777777" w:rsidR="007179EA" w:rsidRPr="00BC6B27" w:rsidRDefault="007179EA" w:rsidP="00030C79">
      <w:pPr>
        <w:pStyle w:val="Bullet"/>
      </w:pPr>
      <w:r w:rsidRPr="00BC6B27">
        <w:t>building workforce capability and capacity through scholarships ($0.489</w:t>
      </w:r>
      <w:r w:rsidR="00046A83">
        <w:t> million</w:t>
      </w:r>
      <w:r w:rsidRPr="00BC6B27">
        <w:t>), Level</w:t>
      </w:r>
      <w:r w:rsidR="00030C79">
        <w:t> </w:t>
      </w:r>
      <w:r w:rsidRPr="00BC6B27">
        <w:t>7 paper on gambling harm ($0.200</w:t>
      </w:r>
      <w:r w:rsidR="00046A83">
        <w:t> million</w:t>
      </w:r>
      <w:r w:rsidRPr="00BC6B27">
        <w:t>).</w:t>
      </w:r>
    </w:p>
    <w:p w14:paraId="03FEEBCC" w14:textId="77777777" w:rsidR="007179EA" w:rsidRPr="00BC6B27" w:rsidRDefault="007179EA" w:rsidP="00030C79">
      <w:pPr>
        <w:pStyle w:val="Bullet"/>
      </w:pPr>
      <w:r w:rsidRPr="00BC6B27">
        <w:t>increase the FTE rate for gambling harm clinical intervention and support services to align with other Ministry-funded mental health and addiction clinical FTE rates ($6.796</w:t>
      </w:r>
      <w:r w:rsidR="00046A83">
        <w:t> million</w:t>
      </w:r>
      <w:r w:rsidRPr="00BC6B27">
        <w:t xml:space="preserve"> increase on current strategy budget)</w:t>
      </w:r>
    </w:p>
    <w:p w14:paraId="65A8AF4C" w14:textId="77777777" w:rsidR="007179EA" w:rsidRPr="00BC6B27" w:rsidRDefault="007179EA" w:rsidP="00030C79">
      <w:pPr>
        <w:pStyle w:val="Bullet"/>
      </w:pPr>
      <w:r w:rsidRPr="00BC6B27">
        <w:t>invest in digital/online services and supports $2.500</w:t>
      </w:r>
      <w:r w:rsidR="00046A83">
        <w:t> million</w:t>
      </w:r>
      <w:r w:rsidRPr="00BC6B27">
        <w:t xml:space="preserve"> (included in the clinical services helpline and web support three-year total of $5.800</w:t>
      </w:r>
      <w:r w:rsidR="00046A83">
        <w:t> million</w:t>
      </w:r>
      <w:r w:rsidRPr="00BC6B27">
        <w:t>)</w:t>
      </w:r>
    </w:p>
    <w:p w14:paraId="1359EDAC" w14:textId="77777777" w:rsidR="007179EA" w:rsidRPr="00BC6B27" w:rsidRDefault="007179EA" w:rsidP="00030C79">
      <w:pPr>
        <w:pStyle w:val="Bullet"/>
      </w:pPr>
      <w:r w:rsidRPr="00BC6B27">
        <w:t>address the stigma and discrimination experienced by people who experience gambling harm ($3.000</w:t>
      </w:r>
      <w:r w:rsidR="00046A83">
        <w:t> million</w:t>
      </w:r>
      <w:r w:rsidRPr="00BC6B27">
        <w:t>)</w:t>
      </w:r>
    </w:p>
    <w:p w14:paraId="7BFFAB02" w14:textId="77777777" w:rsidR="00BC6B27" w:rsidRPr="00BC6B27" w:rsidRDefault="007179EA" w:rsidP="00030C79">
      <w:pPr>
        <w:pStyle w:val="Bullet"/>
      </w:pPr>
      <w:r w:rsidRPr="00BC6B27">
        <w:t xml:space="preserve">increase </w:t>
      </w:r>
      <w:r w:rsidR="00030C79">
        <w:t>M</w:t>
      </w:r>
      <w:r w:rsidRPr="00BC6B27">
        <w:t xml:space="preserve">inistry operating costs to </w:t>
      </w:r>
      <w:r w:rsidRPr="00BC6B27">
        <w:rPr>
          <w:sz w:val="20"/>
        </w:rPr>
        <w:t>deliver an expanded work programme</w:t>
      </w:r>
      <w:r w:rsidRPr="00BC6B27">
        <w:t xml:space="preserve"> ($3.741</w:t>
      </w:r>
      <w:r w:rsidR="00046A83">
        <w:t> million</w:t>
      </w:r>
      <w:r w:rsidRPr="00BC6B27">
        <w:t>)</w:t>
      </w:r>
      <w:r w:rsidR="00030C79">
        <w:t>.</w:t>
      </w:r>
    </w:p>
    <w:p w14:paraId="1A506F87" w14:textId="77777777" w:rsidR="007179EA" w:rsidRDefault="007179EA" w:rsidP="00030C79"/>
    <w:p w14:paraId="1AD35501" w14:textId="77777777" w:rsidR="00030C79" w:rsidRDefault="007179EA" w:rsidP="00030C79">
      <w:r w:rsidRPr="00CB4F28">
        <w:t>The rationale for each item listed is discussed in the relevant section of the service plan</w:t>
      </w:r>
      <w:r>
        <w:t>.</w:t>
      </w:r>
    </w:p>
    <w:p w14:paraId="3870BB5D" w14:textId="77777777" w:rsidR="00030C79" w:rsidRDefault="00030C79" w:rsidP="00030C79"/>
    <w:p w14:paraId="57D0BADF" w14:textId="77777777" w:rsidR="007179EA" w:rsidRDefault="007179EA" w:rsidP="00030C79">
      <w:pPr>
        <w:pStyle w:val="Heading2"/>
      </w:pPr>
      <w:bookmarkStart w:id="174" w:name="_Toc78882290"/>
      <w:bookmarkStart w:id="175" w:name="_Toc80965853"/>
      <w:bookmarkStart w:id="176" w:name="_Toc89684399"/>
      <w:bookmarkStart w:id="177" w:name="_Toc90885055"/>
      <w:bookmarkEnd w:id="173"/>
      <w:r w:rsidRPr="001F7253">
        <w:lastRenderedPageBreak/>
        <w:t xml:space="preserve">Public </w:t>
      </w:r>
      <w:r>
        <w:t>h</w:t>
      </w:r>
      <w:r w:rsidRPr="001F7253">
        <w:t>ealth services</w:t>
      </w:r>
      <w:bookmarkEnd w:id="174"/>
      <w:bookmarkEnd w:id="175"/>
      <w:bookmarkEnd w:id="176"/>
      <w:bookmarkEnd w:id="177"/>
    </w:p>
    <w:p w14:paraId="7D9DDFEA" w14:textId="77777777" w:rsidR="00BC6B27" w:rsidRDefault="007179EA" w:rsidP="00030C79">
      <w:r>
        <w:t>Internationally, Aotearoa New Zealand</w:t>
      </w:r>
      <w:r w:rsidR="00BC6B27">
        <w:t>’</w:t>
      </w:r>
      <w:r>
        <w:t>s public health approach to preventing and minimising gambling harm is seen as a strength of our integrated strategy.</w:t>
      </w:r>
    </w:p>
    <w:p w14:paraId="2CA40B38" w14:textId="77777777" w:rsidR="007179EA" w:rsidRDefault="007179EA" w:rsidP="00030C79"/>
    <w:p w14:paraId="2C4F3CE2" w14:textId="77777777" w:rsidR="007179EA" w:rsidRDefault="007179EA" w:rsidP="00030C79">
      <w:r>
        <w:t>Public health services are focused on enabling people to be healthy and improving the health of populations. These services cover health promotion; engaging with local community groups; including iwi; increasing community action; raising community awareness about gambling and gambling harm; working with territorial authorities on their gambling venue policies; and supporting the public health awareness and education programmes at a local and regional level.</w:t>
      </w:r>
    </w:p>
    <w:p w14:paraId="76DF8643" w14:textId="77777777" w:rsidR="007179EA" w:rsidRDefault="007179EA" w:rsidP="00030C79"/>
    <w:p w14:paraId="782EA236" w14:textId="77777777" w:rsidR="007179EA" w:rsidRDefault="007179EA" w:rsidP="00030C79">
      <w:r>
        <w:t xml:space="preserve">Submissions broadly agreed on the </w:t>
      </w:r>
      <w:r w:rsidRPr="00213027">
        <w:t xml:space="preserve">importance of </w:t>
      </w:r>
      <w:r>
        <w:t xml:space="preserve">health promotion, </w:t>
      </w:r>
      <w:r w:rsidRPr="00213027">
        <w:t>prevention and early intervention</w:t>
      </w:r>
      <w:r>
        <w:t xml:space="preserve">, but submissions from service providers, lived experience and priority populations expressed concerns that a </w:t>
      </w:r>
      <w:r w:rsidRPr="00213027">
        <w:t>one-size-fits all approach to health promotion</w:t>
      </w:r>
      <w:r>
        <w:t xml:space="preserve"> did not meet the needs of priority populations and called for greater involvement in service development.</w:t>
      </w:r>
    </w:p>
    <w:p w14:paraId="3011E4C9" w14:textId="77777777" w:rsidR="007179EA" w:rsidRDefault="007179EA" w:rsidP="00030C79"/>
    <w:p w14:paraId="3982AD8A" w14:textId="72F4AF05" w:rsidR="007179EA" w:rsidRDefault="007179EA" w:rsidP="00030C79">
      <w:r>
        <w:t xml:space="preserve">We intend to direct this to the actions as shown in </w:t>
      </w:r>
      <w:r>
        <w:fldChar w:fldCharType="begin"/>
      </w:r>
      <w:r>
        <w:instrText xml:space="preserve"> REF _Ref80792735 \h </w:instrText>
      </w:r>
      <w:r>
        <w:fldChar w:fldCharType="separate"/>
      </w:r>
      <w:r w:rsidR="00451900">
        <w:t>Table </w:t>
      </w:r>
      <w:r w:rsidR="00451900">
        <w:rPr>
          <w:noProof/>
        </w:rPr>
        <w:t>5</w:t>
      </w:r>
      <w:r>
        <w:fldChar w:fldCharType="end"/>
      </w:r>
      <w:r>
        <w:t xml:space="preserve"> below.</w:t>
      </w:r>
    </w:p>
    <w:p w14:paraId="65485BA6" w14:textId="77777777" w:rsidR="007179EA" w:rsidRDefault="007179EA" w:rsidP="00030C79"/>
    <w:p w14:paraId="23F0EB50" w14:textId="3793B0EE" w:rsidR="007179EA" w:rsidRDefault="00030C79" w:rsidP="00030C79">
      <w:pPr>
        <w:pStyle w:val="Table"/>
        <w:keepNext w:val="0"/>
        <w:pageBreakBefore/>
        <w:spacing w:before="0"/>
      </w:pPr>
      <w:bookmarkStart w:id="178" w:name="_Ref80792735"/>
      <w:bookmarkStart w:id="179" w:name="_Toc89335321"/>
      <w:bookmarkStart w:id="180" w:name="_Toc90626955"/>
      <w:r>
        <w:lastRenderedPageBreak/>
        <w:t>Table </w:t>
      </w:r>
      <w:fldSimple w:instr=" SEQ Table \* ARABIC ">
        <w:r w:rsidR="00451900">
          <w:rPr>
            <w:noProof/>
          </w:rPr>
          <w:t>5</w:t>
        </w:r>
      </w:fldSimple>
      <w:bookmarkEnd w:id="178"/>
      <w:r w:rsidR="007179EA" w:rsidRPr="00987112">
        <w:t xml:space="preserve">: </w:t>
      </w:r>
      <w:r w:rsidR="007179EA">
        <w:t>S</w:t>
      </w:r>
      <w:r w:rsidR="007179EA" w:rsidRPr="00987112">
        <w:t>ummary of public health key actions</w:t>
      </w:r>
      <w:bookmarkEnd w:id="179"/>
      <w:bookmarkEnd w:id="18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5953"/>
      </w:tblGrid>
      <w:tr w:rsidR="007179EA" w:rsidRPr="00E844E9" w14:paraId="0C73EDDD" w14:textId="77777777" w:rsidTr="005B24AB">
        <w:trPr>
          <w:cantSplit/>
          <w:tblHeader/>
        </w:trPr>
        <w:tc>
          <w:tcPr>
            <w:tcW w:w="2127" w:type="dxa"/>
            <w:tcBorders>
              <w:top w:val="nil"/>
              <w:bottom w:val="nil"/>
            </w:tcBorders>
            <w:shd w:val="clear" w:color="auto" w:fill="D9D9D9" w:themeFill="background1" w:themeFillShade="D9"/>
          </w:tcPr>
          <w:p w14:paraId="6C802723" w14:textId="77777777" w:rsidR="007179EA" w:rsidRPr="00E844E9" w:rsidRDefault="007179EA" w:rsidP="005B24AB">
            <w:pPr>
              <w:pStyle w:val="TableText"/>
              <w:ind w:right="113"/>
              <w:rPr>
                <w:b/>
                <w:lang w:eastAsia="en-NZ"/>
              </w:rPr>
            </w:pPr>
            <w:r w:rsidRPr="00E844E9">
              <w:rPr>
                <w:b/>
                <w:lang w:eastAsia="en-NZ"/>
              </w:rPr>
              <w:t>Investment area</w:t>
            </w:r>
          </w:p>
        </w:tc>
        <w:tc>
          <w:tcPr>
            <w:tcW w:w="5953" w:type="dxa"/>
            <w:tcBorders>
              <w:top w:val="nil"/>
              <w:bottom w:val="nil"/>
            </w:tcBorders>
            <w:shd w:val="clear" w:color="auto" w:fill="D9D9D9" w:themeFill="background1" w:themeFillShade="D9"/>
          </w:tcPr>
          <w:p w14:paraId="0B6A6A12" w14:textId="77777777" w:rsidR="007179EA" w:rsidRPr="00E844E9" w:rsidRDefault="007179EA" w:rsidP="005B24AB">
            <w:pPr>
              <w:pStyle w:val="TableText"/>
              <w:rPr>
                <w:b/>
                <w:lang w:eastAsia="en-NZ"/>
              </w:rPr>
            </w:pPr>
            <w:r w:rsidRPr="00E844E9">
              <w:rPr>
                <w:b/>
                <w:lang w:eastAsia="en-NZ"/>
              </w:rPr>
              <w:t>Actions</w:t>
            </w:r>
          </w:p>
        </w:tc>
      </w:tr>
      <w:tr w:rsidR="007179EA" w14:paraId="269B5078" w14:textId="77777777" w:rsidTr="005B24AB">
        <w:trPr>
          <w:cantSplit/>
        </w:trPr>
        <w:tc>
          <w:tcPr>
            <w:tcW w:w="2127" w:type="dxa"/>
            <w:tcBorders>
              <w:top w:val="nil"/>
            </w:tcBorders>
          </w:tcPr>
          <w:p w14:paraId="5678E909" w14:textId="77777777" w:rsidR="007179EA" w:rsidRPr="0073440D" w:rsidRDefault="007179EA" w:rsidP="005B24AB">
            <w:pPr>
              <w:pStyle w:val="TableText"/>
              <w:ind w:right="113"/>
            </w:pPr>
            <w:r w:rsidRPr="00BA2DF6">
              <w:t>Develop quality gambling harm minimisation services and supports</w:t>
            </w:r>
          </w:p>
        </w:tc>
        <w:tc>
          <w:tcPr>
            <w:tcW w:w="5953" w:type="dxa"/>
            <w:tcBorders>
              <w:top w:val="nil"/>
            </w:tcBorders>
          </w:tcPr>
          <w:p w14:paraId="7790EF7C" w14:textId="77777777" w:rsidR="007179EA" w:rsidRPr="0073440D" w:rsidRDefault="007179EA" w:rsidP="007179EA">
            <w:pPr>
              <w:pStyle w:val="TableBullet"/>
              <w:spacing w:before="60"/>
            </w:pPr>
            <w:r w:rsidRPr="0073440D">
              <w:t>Continuing investment in primary prevention (</w:t>
            </w:r>
            <w:r w:rsidRPr="0073440D">
              <w:rPr>
                <w:b/>
                <w:bCs/>
              </w:rPr>
              <w:t>public health services</w:t>
            </w:r>
            <w:r w:rsidRPr="0073440D">
              <w:t>) to empower people and communities to take control of their health and wellbeing to reduce gambling-related harm</w:t>
            </w:r>
          </w:p>
          <w:p w14:paraId="0E40537F" w14:textId="77777777" w:rsidR="007179EA" w:rsidRPr="0073440D" w:rsidRDefault="007179EA" w:rsidP="007179EA">
            <w:pPr>
              <w:pStyle w:val="TableBullet"/>
              <w:spacing w:before="60"/>
            </w:pPr>
            <w:r w:rsidRPr="0073440D">
              <w:t>Invest in digital services and support</w:t>
            </w:r>
          </w:p>
          <w:p w14:paraId="54CFF4E5" w14:textId="77777777" w:rsidR="00BC6B27" w:rsidRDefault="007179EA" w:rsidP="007179EA">
            <w:pPr>
              <w:pStyle w:val="TableBullet"/>
              <w:spacing w:before="60"/>
            </w:pPr>
            <w:r w:rsidRPr="0073440D">
              <w:t>FTE rates for workers in gambling harm public health services will be standardised across service providers</w:t>
            </w:r>
            <w:r w:rsidRPr="00BA2DF6">
              <w:t>).</w:t>
            </w:r>
          </w:p>
          <w:p w14:paraId="48F2D327" w14:textId="77777777" w:rsidR="007179EA" w:rsidRPr="0073440D" w:rsidRDefault="007179EA" w:rsidP="007179EA">
            <w:pPr>
              <w:pStyle w:val="TableBullet"/>
              <w:spacing w:before="60"/>
            </w:pPr>
            <w:r w:rsidRPr="00BA2DF6">
              <w:t>E</w:t>
            </w:r>
            <w:r w:rsidRPr="0073440D">
              <w:t xml:space="preserve">nabling and embedding </w:t>
            </w:r>
            <w:r w:rsidRPr="0073440D">
              <w:rPr>
                <w:b/>
                <w:bCs/>
              </w:rPr>
              <w:t>lived experience</w:t>
            </w:r>
            <w:r w:rsidRPr="0073440D">
              <w:t xml:space="preserve"> representation and input through the Gambling Harm Lived Experience Advisory Group.</w:t>
            </w:r>
          </w:p>
        </w:tc>
      </w:tr>
      <w:tr w:rsidR="007179EA" w14:paraId="0397DF45" w14:textId="77777777" w:rsidTr="005B24AB">
        <w:trPr>
          <w:cantSplit/>
        </w:trPr>
        <w:tc>
          <w:tcPr>
            <w:tcW w:w="2127" w:type="dxa"/>
          </w:tcPr>
          <w:p w14:paraId="2F6AC225" w14:textId="77777777" w:rsidR="007179EA" w:rsidRPr="0003777A" w:rsidRDefault="007179EA" w:rsidP="005B24AB">
            <w:pPr>
              <w:pStyle w:val="TableText"/>
              <w:ind w:right="113"/>
            </w:pPr>
            <w:r w:rsidRPr="0003777A">
              <w:t>Develop a skilled, enabled and culturally responsive workforce</w:t>
            </w:r>
          </w:p>
        </w:tc>
        <w:tc>
          <w:tcPr>
            <w:tcW w:w="5953" w:type="dxa"/>
          </w:tcPr>
          <w:p w14:paraId="2DA6C1E9" w14:textId="77777777" w:rsidR="007179EA" w:rsidRPr="00E844E9" w:rsidRDefault="007179EA" w:rsidP="007179EA">
            <w:pPr>
              <w:pStyle w:val="TableBullet"/>
              <w:spacing w:before="60"/>
              <w:rPr>
                <w:spacing w:val="-2"/>
              </w:rPr>
            </w:pPr>
            <w:r w:rsidRPr="00E844E9">
              <w:rPr>
                <w:spacing w:val="-2"/>
              </w:rPr>
              <w:t xml:space="preserve">Continuing investment in </w:t>
            </w:r>
            <w:r w:rsidRPr="00344239">
              <w:rPr>
                <w:b/>
                <w:bCs/>
                <w:spacing w:val="-2"/>
              </w:rPr>
              <w:t>primary prevention</w:t>
            </w:r>
            <w:r w:rsidRPr="00E844E9">
              <w:rPr>
                <w:spacing w:val="-2"/>
              </w:rPr>
              <w:t xml:space="preserve"> (public health services) to empower people and communities to take control of their health and wellbeing to reduce gambling-related harm (includes standardising FTE rates for workers in gambling public health services).</w:t>
            </w:r>
          </w:p>
          <w:p w14:paraId="7169D185" w14:textId="77777777" w:rsidR="007179EA" w:rsidRPr="0003777A" w:rsidRDefault="007179EA" w:rsidP="007179EA">
            <w:pPr>
              <w:pStyle w:val="TableBullet"/>
              <w:spacing w:before="60"/>
            </w:pPr>
            <w:r>
              <w:t>E</w:t>
            </w:r>
            <w:r w:rsidRPr="0003777A">
              <w:t>nabling and embedding lived experience representation and input through the Gambling Harm L</w:t>
            </w:r>
            <w:r>
              <w:t>ived Experience Advisory Group.</w:t>
            </w:r>
          </w:p>
        </w:tc>
      </w:tr>
      <w:tr w:rsidR="007179EA" w14:paraId="227769EF" w14:textId="77777777" w:rsidTr="005B24AB">
        <w:trPr>
          <w:cantSplit/>
        </w:trPr>
        <w:tc>
          <w:tcPr>
            <w:tcW w:w="2127" w:type="dxa"/>
          </w:tcPr>
          <w:p w14:paraId="745D0898" w14:textId="77777777" w:rsidR="007179EA" w:rsidRPr="0003777A" w:rsidRDefault="007179EA" w:rsidP="005B24AB">
            <w:pPr>
              <w:pStyle w:val="TableText"/>
              <w:ind w:right="113"/>
            </w:pPr>
            <w:r>
              <w:t>Ensure that p</w:t>
            </w:r>
            <w:r w:rsidRPr="0003777A">
              <w:t xml:space="preserve">eople have the information and support to make healthy choices </w:t>
            </w:r>
            <w:r>
              <w:t>about</w:t>
            </w:r>
            <w:r w:rsidRPr="0003777A">
              <w:t xml:space="preserve"> gambling for </w:t>
            </w:r>
            <w:r>
              <w:t xml:space="preserve">both </w:t>
            </w:r>
            <w:r w:rsidRPr="0003777A">
              <w:t>themselves and others</w:t>
            </w:r>
          </w:p>
        </w:tc>
        <w:tc>
          <w:tcPr>
            <w:tcW w:w="5953" w:type="dxa"/>
          </w:tcPr>
          <w:p w14:paraId="301FA7B4" w14:textId="77777777" w:rsidR="00BC6B27" w:rsidRPr="00030C79" w:rsidRDefault="007179EA" w:rsidP="007179EA">
            <w:pPr>
              <w:pStyle w:val="TableBullet"/>
              <w:spacing w:before="60"/>
            </w:pPr>
            <w:r w:rsidRPr="00987112">
              <w:t>Continuing to invest in a health promotion programme to raise awareness and educate people about the signs and risks of harmful gambling and how they can respond and seek help.</w:t>
            </w:r>
          </w:p>
          <w:p w14:paraId="4971813A" w14:textId="77777777" w:rsidR="007179EA" w:rsidRPr="00987112" w:rsidRDefault="007179EA" w:rsidP="00030C79">
            <w:pPr>
              <w:pStyle w:val="TableBullet"/>
              <w:spacing w:before="60"/>
            </w:pPr>
            <w:r w:rsidRPr="00987112">
              <w:t>Develop and promote gambling harm material for young people/rangatahi</w:t>
            </w:r>
            <w:r w:rsidR="00030C79">
              <w:t>.</w:t>
            </w:r>
          </w:p>
        </w:tc>
      </w:tr>
      <w:tr w:rsidR="007179EA" w14:paraId="35C7C0A0" w14:textId="77777777" w:rsidTr="005B24AB">
        <w:trPr>
          <w:cantSplit/>
        </w:trPr>
        <w:tc>
          <w:tcPr>
            <w:tcW w:w="2127" w:type="dxa"/>
          </w:tcPr>
          <w:p w14:paraId="5A27C3D3" w14:textId="77777777" w:rsidR="007179EA" w:rsidRPr="0003777A" w:rsidRDefault="007179EA" w:rsidP="005B24AB">
            <w:pPr>
              <w:pStyle w:val="TableText"/>
              <w:ind w:right="113"/>
            </w:pPr>
            <w:r w:rsidRPr="0003777A">
              <w:t xml:space="preserve">Reduce the stigma attached to gambling harm that prevents </w:t>
            </w:r>
            <w:r>
              <w:t xml:space="preserve">people from </w:t>
            </w:r>
            <w:r w:rsidRPr="0003777A">
              <w:t>accessing services and support</w:t>
            </w:r>
          </w:p>
        </w:tc>
        <w:tc>
          <w:tcPr>
            <w:tcW w:w="5953" w:type="dxa"/>
          </w:tcPr>
          <w:p w14:paraId="429052DD" w14:textId="77777777" w:rsidR="007179EA" w:rsidRPr="00987112" w:rsidRDefault="007179EA" w:rsidP="007179EA">
            <w:pPr>
              <w:pStyle w:val="TableBullet"/>
              <w:spacing w:before="60"/>
              <w:rPr>
                <w:lang w:eastAsia="en-NZ"/>
              </w:rPr>
            </w:pPr>
            <w:r w:rsidRPr="00987112">
              <w:t>Investing in a de-stigmatisation initiative focused on priority populations to reduce the stigma attached to gambling harm and encourage people to access services and supports.</w:t>
            </w:r>
          </w:p>
        </w:tc>
      </w:tr>
      <w:tr w:rsidR="007179EA" w14:paraId="439CF280" w14:textId="77777777" w:rsidTr="005B24AB">
        <w:trPr>
          <w:cantSplit/>
        </w:trPr>
        <w:tc>
          <w:tcPr>
            <w:tcW w:w="2127" w:type="dxa"/>
          </w:tcPr>
          <w:p w14:paraId="4B3599E2" w14:textId="77777777" w:rsidR="007179EA" w:rsidRPr="0003777A" w:rsidRDefault="007179EA" w:rsidP="005B24AB">
            <w:pPr>
              <w:pStyle w:val="TableText"/>
              <w:ind w:right="113"/>
            </w:pPr>
            <w:r w:rsidRPr="0003777A">
              <w:t>Support healthy polic</w:t>
            </w:r>
            <w:r>
              <w:t>ies</w:t>
            </w:r>
            <w:r w:rsidRPr="0003777A">
              <w:t xml:space="preserve"> at national, regional and local levels that prevent and minimise gambling harm</w:t>
            </w:r>
          </w:p>
        </w:tc>
        <w:tc>
          <w:tcPr>
            <w:tcW w:w="5953" w:type="dxa"/>
          </w:tcPr>
          <w:p w14:paraId="625D522F" w14:textId="77777777" w:rsidR="007179EA" w:rsidRPr="00987112" w:rsidRDefault="007179EA" w:rsidP="007179EA">
            <w:pPr>
              <w:pStyle w:val="TableBullet"/>
              <w:spacing w:before="60"/>
            </w:pPr>
            <w:r w:rsidRPr="00987112">
              <w:t>Enabling collaboration and leadership across the gambling sector by continuing investment in the National Coordination Service and international gambling conference and think tank.</w:t>
            </w:r>
          </w:p>
          <w:p w14:paraId="3126C22C" w14:textId="77777777" w:rsidR="007179EA" w:rsidRPr="00987112" w:rsidRDefault="007179EA" w:rsidP="007179EA">
            <w:pPr>
              <w:pStyle w:val="TableBullet"/>
              <w:spacing w:before="60"/>
            </w:pPr>
            <w:r w:rsidRPr="00987112">
              <w:t>Continuing to fund the MVE database and administration service to support people who have opted to avoid gambling venues.</w:t>
            </w:r>
          </w:p>
          <w:p w14:paraId="36F3D772" w14:textId="77777777" w:rsidR="007179EA" w:rsidRPr="00987112" w:rsidRDefault="007179EA" w:rsidP="007179EA">
            <w:pPr>
              <w:pStyle w:val="TableBullet"/>
              <w:spacing w:before="60"/>
              <w:rPr>
                <w:lang w:eastAsia="en-NZ"/>
              </w:rPr>
            </w:pPr>
            <w:r w:rsidRPr="00987112">
              <w:t>Enabling and embedding lived experience representation and input through the Gambling Harm Lived Experience Advisory Group.</w:t>
            </w:r>
          </w:p>
        </w:tc>
      </w:tr>
    </w:tbl>
    <w:p w14:paraId="770FFA47" w14:textId="77777777" w:rsidR="007179EA" w:rsidRDefault="007179EA" w:rsidP="00030C79">
      <w:bookmarkStart w:id="181" w:name="_Toc56522599"/>
      <w:bookmarkStart w:id="182" w:name="_Toc59414783"/>
    </w:p>
    <w:p w14:paraId="3B017792" w14:textId="2F955A47" w:rsidR="007179EA" w:rsidRDefault="00030C79" w:rsidP="00030C79">
      <w:pPr>
        <w:pStyle w:val="Table"/>
        <w:keepNext w:val="0"/>
        <w:pageBreakBefore/>
        <w:spacing w:before="0"/>
      </w:pPr>
      <w:bookmarkStart w:id="183" w:name="_Ref80793260"/>
      <w:bookmarkStart w:id="184" w:name="_Toc89335322"/>
      <w:bookmarkStart w:id="185" w:name="_Toc90626956"/>
      <w:r>
        <w:lastRenderedPageBreak/>
        <w:t>Table </w:t>
      </w:r>
      <w:fldSimple w:instr=" SEQ Table \* ARABIC ">
        <w:r w:rsidR="00451900">
          <w:rPr>
            <w:noProof/>
          </w:rPr>
          <w:t>6</w:t>
        </w:r>
      </w:fldSimple>
      <w:bookmarkEnd w:id="183"/>
      <w:r w:rsidR="007179EA">
        <w:t xml:space="preserve">: Public health </w:t>
      </w:r>
      <w:r w:rsidR="007179EA" w:rsidRPr="00030FAB">
        <w:t>budget</w:t>
      </w:r>
      <w:r w:rsidR="007179EA">
        <w:t xml:space="preserve"> (GST exclusive), by service area, 2022/23 to 2024/25</w:t>
      </w:r>
      <w:bookmarkEnd w:id="184"/>
      <w:bookmarkEnd w:id="18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253"/>
        <w:gridCol w:w="956"/>
        <w:gridCol w:w="957"/>
        <w:gridCol w:w="957"/>
        <w:gridCol w:w="957"/>
      </w:tblGrid>
      <w:tr w:rsidR="007179EA" w:rsidRPr="00F46EA9" w14:paraId="39058164" w14:textId="77777777" w:rsidTr="00030C79">
        <w:trPr>
          <w:cantSplit/>
        </w:trPr>
        <w:tc>
          <w:tcPr>
            <w:tcW w:w="4253" w:type="dxa"/>
            <w:tcBorders>
              <w:top w:val="nil"/>
              <w:bottom w:val="nil"/>
            </w:tcBorders>
            <w:shd w:val="clear" w:color="auto" w:fill="D9D9D9" w:themeFill="background1" w:themeFillShade="D9"/>
            <w:noWrap/>
            <w:hideMark/>
          </w:tcPr>
          <w:p w14:paraId="4254E698" w14:textId="77777777" w:rsidR="007179EA" w:rsidRPr="00F46EA9" w:rsidRDefault="007179EA" w:rsidP="005B24AB">
            <w:pPr>
              <w:pStyle w:val="TableText"/>
              <w:ind w:right="113"/>
              <w:rPr>
                <w:b/>
                <w:lang w:eastAsia="en-US"/>
              </w:rPr>
            </w:pPr>
            <w:r w:rsidRPr="00F46EA9">
              <w:rPr>
                <w:b/>
              </w:rPr>
              <w:t>Service area</w:t>
            </w:r>
          </w:p>
        </w:tc>
        <w:tc>
          <w:tcPr>
            <w:tcW w:w="956" w:type="dxa"/>
            <w:tcBorders>
              <w:top w:val="nil"/>
              <w:bottom w:val="nil"/>
            </w:tcBorders>
            <w:shd w:val="clear" w:color="auto" w:fill="D9D9D9" w:themeFill="background1" w:themeFillShade="D9"/>
            <w:noWrap/>
            <w:hideMark/>
          </w:tcPr>
          <w:p w14:paraId="4E1F24CB" w14:textId="77777777" w:rsidR="007179EA" w:rsidRPr="00F46EA9" w:rsidRDefault="007179EA" w:rsidP="005B24AB">
            <w:pPr>
              <w:pStyle w:val="TableText"/>
              <w:jc w:val="center"/>
              <w:rPr>
                <w:b/>
                <w:lang w:eastAsia="en-US"/>
              </w:rPr>
            </w:pPr>
            <w:r w:rsidRPr="00F46EA9">
              <w:rPr>
                <w:b/>
              </w:rPr>
              <w:t>2022/23</w:t>
            </w:r>
            <w:r w:rsidRPr="00F46EA9">
              <w:rPr>
                <w:b/>
              </w:rPr>
              <w:br/>
              <w:t>($m)</w:t>
            </w:r>
          </w:p>
        </w:tc>
        <w:tc>
          <w:tcPr>
            <w:tcW w:w="957" w:type="dxa"/>
            <w:tcBorders>
              <w:top w:val="nil"/>
              <w:bottom w:val="nil"/>
            </w:tcBorders>
            <w:shd w:val="clear" w:color="auto" w:fill="D9D9D9" w:themeFill="background1" w:themeFillShade="D9"/>
            <w:noWrap/>
            <w:hideMark/>
          </w:tcPr>
          <w:p w14:paraId="1BD355D7" w14:textId="77777777" w:rsidR="007179EA" w:rsidRPr="00F46EA9" w:rsidRDefault="007179EA" w:rsidP="005B24AB">
            <w:pPr>
              <w:pStyle w:val="TableText"/>
              <w:jc w:val="center"/>
              <w:rPr>
                <w:b/>
                <w:lang w:eastAsia="en-US"/>
              </w:rPr>
            </w:pPr>
            <w:r w:rsidRPr="00F46EA9">
              <w:rPr>
                <w:b/>
              </w:rPr>
              <w:t>2023/24</w:t>
            </w:r>
            <w:r w:rsidRPr="00F46EA9">
              <w:rPr>
                <w:b/>
              </w:rPr>
              <w:br/>
              <w:t>($m)</w:t>
            </w:r>
          </w:p>
        </w:tc>
        <w:tc>
          <w:tcPr>
            <w:tcW w:w="957" w:type="dxa"/>
            <w:tcBorders>
              <w:top w:val="nil"/>
              <w:bottom w:val="nil"/>
            </w:tcBorders>
            <w:shd w:val="clear" w:color="auto" w:fill="D9D9D9" w:themeFill="background1" w:themeFillShade="D9"/>
            <w:noWrap/>
            <w:hideMark/>
          </w:tcPr>
          <w:p w14:paraId="1590E7A2" w14:textId="77777777" w:rsidR="007179EA" w:rsidRPr="00F46EA9" w:rsidRDefault="007179EA" w:rsidP="005B24AB">
            <w:pPr>
              <w:pStyle w:val="TableText"/>
              <w:jc w:val="center"/>
              <w:rPr>
                <w:b/>
                <w:lang w:eastAsia="en-US"/>
              </w:rPr>
            </w:pPr>
            <w:r w:rsidRPr="00F46EA9">
              <w:rPr>
                <w:b/>
              </w:rPr>
              <w:t>2024/25</w:t>
            </w:r>
            <w:r w:rsidRPr="00F46EA9">
              <w:rPr>
                <w:b/>
              </w:rPr>
              <w:br/>
              <w:t>($m)</w:t>
            </w:r>
          </w:p>
        </w:tc>
        <w:tc>
          <w:tcPr>
            <w:tcW w:w="957" w:type="dxa"/>
            <w:tcBorders>
              <w:top w:val="nil"/>
              <w:bottom w:val="nil"/>
            </w:tcBorders>
            <w:shd w:val="clear" w:color="auto" w:fill="D9D9D9" w:themeFill="background1" w:themeFillShade="D9"/>
            <w:hideMark/>
          </w:tcPr>
          <w:p w14:paraId="7312F31C" w14:textId="77777777" w:rsidR="007179EA" w:rsidRPr="00F46EA9" w:rsidRDefault="007179EA" w:rsidP="005B24AB">
            <w:pPr>
              <w:pStyle w:val="TableText"/>
              <w:jc w:val="center"/>
              <w:rPr>
                <w:b/>
                <w:lang w:eastAsia="en-US"/>
              </w:rPr>
            </w:pPr>
            <w:r w:rsidRPr="00F46EA9">
              <w:rPr>
                <w:b/>
              </w:rPr>
              <w:t>Total</w:t>
            </w:r>
            <w:r w:rsidRPr="00F46EA9">
              <w:rPr>
                <w:b/>
              </w:rPr>
              <w:br/>
              <w:t>($m)</w:t>
            </w:r>
          </w:p>
        </w:tc>
      </w:tr>
      <w:tr w:rsidR="007179EA" w14:paraId="4152CFF4" w14:textId="77777777" w:rsidTr="00030C79">
        <w:trPr>
          <w:cantSplit/>
        </w:trPr>
        <w:tc>
          <w:tcPr>
            <w:tcW w:w="4253" w:type="dxa"/>
            <w:tcBorders>
              <w:top w:val="nil"/>
            </w:tcBorders>
            <w:noWrap/>
            <w:hideMark/>
          </w:tcPr>
          <w:p w14:paraId="2341BBDC" w14:textId="77777777" w:rsidR="007179EA" w:rsidRDefault="007179EA" w:rsidP="005B24AB">
            <w:pPr>
              <w:pStyle w:val="TableText"/>
              <w:ind w:right="113"/>
              <w:rPr>
                <w:lang w:eastAsia="en-US"/>
              </w:rPr>
            </w:pPr>
            <w:r>
              <w:t>Primary prevention (public health services)</w:t>
            </w:r>
          </w:p>
        </w:tc>
        <w:tc>
          <w:tcPr>
            <w:tcW w:w="956" w:type="dxa"/>
            <w:tcBorders>
              <w:top w:val="nil"/>
            </w:tcBorders>
            <w:noWrap/>
            <w:vAlign w:val="center"/>
            <w:hideMark/>
          </w:tcPr>
          <w:p w14:paraId="2BD0BB4B" w14:textId="77777777" w:rsidR="007179EA" w:rsidRDefault="007179EA" w:rsidP="00030C79">
            <w:pPr>
              <w:pStyle w:val="TableText"/>
              <w:tabs>
                <w:tab w:val="decimal" w:pos="284"/>
              </w:tabs>
              <w:rPr>
                <w:color w:val="000000"/>
              </w:rPr>
            </w:pPr>
            <w:r>
              <w:rPr>
                <w:color w:val="000000"/>
              </w:rPr>
              <w:t>4.700</w:t>
            </w:r>
          </w:p>
        </w:tc>
        <w:tc>
          <w:tcPr>
            <w:tcW w:w="957" w:type="dxa"/>
            <w:tcBorders>
              <w:top w:val="nil"/>
            </w:tcBorders>
            <w:noWrap/>
            <w:vAlign w:val="center"/>
            <w:hideMark/>
          </w:tcPr>
          <w:p w14:paraId="01ADF3F5" w14:textId="77777777" w:rsidR="007179EA" w:rsidRDefault="007179EA" w:rsidP="00030C79">
            <w:pPr>
              <w:pStyle w:val="TableText"/>
              <w:tabs>
                <w:tab w:val="decimal" w:pos="284"/>
              </w:tabs>
              <w:rPr>
                <w:color w:val="000000"/>
              </w:rPr>
            </w:pPr>
            <w:r>
              <w:rPr>
                <w:color w:val="000000"/>
              </w:rPr>
              <w:t>4.700</w:t>
            </w:r>
          </w:p>
        </w:tc>
        <w:tc>
          <w:tcPr>
            <w:tcW w:w="957" w:type="dxa"/>
            <w:tcBorders>
              <w:top w:val="nil"/>
            </w:tcBorders>
            <w:noWrap/>
            <w:vAlign w:val="center"/>
            <w:hideMark/>
          </w:tcPr>
          <w:p w14:paraId="0974AAF7" w14:textId="77777777" w:rsidR="007179EA" w:rsidRDefault="007179EA" w:rsidP="00030C79">
            <w:pPr>
              <w:pStyle w:val="TableText"/>
              <w:tabs>
                <w:tab w:val="decimal" w:pos="284"/>
              </w:tabs>
              <w:rPr>
                <w:color w:val="000000"/>
              </w:rPr>
            </w:pPr>
            <w:r>
              <w:rPr>
                <w:color w:val="000000"/>
              </w:rPr>
              <w:t>4.700</w:t>
            </w:r>
          </w:p>
        </w:tc>
        <w:tc>
          <w:tcPr>
            <w:tcW w:w="957" w:type="dxa"/>
            <w:tcBorders>
              <w:top w:val="nil"/>
            </w:tcBorders>
            <w:vAlign w:val="center"/>
            <w:hideMark/>
          </w:tcPr>
          <w:p w14:paraId="5BCF789C" w14:textId="77777777" w:rsidR="007179EA" w:rsidRDefault="007179EA" w:rsidP="00030C79">
            <w:pPr>
              <w:pStyle w:val="TableText"/>
              <w:tabs>
                <w:tab w:val="decimal" w:pos="284"/>
              </w:tabs>
              <w:rPr>
                <w:rFonts w:eastAsia="Arial Unicode MS"/>
              </w:rPr>
            </w:pPr>
            <w:r>
              <w:rPr>
                <w:color w:val="000000"/>
              </w:rPr>
              <w:t>14.100</w:t>
            </w:r>
          </w:p>
        </w:tc>
      </w:tr>
      <w:tr w:rsidR="007179EA" w14:paraId="76B890AD" w14:textId="77777777" w:rsidTr="00030C79">
        <w:trPr>
          <w:cantSplit/>
        </w:trPr>
        <w:tc>
          <w:tcPr>
            <w:tcW w:w="4253" w:type="dxa"/>
            <w:noWrap/>
            <w:hideMark/>
          </w:tcPr>
          <w:p w14:paraId="2100A5A6" w14:textId="77777777" w:rsidR="007179EA" w:rsidRPr="003D2E77" w:rsidRDefault="007179EA" w:rsidP="005B24AB">
            <w:pPr>
              <w:pStyle w:val="TableText"/>
              <w:ind w:right="113"/>
              <w:rPr>
                <w:lang w:eastAsia="en-US"/>
              </w:rPr>
            </w:pPr>
            <w:r w:rsidRPr="003D2E77">
              <w:t>Workforce development (public health)</w:t>
            </w:r>
          </w:p>
        </w:tc>
        <w:tc>
          <w:tcPr>
            <w:tcW w:w="956" w:type="dxa"/>
            <w:noWrap/>
            <w:vAlign w:val="center"/>
            <w:hideMark/>
          </w:tcPr>
          <w:p w14:paraId="30DF9B43"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noWrap/>
            <w:vAlign w:val="center"/>
            <w:hideMark/>
          </w:tcPr>
          <w:p w14:paraId="0D541789"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noWrap/>
            <w:vAlign w:val="center"/>
            <w:hideMark/>
          </w:tcPr>
          <w:p w14:paraId="6E178D1A"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vAlign w:val="center"/>
            <w:hideMark/>
          </w:tcPr>
          <w:p w14:paraId="188D1057" w14:textId="77777777" w:rsidR="007179EA" w:rsidRPr="003D2E77" w:rsidRDefault="007179EA" w:rsidP="00030C79">
            <w:pPr>
              <w:pStyle w:val="TableText"/>
              <w:tabs>
                <w:tab w:val="decimal" w:pos="284"/>
              </w:tabs>
              <w:rPr>
                <w:rFonts w:eastAsia="Arial Unicode MS"/>
              </w:rPr>
            </w:pPr>
            <w:r w:rsidRPr="003D2E77">
              <w:rPr>
                <w:color w:val="000000"/>
              </w:rPr>
              <w:t>0.390</w:t>
            </w:r>
          </w:p>
        </w:tc>
      </w:tr>
      <w:tr w:rsidR="007179EA" w14:paraId="5F889572" w14:textId="77777777" w:rsidTr="00030C79">
        <w:trPr>
          <w:cantSplit/>
        </w:trPr>
        <w:tc>
          <w:tcPr>
            <w:tcW w:w="4253" w:type="dxa"/>
            <w:noWrap/>
            <w:hideMark/>
          </w:tcPr>
          <w:p w14:paraId="21932A18" w14:textId="77777777" w:rsidR="007179EA" w:rsidRPr="003D2E77" w:rsidRDefault="007179EA" w:rsidP="005B24AB">
            <w:pPr>
              <w:pStyle w:val="TableText"/>
              <w:ind w:right="113"/>
              <w:rPr>
                <w:lang w:eastAsia="en-US"/>
              </w:rPr>
            </w:pPr>
            <w:r w:rsidRPr="003D2E77">
              <w:t>Awareness and education programme</w:t>
            </w:r>
          </w:p>
        </w:tc>
        <w:tc>
          <w:tcPr>
            <w:tcW w:w="956" w:type="dxa"/>
            <w:noWrap/>
            <w:vAlign w:val="center"/>
            <w:hideMark/>
          </w:tcPr>
          <w:p w14:paraId="25C2AE44" w14:textId="77777777" w:rsidR="007179EA" w:rsidRPr="003D2E77" w:rsidRDefault="007179EA" w:rsidP="00030C79">
            <w:pPr>
              <w:pStyle w:val="TableText"/>
              <w:tabs>
                <w:tab w:val="decimal" w:pos="284"/>
              </w:tabs>
              <w:rPr>
                <w:rFonts w:eastAsia="Arial Unicode MS"/>
              </w:rPr>
            </w:pPr>
            <w:r w:rsidRPr="003D2E77">
              <w:rPr>
                <w:color w:val="000000"/>
              </w:rPr>
              <w:t>1.680</w:t>
            </w:r>
          </w:p>
        </w:tc>
        <w:tc>
          <w:tcPr>
            <w:tcW w:w="957" w:type="dxa"/>
            <w:noWrap/>
            <w:vAlign w:val="center"/>
            <w:hideMark/>
          </w:tcPr>
          <w:p w14:paraId="38A42E7C" w14:textId="77777777" w:rsidR="007179EA" w:rsidRPr="003D2E77" w:rsidRDefault="007179EA" w:rsidP="00030C79">
            <w:pPr>
              <w:pStyle w:val="TableText"/>
              <w:tabs>
                <w:tab w:val="decimal" w:pos="284"/>
              </w:tabs>
              <w:rPr>
                <w:rFonts w:eastAsia="Arial Unicode MS"/>
              </w:rPr>
            </w:pPr>
            <w:r w:rsidRPr="003D2E77">
              <w:rPr>
                <w:color w:val="000000"/>
              </w:rPr>
              <w:t>1.680</w:t>
            </w:r>
          </w:p>
        </w:tc>
        <w:tc>
          <w:tcPr>
            <w:tcW w:w="957" w:type="dxa"/>
            <w:noWrap/>
            <w:vAlign w:val="center"/>
            <w:hideMark/>
          </w:tcPr>
          <w:p w14:paraId="0D982557" w14:textId="77777777" w:rsidR="007179EA" w:rsidRPr="003D2E77" w:rsidRDefault="007179EA" w:rsidP="00030C79">
            <w:pPr>
              <w:pStyle w:val="TableText"/>
              <w:tabs>
                <w:tab w:val="decimal" w:pos="284"/>
              </w:tabs>
              <w:rPr>
                <w:rFonts w:eastAsia="Arial Unicode MS"/>
              </w:rPr>
            </w:pPr>
            <w:r w:rsidRPr="003D2E77">
              <w:rPr>
                <w:color w:val="000000"/>
              </w:rPr>
              <w:t>1.680</w:t>
            </w:r>
          </w:p>
        </w:tc>
        <w:tc>
          <w:tcPr>
            <w:tcW w:w="957" w:type="dxa"/>
            <w:vAlign w:val="center"/>
            <w:hideMark/>
          </w:tcPr>
          <w:p w14:paraId="20DD295D" w14:textId="77777777" w:rsidR="007179EA" w:rsidRPr="003D2E77" w:rsidRDefault="007179EA" w:rsidP="00030C79">
            <w:pPr>
              <w:pStyle w:val="TableText"/>
              <w:tabs>
                <w:tab w:val="decimal" w:pos="284"/>
              </w:tabs>
              <w:rPr>
                <w:rFonts w:eastAsia="Arial Unicode MS"/>
              </w:rPr>
            </w:pPr>
            <w:r w:rsidRPr="003D2E77">
              <w:rPr>
                <w:color w:val="000000"/>
              </w:rPr>
              <w:t>5.040</w:t>
            </w:r>
          </w:p>
        </w:tc>
      </w:tr>
      <w:tr w:rsidR="007179EA" w14:paraId="3BF1E1F9" w14:textId="77777777" w:rsidTr="00030C79">
        <w:trPr>
          <w:cantSplit/>
        </w:trPr>
        <w:tc>
          <w:tcPr>
            <w:tcW w:w="4253" w:type="dxa"/>
            <w:shd w:val="clear" w:color="auto" w:fill="auto"/>
            <w:noWrap/>
            <w:hideMark/>
          </w:tcPr>
          <w:p w14:paraId="15DA2D41" w14:textId="77777777" w:rsidR="007179EA" w:rsidRPr="003D2E77" w:rsidRDefault="007179EA" w:rsidP="005B24AB">
            <w:pPr>
              <w:pStyle w:val="TableText"/>
              <w:ind w:right="113"/>
            </w:pPr>
            <w:r w:rsidRPr="003D2E77">
              <w:t>De-stigmatisation initiative</w:t>
            </w:r>
          </w:p>
        </w:tc>
        <w:tc>
          <w:tcPr>
            <w:tcW w:w="956" w:type="dxa"/>
            <w:shd w:val="clear" w:color="auto" w:fill="auto"/>
            <w:noWrap/>
            <w:hideMark/>
          </w:tcPr>
          <w:p w14:paraId="6E06CD3C" w14:textId="77777777" w:rsidR="007179EA" w:rsidRPr="003D2E77" w:rsidRDefault="007179EA" w:rsidP="00030C79">
            <w:pPr>
              <w:pStyle w:val="TableText"/>
              <w:tabs>
                <w:tab w:val="decimal" w:pos="284"/>
              </w:tabs>
              <w:rPr>
                <w:color w:val="000000"/>
              </w:rPr>
            </w:pPr>
            <w:r w:rsidRPr="004E666E">
              <w:t>0.900</w:t>
            </w:r>
          </w:p>
        </w:tc>
        <w:tc>
          <w:tcPr>
            <w:tcW w:w="957" w:type="dxa"/>
            <w:shd w:val="clear" w:color="auto" w:fill="auto"/>
            <w:noWrap/>
            <w:hideMark/>
          </w:tcPr>
          <w:p w14:paraId="15FC6099" w14:textId="77777777" w:rsidR="007179EA" w:rsidRPr="003D2E77" w:rsidRDefault="007179EA" w:rsidP="00030C79">
            <w:pPr>
              <w:pStyle w:val="TableText"/>
              <w:tabs>
                <w:tab w:val="decimal" w:pos="284"/>
              </w:tabs>
              <w:rPr>
                <w:color w:val="000000"/>
              </w:rPr>
            </w:pPr>
            <w:r w:rsidRPr="004E666E">
              <w:t>1.440</w:t>
            </w:r>
          </w:p>
        </w:tc>
        <w:tc>
          <w:tcPr>
            <w:tcW w:w="957" w:type="dxa"/>
            <w:shd w:val="clear" w:color="auto" w:fill="auto"/>
            <w:noWrap/>
            <w:hideMark/>
          </w:tcPr>
          <w:p w14:paraId="0E129358" w14:textId="77777777" w:rsidR="007179EA" w:rsidRPr="003D2E77" w:rsidRDefault="007179EA" w:rsidP="00030C79">
            <w:pPr>
              <w:pStyle w:val="TableText"/>
              <w:tabs>
                <w:tab w:val="decimal" w:pos="284"/>
              </w:tabs>
              <w:rPr>
                <w:color w:val="000000"/>
              </w:rPr>
            </w:pPr>
            <w:r w:rsidRPr="004E666E">
              <w:t>0.660</w:t>
            </w:r>
          </w:p>
        </w:tc>
        <w:tc>
          <w:tcPr>
            <w:tcW w:w="957" w:type="dxa"/>
            <w:shd w:val="clear" w:color="auto" w:fill="auto"/>
            <w:hideMark/>
          </w:tcPr>
          <w:p w14:paraId="79AB4E90" w14:textId="77777777" w:rsidR="007179EA" w:rsidRPr="003D2E77" w:rsidRDefault="007179EA" w:rsidP="00030C79">
            <w:pPr>
              <w:pStyle w:val="TableText"/>
              <w:tabs>
                <w:tab w:val="decimal" w:pos="284"/>
              </w:tabs>
              <w:rPr>
                <w:color w:val="000000"/>
              </w:rPr>
            </w:pPr>
            <w:r w:rsidRPr="004E666E">
              <w:t>3.000</w:t>
            </w:r>
          </w:p>
        </w:tc>
      </w:tr>
      <w:tr w:rsidR="007179EA" w14:paraId="03042A33" w14:textId="77777777" w:rsidTr="00030C79">
        <w:trPr>
          <w:cantSplit/>
        </w:trPr>
        <w:tc>
          <w:tcPr>
            <w:tcW w:w="4253" w:type="dxa"/>
            <w:noWrap/>
            <w:hideMark/>
          </w:tcPr>
          <w:p w14:paraId="4976EA71" w14:textId="77777777" w:rsidR="007179EA" w:rsidRPr="003D2E77" w:rsidRDefault="007179EA" w:rsidP="005B24AB">
            <w:pPr>
              <w:pStyle w:val="TableText"/>
              <w:ind w:right="113"/>
              <w:rPr>
                <w:lang w:eastAsia="en-US"/>
              </w:rPr>
            </w:pPr>
            <w:r w:rsidRPr="003D2E77">
              <w:t>National Coordination Service</w:t>
            </w:r>
          </w:p>
        </w:tc>
        <w:tc>
          <w:tcPr>
            <w:tcW w:w="956" w:type="dxa"/>
            <w:noWrap/>
            <w:vAlign w:val="center"/>
            <w:hideMark/>
          </w:tcPr>
          <w:p w14:paraId="720CDAD9"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noWrap/>
            <w:vAlign w:val="center"/>
            <w:hideMark/>
          </w:tcPr>
          <w:p w14:paraId="7234A2F3"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noWrap/>
            <w:vAlign w:val="center"/>
            <w:hideMark/>
          </w:tcPr>
          <w:p w14:paraId="685C48AC"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vAlign w:val="center"/>
            <w:hideMark/>
          </w:tcPr>
          <w:p w14:paraId="375CED30" w14:textId="77777777" w:rsidR="007179EA" w:rsidRPr="003D2E77" w:rsidRDefault="007179EA" w:rsidP="00030C79">
            <w:pPr>
              <w:pStyle w:val="TableText"/>
              <w:tabs>
                <w:tab w:val="decimal" w:pos="284"/>
              </w:tabs>
              <w:rPr>
                <w:rFonts w:eastAsia="Arial Unicode MS"/>
              </w:rPr>
            </w:pPr>
            <w:r w:rsidRPr="003D2E77">
              <w:rPr>
                <w:color w:val="000000"/>
              </w:rPr>
              <w:t>0.390</w:t>
            </w:r>
          </w:p>
        </w:tc>
      </w:tr>
      <w:tr w:rsidR="007179EA" w14:paraId="3182BDA2" w14:textId="77777777" w:rsidTr="00030C79">
        <w:trPr>
          <w:cantSplit/>
        </w:trPr>
        <w:tc>
          <w:tcPr>
            <w:tcW w:w="4253" w:type="dxa"/>
            <w:noWrap/>
            <w:hideMark/>
          </w:tcPr>
          <w:p w14:paraId="51D39F3F" w14:textId="77777777" w:rsidR="007179EA" w:rsidRPr="003D2E77" w:rsidRDefault="007179EA" w:rsidP="005B24AB">
            <w:pPr>
              <w:pStyle w:val="TableText"/>
              <w:ind w:right="113"/>
            </w:pPr>
            <w:r w:rsidRPr="003D2E77">
              <w:t>Gambling Harm Lived Experience Advisory Group</w:t>
            </w:r>
          </w:p>
        </w:tc>
        <w:tc>
          <w:tcPr>
            <w:tcW w:w="956" w:type="dxa"/>
            <w:noWrap/>
            <w:vAlign w:val="center"/>
            <w:hideMark/>
          </w:tcPr>
          <w:p w14:paraId="3E9120FC"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noWrap/>
            <w:vAlign w:val="center"/>
            <w:hideMark/>
          </w:tcPr>
          <w:p w14:paraId="60AB4002"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noWrap/>
            <w:vAlign w:val="center"/>
            <w:hideMark/>
          </w:tcPr>
          <w:p w14:paraId="24C36C1D" w14:textId="77777777" w:rsidR="007179EA" w:rsidRPr="003D2E77" w:rsidRDefault="007179EA" w:rsidP="00030C79">
            <w:pPr>
              <w:pStyle w:val="TableText"/>
              <w:tabs>
                <w:tab w:val="decimal" w:pos="284"/>
              </w:tabs>
              <w:rPr>
                <w:rFonts w:eastAsia="Arial Unicode MS"/>
              </w:rPr>
            </w:pPr>
            <w:r w:rsidRPr="003D2E77">
              <w:rPr>
                <w:color w:val="000000"/>
              </w:rPr>
              <w:t>0.130</w:t>
            </w:r>
          </w:p>
        </w:tc>
        <w:tc>
          <w:tcPr>
            <w:tcW w:w="957" w:type="dxa"/>
            <w:vAlign w:val="center"/>
            <w:hideMark/>
          </w:tcPr>
          <w:p w14:paraId="781750C6" w14:textId="77777777" w:rsidR="007179EA" w:rsidRPr="003D2E77" w:rsidRDefault="007179EA" w:rsidP="00030C79">
            <w:pPr>
              <w:pStyle w:val="TableText"/>
              <w:tabs>
                <w:tab w:val="decimal" w:pos="284"/>
              </w:tabs>
              <w:rPr>
                <w:rFonts w:eastAsia="Arial Unicode MS"/>
              </w:rPr>
            </w:pPr>
            <w:r w:rsidRPr="003D2E77">
              <w:rPr>
                <w:color w:val="000000"/>
              </w:rPr>
              <w:t>0.390</w:t>
            </w:r>
          </w:p>
        </w:tc>
      </w:tr>
      <w:tr w:rsidR="007179EA" w14:paraId="7CBAEE0A" w14:textId="77777777" w:rsidTr="00030C79">
        <w:trPr>
          <w:cantSplit/>
        </w:trPr>
        <w:tc>
          <w:tcPr>
            <w:tcW w:w="4253" w:type="dxa"/>
            <w:noWrap/>
            <w:hideMark/>
          </w:tcPr>
          <w:p w14:paraId="7FB1B382" w14:textId="77777777" w:rsidR="007179EA" w:rsidRPr="003D2E77" w:rsidRDefault="007179EA" w:rsidP="005B24AB">
            <w:pPr>
              <w:pStyle w:val="TableText"/>
              <w:ind w:right="113"/>
            </w:pPr>
            <w:r w:rsidRPr="003D2E77">
              <w:t>MVE administration service and database</w:t>
            </w:r>
          </w:p>
        </w:tc>
        <w:tc>
          <w:tcPr>
            <w:tcW w:w="956" w:type="dxa"/>
            <w:noWrap/>
            <w:vAlign w:val="center"/>
            <w:hideMark/>
          </w:tcPr>
          <w:p w14:paraId="5F408340" w14:textId="77777777" w:rsidR="007179EA" w:rsidRPr="003D2E77" w:rsidRDefault="007179EA" w:rsidP="00030C79">
            <w:pPr>
              <w:pStyle w:val="TableText"/>
              <w:tabs>
                <w:tab w:val="decimal" w:pos="284"/>
              </w:tabs>
              <w:rPr>
                <w:color w:val="000000"/>
              </w:rPr>
            </w:pPr>
            <w:r w:rsidRPr="003D2E77">
              <w:rPr>
                <w:color w:val="000000"/>
              </w:rPr>
              <w:t>0.180</w:t>
            </w:r>
          </w:p>
        </w:tc>
        <w:tc>
          <w:tcPr>
            <w:tcW w:w="957" w:type="dxa"/>
            <w:noWrap/>
            <w:vAlign w:val="center"/>
            <w:hideMark/>
          </w:tcPr>
          <w:p w14:paraId="48F8265C" w14:textId="77777777" w:rsidR="007179EA" w:rsidRPr="003D2E77" w:rsidRDefault="007179EA" w:rsidP="00030C79">
            <w:pPr>
              <w:pStyle w:val="TableText"/>
              <w:tabs>
                <w:tab w:val="decimal" w:pos="284"/>
              </w:tabs>
              <w:rPr>
                <w:color w:val="000000"/>
              </w:rPr>
            </w:pPr>
            <w:r w:rsidRPr="003D2E77">
              <w:rPr>
                <w:color w:val="000000"/>
              </w:rPr>
              <w:t>0.310</w:t>
            </w:r>
          </w:p>
        </w:tc>
        <w:tc>
          <w:tcPr>
            <w:tcW w:w="957" w:type="dxa"/>
            <w:noWrap/>
            <w:vAlign w:val="center"/>
            <w:hideMark/>
          </w:tcPr>
          <w:p w14:paraId="72E477C7" w14:textId="77777777" w:rsidR="007179EA" w:rsidRPr="003D2E77" w:rsidRDefault="007179EA" w:rsidP="00030C79">
            <w:pPr>
              <w:pStyle w:val="TableText"/>
              <w:tabs>
                <w:tab w:val="decimal" w:pos="284"/>
              </w:tabs>
              <w:rPr>
                <w:color w:val="000000"/>
              </w:rPr>
            </w:pPr>
            <w:r w:rsidRPr="003D2E77">
              <w:rPr>
                <w:color w:val="000000"/>
              </w:rPr>
              <w:t>0.310</w:t>
            </w:r>
          </w:p>
        </w:tc>
        <w:tc>
          <w:tcPr>
            <w:tcW w:w="957" w:type="dxa"/>
            <w:vAlign w:val="center"/>
            <w:hideMark/>
          </w:tcPr>
          <w:p w14:paraId="41D3FDC3" w14:textId="77777777" w:rsidR="007179EA" w:rsidRPr="003D2E77" w:rsidRDefault="007179EA" w:rsidP="00030C79">
            <w:pPr>
              <w:pStyle w:val="TableText"/>
              <w:tabs>
                <w:tab w:val="decimal" w:pos="284"/>
              </w:tabs>
              <w:rPr>
                <w:color w:val="000000"/>
              </w:rPr>
            </w:pPr>
            <w:r w:rsidRPr="003D2E77">
              <w:rPr>
                <w:color w:val="000000"/>
              </w:rPr>
              <w:t>0.800</w:t>
            </w:r>
          </w:p>
        </w:tc>
      </w:tr>
      <w:tr w:rsidR="007179EA" w14:paraId="2F386021" w14:textId="77777777" w:rsidTr="00030C79">
        <w:trPr>
          <w:cantSplit/>
        </w:trPr>
        <w:tc>
          <w:tcPr>
            <w:tcW w:w="4253" w:type="dxa"/>
            <w:noWrap/>
          </w:tcPr>
          <w:p w14:paraId="2A4AEB6C" w14:textId="77777777" w:rsidR="007179EA" w:rsidRPr="007B3B7F" w:rsidRDefault="007179EA" w:rsidP="005B24AB">
            <w:pPr>
              <w:pStyle w:val="TableText"/>
              <w:ind w:right="113"/>
              <w:rPr>
                <w:highlight w:val="yellow"/>
              </w:rPr>
            </w:pPr>
            <w:r w:rsidRPr="003D2E77">
              <w:t>Youth Public Health in Schools</w:t>
            </w:r>
          </w:p>
        </w:tc>
        <w:tc>
          <w:tcPr>
            <w:tcW w:w="956" w:type="dxa"/>
            <w:noWrap/>
          </w:tcPr>
          <w:p w14:paraId="17365665" w14:textId="77777777" w:rsidR="007179EA" w:rsidRPr="007B3B7F" w:rsidRDefault="007179EA" w:rsidP="00030C79">
            <w:pPr>
              <w:pStyle w:val="TableText"/>
              <w:tabs>
                <w:tab w:val="decimal" w:pos="284"/>
              </w:tabs>
              <w:rPr>
                <w:color w:val="000000"/>
                <w:highlight w:val="yellow"/>
              </w:rPr>
            </w:pPr>
            <w:r w:rsidRPr="00742412">
              <w:t>0.200</w:t>
            </w:r>
          </w:p>
        </w:tc>
        <w:tc>
          <w:tcPr>
            <w:tcW w:w="957" w:type="dxa"/>
            <w:noWrap/>
          </w:tcPr>
          <w:p w14:paraId="1A9D1119" w14:textId="77777777" w:rsidR="007179EA" w:rsidRPr="007B3B7F" w:rsidRDefault="007179EA" w:rsidP="00030C79">
            <w:pPr>
              <w:pStyle w:val="TableText"/>
              <w:tabs>
                <w:tab w:val="decimal" w:pos="284"/>
              </w:tabs>
              <w:rPr>
                <w:color w:val="000000"/>
                <w:highlight w:val="yellow"/>
              </w:rPr>
            </w:pPr>
            <w:r w:rsidRPr="00742412">
              <w:t>0.200</w:t>
            </w:r>
          </w:p>
        </w:tc>
        <w:tc>
          <w:tcPr>
            <w:tcW w:w="957" w:type="dxa"/>
            <w:noWrap/>
          </w:tcPr>
          <w:p w14:paraId="16A5AC99" w14:textId="77777777" w:rsidR="007179EA" w:rsidRPr="007B3B7F" w:rsidRDefault="007179EA" w:rsidP="00030C79">
            <w:pPr>
              <w:pStyle w:val="TableText"/>
              <w:tabs>
                <w:tab w:val="decimal" w:pos="284"/>
              </w:tabs>
              <w:rPr>
                <w:color w:val="000000"/>
                <w:highlight w:val="yellow"/>
              </w:rPr>
            </w:pPr>
            <w:r w:rsidRPr="00742412">
              <w:t>0.250</w:t>
            </w:r>
          </w:p>
        </w:tc>
        <w:tc>
          <w:tcPr>
            <w:tcW w:w="957" w:type="dxa"/>
          </w:tcPr>
          <w:p w14:paraId="6CDB2C1E" w14:textId="77777777" w:rsidR="007179EA" w:rsidRPr="007B3B7F" w:rsidRDefault="007179EA" w:rsidP="00030C79">
            <w:pPr>
              <w:pStyle w:val="TableText"/>
              <w:tabs>
                <w:tab w:val="decimal" w:pos="284"/>
              </w:tabs>
              <w:rPr>
                <w:color w:val="000000"/>
                <w:highlight w:val="yellow"/>
              </w:rPr>
            </w:pPr>
            <w:r w:rsidRPr="00742412">
              <w:t>0.650</w:t>
            </w:r>
          </w:p>
        </w:tc>
      </w:tr>
      <w:tr w:rsidR="007179EA" w14:paraId="0C16392A" w14:textId="77777777" w:rsidTr="00030C79">
        <w:trPr>
          <w:cantSplit/>
        </w:trPr>
        <w:tc>
          <w:tcPr>
            <w:tcW w:w="4253" w:type="dxa"/>
            <w:noWrap/>
            <w:hideMark/>
          </w:tcPr>
          <w:p w14:paraId="20CC94C0" w14:textId="77777777" w:rsidR="007179EA" w:rsidRPr="003D2E77" w:rsidRDefault="007179EA" w:rsidP="005B24AB">
            <w:pPr>
              <w:pStyle w:val="TableText"/>
              <w:ind w:right="113"/>
            </w:pPr>
            <w:r w:rsidRPr="003D2E77">
              <w:t>Conference support</w:t>
            </w:r>
          </w:p>
        </w:tc>
        <w:tc>
          <w:tcPr>
            <w:tcW w:w="956" w:type="dxa"/>
            <w:noWrap/>
            <w:vAlign w:val="center"/>
            <w:hideMark/>
          </w:tcPr>
          <w:p w14:paraId="63735D85" w14:textId="77777777" w:rsidR="007179EA" w:rsidRPr="003D2E77" w:rsidRDefault="007179EA" w:rsidP="00030C79">
            <w:pPr>
              <w:pStyle w:val="TableText"/>
              <w:tabs>
                <w:tab w:val="decimal" w:pos="284"/>
              </w:tabs>
              <w:rPr>
                <w:rFonts w:eastAsia="Arial Unicode MS"/>
              </w:rPr>
            </w:pPr>
            <w:r w:rsidRPr="003D2E77">
              <w:rPr>
                <w:color w:val="000000"/>
              </w:rPr>
              <w:t>0.000</w:t>
            </w:r>
          </w:p>
        </w:tc>
        <w:tc>
          <w:tcPr>
            <w:tcW w:w="957" w:type="dxa"/>
            <w:noWrap/>
            <w:vAlign w:val="center"/>
            <w:hideMark/>
          </w:tcPr>
          <w:p w14:paraId="5BD79400" w14:textId="77777777" w:rsidR="007179EA" w:rsidRPr="003D2E77" w:rsidRDefault="007179EA" w:rsidP="00030C79">
            <w:pPr>
              <w:pStyle w:val="TableText"/>
              <w:tabs>
                <w:tab w:val="decimal" w:pos="284"/>
              </w:tabs>
              <w:rPr>
                <w:rFonts w:eastAsia="Arial Unicode MS"/>
              </w:rPr>
            </w:pPr>
            <w:r w:rsidRPr="003D2E77">
              <w:rPr>
                <w:color w:val="000000"/>
              </w:rPr>
              <w:t>0.080</w:t>
            </w:r>
          </w:p>
        </w:tc>
        <w:tc>
          <w:tcPr>
            <w:tcW w:w="957" w:type="dxa"/>
            <w:noWrap/>
            <w:vAlign w:val="center"/>
            <w:hideMark/>
          </w:tcPr>
          <w:p w14:paraId="7855B849" w14:textId="77777777" w:rsidR="007179EA" w:rsidRPr="003D2E77" w:rsidRDefault="007179EA" w:rsidP="00030C79">
            <w:pPr>
              <w:pStyle w:val="TableText"/>
              <w:tabs>
                <w:tab w:val="decimal" w:pos="284"/>
              </w:tabs>
              <w:rPr>
                <w:rFonts w:eastAsia="Arial Unicode MS"/>
              </w:rPr>
            </w:pPr>
            <w:r w:rsidRPr="003D2E77">
              <w:rPr>
                <w:color w:val="000000"/>
              </w:rPr>
              <w:t>0.000</w:t>
            </w:r>
          </w:p>
        </w:tc>
        <w:tc>
          <w:tcPr>
            <w:tcW w:w="957" w:type="dxa"/>
            <w:vAlign w:val="center"/>
            <w:hideMark/>
          </w:tcPr>
          <w:p w14:paraId="0B8BC521" w14:textId="77777777" w:rsidR="007179EA" w:rsidRPr="003D2E77" w:rsidRDefault="007179EA" w:rsidP="00030C79">
            <w:pPr>
              <w:pStyle w:val="TableText"/>
              <w:tabs>
                <w:tab w:val="decimal" w:pos="284"/>
              </w:tabs>
              <w:rPr>
                <w:rFonts w:eastAsia="Arial Unicode MS"/>
              </w:rPr>
            </w:pPr>
            <w:r w:rsidRPr="003D2E77">
              <w:rPr>
                <w:color w:val="000000"/>
              </w:rPr>
              <w:t>0.080</w:t>
            </w:r>
          </w:p>
        </w:tc>
      </w:tr>
      <w:tr w:rsidR="007179EA" w:rsidRPr="00F46EA9" w14:paraId="54FD0F6D" w14:textId="77777777" w:rsidTr="00030C79">
        <w:trPr>
          <w:cantSplit/>
        </w:trPr>
        <w:tc>
          <w:tcPr>
            <w:tcW w:w="4253" w:type="dxa"/>
            <w:noWrap/>
            <w:hideMark/>
          </w:tcPr>
          <w:p w14:paraId="4B9BC03F" w14:textId="77777777" w:rsidR="007179EA" w:rsidRPr="003D2E77" w:rsidRDefault="007179EA" w:rsidP="005B24AB">
            <w:pPr>
              <w:pStyle w:val="TableText"/>
              <w:ind w:right="113"/>
              <w:rPr>
                <w:b/>
                <w:lang w:eastAsia="en-US"/>
              </w:rPr>
            </w:pPr>
            <w:r w:rsidRPr="003D2E77">
              <w:rPr>
                <w:b/>
                <w:lang w:eastAsia="en-US"/>
              </w:rPr>
              <w:t>Total ($m)</w:t>
            </w:r>
          </w:p>
        </w:tc>
        <w:tc>
          <w:tcPr>
            <w:tcW w:w="956" w:type="dxa"/>
            <w:shd w:val="clear" w:color="auto" w:fill="FFFFFF" w:themeFill="background1"/>
            <w:noWrap/>
            <w:hideMark/>
          </w:tcPr>
          <w:p w14:paraId="312B0F5F" w14:textId="77777777" w:rsidR="007179EA" w:rsidRPr="003D2E77" w:rsidRDefault="007179EA" w:rsidP="00030C79">
            <w:pPr>
              <w:pStyle w:val="TableText"/>
              <w:tabs>
                <w:tab w:val="decimal" w:pos="284"/>
              </w:tabs>
              <w:rPr>
                <w:b/>
                <w:bCs/>
                <w:color w:val="000000"/>
              </w:rPr>
            </w:pPr>
            <w:r w:rsidRPr="003D2E77">
              <w:rPr>
                <w:b/>
                <w:bCs/>
              </w:rPr>
              <w:t>8.050</w:t>
            </w:r>
          </w:p>
        </w:tc>
        <w:tc>
          <w:tcPr>
            <w:tcW w:w="957" w:type="dxa"/>
            <w:shd w:val="clear" w:color="auto" w:fill="FFFFFF" w:themeFill="background1"/>
            <w:noWrap/>
            <w:hideMark/>
          </w:tcPr>
          <w:p w14:paraId="5BF98B39" w14:textId="77777777" w:rsidR="007179EA" w:rsidRPr="003D2E77" w:rsidRDefault="007179EA" w:rsidP="00030C79">
            <w:pPr>
              <w:pStyle w:val="TableText"/>
              <w:tabs>
                <w:tab w:val="decimal" w:pos="284"/>
              </w:tabs>
              <w:rPr>
                <w:b/>
                <w:bCs/>
                <w:color w:val="000000"/>
              </w:rPr>
            </w:pPr>
            <w:r w:rsidRPr="003D2E77">
              <w:rPr>
                <w:b/>
                <w:bCs/>
              </w:rPr>
              <w:t>8.800</w:t>
            </w:r>
          </w:p>
        </w:tc>
        <w:tc>
          <w:tcPr>
            <w:tcW w:w="957" w:type="dxa"/>
            <w:shd w:val="clear" w:color="auto" w:fill="FFFFFF" w:themeFill="background1"/>
            <w:noWrap/>
            <w:hideMark/>
          </w:tcPr>
          <w:p w14:paraId="0F5EF023" w14:textId="77777777" w:rsidR="007179EA" w:rsidRPr="003D2E77" w:rsidRDefault="007179EA" w:rsidP="00030C79">
            <w:pPr>
              <w:pStyle w:val="TableText"/>
              <w:tabs>
                <w:tab w:val="decimal" w:pos="284"/>
              </w:tabs>
              <w:rPr>
                <w:b/>
                <w:bCs/>
                <w:color w:val="000000"/>
              </w:rPr>
            </w:pPr>
            <w:r>
              <w:rPr>
                <w:b/>
                <w:bCs/>
              </w:rPr>
              <w:t>7.990</w:t>
            </w:r>
          </w:p>
        </w:tc>
        <w:tc>
          <w:tcPr>
            <w:tcW w:w="957" w:type="dxa"/>
            <w:hideMark/>
          </w:tcPr>
          <w:p w14:paraId="482F2DCE" w14:textId="77777777" w:rsidR="007179EA" w:rsidRPr="003D2E77" w:rsidRDefault="007179EA" w:rsidP="00030C79">
            <w:pPr>
              <w:pStyle w:val="TableText"/>
              <w:tabs>
                <w:tab w:val="decimal" w:pos="284"/>
              </w:tabs>
              <w:rPr>
                <w:rFonts w:eastAsia="Arial Unicode MS"/>
                <w:b/>
                <w:bCs/>
              </w:rPr>
            </w:pPr>
            <w:r w:rsidRPr="003D2E77">
              <w:rPr>
                <w:b/>
                <w:bCs/>
              </w:rPr>
              <w:t>2</w:t>
            </w:r>
            <w:r>
              <w:rPr>
                <w:b/>
                <w:bCs/>
              </w:rPr>
              <w:t>4.840</w:t>
            </w:r>
          </w:p>
        </w:tc>
      </w:tr>
    </w:tbl>
    <w:p w14:paraId="0B45AF67" w14:textId="77777777" w:rsidR="007179EA" w:rsidRDefault="007179EA" w:rsidP="00030C79">
      <w:pPr>
        <w:pStyle w:val="Note"/>
      </w:pPr>
      <w:r>
        <w:t>Note: budget totals may not sum precisely due to rounding</w:t>
      </w:r>
      <w:r w:rsidR="00030C79">
        <w:t>.</w:t>
      </w:r>
    </w:p>
    <w:p w14:paraId="0B66BDFD" w14:textId="77777777" w:rsidR="00BA2AA8" w:rsidRDefault="00BA2AA8" w:rsidP="00BA2AA8"/>
    <w:p w14:paraId="7F9355E4" w14:textId="77777777" w:rsidR="00BC6B27" w:rsidRDefault="007179EA" w:rsidP="00BA2AA8">
      <w:r w:rsidRPr="00CA74BB">
        <w:t>Key areas of new investment that described below include:</w:t>
      </w:r>
    </w:p>
    <w:p w14:paraId="52531ADE" w14:textId="77777777" w:rsidR="00BC6B27" w:rsidRPr="00BC6B27" w:rsidRDefault="00BA2AA8" w:rsidP="00BA2AA8">
      <w:pPr>
        <w:pStyle w:val="Bullet"/>
      </w:pPr>
      <w:r>
        <w:t>d</w:t>
      </w:r>
      <w:r w:rsidR="007179EA" w:rsidRPr="00BC6B27">
        <w:t>estigmatisation, with support to engage with priority populations</w:t>
      </w:r>
    </w:p>
    <w:p w14:paraId="593A870C" w14:textId="77777777" w:rsidR="00BC6B27" w:rsidRPr="00BC6B27" w:rsidRDefault="00BA2AA8" w:rsidP="00BA2AA8">
      <w:pPr>
        <w:pStyle w:val="Bullet"/>
      </w:pPr>
      <w:r>
        <w:t>y</w:t>
      </w:r>
      <w:r w:rsidR="007179EA" w:rsidRPr="00BC6B27">
        <w:t>oung people/rangatahi as a new priority population</w:t>
      </w:r>
    </w:p>
    <w:p w14:paraId="355BAD61" w14:textId="77777777" w:rsidR="007179EA" w:rsidRDefault="00BA2AA8" w:rsidP="00BA2AA8">
      <w:pPr>
        <w:pStyle w:val="Bullet"/>
      </w:pPr>
      <w:r>
        <w:t>a</w:t>
      </w:r>
      <w:r w:rsidR="007179EA" w:rsidRPr="00BC6B27">
        <w:t>dditional support for the MVE service</w:t>
      </w:r>
      <w:r>
        <w:t>.</w:t>
      </w:r>
    </w:p>
    <w:p w14:paraId="191729CC" w14:textId="77777777" w:rsidR="00BA2AA8" w:rsidRPr="00BC6B27" w:rsidRDefault="00BA2AA8" w:rsidP="00BA2AA8"/>
    <w:p w14:paraId="28AB3C7F" w14:textId="77777777" w:rsidR="007179EA" w:rsidRPr="00CA74BB" w:rsidRDefault="007179EA" w:rsidP="00BA2AA8">
      <w:pPr>
        <w:pStyle w:val="Heading3"/>
      </w:pPr>
      <w:r w:rsidRPr="00CA74BB">
        <w:t>Primary prevention public health services</w:t>
      </w:r>
      <w:bookmarkEnd w:id="181"/>
      <w:bookmarkEnd w:id="182"/>
    </w:p>
    <w:p w14:paraId="4C3C8F41" w14:textId="77777777" w:rsidR="007179EA" w:rsidRDefault="007179EA" w:rsidP="00BA2AA8">
      <w:r>
        <w:t xml:space="preserve">The Ministry will tender for new service contracts to begin on 1 July 2022, aligning with the new levy period. We intend to standardise the </w:t>
      </w:r>
      <w:r w:rsidRPr="00F72E06">
        <w:t>FTE rates across providers</w:t>
      </w:r>
      <w:r>
        <w:t xml:space="preserve"> of </w:t>
      </w:r>
      <w:r w:rsidRPr="00F72E06">
        <w:t>public health gambling harm services</w:t>
      </w:r>
      <w:r>
        <w:t>. This will</w:t>
      </w:r>
      <w:r w:rsidRPr="00F72E06">
        <w:t xml:space="preserve"> </w:t>
      </w:r>
      <w:r>
        <w:t>follow a review of the geographical distribution of funding for public health services, to prioritise funding more equitably towards areas experiencing higher levels of gambling harm and with higher Māori, Pacific and Asian populations. The Ministry will continue to support culturally appropriate community engagement through the funding of culturally responsive public health services.</w:t>
      </w:r>
    </w:p>
    <w:p w14:paraId="4A509684" w14:textId="77777777" w:rsidR="00BA2AA8" w:rsidRDefault="00BA2AA8" w:rsidP="00BA2AA8"/>
    <w:p w14:paraId="10AB20FF" w14:textId="77777777" w:rsidR="007179EA" w:rsidRPr="00483631" w:rsidRDefault="007179EA" w:rsidP="00BA2AA8">
      <w:pPr>
        <w:pStyle w:val="Heading3"/>
      </w:pPr>
      <w:bookmarkStart w:id="186" w:name="_Toc78882291"/>
      <w:r w:rsidRPr="00483631">
        <w:lastRenderedPageBreak/>
        <w:t>Workforce development (public health)</w:t>
      </w:r>
      <w:bookmarkEnd w:id="186"/>
    </w:p>
    <w:p w14:paraId="101D7E5A" w14:textId="77777777" w:rsidR="007179EA" w:rsidRDefault="007179EA" w:rsidP="00BA2AA8">
      <w:pPr>
        <w:keepNext/>
      </w:pPr>
      <w:r>
        <w:t>The Ministry will continue to fund workforce development for the gambling-harm public health workforce.</w:t>
      </w:r>
    </w:p>
    <w:p w14:paraId="56850083" w14:textId="77777777" w:rsidR="007179EA" w:rsidRDefault="007179EA" w:rsidP="00BA2AA8">
      <w:pPr>
        <w:keepNext/>
      </w:pPr>
    </w:p>
    <w:p w14:paraId="477175CF" w14:textId="77777777" w:rsidR="007179EA" w:rsidRDefault="007179EA" w:rsidP="002A2CA5">
      <w:pPr>
        <w:keepNext/>
        <w:keepLines/>
      </w:pPr>
      <w:r>
        <w:t xml:space="preserve">The core competencies (including cultural competencies) for the public health workforce are identified in the </w:t>
      </w:r>
      <w:r w:rsidRPr="006D2580">
        <w:t>Core Competencies for the Preventing and Minimising Gambling Harm Public Health Workforce</w:t>
      </w:r>
      <w:r>
        <w:t>.</w:t>
      </w:r>
      <w:r w:rsidRPr="00BA2AA8">
        <w:rPr>
          <w:rStyle w:val="FootnoteReference"/>
        </w:rPr>
        <w:footnoteReference w:id="59"/>
      </w:r>
      <w:r>
        <w:t xml:space="preserve"> These tools are available to enable the public health workforce to assess their competency levels as well as associated training and development needs.</w:t>
      </w:r>
    </w:p>
    <w:p w14:paraId="66C16655" w14:textId="77777777" w:rsidR="007179EA" w:rsidRDefault="007179EA" w:rsidP="00BA2AA8"/>
    <w:p w14:paraId="247FA671" w14:textId="77777777" w:rsidR="007179EA" w:rsidRDefault="007179EA" w:rsidP="00BA2AA8">
      <w:r>
        <w:t>In addition, we will commission training and support to build workforce competence in delivering public health activity that aligns to the following five PMGH public health areas:</w:t>
      </w:r>
    </w:p>
    <w:p w14:paraId="5021158A" w14:textId="77777777" w:rsidR="007179EA" w:rsidRPr="006D2580" w:rsidRDefault="007179EA" w:rsidP="00BA2AA8">
      <w:pPr>
        <w:pStyle w:val="Bullet"/>
      </w:pPr>
      <w:r w:rsidRPr="006D2580">
        <w:t>Policy Development and Implementation</w:t>
      </w:r>
    </w:p>
    <w:p w14:paraId="20443CD5" w14:textId="77777777" w:rsidR="007179EA" w:rsidRPr="006D2580" w:rsidRDefault="007179EA" w:rsidP="00BA2AA8">
      <w:pPr>
        <w:pStyle w:val="Bullet"/>
      </w:pPr>
      <w:r w:rsidRPr="006D2580">
        <w:t>Safe Gambling Environments</w:t>
      </w:r>
    </w:p>
    <w:p w14:paraId="74DE67DB" w14:textId="77777777" w:rsidR="007179EA" w:rsidRPr="006D2580" w:rsidRDefault="007179EA" w:rsidP="00BA2AA8">
      <w:pPr>
        <w:pStyle w:val="Bullet"/>
      </w:pPr>
      <w:r w:rsidRPr="006D2580">
        <w:t>Supportive Communities</w:t>
      </w:r>
    </w:p>
    <w:p w14:paraId="13432A68" w14:textId="77777777" w:rsidR="007179EA" w:rsidRPr="006D2580" w:rsidRDefault="007179EA" w:rsidP="00BA2AA8">
      <w:pPr>
        <w:pStyle w:val="Bullet"/>
      </w:pPr>
      <w:r w:rsidRPr="006D2580">
        <w:t>Aware and Motivated Communities</w:t>
      </w:r>
    </w:p>
    <w:p w14:paraId="12BE9659" w14:textId="77777777" w:rsidR="007179EA" w:rsidRPr="006D2580" w:rsidRDefault="007179EA" w:rsidP="00BA2AA8">
      <w:pPr>
        <w:pStyle w:val="Bullet"/>
      </w:pPr>
      <w:r w:rsidRPr="006D2580">
        <w:t>Effective Screening Environments.</w:t>
      </w:r>
    </w:p>
    <w:p w14:paraId="349AA182" w14:textId="77777777" w:rsidR="007179EA" w:rsidRDefault="007179EA" w:rsidP="00BA2AA8"/>
    <w:p w14:paraId="2B32D584" w14:textId="77777777" w:rsidR="007179EA" w:rsidRDefault="007179EA" w:rsidP="00BA2AA8">
      <w:r>
        <w:t>The public health workforce will be expected to demonstrate their competence and capability throughout their work. This will include an emphasis on understanding different world views through cultural competence training, including their ability to work with Māori, Pacific and Asian communities and rangatahi.</w:t>
      </w:r>
    </w:p>
    <w:p w14:paraId="5835E1E6" w14:textId="77777777" w:rsidR="00BA2AA8" w:rsidRPr="00BA2AA8" w:rsidRDefault="00BA2AA8" w:rsidP="00BA2AA8"/>
    <w:p w14:paraId="26281032" w14:textId="77777777" w:rsidR="007179EA" w:rsidRPr="00483631" w:rsidRDefault="007179EA" w:rsidP="00BA2AA8">
      <w:pPr>
        <w:pStyle w:val="Heading3"/>
      </w:pPr>
      <w:bookmarkStart w:id="187" w:name="_Toc78882292"/>
      <w:r w:rsidRPr="00483631">
        <w:t>Awareness and education programme</w:t>
      </w:r>
      <w:bookmarkEnd w:id="187"/>
    </w:p>
    <w:p w14:paraId="6A020742" w14:textId="77777777" w:rsidR="00BC6B27" w:rsidRDefault="007179EA" w:rsidP="00BA2AA8">
      <w:r>
        <w:t>The Ministry will continue to invest in a health promotion programme to raise awareness and educate people about the signs and risks of harmful gambling and how they can respond and seek help. We expect that this will build on work being delivered under the current strategy led by Te Hiringa Hauora (described earlier).</w:t>
      </w:r>
    </w:p>
    <w:p w14:paraId="6ADD588C" w14:textId="77777777" w:rsidR="007179EA" w:rsidRDefault="007179EA" w:rsidP="00BA2AA8"/>
    <w:p w14:paraId="489AF070" w14:textId="77777777" w:rsidR="007179EA" w:rsidRDefault="007179EA" w:rsidP="00BA2AA8">
      <w:r>
        <w:t>Key priorities for the new levy period will include:</w:t>
      </w:r>
    </w:p>
    <w:p w14:paraId="7B06E302" w14:textId="77777777" w:rsidR="00BC6B27" w:rsidRDefault="007179EA" w:rsidP="00BA2AA8">
      <w:pPr>
        <w:pStyle w:val="Bullet"/>
      </w:pPr>
      <w:r w:rsidRPr="00483631">
        <w:t>improving awareness of gambling harm amongst Māori</w:t>
      </w:r>
      <w:r>
        <w:t xml:space="preserve"> and </w:t>
      </w:r>
      <w:r w:rsidRPr="00483631">
        <w:t>Pacific</w:t>
      </w:r>
      <w:r>
        <w:t xml:space="preserve"> peoples</w:t>
      </w:r>
      <w:r w:rsidRPr="00483631">
        <w:t xml:space="preserve">, Asian </w:t>
      </w:r>
      <w:r>
        <w:t xml:space="preserve">peoples </w:t>
      </w:r>
      <w:r w:rsidRPr="00483631">
        <w:t>and young people</w:t>
      </w:r>
      <w:r>
        <w:t>/rangatahi (see below)</w:t>
      </w:r>
      <w:r w:rsidRPr="00483631">
        <w:t xml:space="preserve">, including recognising </w:t>
      </w:r>
      <w:r>
        <w:t xml:space="preserve">the </w:t>
      </w:r>
      <w:r w:rsidRPr="00483631">
        <w:t>risk</w:t>
      </w:r>
      <w:r>
        <w:t>s</w:t>
      </w:r>
      <w:r w:rsidRPr="00483631">
        <w:t xml:space="preserve"> and signs of harmful gambling; enabling supportive conversations and challenging stigma; knowing how to see</w:t>
      </w:r>
      <w:r>
        <w:t>k</w:t>
      </w:r>
      <w:r w:rsidRPr="00483631">
        <w:t xml:space="preserve"> help and making positive behaviour and lifestyle changes</w:t>
      </w:r>
      <w:r>
        <w:t>. The focus on young people/ rangatahi is new and additional resources are proposed to develop appropriate supports.</w:t>
      </w:r>
    </w:p>
    <w:p w14:paraId="523FBA43" w14:textId="77777777" w:rsidR="00BC6B27" w:rsidRDefault="007179EA" w:rsidP="00BA2AA8">
      <w:pPr>
        <w:pStyle w:val="Bullet"/>
      </w:pPr>
      <w:r w:rsidRPr="00483631">
        <w:t>promoting the national Gambling Helpline and Asian Helpline</w:t>
      </w:r>
      <w:r>
        <w:t>;</w:t>
      </w:r>
      <w:r w:rsidRPr="00483631">
        <w:t xml:space="preserve"> face-to-face services and the rebranded national gambling campaign Safer Gambling Aotearoa (previously Choice </w:t>
      </w:r>
      <w:r>
        <w:t>N</w:t>
      </w:r>
      <w:r w:rsidRPr="00483631">
        <w:t>ot Chance)</w:t>
      </w:r>
    </w:p>
    <w:p w14:paraId="71D983F7" w14:textId="77777777" w:rsidR="007179EA" w:rsidRPr="00483631" w:rsidRDefault="007179EA" w:rsidP="00BA2AA8">
      <w:pPr>
        <w:pStyle w:val="Bullet"/>
        <w:keepNext/>
      </w:pPr>
      <w:r w:rsidRPr="00483631">
        <w:lastRenderedPageBreak/>
        <w:t>developing potential self-help digital tools to improve access to relevant information, help and online support</w:t>
      </w:r>
    </w:p>
    <w:p w14:paraId="40A87C96" w14:textId="77777777" w:rsidR="007179EA" w:rsidRDefault="007179EA" w:rsidP="00BA2AA8">
      <w:pPr>
        <w:pStyle w:val="Bullet"/>
      </w:pPr>
      <w:r>
        <w:t>improving</w:t>
      </w:r>
      <w:r w:rsidRPr="00483631">
        <w:t xml:space="preserve"> gambling environments and host responsibilit</w:t>
      </w:r>
      <w:r>
        <w:t>ies</w:t>
      </w:r>
      <w:r w:rsidRPr="00483631">
        <w:t xml:space="preserve"> through online training and gamble host resources, including translations into </w:t>
      </w:r>
      <w:r>
        <w:t xml:space="preserve">te reo </w:t>
      </w:r>
      <w:r w:rsidRPr="00483631">
        <w:t>Māori</w:t>
      </w:r>
      <w:r>
        <w:t xml:space="preserve">, </w:t>
      </w:r>
      <w:r w:rsidRPr="00483631">
        <w:t>Pacific</w:t>
      </w:r>
      <w:r>
        <w:t>,</w:t>
      </w:r>
      <w:r w:rsidRPr="00483631">
        <w:t xml:space="preserve"> and Asian languages.</w:t>
      </w:r>
      <w:r>
        <w:t xml:space="preserve"> Listening to</w:t>
      </w:r>
      <w:r w:rsidRPr="00483631">
        <w:t xml:space="preserve"> people with lived experience of gambling harm </w:t>
      </w:r>
      <w:r>
        <w:t>will help</w:t>
      </w:r>
      <w:r w:rsidRPr="00483631">
        <w:t xml:space="preserve"> identify barriers to service access and inform the design of better access to help-seeking services.</w:t>
      </w:r>
    </w:p>
    <w:p w14:paraId="1AC06907" w14:textId="77777777" w:rsidR="00BA2AA8" w:rsidRDefault="00BA2AA8" w:rsidP="00BA2AA8"/>
    <w:p w14:paraId="6289DF8C" w14:textId="77777777" w:rsidR="007179EA" w:rsidRDefault="007179EA" w:rsidP="00BA2AA8">
      <w:pPr>
        <w:pStyle w:val="Heading4"/>
      </w:pPr>
      <w:r>
        <w:t>Support for young people / rangatahi</w:t>
      </w:r>
    </w:p>
    <w:p w14:paraId="5E51EBED" w14:textId="77777777" w:rsidR="00BC6B27" w:rsidRDefault="007179EA" w:rsidP="00BA2AA8">
      <w:r>
        <w:t>As noted above, i</w:t>
      </w:r>
      <w:r w:rsidRPr="00344239">
        <w:t xml:space="preserve">n response to submissions, we propose to develop a public health approach to preventing and minimising gambling harm for young people/rangatahi, to be implemented in schools. For rangatahi, gambling is often associated with other harms including from substances and there is already work underway to address this. We therefore intend to maximise opportunities to work with existing approaches </w:t>
      </w:r>
      <w:r>
        <w:t xml:space="preserve">to prevent harm (from substance abuse) </w:t>
      </w:r>
      <w:r w:rsidRPr="00344239">
        <w:t>in the health and education settings</w:t>
      </w:r>
      <w:r>
        <w:t>.</w:t>
      </w:r>
    </w:p>
    <w:p w14:paraId="07D4DCC9" w14:textId="77777777" w:rsidR="00BA2AA8" w:rsidRDefault="00BA2AA8" w:rsidP="00BA2AA8"/>
    <w:p w14:paraId="0C26BDE6" w14:textId="77777777" w:rsidR="00BC6B27" w:rsidRDefault="007179EA" w:rsidP="00BA2AA8">
      <w:pPr>
        <w:pStyle w:val="Heading3"/>
      </w:pPr>
      <w:bookmarkStart w:id="188" w:name="_Toc78882293"/>
      <w:r w:rsidRPr="00483631">
        <w:t>De-stigmatisation initiative</w:t>
      </w:r>
      <w:bookmarkEnd w:id="188"/>
    </w:p>
    <w:p w14:paraId="454FE0D8" w14:textId="77777777" w:rsidR="00BC6B27" w:rsidRDefault="007179EA" w:rsidP="00BA2AA8">
      <w:r>
        <w:t>The Ministry proposes to commission a de-stigmatisation initiative, with a focus on priority populations, to address the stigma and discrimination experienced by people who experience gambling harm and enhance mana. This was highlighted in the 2021 needs assessment.</w:t>
      </w:r>
    </w:p>
    <w:p w14:paraId="24719277" w14:textId="77777777" w:rsidR="007179EA" w:rsidRDefault="007179EA" w:rsidP="00BA2AA8"/>
    <w:p w14:paraId="340CAA76" w14:textId="77777777" w:rsidR="007179EA" w:rsidRDefault="007179EA" w:rsidP="00BA2AA8">
      <w:r>
        <w:t>We recognise stigma comes in many forms and the concept of stigma itself may identified differently in different communities, however we are using stigma related to gambling harm to encompass the range of perspectives and cultural differences that deter people seeking help or accessing services and support. Stigma has many components and can be experienced at an individual, community or institutional level, or by association.</w:t>
      </w:r>
      <w:r w:rsidR="00BC6B27">
        <w:t xml:space="preserve"> </w:t>
      </w:r>
      <w:r>
        <w:t>For example, this may be experienced as feeling shame, losing face, low self-esteem, negative stereotyping and discriminatory behaviours. Similarly, families and friends may experience stigma by association or from the reaction of others.</w:t>
      </w:r>
    </w:p>
    <w:p w14:paraId="64F4326D" w14:textId="77777777" w:rsidR="007179EA" w:rsidRDefault="007179EA" w:rsidP="00BA2AA8"/>
    <w:p w14:paraId="073F7D55" w14:textId="77777777" w:rsidR="007179EA" w:rsidRDefault="007179EA" w:rsidP="00BA2AA8">
      <w:r w:rsidRPr="00C152C5">
        <w:t xml:space="preserve">Submissions </w:t>
      </w:r>
      <w:r>
        <w:t xml:space="preserve">confirmed </w:t>
      </w:r>
      <w:r w:rsidRPr="00C152C5">
        <w:t>stigma was a barrier to seeking help seeking for oneself or others, and deterred people from w</w:t>
      </w:r>
      <w:r>
        <w:t xml:space="preserve">orking in </w:t>
      </w:r>
      <w:r w:rsidRPr="00C152C5">
        <w:t xml:space="preserve">gambling harm services. </w:t>
      </w:r>
      <w:r>
        <w:t>Submissions from p</w:t>
      </w:r>
      <w:r w:rsidRPr="00C152C5">
        <w:t>riority populations, and people with lived experience</w:t>
      </w:r>
      <w:r>
        <w:t xml:space="preserve">, </w:t>
      </w:r>
      <w:r w:rsidRPr="00C152C5">
        <w:t xml:space="preserve">stressed </w:t>
      </w:r>
      <w:r>
        <w:t xml:space="preserve">that </w:t>
      </w:r>
      <w:r w:rsidRPr="00C152C5">
        <w:t xml:space="preserve">a </w:t>
      </w:r>
      <w:r w:rsidR="00BC6B27">
        <w:t>‘</w:t>
      </w:r>
      <w:r w:rsidRPr="00C152C5">
        <w:t>one size fits all</w:t>
      </w:r>
      <w:r w:rsidR="00BC6B27">
        <w:t>’</w:t>
      </w:r>
      <w:r w:rsidRPr="00C152C5">
        <w:t xml:space="preserve"> approach would fail</w:t>
      </w:r>
      <w:r>
        <w:t xml:space="preserve"> to meet their needs. There were calls to collaborate with Māori, Pacific, Asian and young people respectively, including with affected communities and people with lived experience, to really understand different cultural dynamics, barriers and influences that apply. This approach would identify cultural differences that are inherent within broad population groupings and allow for the initiatives to be targeted to meet these different needs.</w:t>
      </w:r>
    </w:p>
    <w:p w14:paraId="29B7D16A" w14:textId="77777777" w:rsidR="007179EA" w:rsidRDefault="007179EA" w:rsidP="00BA2AA8"/>
    <w:p w14:paraId="0BE99771" w14:textId="77777777" w:rsidR="00BC6B27" w:rsidRDefault="007179EA" w:rsidP="00BA2AA8">
      <w:pPr>
        <w:keepNext/>
        <w:keepLines/>
      </w:pPr>
      <w:r>
        <w:lastRenderedPageBreak/>
        <w:t>In response the Ministry proposes to increase the funding for the de-stigmatisation initiative to enable a focus on priority population groups designed in collaboration with people with lived experience, priority populations, affected communities and the gambling sector.</w:t>
      </w:r>
    </w:p>
    <w:p w14:paraId="1B638BEA" w14:textId="77777777" w:rsidR="007179EA" w:rsidRDefault="007179EA" w:rsidP="00BA2AA8"/>
    <w:p w14:paraId="54FB5CE2" w14:textId="77777777" w:rsidR="007179EA" w:rsidRDefault="007179EA" w:rsidP="00BA2AA8">
      <w:r>
        <w:t xml:space="preserve">We will work </w:t>
      </w:r>
      <w:r w:rsidRPr="008B36C5">
        <w:t xml:space="preserve">with Te Hiringa Hauora/Health Promotion Agency to ensure this work is developed </w:t>
      </w:r>
      <w:r>
        <w:t xml:space="preserve">in a way that meets the expectations of priority populations for </w:t>
      </w:r>
      <w:r w:rsidRPr="008B36C5">
        <w:t>more agile and targeted messaging</w:t>
      </w:r>
      <w:r>
        <w:t xml:space="preserve"> that </w:t>
      </w:r>
      <w:r w:rsidRPr="008B36C5">
        <w:t>is relevant and appropriate to specific communities</w:t>
      </w:r>
      <w:r>
        <w:t xml:space="preserve">. The funding will cover market research and engagement with affected communities to inform a second phase of </w:t>
      </w:r>
      <w:r w:rsidRPr="00435032">
        <w:rPr>
          <w:lang w:eastAsia="en-NZ"/>
        </w:rPr>
        <w:t>participatory design/co-construction</w:t>
      </w:r>
      <w:r>
        <w:t xml:space="preserve"> design to identify, develop, test and deliver age and culture appropriate messaging and approaches. This will be designed to challenge negative perceptions and stereotypes, to convey positive images of people who have gambling problems and encourage people to seek help from available services.</w:t>
      </w:r>
    </w:p>
    <w:p w14:paraId="4A2731E0" w14:textId="77777777" w:rsidR="007179EA" w:rsidRDefault="007179EA" w:rsidP="00BA2AA8"/>
    <w:p w14:paraId="5CB14E2B" w14:textId="77777777" w:rsidR="007179EA" w:rsidRDefault="007179EA" w:rsidP="00BA2AA8">
      <w:r>
        <w:t>This initiative is expected to build on and align with the public health messaging of the awareness and education programme but has additional resourcing to ensure effective and appropriate messaging is developed for different priority populations to challenging the stigmas relating to gambling harm as they affect each of their communities.</w:t>
      </w:r>
    </w:p>
    <w:p w14:paraId="1910A1C3" w14:textId="77777777" w:rsidR="00BA2AA8" w:rsidRDefault="00BA2AA8" w:rsidP="00BA2AA8"/>
    <w:p w14:paraId="2E1A7D06" w14:textId="77777777" w:rsidR="007179EA" w:rsidRPr="00483631" w:rsidRDefault="007179EA" w:rsidP="00BA2AA8">
      <w:pPr>
        <w:pStyle w:val="Heading3"/>
      </w:pPr>
      <w:bookmarkStart w:id="189" w:name="_Toc78882294"/>
      <w:r w:rsidRPr="00483631">
        <w:t xml:space="preserve">National </w:t>
      </w:r>
      <w:r>
        <w:t>Coordination Service</w:t>
      </w:r>
      <w:bookmarkEnd w:id="189"/>
    </w:p>
    <w:p w14:paraId="493B1816" w14:textId="77777777" w:rsidR="00BC6B27" w:rsidRDefault="007179EA" w:rsidP="00BA2AA8">
      <w:r>
        <w:t>The National Coordination Service (NCS) is a key support for services preventing and minimising gambling harm. It informs all service providers of significant developments, facilitates training opportunities, provides regular updates and administers an advisory group for infrastructure services.</w:t>
      </w:r>
      <w:r w:rsidR="00BC6B27">
        <w:t xml:space="preserve"> </w:t>
      </w:r>
      <w:r>
        <w:t>This group comprises representatives from the gambling harm sector with expertise of public health, counselling and lived experience, Māori, Pacific, Asian communities.</w:t>
      </w:r>
    </w:p>
    <w:p w14:paraId="7B17D3B6" w14:textId="77777777" w:rsidR="007179EA" w:rsidRDefault="007179EA" w:rsidP="00BA2AA8"/>
    <w:p w14:paraId="5C21F782" w14:textId="77777777" w:rsidR="007179EA" w:rsidRDefault="007179EA" w:rsidP="00BA2AA8">
      <w:r>
        <w:t>The Ministry acknowledges the needs assessment findings that all interviewed stakeholders felt there needed to be stronger partnerships and leadership through improved communication and engagement. The NCS will be one of the key mechanisms for enabling this.</w:t>
      </w:r>
    </w:p>
    <w:p w14:paraId="1E2122F3" w14:textId="77777777" w:rsidR="00BA2AA8" w:rsidRDefault="00BA2AA8" w:rsidP="00BA2AA8"/>
    <w:p w14:paraId="78468D41" w14:textId="77777777" w:rsidR="007179EA" w:rsidRPr="00483631" w:rsidRDefault="007179EA" w:rsidP="00BA2AA8">
      <w:pPr>
        <w:pStyle w:val="Heading3"/>
      </w:pPr>
      <w:bookmarkStart w:id="190" w:name="_Toc78882295"/>
      <w:r>
        <w:lastRenderedPageBreak/>
        <w:t xml:space="preserve">Gambling Harm </w:t>
      </w:r>
      <w:r w:rsidRPr="00483631">
        <w:t>Lived Experience Advisory Group</w:t>
      </w:r>
      <w:bookmarkEnd w:id="190"/>
    </w:p>
    <w:p w14:paraId="45A5F3AB" w14:textId="77777777" w:rsidR="007179EA" w:rsidRDefault="007179EA" w:rsidP="002A2CA5">
      <w:pPr>
        <w:keepNext/>
        <w:keepLines/>
      </w:pPr>
      <w:r>
        <w:t xml:space="preserve">The Ministry will continue to fund the Gambling Harm Lived Experience Advisory Group (previously referred to as the </w:t>
      </w:r>
      <w:r w:rsidR="00BC6B27">
        <w:t>‘</w:t>
      </w:r>
      <w:r>
        <w:t>consumer network</w:t>
      </w:r>
      <w:r w:rsidR="00BC6B27">
        <w:t>’</w:t>
      </w:r>
      <w:r>
        <w:t>). Established during the current strategy, this group will continue to inform service design, research and evaluation, and the education and awareness campaign through engagement with the Ministry and other agencies.</w:t>
      </w:r>
    </w:p>
    <w:p w14:paraId="0A81C71C" w14:textId="77777777" w:rsidR="00BA2AA8" w:rsidRDefault="00BA2AA8" w:rsidP="00BA2AA8">
      <w:pPr>
        <w:keepNext/>
      </w:pPr>
      <w:bookmarkStart w:id="191" w:name="_Hlk74145167"/>
    </w:p>
    <w:p w14:paraId="2FC02470" w14:textId="20E57DF0" w:rsidR="007179EA" w:rsidRDefault="007179EA" w:rsidP="002A2CA5">
      <w:pPr>
        <w:keepNext/>
        <w:keepLines/>
      </w:pPr>
      <w:r>
        <w:t xml:space="preserve">The indicative costs (see </w:t>
      </w:r>
      <w:r>
        <w:fldChar w:fldCharType="begin"/>
      </w:r>
      <w:r>
        <w:instrText xml:space="preserve"> REF _Ref80793260 \h </w:instrText>
      </w:r>
      <w:r>
        <w:fldChar w:fldCharType="separate"/>
      </w:r>
      <w:r w:rsidR="00451900">
        <w:t>Table </w:t>
      </w:r>
      <w:r w:rsidR="00451900">
        <w:rPr>
          <w:noProof/>
        </w:rPr>
        <w:t>6</w:t>
      </w:r>
      <w:r>
        <w:fldChar w:fldCharType="end"/>
      </w:r>
      <w:r>
        <w:t>) cover group travel, meeting, work activity and coordination costs. This proposal aligns with the Ministry</w:t>
      </w:r>
      <w:r w:rsidR="00BC6B27">
        <w:t>’</w:t>
      </w:r>
      <w:r>
        <w:t>s Mental Health and Addiction Directorate commitment to encourage lived experience participation and strengthen their networks, reach and influence.</w:t>
      </w:r>
    </w:p>
    <w:p w14:paraId="7942970E" w14:textId="77777777" w:rsidR="00BA2AA8" w:rsidRDefault="00BA2AA8" w:rsidP="00BA2AA8"/>
    <w:p w14:paraId="0AA9E109" w14:textId="77777777" w:rsidR="007179EA" w:rsidRPr="00483631" w:rsidRDefault="007179EA" w:rsidP="00BA2AA8">
      <w:pPr>
        <w:pStyle w:val="Heading3"/>
      </w:pPr>
      <w:bookmarkStart w:id="192" w:name="_Toc78882296"/>
      <w:bookmarkEnd w:id="191"/>
      <w:r w:rsidRPr="00483631">
        <w:t>Multi-</w:t>
      </w:r>
      <w:r>
        <w:t>v</w:t>
      </w:r>
      <w:r w:rsidRPr="00483631">
        <w:t xml:space="preserve">enue Exclusion Administration Service and </w:t>
      </w:r>
      <w:r>
        <w:t>d</w:t>
      </w:r>
      <w:r w:rsidRPr="00483631">
        <w:t>atabase</w:t>
      </w:r>
      <w:bookmarkEnd w:id="192"/>
    </w:p>
    <w:p w14:paraId="322ACDF1" w14:textId="77777777" w:rsidR="007179EA" w:rsidRDefault="007179EA" w:rsidP="00BA2AA8">
      <w:r>
        <w:t xml:space="preserve">Established in 2018, the </w:t>
      </w:r>
      <w:r w:rsidR="00BA2AA8">
        <w:t>n</w:t>
      </w:r>
      <w:r>
        <w:t>ational Multi-venue Exclusion (MVE) Administration Service will continue to administer and coordinate the operation of the MVE process in Aotearoa New Zealand</w:t>
      </w:r>
      <w:r w:rsidR="00BA2AA8">
        <w:t>.</w:t>
      </w:r>
      <w:r w:rsidRPr="00BA2AA8">
        <w:rPr>
          <w:rStyle w:val="FootnoteReference"/>
        </w:rPr>
        <w:footnoteReference w:id="60"/>
      </w:r>
      <w:r>
        <w:t xml:space="preserve"> MVE enables an individual to self-exclude from multiple gambling venues. The administration service is essential for the continued effectiveness of the MVE process. It maintains working relationships with MVE stakeholders (including NCGM societies and venues, the supplier of the gambling exclusion electronic database, gambling harm service providers and DIA).</w:t>
      </w:r>
    </w:p>
    <w:p w14:paraId="2F2B6ED1" w14:textId="77777777" w:rsidR="007179EA" w:rsidRDefault="007179EA" w:rsidP="00BA2AA8"/>
    <w:p w14:paraId="304720B8" w14:textId="77777777" w:rsidR="007179EA" w:rsidRDefault="007179EA" w:rsidP="00BA2AA8">
      <w:r>
        <w:t>Alongside the MVE service, the Ministry will continue to fund an electronic database to serve as a central repository for all venue exclusions. The database that is being trialled, went live on 20 July 2020. As its key user, the MVE service will continue to work closely with the database supplier and maintain links with other users. Both services are contingent on each other</w:t>
      </w:r>
      <w:r w:rsidR="00BC6B27">
        <w:t>’</w:t>
      </w:r>
      <w:r>
        <w:t>s operations for the successful management of the MVE process in Aotearoa New Zealand.</w:t>
      </w:r>
    </w:p>
    <w:p w14:paraId="33BEEFB0" w14:textId="77777777" w:rsidR="00BA2AA8" w:rsidRDefault="00BA2AA8" w:rsidP="00BA2AA8"/>
    <w:p w14:paraId="3EFDF94C" w14:textId="77777777" w:rsidR="007179EA" w:rsidRPr="00483631" w:rsidRDefault="007179EA" w:rsidP="00BA2AA8">
      <w:pPr>
        <w:pStyle w:val="Heading3"/>
      </w:pPr>
      <w:bookmarkStart w:id="193" w:name="_Toc78882297"/>
      <w:r w:rsidRPr="00483631">
        <w:t>Conference support</w:t>
      </w:r>
      <w:bookmarkEnd w:id="193"/>
    </w:p>
    <w:p w14:paraId="3051A197" w14:textId="77777777" w:rsidR="007179EA" w:rsidRDefault="007179EA" w:rsidP="00BA2AA8">
      <w:r>
        <w:t xml:space="preserve">The Ministry contributes part funding for a biennial international gambling conference held in Aotearoa New Zealand as well as an associated international think tank. The conference had been planned to take place in June 2020 but was postponed due to </w:t>
      </w:r>
      <w:r w:rsidR="001461C6">
        <w:t>COVID</w:t>
      </w:r>
      <w:r w:rsidR="001461C6">
        <w:noBreakHyphen/>
        <w:t>19</w:t>
      </w:r>
      <w:r>
        <w:t>. The next conference will be held in 2022, funded under the current levy period.</w:t>
      </w:r>
    </w:p>
    <w:p w14:paraId="46B0F48C" w14:textId="77777777" w:rsidR="007179EA" w:rsidRDefault="007179EA" w:rsidP="00BA2AA8"/>
    <w:p w14:paraId="0DA27EC5" w14:textId="77777777" w:rsidR="007179EA" w:rsidRDefault="007179EA" w:rsidP="000C7AB0">
      <w:pPr>
        <w:keepNext/>
      </w:pPr>
      <w:r>
        <w:lastRenderedPageBreak/>
        <w:t>The Ministry intends to continue to contribute to the costs of hosting this biennial conference. The indicative budget includes $80,000 for the Ministry</w:t>
      </w:r>
      <w:r w:rsidR="00BC6B27">
        <w:t>’</w:t>
      </w:r>
      <w:r>
        <w:t>s contribution towards the costs of the conference and think tank expected to take place in 2024.</w:t>
      </w:r>
    </w:p>
    <w:p w14:paraId="2DE6123A" w14:textId="77777777" w:rsidR="007179EA" w:rsidRDefault="007179EA" w:rsidP="000C7AB0">
      <w:pPr>
        <w:keepNext/>
      </w:pPr>
    </w:p>
    <w:p w14:paraId="6E55F98F" w14:textId="77777777" w:rsidR="007179EA" w:rsidRDefault="007179EA" w:rsidP="000C7AB0">
      <w:r>
        <w:t>Holding international conferences on gambling harm in Aotearoa New Zealand promotes the country as a world leader in preventing and minimising gambling harm. It also enables practitioners, researchers, industry representatives and government officials from around the world to meet and exchange ideas specific to gambling harm. The needs assessment highlighted the need for effective leadership and partnerships to improve the coordination of the gambling sector and strengthen internal communication and collaboration. Some participants in the conference recognised the think tank and conference as providing a forum and opportunity for shared and collective collaboration.</w:t>
      </w:r>
    </w:p>
    <w:p w14:paraId="7353CF84" w14:textId="77777777" w:rsidR="000C7AB0" w:rsidRDefault="000C7AB0" w:rsidP="000C7AB0"/>
    <w:p w14:paraId="714D02CC" w14:textId="77777777" w:rsidR="007179EA" w:rsidRPr="00D14DF8" w:rsidRDefault="007179EA" w:rsidP="000C7AB0">
      <w:pPr>
        <w:pStyle w:val="Heading2"/>
      </w:pPr>
      <w:bookmarkStart w:id="194" w:name="_Toc78882298"/>
      <w:bookmarkStart w:id="195" w:name="_Toc80965854"/>
      <w:bookmarkStart w:id="196" w:name="_Toc89684400"/>
      <w:bookmarkStart w:id="197" w:name="_Toc90885056"/>
      <w:r>
        <w:t>Clinical</w:t>
      </w:r>
      <w:r w:rsidRPr="00D14DF8">
        <w:t xml:space="preserve"> intervention and support services</w:t>
      </w:r>
      <w:bookmarkEnd w:id="194"/>
      <w:bookmarkEnd w:id="195"/>
      <w:bookmarkEnd w:id="196"/>
      <w:bookmarkEnd w:id="197"/>
    </w:p>
    <w:p w14:paraId="32713217" w14:textId="77777777" w:rsidR="007179EA" w:rsidRDefault="007179EA" w:rsidP="000C7AB0">
      <w:r w:rsidRPr="00076CF6">
        <w:t xml:space="preserve">This section covers </w:t>
      </w:r>
      <w:bookmarkStart w:id="198" w:name="_Hlk89338132"/>
      <w:r w:rsidRPr="00076CF6">
        <w:t xml:space="preserve">services to treat and assist </w:t>
      </w:r>
      <w:r>
        <w:t>people affected by gambling harm including</w:t>
      </w:r>
      <w:r w:rsidRPr="00076CF6">
        <w:t xml:space="preserve"> families</w:t>
      </w:r>
      <w:r>
        <w:t>,</w:t>
      </w:r>
      <w:r w:rsidRPr="00076CF6">
        <w:t xml:space="preserve"> wh</w:t>
      </w:r>
      <w:r w:rsidRPr="00FA0B91">
        <w:t>ā</w:t>
      </w:r>
      <w:r w:rsidRPr="00076CF6">
        <w:t>nau</w:t>
      </w:r>
      <w:r>
        <w:t xml:space="preserve"> and affected others</w:t>
      </w:r>
      <w:bookmarkEnd w:id="198"/>
      <w:r w:rsidRPr="00076CF6">
        <w:t>.</w:t>
      </w:r>
    </w:p>
    <w:p w14:paraId="3B9B5813" w14:textId="77777777" w:rsidR="007179EA" w:rsidRDefault="007179EA" w:rsidP="000C7AB0"/>
    <w:p w14:paraId="518EA1D3" w14:textId="77777777" w:rsidR="007179EA" w:rsidRDefault="007179EA" w:rsidP="000C7AB0">
      <w:r>
        <w:t>The indicative budget for these servi</w:t>
      </w:r>
      <w:r w:rsidRPr="00BA2DF6">
        <w:t>ces is $</w:t>
      </w:r>
      <w:r w:rsidRPr="003D2E77">
        <w:t>3</w:t>
      </w:r>
      <w:r w:rsidRPr="00A730AD">
        <w:t>4.</w:t>
      </w:r>
      <w:r>
        <w:t>213</w:t>
      </w:r>
      <w:r w:rsidR="00046A83">
        <w:t> million</w:t>
      </w:r>
      <w:r>
        <w:t xml:space="preserve"> for the 2022/23–2024/25 period. Indicative priority areas for 2022/23 to 2024/25 are to:</w:t>
      </w:r>
    </w:p>
    <w:p w14:paraId="67E2FC15" w14:textId="77777777" w:rsidR="007179EA" w:rsidRPr="0003777A" w:rsidRDefault="007179EA" w:rsidP="000C7AB0">
      <w:pPr>
        <w:pStyle w:val="Bullet"/>
      </w:pPr>
      <w:r w:rsidRPr="0003777A">
        <w:t>deliver services that respon</w:t>
      </w:r>
      <w:r>
        <w:t>d</w:t>
      </w:r>
      <w:r w:rsidRPr="0003777A">
        <w:t xml:space="preserve"> to the needs of different population groups; in particular, those groups where there is strong evidence of inequality and inequity in gambling harm</w:t>
      </w:r>
    </w:p>
    <w:p w14:paraId="09EDA911" w14:textId="77777777" w:rsidR="007179EA" w:rsidRPr="0003777A" w:rsidRDefault="007179EA" w:rsidP="000C7AB0">
      <w:pPr>
        <w:pStyle w:val="Bullet"/>
      </w:pPr>
      <w:r w:rsidRPr="0003777A">
        <w:t>increase the FTE rate for gambling harm clinical intervention and support services to align with other Ministry-funded mental health and addiction clinical FTE rates</w:t>
      </w:r>
    </w:p>
    <w:p w14:paraId="7D7BB92E" w14:textId="77777777" w:rsidR="007179EA" w:rsidRDefault="007179EA" w:rsidP="000C7AB0">
      <w:pPr>
        <w:pStyle w:val="Bullet"/>
      </w:pPr>
      <w:r w:rsidRPr="0003777A">
        <w:t xml:space="preserve">continue to explore innovative ways to </w:t>
      </w:r>
      <w:r>
        <w:t>provide treatment for</w:t>
      </w:r>
      <w:r w:rsidRPr="0003777A">
        <w:t xml:space="preserve"> the whole person through joined-up gambling, drug, alcohol and mental health services</w:t>
      </w:r>
      <w:r w:rsidRPr="00A83586">
        <w:t xml:space="preserve"> </w:t>
      </w:r>
      <w:r>
        <w:t>(within the constraints of the levy regulations),</w:t>
      </w:r>
      <w:r w:rsidRPr="0003777A">
        <w:t xml:space="preserve"> for example, service approaches </w:t>
      </w:r>
      <w:r>
        <w:t>based on w</w:t>
      </w:r>
      <w:r w:rsidRPr="0003777A">
        <w:t>h</w:t>
      </w:r>
      <w:r>
        <w:t>ā</w:t>
      </w:r>
      <w:r w:rsidRPr="0003777A">
        <w:t xml:space="preserve">nau </w:t>
      </w:r>
      <w:r>
        <w:t>o</w:t>
      </w:r>
      <w:r w:rsidRPr="0003777A">
        <w:t>ra</w:t>
      </w:r>
      <w:r>
        <w:t>.</w:t>
      </w:r>
    </w:p>
    <w:p w14:paraId="0E7C08E8" w14:textId="77777777" w:rsidR="000C7AB0" w:rsidRDefault="000C7AB0" w:rsidP="000C7AB0"/>
    <w:p w14:paraId="476E7509" w14:textId="77777777" w:rsidR="00BC6B27" w:rsidRDefault="007179EA" w:rsidP="000C7AB0">
      <w:r>
        <w:t>There are also new ways of working proposed, detailed in the new services and innovation section, that will lead to improved clinical services. This will cover new service models to address inequities and gaps, develop the clinical and peer workforce, and to improve cultural responsiveness.</w:t>
      </w:r>
    </w:p>
    <w:p w14:paraId="738CC26B" w14:textId="77777777" w:rsidR="007179EA" w:rsidRPr="0003777A" w:rsidRDefault="007179EA" w:rsidP="000C7AB0"/>
    <w:p w14:paraId="7A0B6F24" w14:textId="2B02E9F6" w:rsidR="007179EA" w:rsidRDefault="000C7AB0" w:rsidP="000C7AB0">
      <w:pPr>
        <w:pStyle w:val="Table"/>
      </w:pPr>
      <w:bookmarkStart w:id="199" w:name="_Ref80793894"/>
      <w:bookmarkStart w:id="200" w:name="_Toc517091241"/>
      <w:bookmarkStart w:id="201" w:name="_Toc514838702"/>
      <w:bookmarkStart w:id="202" w:name="_Toc8398935"/>
      <w:bookmarkStart w:id="203" w:name="_Toc4156635"/>
      <w:bookmarkStart w:id="204" w:name="_Toc530487439"/>
      <w:bookmarkStart w:id="205" w:name="_Toc89335323"/>
      <w:bookmarkStart w:id="206" w:name="_Toc90626957"/>
      <w:r>
        <w:lastRenderedPageBreak/>
        <w:t>Table </w:t>
      </w:r>
      <w:fldSimple w:instr=" SEQ Table \* ARABIC ">
        <w:r w:rsidR="00451900">
          <w:rPr>
            <w:noProof/>
          </w:rPr>
          <w:t>7</w:t>
        </w:r>
      </w:fldSimple>
      <w:bookmarkEnd w:id="199"/>
      <w:r w:rsidR="007179EA">
        <w:t xml:space="preserve">: Intervention </w:t>
      </w:r>
      <w:r w:rsidR="007179EA" w:rsidRPr="00927967">
        <w:t>services</w:t>
      </w:r>
      <w:r w:rsidR="007179EA">
        <w:t xml:space="preserve"> budget (GST exclusive), by service area, 2022/23 to 2024/25</w:t>
      </w:r>
      <w:bookmarkEnd w:id="200"/>
      <w:bookmarkEnd w:id="201"/>
      <w:bookmarkEnd w:id="202"/>
      <w:bookmarkEnd w:id="203"/>
      <w:bookmarkEnd w:id="204"/>
      <w:bookmarkEnd w:id="205"/>
      <w:bookmarkEnd w:id="206"/>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687"/>
        <w:gridCol w:w="1099"/>
        <w:gridCol w:w="1100"/>
        <w:gridCol w:w="1099"/>
        <w:gridCol w:w="1100"/>
      </w:tblGrid>
      <w:tr w:rsidR="007179EA" w:rsidRPr="005D388B" w14:paraId="19C8B64B" w14:textId="77777777" w:rsidTr="000C7AB0">
        <w:trPr>
          <w:cantSplit/>
        </w:trPr>
        <w:tc>
          <w:tcPr>
            <w:tcW w:w="3687" w:type="dxa"/>
            <w:tcBorders>
              <w:top w:val="nil"/>
              <w:left w:val="nil"/>
              <w:bottom w:val="nil"/>
              <w:right w:val="nil"/>
            </w:tcBorders>
            <w:shd w:val="clear" w:color="auto" w:fill="D9D9D9" w:themeFill="background1" w:themeFillShade="D9"/>
            <w:noWrap/>
            <w:hideMark/>
          </w:tcPr>
          <w:p w14:paraId="23B3A40D" w14:textId="77777777" w:rsidR="007179EA" w:rsidRPr="005D388B" w:rsidRDefault="007179EA" w:rsidP="000C7AB0">
            <w:pPr>
              <w:pStyle w:val="TableText"/>
              <w:keepNext/>
              <w:rPr>
                <w:b/>
                <w:highlight w:val="yellow"/>
              </w:rPr>
            </w:pPr>
            <w:r w:rsidRPr="005D388B">
              <w:rPr>
                <w:b/>
              </w:rPr>
              <w:t>Service area</w:t>
            </w:r>
          </w:p>
        </w:tc>
        <w:tc>
          <w:tcPr>
            <w:tcW w:w="1099" w:type="dxa"/>
            <w:tcBorders>
              <w:top w:val="nil"/>
              <w:left w:val="nil"/>
              <w:bottom w:val="nil"/>
              <w:right w:val="nil"/>
            </w:tcBorders>
            <w:shd w:val="clear" w:color="auto" w:fill="D9D9D9" w:themeFill="background1" w:themeFillShade="D9"/>
            <w:noWrap/>
            <w:hideMark/>
          </w:tcPr>
          <w:p w14:paraId="3DA956D2" w14:textId="77777777" w:rsidR="007179EA" w:rsidRPr="005D388B" w:rsidRDefault="007179EA" w:rsidP="000C7AB0">
            <w:pPr>
              <w:pStyle w:val="TableText"/>
              <w:keepNext/>
              <w:jc w:val="center"/>
              <w:rPr>
                <w:b/>
                <w:highlight w:val="yellow"/>
              </w:rPr>
            </w:pPr>
            <w:r w:rsidRPr="005D388B">
              <w:rPr>
                <w:b/>
              </w:rPr>
              <w:t>2022/23</w:t>
            </w:r>
            <w:r w:rsidRPr="005D388B">
              <w:rPr>
                <w:b/>
              </w:rPr>
              <w:br/>
              <w:t>($m)</w:t>
            </w:r>
          </w:p>
        </w:tc>
        <w:tc>
          <w:tcPr>
            <w:tcW w:w="1100" w:type="dxa"/>
            <w:tcBorders>
              <w:top w:val="nil"/>
              <w:left w:val="nil"/>
              <w:bottom w:val="nil"/>
              <w:right w:val="nil"/>
            </w:tcBorders>
            <w:shd w:val="clear" w:color="auto" w:fill="D9D9D9" w:themeFill="background1" w:themeFillShade="D9"/>
            <w:noWrap/>
            <w:hideMark/>
          </w:tcPr>
          <w:p w14:paraId="247496CC" w14:textId="77777777" w:rsidR="007179EA" w:rsidRPr="005D388B" w:rsidRDefault="007179EA" w:rsidP="000C7AB0">
            <w:pPr>
              <w:pStyle w:val="TableText"/>
              <w:keepNext/>
              <w:jc w:val="center"/>
              <w:rPr>
                <w:b/>
                <w:highlight w:val="yellow"/>
              </w:rPr>
            </w:pPr>
            <w:r w:rsidRPr="005D388B">
              <w:rPr>
                <w:b/>
              </w:rPr>
              <w:t>2023/24</w:t>
            </w:r>
            <w:r w:rsidRPr="005D388B">
              <w:rPr>
                <w:b/>
              </w:rPr>
              <w:br/>
              <w:t>($m)</w:t>
            </w:r>
          </w:p>
        </w:tc>
        <w:tc>
          <w:tcPr>
            <w:tcW w:w="1099" w:type="dxa"/>
            <w:tcBorders>
              <w:top w:val="nil"/>
              <w:left w:val="nil"/>
              <w:bottom w:val="nil"/>
              <w:right w:val="nil"/>
            </w:tcBorders>
            <w:shd w:val="clear" w:color="auto" w:fill="D9D9D9" w:themeFill="background1" w:themeFillShade="D9"/>
            <w:noWrap/>
            <w:hideMark/>
          </w:tcPr>
          <w:p w14:paraId="27C9E827" w14:textId="77777777" w:rsidR="007179EA" w:rsidRPr="005D388B" w:rsidRDefault="007179EA" w:rsidP="000C7AB0">
            <w:pPr>
              <w:pStyle w:val="TableText"/>
              <w:keepNext/>
              <w:jc w:val="center"/>
              <w:rPr>
                <w:b/>
                <w:highlight w:val="yellow"/>
              </w:rPr>
            </w:pPr>
            <w:r w:rsidRPr="005D388B">
              <w:rPr>
                <w:b/>
              </w:rPr>
              <w:t>2024/25</w:t>
            </w:r>
            <w:r w:rsidRPr="005D388B">
              <w:rPr>
                <w:b/>
              </w:rPr>
              <w:br/>
              <w:t>($m)</w:t>
            </w:r>
          </w:p>
        </w:tc>
        <w:tc>
          <w:tcPr>
            <w:tcW w:w="1100" w:type="dxa"/>
            <w:tcBorders>
              <w:top w:val="nil"/>
              <w:left w:val="nil"/>
              <w:bottom w:val="nil"/>
              <w:right w:val="nil"/>
            </w:tcBorders>
            <w:shd w:val="clear" w:color="auto" w:fill="D9D9D9" w:themeFill="background1" w:themeFillShade="D9"/>
            <w:hideMark/>
          </w:tcPr>
          <w:p w14:paraId="07DBE40F" w14:textId="77777777" w:rsidR="007179EA" w:rsidRPr="005D388B" w:rsidRDefault="007179EA" w:rsidP="000C7AB0">
            <w:pPr>
              <w:pStyle w:val="TableText"/>
              <w:keepNext/>
              <w:jc w:val="center"/>
              <w:rPr>
                <w:b/>
                <w:highlight w:val="yellow"/>
              </w:rPr>
            </w:pPr>
            <w:r w:rsidRPr="005D388B">
              <w:rPr>
                <w:b/>
              </w:rPr>
              <w:t>Total</w:t>
            </w:r>
            <w:r w:rsidRPr="005D388B">
              <w:rPr>
                <w:b/>
              </w:rPr>
              <w:br/>
              <w:t>($m)</w:t>
            </w:r>
          </w:p>
        </w:tc>
      </w:tr>
      <w:tr w:rsidR="007179EA" w14:paraId="4B31631A" w14:textId="77777777" w:rsidTr="000C7AB0">
        <w:trPr>
          <w:cantSplit/>
        </w:trPr>
        <w:tc>
          <w:tcPr>
            <w:tcW w:w="3687" w:type="dxa"/>
            <w:tcBorders>
              <w:top w:val="nil"/>
              <w:left w:val="nil"/>
              <w:bottom w:val="single" w:sz="2" w:space="0" w:color="A6A6A6" w:themeColor="background1" w:themeShade="A6"/>
              <w:right w:val="nil"/>
            </w:tcBorders>
            <w:noWrap/>
            <w:hideMark/>
          </w:tcPr>
          <w:p w14:paraId="4406207B" w14:textId="77777777" w:rsidR="007179EA" w:rsidRPr="003D2E77" w:rsidRDefault="007179EA" w:rsidP="000C7AB0">
            <w:pPr>
              <w:pStyle w:val="TableText"/>
              <w:keepNext/>
            </w:pPr>
            <w:r w:rsidRPr="003D2E77">
              <w:t>Clinical interventions and support</w:t>
            </w:r>
          </w:p>
        </w:tc>
        <w:tc>
          <w:tcPr>
            <w:tcW w:w="1099" w:type="dxa"/>
            <w:tcBorders>
              <w:top w:val="nil"/>
              <w:left w:val="nil"/>
              <w:bottom w:val="single" w:sz="2" w:space="0" w:color="A6A6A6" w:themeColor="background1" w:themeShade="A6"/>
              <w:right w:val="nil"/>
            </w:tcBorders>
            <w:shd w:val="clear" w:color="auto" w:fill="FFFFFF" w:themeFill="background1"/>
            <w:noWrap/>
            <w:vAlign w:val="center"/>
            <w:hideMark/>
          </w:tcPr>
          <w:p w14:paraId="3A18E23B" w14:textId="77777777" w:rsidR="007179EA" w:rsidRPr="003D2E77" w:rsidRDefault="007179EA" w:rsidP="000C7AB0">
            <w:pPr>
              <w:pStyle w:val="TableText"/>
              <w:keepNext/>
              <w:tabs>
                <w:tab w:val="decimal" w:pos="392"/>
              </w:tabs>
            </w:pPr>
            <w:r w:rsidRPr="003D2E77">
              <w:t>9.256</w:t>
            </w:r>
          </w:p>
        </w:tc>
        <w:tc>
          <w:tcPr>
            <w:tcW w:w="1100" w:type="dxa"/>
            <w:tcBorders>
              <w:top w:val="nil"/>
              <w:left w:val="nil"/>
              <w:bottom w:val="single" w:sz="2" w:space="0" w:color="A6A6A6" w:themeColor="background1" w:themeShade="A6"/>
              <w:right w:val="nil"/>
            </w:tcBorders>
            <w:shd w:val="clear" w:color="auto" w:fill="FFFFFF" w:themeFill="background1"/>
            <w:noWrap/>
            <w:vAlign w:val="center"/>
            <w:hideMark/>
          </w:tcPr>
          <w:p w14:paraId="67ABB936" w14:textId="77777777" w:rsidR="007179EA" w:rsidRPr="003D2E77" w:rsidRDefault="007179EA" w:rsidP="000C7AB0">
            <w:pPr>
              <w:pStyle w:val="TableText"/>
              <w:keepNext/>
              <w:tabs>
                <w:tab w:val="decimal" w:pos="392"/>
              </w:tabs>
            </w:pPr>
            <w:r w:rsidRPr="003D2E77">
              <w:t>9.256</w:t>
            </w:r>
          </w:p>
        </w:tc>
        <w:tc>
          <w:tcPr>
            <w:tcW w:w="1099" w:type="dxa"/>
            <w:tcBorders>
              <w:top w:val="nil"/>
              <w:left w:val="nil"/>
              <w:bottom w:val="single" w:sz="2" w:space="0" w:color="A6A6A6" w:themeColor="background1" w:themeShade="A6"/>
              <w:right w:val="nil"/>
            </w:tcBorders>
            <w:shd w:val="clear" w:color="auto" w:fill="FFFFFF" w:themeFill="background1"/>
            <w:noWrap/>
            <w:vAlign w:val="center"/>
            <w:hideMark/>
          </w:tcPr>
          <w:p w14:paraId="41ED4D45" w14:textId="77777777" w:rsidR="007179EA" w:rsidRPr="003D2E77" w:rsidRDefault="007179EA" w:rsidP="000C7AB0">
            <w:pPr>
              <w:pStyle w:val="TableText"/>
              <w:keepNext/>
              <w:tabs>
                <w:tab w:val="decimal" w:pos="392"/>
              </w:tabs>
            </w:pPr>
            <w:r w:rsidRPr="003D2E77">
              <w:t>9.256</w:t>
            </w:r>
          </w:p>
        </w:tc>
        <w:tc>
          <w:tcPr>
            <w:tcW w:w="1100" w:type="dxa"/>
            <w:tcBorders>
              <w:top w:val="nil"/>
              <w:left w:val="nil"/>
              <w:bottom w:val="single" w:sz="2" w:space="0" w:color="A6A6A6" w:themeColor="background1" w:themeShade="A6"/>
              <w:right w:val="nil"/>
            </w:tcBorders>
            <w:vAlign w:val="center"/>
            <w:hideMark/>
          </w:tcPr>
          <w:p w14:paraId="47BA252F" w14:textId="77777777" w:rsidR="007179EA" w:rsidRPr="003D2E77" w:rsidRDefault="007179EA" w:rsidP="000C7AB0">
            <w:pPr>
              <w:pStyle w:val="TableText"/>
              <w:keepNext/>
              <w:tabs>
                <w:tab w:val="decimal" w:pos="392"/>
              </w:tabs>
            </w:pPr>
            <w:r w:rsidRPr="003D2E77">
              <w:t>2</w:t>
            </w:r>
            <w:r>
              <w:t>7.768</w:t>
            </w:r>
          </w:p>
        </w:tc>
      </w:tr>
      <w:tr w:rsidR="007179EA" w14:paraId="5248A748" w14:textId="77777777" w:rsidTr="000C7AB0">
        <w:trPr>
          <w:cantSplit/>
        </w:trPr>
        <w:tc>
          <w:tcPr>
            <w:tcW w:w="3687" w:type="dxa"/>
            <w:tcBorders>
              <w:top w:val="nil"/>
              <w:left w:val="nil"/>
              <w:bottom w:val="single" w:sz="2" w:space="0" w:color="A6A6A6" w:themeColor="background1" w:themeShade="A6"/>
              <w:right w:val="nil"/>
            </w:tcBorders>
            <w:noWrap/>
            <w:hideMark/>
          </w:tcPr>
          <w:p w14:paraId="40B3ACEB" w14:textId="77777777" w:rsidR="007179EA" w:rsidRPr="003D2E77" w:rsidRDefault="007179EA" w:rsidP="005B24AB">
            <w:pPr>
              <w:pStyle w:val="TableText"/>
            </w:pPr>
            <w:r w:rsidRPr="003D2E77">
              <w:t>Helpline and web-based services</w:t>
            </w:r>
            <w:r>
              <w:t xml:space="preserve"> (including new investment for digital services and support)</w:t>
            </w:r>
          </w:p>
        </w:tc>
        <w:tc>
          <w:tcPr>
            <w:tcW w:w="1099" w:type="dxa"/>
            <w:tcBorders>
              <w:top w:val="nil"/>
              <w:left w:val="nil"/>
              <w:bottom w:val="single" w:sz="2" w:space="0" w:color="A6A6A6" w:themeColor="background1" w:themeShade="A6"/>
              <w:right w:val="nil"/>
            </w:tcBorders>
            <w:shd w:val="clear" w:color="auto" w:fill="FFFFFF" w:themeFill="background1"/>
            <w:noWrap/>
            <w:vAlign w:val="center"/>
            <w:hideMark/>
          </w:tcPr>
          <w:p w14:paraId="47FD905B" w14:textId="77777777" w:rsidR="007179EA" w:rsidRPr="003D2E77" w:rsidRDefault="007179EA" w:rsidP="000C7AB0">
            <w:pPr>
              <w:pStyle w:val="TableText"/>
              <w:tabs>
                <w:tab w:val="decimal" w:pos="392"/>
              </w:tabs>
            </w:pPr>
            <w:r>
              <w:t>1.100</w:t>
            </w:r>
          </w:p>
        </w:tc>
        <w:tc>
          <w:tcPr>
            <w:tcW w:w="1100" w:type="dxa"/>
            <w:tcBorders>
              <w:top w:val="nil"/>
              <w:left w:val="nil"/>
              <w:bottom w:val="single" w:sz="2" w:space="0" w:color="A6A6A6" w:themeColor="background1" w:themeShade="A6"/>
              <w:right w:val="nil"/>
            </w:tcBorders>
            <w:shd w:val="clear" w:color="auto" w:fill="FFFFFF" w:themeFill="background1"/>
            <w:noWrap/>
            <w:vAlign w:val="center"/>
            <w:hideMark/>
          </w:tcPr>
          <w:p w14:paraId="6597DCDB" w14:textId="77777777" w:rsidR="007179EA" w:rsidRPr="003D2E77" w:rsidRDefault="007179EA" w:rsidP="000C7AB0">
            <w:pPr>
              <w:pStyle w:val="TableText"/>
              <w:tabs>
                <w:tab w:val="decimal" w:pos="392"/>
              </w:tabs>
            </w:pPr>
            <w:r>
              <w:t>2.100</w:t>
            </w:r>
          </w:p>
        </w:tc>
        <w:tc>
          <w:tcPr>
            <w:tcW w:w="1099" w:type="dxa"/>
            <w:tcBorders>
              <w:top w:val="nil"/>
              <w:left w:val="nil"/>
              <w:bottom w:val="single" w:sz="2" w:space="0" w:color="A6A6A6" w:themeColor="background1" w:themeShade="A6"/>
              <w:right w:val="nil"/>
            </w:tcBorders>
            <w:shd w:val="clear" w:color="auto" w:fill="FFFFFF" w:themeFill="background1"/>
            <w:noWrap/>
            <w:vAlign w:val="center"/>
            <w:hideMark/>
          </w:tcPr>
          <w:p w14:paraId="0E00A9AF" w14:textId="77777777" w:rsidR="007179EA" w:rsidRPr="003D2E77" w:rsidRDefault="007179EA" w:rsidP="000C7AB0">
            <w:pPr>
              <w:pStyle w:val="TableText"/>
              <w:tabs>
                <w:tab w:val="decimal" w:pos="392"/>
              </w:tabs>
            </w:pPr>
            <w:r>
              <w:t>2.600</w:t>
            </w:r>
          </w:p>
        </w:tc>
        <w:tc>
          <w:tcPr>
            <w:tcW w:w="1100" w:type="dxa"/>
            <w:tcBorders>
              <w:top w:val="nil"/>
              <w:left w:val="nil"/>
              <w:bottom w:val="single" w:sz="2" w:space="0" w:color="A6A6A6" w:themeColor="background1" w:themeShade="A6"/>
              <w:right w:val="nil"/>
            </w:tcBorders>
            <w:vAlign w:val="center"/>
            <w:hideMark/>
          </w:tcPr>
          <w:p w14:paraId="4A7A562C" w14:textId="77777777" w:rsidR="007179EA" w:rsidRPr="003D2E77" w:rsidRDefault="007179EA" w:rsidP="000C7AB0">
            <w:pPr>
              <w:pStyle w:val="TableText"/>
              <w:tabs>
                <w:tab w:val="decimal" w:pos="392"/>
              </w:tabs>
            </w:pPr>
            <w:r>
              <w:t>5.800</w:t>
            </w:r>
          </w:p>
        </w:tc>
      </w:tr>
      <w:tr w:rsidR="007179EA" w14:paraId="7129123E" w14:textId="77777777" w:rsidTr="000C7AB0">
        <w:trPr>
          <w:cantSplit/>
        </w:trPr>
        <w:tc>
          <w:tcPr>
            <w:tcW w:w="3687" w:type="dxa"/>
            <w:tcBorders>
              <w:top w:val="single" w:sz="2" w:space="0" w:color="A6A6A6" w:themeColor="background1" w:themeShade="A6"/>
              <w:left w:val="nil"/>
              <w:bottom w:val="single" w:sz="2" w:space="0" w:color="A6A6A6" w:themeColor="background1" w:themeShade="A6"/>
              <w:right w:val="nil"/>
            </w:tcBorders>
            <w:noWrap/>
            <w:hideMark/>
          </w:tcPr>
          <w:p w14:paraId="48465211" w14:textId="77777777" w:rsidR="007179EA" w:rsidRPr="003D2E77" w:rsidRDefault="007179EA" w:rsidP="005B24AB">
            <w:pPr>
              <w:pStyle w:val="TableText"/>
            </w:pPr>
            <w:r w:rsidRPr="003D2E77">
              <w:t>Data collection and reporting</w:t>
            </w:r>
          </w:p>
        </w:tc>
        <w:tc>
          <w:tcPr>
            <w:tcW w:w="1099" w:type="dxa"/>
            <w:tcBorders>
              <w:top w:val="single" w:sz="2" w:space="0" w:color="A6A6A6" w:themeColor="background1" w:themeShade="A6"/>
              <w:left w:val="nil"/>
              <w:bottom w:val="single" w:sz="2" w:space="0" w:color="A6A6A6" w:themeColor="background1" w:themeShade="A6"/>
              <w:right w:val="nil"/>
            </w:tcBorders>
            <w:noWrap/>
            <w:vAlign w:val="center"/>
            <w:hideMark/>
          </w:tcPr>
          <w:p w14:paraId="4CC73901" w14:textId="77777777" w:rsidR="007179EA" w:rsidRPr="003D2E77" w:rsidRDefault="007179EA" w:rsidP="000C7AB0">
            <w:pPr>
              <w:pStyle w:val="TableText"/>
              <w:tabs>
                <w:tab w:val="decimal" w:pos="392"/>
              </w:tabs>
            </w:pPr>
            <w:r w:rsidRPr="003D2E77">
              <w:t>0.015</w:t>
            </w:r>
          </w:p>
        </w:tc>
        <w:tc>
          <w:tcPr>
            <w:tcW w:w="1100" w:type="dxa"/>
            <w:tcBorders>
              <w:top w:val="single" w:sz="2" w:space="0" w:color="A6A6A6" w:themeColor="background1" w:themeShade="A6"/>
              <w:left w:val="nil"/>
              <w:bottom w:val="single" w:sz="2" w:space="0" w:color="A6A6A6" w:themeColor="background1" w:themeShade="A6"/>
              <w:right w:val="nil"/>
            </w:tcBorders>
            <w:noWrap/>
            <w:vAlign w:val="center"/>
            <w:hideMark/>
          </w:tcPr>
          <w:p w14:paraId="11E2CB9C" w14:textId="77777777" w:rsidR="007179EA" w:rsidRPr="003D2E77" w:rsidRDefault="007179EA" w:rsidP="000C7AB0">
            <w:pPr>
              <w:pStyle w:val="TableText"/>
              <w:tabs>
                <w:tab w:val="decimal" w:pos="392"/>
              </w:tabs>
            </w:pPr>
            <w:r w:rsidRPr="003D2E77">
              <w:t>0.015</w:t>
            </w:r>
          </w:p>
        </w:tc>
        <w:tc>
          <w:tcPr>
            <w:tcW w:w="1099" w:type="dxa"/>
            <w:tcBorders>
              <w:top w:val="single" w:sz="2" w:space="0" w:color="A6A6A6" w:themeColor="background1" w:themeShade="A6"/>
              <w:left w:val="nil"/>
              <w:bottom w:val="single" w:sz="2" w:space="0" w:color="A6A6A6" w:themeColor="background1" w:themeShade="A6"/>
              <w:right w:val="nil"/>
            </w:tcBorders>
            <w:noWrap/>
            <w:vAlign w:val="center"/>
            <w:hideMark/>
          </w:tcPr>
          <w:p w14:paraId="44A9D6E5" w14:textId="77777777" w:rsidR="007179EA" w:rsidRPr="003D2E77" w:rsidRDefault="007179EA" w:rsidP="000C7AB0">
            <w:pPr>
              <w:pStyle w:val="TableText"/>
              <w:tabs>
                <w:tab w:val="decimal" w:pos="392"/>
              </w:tabs>
            </w:pPr>
            <w:r w:rsidRPr="003D2E77">
              <w:t>0.015</w:t>
            </w:r>
          </w:p>
        </w:tc>
        <w:tc>
          <w:tcPr>
            <w:tcW w:w="1100" w:type="dxa"/>
            <w:tcBorders>
              <w:top w:val="single" w:sz="2" w:space="0" w:color="A6A6A6" w:themeColor="background1" w:themeShade="A6"/>
              <w:left w:val="nil"/>
              <w:bottom w:val="single" w:sz="2" w:space="0" w:color="A6A6A6" w:themeColor="background1" w:themeShade="A6"/>
              <w:right w:val="nil"/>
            </w:tcBorders>
            <w:vAlign w:val="center"/>
            <w:hideMark/>
          </w:tcPr>
          <w:p w14:paraId="42A5E403" w14:textId="77777777" w:rsidR="007179EA" w:rsidRPr="003D2E77" w:rsidRDefault="007179EA" w:rsidP="000C7AB0">
            <w:pPr>
              <w:pStyle w:val="TableText"/>
              <w:tabs>
                <w:tab w:val="decimal" w:pos="392"/>
              </w:tabs>
            </w:pPr>
            <w:r w:rsidRPr="003D2E77">
              <w:t>0.045</w:t>
            </w:r>
          </w:p>
        </w:tc>
      </w:tr>
      <w:tr w:rsidR="007179EA" w14:paraId="38A00FD3" w14:textId="77777777" w:rsidTr="000C7AB0">
        <w:trPr>
          <w:cantSplit/>
        </w:trPr>
        <w:tc>
          <w:tcPr>
            <w:tcW w:w="3687" w:type="dxa"/>
            <w:tcBorders>
              <w:top w:val="single" w:sz="2" w:space="0" w:color="A6A6A6" w:themeColor="background1" w:themeShade="A6"/>
              <w:left w:val="nil"/>
              <w:bottom w:val="single" w:sz="2" w:space="0" w:color="A6A6A6" w:themeColor="background1" w:themeShade="A6"/>
              <w:right w:val="nil"/>
            </w:tcBorders>
            <w:noWrap/>
            <w:hideMark/>
          </w:tcPr>
          <w:p w14:paraId="4FADB57B" w14:textId="77777777" w:rsidR="007179EA" w:rsidRPr="003D2E77" w:rsidRDefault="007179EA" w:rsidP="005B24AB">
            <w:pPr>
              <w:pStyle w:val="TableText"/>
            </w:pPr>
            <w:r w:rsidRPr="003D2E77">
              <w:t>Workforce development (clinical)</w:t>
            </w:r>
          </w:p>
        </w:tc>
        <w:tc>
          <w:tcPr>
            <w:tcW w:w="1099" w:type="dxa"/>
            <w:tcBorders>
              <w:top w:val="single" w:sz="2" w:space="0" w:color="A6A6A6" w:themeColor="background1" w:themeShade="A6"/>
              <w:left w:val="nil"/>
              <w:bottom w:val="single" w:sz="2" w:space="0" w:color="A6A6A6" w:themeColor="background1" w:themeShade="A6"/>
              <w:right w:val="nil"/>
            </w:tcBorders>
            <w:noWrap/>
            <w:vAlign w:val="center"/>
            <w:hideMark/>
          </w:tcPr>
          <w:p w14:paraId="56180B52" w14:textId="77777777" w:rsidR="007179EA" w:rsidRPr="003D2E77" w:rsidRDefault="007179EA" w:rsidP="000C7AB0">
            <w:pPr>
              <w:pStyle w:val="TableText"/>
              <w:tabs>
                <w:tab w:val="decimal" w:pos="392"/>
              </w:tabs>
            </w:pPr>
            <w:r w:rsidRPr="003D2E77">
              <w:t>0.200</w:t>
            </w:r>
          </w:p>
        </w:tc>
        <w:tc>
          <w:tcPr>
            <w:tcW w:w="1100" w:type="dxa"/>
            <w:tcBorders>
              <w:top w:val="single" w:sz="2" w:space="0" w:color="A6A6A6" w:themeColor="background1" w:themeShade="A6"/>
              <w:left w:val="nil"/>
              <w:bottom w:val="single" w:sz="2" w:space="0" w:color="A6A6A6" w:themeColor="background1" w:themeShade="A6"/>
              <w:right w:val="nil"/>
            </w:tcBorders>
            <w:noWrap/>
            <w:vAlign w:val="center"/>
            <w:hideMark/>
          </w:tcPr>
          <w:p w14:paraId="7377283F" w14:textId="77777777" w:rsidR="007179EA" w:rsidRPr="003D2E77" w:rsidRDefault="007179EA" w:rsidP="000C7AB0">
            <w:pPr>
              <w:pStyle w:val="TableText"/>
              <w:tabs>
                <w:tab w:val="decimal" w:pos="392"/>
              </w:tabs>
            </w:pPr>
            <w:r w:rsidRPr="003D2E77">
              <w:t>0.200</w:t>
            </w:r>
          </w:p>
        </w:tc>
        <w:tc>
          <w:tcPr>
            <w:tcW w:w="1099" w:type="dxa"/>
            <w:tcBorders>
              <w:top w:val="single" w:sz="2" w:space="0" w:color="A6A6A6" w:themeColor="background1" w:themeShade="A6"/>
              <w:left w:val="nil"/>
              <w:bottom w:val="single" w:sz="2" w:space="0" w:color="A6A6A6" w:themeColor="background1" w:themeShade="A6"/>
              <w:right w:val="nil"/>
            </w:tcBorders>
            <w:noWrap/>
            <w:vAlign w:val="center"/>
            <w:hideMark/>
          </w:tcPr>
          <w:p w14:paraId="3D4FE276" w14:textId="77777777" w:rsidR="007179EA" w:rsidRPr="003D2E77" w:rsidRDefault="007179EA" w:rsidP="000C7AB0">
            <w:pPr>
              <w:pStyle w:val="TableText"/>
              <w:tabs>
                <w:tab w:val="decimal" w:pos="392"/>
              </w:tabs>
            </w:pPr>
            <w:r w:rsidRPr="003D2E77">
              <w:t>0.200</w:t>
            </w:r>
          </w:p>
        </w:tc>
        <w:tc>
          <w:tcPr>
            <w:tcW w:w="1100" w:type="dxa"/>
            <w:tcBorders>
              <w:top w:val="single" w:sz="2" w:space="0" w:color="A6A6A6" w:themeColor="background1" w:themeShade="A6"/>
              <w:left w:val="nil"/>
              <w:bottom w:val="single" w:sz="2" w:space="0" w:color="A6A6A6" w:themeColor="background1" w:themeShade="A6"/>
              <w:right w:val="nil"/>
            </w:tcBorders>
            <w:vAlign w:val="center"/>
            <w:hideMark/>
          </w:tcPr>
          <w:p w14:paraId="3CAFA029" w14:textId="77777777" w:rsidR="007179EA" w:rsidRPr="003D2E77" w:rsidRDefault="007179EA" w:rsidP="000C7AB0">
            <w:pPr>
              <w:pStyle w:val="TableText"/>
              <w:tabs>
                <w:tab w:val="decimal" w:pos="392"/>
              </w:tabs>
            </w:pPr>
            <w:r w:rsidRPr="003D2E77">
              <w:t>0.600</w:t>
            </w:r>
          </w:p>
        </w:tc>
      </w:tr>
      <w:tr w:rsidR="007179EA" w:rsidRPr="005D388B" w14:paraId="6D920A59" w14:textId="77777777" w:rsidTr="000C7AB0">
        <w:trPr>
          <w:cantSplit/>
        </w:trPr>
        <w:tc>
          <w:tcPr>
            <w:tcW w:w="3687" w:type="dxa"/>
            <w:tcBorders>
              <w:top w:val="single" w:sz="2" w:space="0" w:color="A6A6A6" w:themeColor="background1" w:themeShade="A6"/>
              <w:left w:val="nil"/>
              <w:bottom w:val="single" w:sz="4" w:space="0" w:color="A6A6A6" w:themeColor="background1" w:themeShade="A6"/>
              <w:right w:val="nil"/>
            </w:tcBorders>
            <w:noWrap/>
            <w:hideMark/>
          </w:tcPr>
          <w:p w14:paraId="6F8BDDB4" w14:textId="77777777" w:rsidR="007179EA" w:rsidRPr="003D2E77" w:rsidRDefault="007179EA" w:rsidP="005B24AB">
            <w:pPr>
              <w:pStyle w:val="TableText"/>
              <w:rPr>
                <w:b/>
              </w:rPr>
            </w:pPr>
            <w:r w:rsidRPr="003D2E77">
              <w:rPr>
                <w:b/>
              </w:rPr>
              <w:t>Total ($m)</w:t>
            </w:r>
          </w:p>
        </w:tc>
        <w:tc>
          <w:tcPr>
            <w:tcW w:w="1099" w:type="dxa"/>
            <w:tcBorders>
              <w:top w:val="single" w:sz="2" w:space="0" w:color="A6A6A6" w:themeColor="background1" w:themeShade="A6"/>
              <w:left w:val="nil"/>
              <w:bottom w:val="single" w:sz="4" w:space="0" w:color="A6A6A6" w:themeColor="background1" w:themeShade="A6"/>
              <w:right w:val="nil"/>
            </w:tcBorders>
            <w:noWrap/>
            <w:hideMark/>
          </w:tcPr>
          <w:p w14:paraId="63C52A3D" w14:textId="77777777" w:rsidR="007179EA" w:rsidRPr="003D2E77" w:rsidRDefault="007179EA" w:rsidP="000C7AB0">
            <w:pPr>
              <w:pStyle w:val="TableText"/>
              <w:tabs>
                <w:tab w:val="decimal" w:pos="392"/>
              </w:tabs>
              <w:rPr>
                <w:b/>
                <w:bCs/>
              </w:rPr>
            </w:pPr>
            <w:r>
              <w:rPr>
                <w:b/>
                <w:bCs/>
              </w:rPr>
              <w:t>10.571</w:t>
            </w:r>
          </w:p>
        </w:tc>
        <w:tc>
          <w:tcPr>
            <w:tcW w:w="1100" w:type="dxa"/>
            <w:tcBorders>
              <w:top w:val="single" w:sz="2" w:space="0" w:color="A6A6A6" w:themeColor="background1" w:themeShade="A6"/>
              <w:left w:val="nil"/>
              <w:bottom w:val="single" w:sz="4" w:space="0" w:color="A6A6A6" w:themeColor="background1" w:themeShade="A6"/>
              <w:right w:val="nil"/>
            </w:tcBorders>
            <w:noWrap/>
            <w:hideMark/>
          </w:tcPr>
          <w:p w14:paraId="1DF25D13" w14:textId="77777777" w:rsidR="007179EA" w:rsidRPr="003D2E77" w:rsidRDefault="007179EA" w:rsidP="000C7AB0">
            <w:pPr>
              <w:pStyle w:val="TableText"/>
              <w:tabs>
                <w:tab w:val="decimal" w:pos="392"/>
              </w:tabs>
              <w:rPr>
                <w:b/>
                <w:bCs/>
              </w:rPr>
            </w:pPr>
            <w:r w:rsidRPr="003D2E77">
              <w:rPr>
                <w:b/>
                <w:bCs/>
              </w:rPr>
              <w:t>11.</w:t>
            </w:r>
            <w:r>
              <w:rPr>
                <w:b/>
                <w:bCs/>
              </w:rPr>
              <w:t>5</w:t>
            </w:r>
            <w:r w:rsidRPr="003D2E77">
              <w:rPr>
                <w:b/>
                <w:bCs/>
              </w:rPr>
              <w:t>71</w:t>
            </w:r>
          </w:p>
        </w:tc>
        <w:tc>
          <w:tcPr>
            <w:tcW w:w="1099" w:type="dxa"/>
            <w:tcBorders>
              <w:top w:val="single" w:sz="2" w:space="0" w:color="A6A6A6" w:themeColor="background1" w:themeShade="A6"/>
              <w:left w:val="nil"/>
              <w:bottom w:val="single" w:sz="4" w:space="0" w:color="A6A6A6" w:themeColor="background1" w:themeShade="A6"/>
              <w:right w:val="nil"/>
            </w:tcBorders>
            <w:noWrap/>
            <w:hideMark/>
          </w:tcPr>
          <w:p w14:paraId="75E95F7E" w14:textId="77777777" w:rsidR="007179EA" w:rsidRPr="003D2E77" w:rsidRDefault="007179EA" w:rsidP="000C7AB0">
            <w:pPr>
              <w:pStyle w:val="TableText"/>
              <w:tabs>
                <w:tab w:val="decimal" w:pos="392"/>
              </w:tabs>
              <w:rPr>
                <w:b/>
                <w:bCs/>
              </w:rPr>
            </w:pPr>
            <w:r>
              <w:rPr>
                <w:b/>
                <w:bCs/>
              </w:rPr>
              <w:t>12.071</w:t>
            </w:r>
          </w:p>
        </w:tc>
        <w:tc>
          <w:tcPr>
            <w:tcW w:w="1100" w:type="dxa"/>
            <w:tcBorders>
              <w:top w:val="single" w:sz="2" w:space="0" w:color="A6A6A6" w:themeColor="background1" w:themeShade="A6"/>
              <w:left w:val="nil"/>
              <w:bottom w:val="single" w:sz="4" w:space="0" w:color="A6A6A6" w:themeColor="background1" w:themeShade="A6"/>
              <w:right w:val="nil"/>
            </w:tcBorders>
            <w:hideMark/>
          </w:tcPr>
          <w:p w14:paraId="15014A74" w14:textId="77777777" w:rsidR="007179EA" w:rsidRPr="003D2E77" w:rsidRDefault="007179EA" w:rsidP="000C7AB0">
            <w:pPr>
              <w:pStyle w:val="TableText"/>
              <w:tabs>
                <w:tab w:val="decimal" w:pos="392"/>
              </w:tabs>
              <w:rPr>
                <w:b/>
                <w:bCs/>
              </w:rPr>
            </w:pPr>
            <w:r w:rsidRPr="003D2E77">
              <w:rPr>
                <w:b/>
                <w:bCs/>
              </w:rPr>
              <w:t>34.</w:t>
            </w:r>
            <w:r>
              <w:rPr>
                <w:b/>
                <w:bCs/>
              </w:rPr>
              <w:t>213</w:t>
            </w:r>
          </w:p>
        </w:tc>
      </w:tr>
    </w:tbl>
    <w:p w14:paraId="16A3D9BE" w14:textId="77777777" w:rsidR="007179EA" w:rsidRDefault="007179EA" w:rsidP="000C7AB0">
      <w:pPr>
        <w:pStyle w:val="Note"/>
      </w:pPr>
      <w:r>
        <w:t>Note: budget totals may not sum precisely due to rounding</w:t>
      </w:r>
      <w:r w:rsidR="000C7AB0">
        <w:t>.</w:t>
      </w:r>
    </w:p>
    <w:p w14:paraId="26E50699" w14:textId="77777777" w:rsidR="007179EA" w:rsidRDefault="007179EA" w:rsidP="000C7AB0"/>
    <w:p w14:paraId="3B3AD461" w14:textId="77777777" w:rsidR="00BC6B27" w:rsidRDefault="007179EA" w:rsidP="000C7AB0">
      <w:r w:rsidRPr="00CA74BB">
        <w:t>Key areas of new investment that described below include:</w:t>
      </w:r>
    </w:p>
    <w:p w14:paraId="5AF25AF0" w14:textId="77777777" w:rsidR="00BC6B27" w:rsidRPr="00BC6B27" w:rsidRDefault="000C7AB0" w:rsidP="000C7AB0">
      <w:pPr>
        <w:pStyle w:val="Bullet"/>
      </w:pPr>
      <w:r>
        <w:t>i</w:t>
      </w:r>
      <w:r w:rsidR="007179EA" w:rsidRPr="00BC6B27">
        <w:t>ncreasing FTE rates for clinical intervention services</w:t>
      </w:r>
    </w:p>
    <w:p w14:paraId="1E9790E4" w14:textId="77777777" w:rsidR="007179EA" w:rsidRDefault="000C7AB0" w:rsidP="000C7AB0">
      <w:pPr>
        <w:pStyle w:val="Bullet"/>
      </w:pPr>
      <w:r>
        <w:t>d</w:t>
      </w:r>
      <w:r w:rsidR="007179EA" w:rsidRPr="00BC6B27">
        <w:t>eveloping and expanding digital services and support</w:t>
      </w:r>
      <w:r>
        <w:t>.</w:t>
      </w:r>
    </w:p>
    <w:p w14:paraId="379E3D4A" w14:textId="77777777" w:rsidR="000C7AB0" w:rsidRPr="00BC6B27" w:rsidRDefault="000C7AB0" w:rsidP="000C7AB0"/>
    <w:p w14:paraId="4CA21E24" w14:textId="77777777" w:rsidR="007179EA" w:rsidRPr="00344239" w:rsidRDefault="007179EA" w:rsidP="002A2CA5">
      <w:pPr>
        <w:pStyle w:val="Heading3"/>
        <w:rPr>
          <w:rFonts w:eastAsiaTheme="majorEastAsia"/>
        </w:rPr>
      </w:pPr>
      <w:bookmarkStart w:id="207" w:name="_Toc78882299"/>
      <w:r w:rsidRPr="00344239">
        <w:rPr>
          <w:rFonts w:eastAsiaTheme="majorEastAsia"/>
        </w:rPr>
        <w:t>Clinical intervention and support</w:t>
      </w:r>
      <w:bookmarkEnd w:id="207"/>
    </w:p>
    <w:p w14:paraId="026B3841" w14:textId="77777777" w:rsidR="007179EA" w:rsidRDefault="007179EA" w:rsidP="002A2CA5">
      <w:r>
        <w:t>Clinical intervention and support services line includes a range of interventions delivered in a variety of settings (including prisons) to people who are experiencing gambling harm, including people who gamble and those affected by someone else</w:t>
      </w:r>
      <w:r w:rsidR="00BC6B27">
        <w:t>’</w:t>
      </w:r>
      <w:r>
        <w:t>s gambling.</w:t>
      </w:r>
    </w:p>
    <w:p w14:paraId="6659BBAD" w14:textId="77777777" w:rsidR="002A2CA5" w:rsidRDefault="002A2CA5" w:rsidP="002A2CA5"/>
    <w:p w14:paraId="1B81C02E" w14:textId="77777777" w:rsidR="007179EA" w:rsidRDefault="007179EA" w:rsidP="002A2CA5">
      <w:r>
        <w:t xml:space="preserve">The four core intervention areas are: brief intervention, full intervention (individual or group therapy), facilitation and follow-up services. </w:t>
      </w:r>
      <w:r w:rsidR="00BC6B27">
        <w:t>‘</w:t>
      </w:r>
      <w:r>
        <w:t>Brief intervention</w:t>
      </w:r>
      <w:r w:rsidR="00BC6B27">
        <w:t>’</w:t>
      </w:r>
      <w:r>
        <w:t xml:space="preserve"> in this context refers to brief screening for problems, typically in a non-clinical environment. This should not be confused with brief clinical interventions, for example, by telephone.</w:t>
      </w:r>
    </w:p>
    <w:p w14:paraId="5BB67781" w14:textId="77777777" w:rsidR="002A2CA5" w:rsidRDefault="002A2CA5" w:rsidP="002A2CA5"/>
    <w:p w14:paraId="0213850E" w14:textId="77777777" w:rsidR="00BC6B27" w:rsidRDefault="007179EA" w:rsidP="002A2CA5">
      <w:r w:rsidRPr="00344239">
        <w:t xml:space="preserve">We fund general services and dedicated Māori, Pacific and Asian services. All services are open to </w:t>
      </w:r>
      <w:r>
        <w:t>people</w:t>
      </w:r>
      <w:r w:rsidRPr="00344239">
        <w:t xml:space="preserve"> experiencing gambling harm. General services aim to minimise gambling-related harm for all members of the community and consider how to deliver appropriate services for Māori</w:t>
      </w:r>
      <w:r>
        <w:t xml:space="preserve"> and</w:t>
      </w:r>
      <w:r w:rsidRPr="00344239">
        <w:t xml:space="preserve"> Pacific peoples, Asian peoples and other priority population groups.</w:t>
      </w:r>
    </w:p>
    <w:p w14:paraId="41E420DC" w14:textId="77777777" w:rsidR="002A2CA5" w:rsidRDefault="002A2CA5" w:rsidP="002A2CA5"/>
    <w:p w14:paraId="67CD694B" w14:textId="77777777" w:rsidR="007179EA" w:rsidRDefault="007179EA" w:rsidP="002A2CA5">
      <w:r>
        <w:t>We are committed to improving access to services for all people adversely affected by gambling. Services and activities designed to identify people who are experiencing harm are crucial in providing early prevention and intervention treatment. This approach enables us to work actively to minimise the impact harmful gambling has on individuals, their families and whānau, and affected others.</w:t>
      </w:r>
    </w:p>
    <w:p w14:paraId="4E4D5D21" w14:textId="77777777" w:rsidR="007179EA" w:rsidRDefault="007179EA" w:rsidP="002A2CA5"/>
    <w:p w14:paraId="08FA90A3" w14:textId="77777777" w:rsidR="007179EA" w:rsidRPr="00231C51" w:rsidRDefault="007179EA" w:rsidP="002A2CA5">
      <w:pPr>
        <w:keepNext/>
        <w:keepLines/>
      </w:pPr>
      <w:r>
        <w:lastRenderedPageBreak/>
        <w:t xml:space="preserve">We </w:t>
      </w:r>
      <w:r w:rsidRPr="0025674C">
        <w:t>acknowledge</w:t>
      </w:r>
      <w:r w:rsidRPr="00483631">
        <w:t xml:space="preserve"> the </w:t>
      </w:r>
      <w:r>
        <w:t>n</w:t>
      </w:r>
      <w:r w:rsidRPr="00483631">
        <w:t xml:space="preserve">eeds </w:t>
      </w:r>
      <w:r>
        <w:t>a</w:t>
      </w:r>
      <w:r w:rsidRPr="00483631">
        <w:t>ssessment</w:t>
      </w:r>
      <w:r w:rsidR="00BC6B27">
        <w:t>’</w:t>
      </w:r>
      <w:r w:rsidRPr="00483631">
        <w:t>s findings that services need to be</w:t>
      </w:r>
      <w:r>
        <w:t xml:space="preserve"> more</w:t>
      </w:r>
      <w:r w:rsidRPr="00483631">
        <w:t xml:space="preserve"> equitable, culturally </w:t>
      </w:r>
      <w:r>
        <w:t xml:space="preserve">responsive and </w:t>
      </w:r>
      <w:r w:rsidRPr="00483631">
        <w:t xml:space="preserve">safe. </w:t>
      </w:r>
      <w:r>
        <w:t>We</w:t>
      </w:r>
      <w:r w:rsidRPr="00483631">
        <w:t xml:space="preserve"> intend to re-tender for clinical intervention </w:t>
      </w:r>
      <w:r>
        <w:t>in early 2022</w:t>
      </w:r>
      <w:r w:rsidRPr="00483631">
        <w:t xml:space="preserve"> for contracts to begin with the new levy period on 1</w:t>
      </w:r>
      <w:r>
        <w:t> </w:t>
      </w:r>
      <w:r w:rsidRPr="00483631">
        <w:t>July 2022. This will include</w:t>
      </w:r>
      <w:r w:rsidRPr="002A31F4">
        <w:t xml:space="preserve"> </w:t>
      </w:r>
      <w:r>
        <w:t>u</w:t>
      </w:r>
      <w:r w:rsidRPr="00483631">
        <w:t>ndertaking Māori and Pacific tenders for Māori and Pacific services</w:t>
      </w:r>
      <w:r>
        <w:t xml:space="preserve"> as well as tenders</w:t>
      </w:r>
      <w:r w:rsidRPr="00483631">
        <w:t xml:space="preserve"> for general and Asian services</w:t>
      </w:r>
      <w:r>
        <w:t>.</w:t>
      </w:r>
    </w:p>
    <w:p w14:paraId="0F8B61EF" w14:textId="77777777" w:rsidR="007179EA" w:rsidRDefault="007179EA" w:rsidP="002A2CA5">
      <w:pPr>
        <w:keepNext/>
      </w:pPr>
    </w:p>
    <w:p w14:paraId="7138C172" w14:textId="77777777" w:rsidR="007179EA" w:rsidRPr="00344239" w:rsidRDefault="007179EA" w:rsidP="002A2CA5">
      <w:r>
        <w:t>We also intend to increase the FTE rate for gambling-harm intervention services to achieve parity with other Ministry-funded mental health and addiction services.</w:t>
      </w:r>
      <w:r w:rsidR="00BC6B27">
        <w:t xml:space="preserve"> </w:t>
      </w:r>
      <w:r w:rsidRPr="00344239">
        <w:t>This will help address long</w:t>
      </w:r>
      <w:r w:rsidRPr="00344239">
        <w:noBreakHyphen/>
        <w:t>standing issues in recruitment and retention in the gambling-harm sector and enable the development of a sustainable and quality workforce.</w:t>
      </w:r>
    </w:p>
    <w:p w14:paraId="29623863" w14:textId="77777777" w:rsidR="007179EA" w:rsidRDefault="007179EA" w:rsidP="002A2CA5"/>
    <w:p w14:paraId="3819FF1D" w14:textId="77777777" w:rsidR="007179EA" w:rsidRDefault="007179EA" w:rsidP="002A2CA5">
      <w:r>
        <w:t>We expect that clinical intervention services can be provided within prisons and youth justice facilities within Aotearoa New Zealand where possible and appropriate.</w:t>
      </w:r>
    </w:p>
    <w:p w14:paraId="585CCA82" w14:textId="77777777" w:rsidR="007179EA" w:rsidRDefault="007179EA" w:rsidP="002A2CA5"/>
    <w:p w14:paraId="7AD1C84C" w14:textId="77777777" w:rsidR="007179EA" w:rsidRDefault="007179EA" w:rsidP="002A2CA5">
      <w:pPr>
        <w:pStyle w:val="Heading3"/>
        <w:rPr>
          <w:rFonts w:eastAsiaTheme="majorEastAsia"/>
        </w:rPr>
      </w:pPr>
      <w:bookmarkStart w:id="208" w:name="_Toc78882300"/>
      <w:r w:rsidRPr="00A879A8">
        <w:rPr>
          <w:rFonts w:eastAsiaTheme="majorEastAsia"/>
        </w:rPr>
        <w:t>Helpline and web-based services</w:t>
      </w:r>
      <w:bookmarkEnd w:id="208"/>
    </w:p>
    <w:p w14:paraId="5CFDFB1A" w14:textId="77777777" w:rsidR="00BC6B27" w:rsidRDefault="007179EA" w:rsidP="002A2CA5">
      <w:r w:rsidRPr="002F602E">
        <w:t>Submissions from services, providers, NCGM and priority populations called for greater use of e-tools and emerging technologies</w:t>
      </w:r>
      <w:r>
        <w:t xml:space="preserve"> (applications)</w:t>
      </w:r>
      <w:r w:rsidRPr="002F602E">
        <w:t xml:space="preserve"> to address gambling harm and improve access to and choice of information, services, and support</w:t>
      </w:r>
      <w:r>
        <w:t>, for example in the context of making services more accessible, particularly for young people. In response, the Ministry proposes to allocate additional resources to expand the online supports and services available, which could include self-help tools.</w:t>
      </w:r>
    </w:p>
    <w:p w14:paraId="1696F914" w14:textId="77777777" w:rsidR="007179EA" w:rsidRDefault="007179EA" w:rsidP="002A2CA5"/>
    <w:p w14:paraId="38DE2592" w14:textId="77777777" w:rsidR="007179EA" w:rsidRDefault="007179EA" w:rsidP="002A2CA5">
      <w:r>
        <w:t>Helpline and web-based services provide:</w:t>
      </w:r>
    </w:p>
    <w:p w14:paraId="3D541972" w14:textId="77777777" w:rsidR="007179EA" w:rsidRPr="00483631" w:rsidRDefault="007179EA" w:rsidP="002A2CA5">
      <w:pPr>
        <w:pStyle w:val="Bullet"/>
      </w:pPr>
      <w:r w:rsidRPr="00483631">
        <w:t>information</w:t>
      </w:r>
    </w:p>
    <w:p w14:paraId="5E610839" w14:textId="77777777" w:rsidR="007179EA" w:rsidRPr="00483631" w:rsidRDefault="007179EA" w:rsidP="002A2CA5">
      <w:pPr>
        <w:pStyle w:val="Bullet"/>
      </w:pPr>
      <w:r w:rsidRPr="00483631">
        <w:t>access to intervention services for people</w:t>
      </w:r>
      <w:r>
        <w:t xml:space="preserve"> who are</w:t>
      </w:r>
      <w:r w:rsidRPr="00483631">
        <w:t xml:space="preserve"> unable </w:t>
      </w:r>
      <w:r>
        <w:t xml:space="preserve">or do not wish </w:t>
      </w:r>
      <w:r w:rsidRPr="00483631">
        <w:t>to access face-to-face services</w:t>
      </w:r>
    </w:p>
    <w:p w14:paraId="4B855C6E" w14:textId="77777777" w:rsidR="007179EA" w:rsidRPr="00483631" w:rsidRDefault="007179EA" w:rsidP="002A2CA5">
      <w:pPr>
        <w:pStyle w:val="Bullet"/>
      </w:pPr>
      <w:r w:rsidRPr="00483631">
        <w:t>referral to other gambling harm service providers</w:t>
      </w:r>
    </w:p>
    <w:p w14:paraId="5637CD1D" w14:textId="77777777" w:rsidR="007179EA" w:rsidRDefault="007179EA" w:rsidP="002A2CA5">
      <w:pPr>
        <w:pStyle w:val="Bullet"/>
      </w:pPr>
      <w:r w:rsidRPr="00483631">
        <w:t>information on self-help, peer-to-peer support options and assessment guides.</w:t>
      </w:r>
    </w:p>
    <w:p w14:paraId="35C4B39E" w14:textId="77777777" w:rsidR="002A2CA5" w:rsidRPr="00483631" w:rsidRDefault="002A2CA5" w:rsidP="002A2CA5"/>
    <w:p w14:paraId="562B8552" w14:textId="77777777" w:rsidR="007179EA" w:rsidRDefault="007179EA" w:rsidP="002A2CA5">
      <w:pPr>
        <w:pStyle w:val="Heading4"/>
      </w:pPr>
      <w:r>
        <w:t>Digital services and supports</w:t>
      </w:r>
    </w:p>
    <w:p w14:paraId="5EA67B38" w14:textId="77777777" w:rsidR="00BC6B27" w:rsidRDefault="007179EA" w:rsidP="002A2CA5">
      <w:r>
        <w:t xml:space="preserve">The Ministry proposes additional investment to </w:t>
      </w:r>
      <w:r w:rsidRPr="00B62804">
        <w:t>expan</w:t>
      </w:r>
      <w:r>
        <w:t xml:space="preserve">d and </w:t>
      </w:r>
      <w:r w:rsidRPr="00B62804">
        <w:rPr>
          <w:rFonts w:cs="Segoe UI"/>
        </w:rPr>
        <w:t>develop digital tools, services and (self-help) supports available online</w:t>
      </w:r>
      <w:r>
        <w:rPr>
          <w:rFonts w:cs="Segoe UI"/>
        </w:rPr>
        <w:t xml:space="preserve">. This would </w:t>
      </w:r>
      <w:r w:rsidRPr="00B62804">
        <w:rPr>
          <w:rFonts w:cs="Segoe UI"/>
        </w:rPr>
        <w:t>not extend to fund</w:t>
      </w:r>
      <w:r>
        <w:rPr>
          <w:rFonts w:cs="Segoe UI"/>
        </w:rPr>
        <w:t>ing</w:t>
      </w:r>
      <w:r w:rsidRPr="00B62804">
        <w:rPr>
          <w:rFonts w:cs="Segoe UI"/>
        </w:rPr>
        <w:t xml:space="preserve"> hardware</w:t>
      </w:r>
      <w:r w:rsidRPr="00D57F57">
        <w:rPr>
          <w:rFonts w:cs="Segoe UI"/>
        </w:rPr>
        <w:t xml:space="preserve">. </w:t>
      </w:r>
      <w:r w:rsidRPr="002414F8">
        <w:t xml:space="preserve">Submissions from services, providers, NCGM and priority populations called for greater use of e-tools and emerging technologies to address gambling harm and improve access to and choice of information, services, and support. </w:t>
      </w:r>
      <w:r w:rsidRPr="00D57F57">
        <w:t>Sector views differed on what would be best</w:t>
      </w:r>
      <w:r w:rsidRPr="00B62804">
        <w:t xml:space="preserve">, with submissions from services in favour of expanding digital service offerings, while some industry submissions </w:t>
      </w:r>
      <w:r>
        <w:t>requested more direct technical support such as technology to expand the MVE system.</w:t>
      </w:r>
    </w:p>
    <w:p w14:paraId="33D20AC8" w14:textId="77777777" w:rsidR="002A2CA5" w:rsidRDefault="002A2CA5" w:rsidP="002A2CA5"/>
    <w:p w14:paraId="1BF462AA" w14:textId="77777777" w:rsidR="007179EA" w:rsidRDefault="007179EA" w:rsidP="002A2CA5">
      <w:pPr>
        <w:pStyle w:val="Heading4"/>
      </w:pPr>
      <w:r>
        <w:lastRenderedPageBreak/>
        <w:t>Helplines</w:t>
      </w:r>
    </w:p>
    <w:p w14:paraId="0979DC97" w14:textId="77777777" w:rsidR="007179EA" w:rsidRDefault="007179EA" w:rsidP="002A2CA5">
      <w:pPr>
        <w:keepNext/>
      </w:pPr>
      <w:r>
        <w:t>The Ministry funds two forms of telephone-based gambling harm support, the national Gambling Helpline and the Asian Helpline.</w:t>
      </w:r>
    </w:p>
    <w:p w14:paraId="2310559D" w14:textId="77777777" w:rsidR="007179EA" w:rsidRDefault="007179EA" w:rsidP="002A2CA5">
      <w:pPr>
        <w:keepNext/>
      </w:pPr>
    </w:p>
    <w:p w14:paraId="44B129D2" w14:textId="77777777" w:rsidR="007179EA" w:rsidRDefault="007179EA" w:rsidP="002A2CA5">
      <w:r>
        <w:t>The Gambling Helpline provides a free 24/7 service and is a first contact point for people in crisis as a result of harmful gambling. It also provides a back-up for other services, such as when face to face services are not available outside of working hours. It also provides coverage in rural areas, where there are no face-to-face services. This is critical to the Ministry</w:t>
      </w:r>
      <w:r w:rsidR="00BC6B27">
        <w:t>’</w:t>
      </w:r>
      <w:r>
        <w:t>s service delivery model. Performance improvement is a priority for this service, and a wide range of actions are planned or under</w:t>
      </w:r>
      <w:r w:rsidR="002A2CA5">
        <w:t xml:space="preserve"> </w:t>
      </w:r>
      <w:r>
        <w:t>way, including:</w:t>
      </w:r>
    </w:p>
    <w:p w14:paraId="5B9E498F" w14:textId="77777777" w:rsidR="007179EA" w:rsidRPr="00277C1B" w:rsidRDefault="007179EA" w:rsidP="002A2CA5">
      <w:pPr>
        <w:pStyle w:val="Bullet"/>
      </w:pPr>
      <w:r>
        <w:t xml:space="preserve">ensuring </w:t>
      </w:r>
      <w:r w:rsidRPr="00277C1B">
        <w:t xml:space="preserve">the Gambling Helpline includes specialist addictions counsellors and all </w:t>
      </w:r>
      <w:r>
        <w:t>G</w:t>
      </w:r>
      <w:r w:rsidRPr="00277C1B">
        <w:t xml:space="preserve">ambling </w:t>
      </w:r>
      <w:r>
        <w:t>H</w:t>
      </w:r>
      <w:r w:rsidRPr="00277C1B">
        <w:t>elpline counsellors have completed gambling practitioner training</w:t>
      </w:r>
    </w:p>
    <w:p w14:paraId="6278DED8" w14:textId="77777777" w:rsidR="007179EA" w:rsidRDefault="007179EA" w:rsidP="002A2CA5">
      <w:pPr>
        <w:pStyle w:val="Bullet"/>
      </w:pPr>
      <w:r w:rsidRPr="00483631">
        <w:t>delivering better outcomes for Māori and Pacific</w:t>
      </w:r>
      <w:r>
        <w:t>,</w:t>
      </w:r>
      <w:r w:rsidRPr="00483631">
        <w:t xml:space="preserve"> includ</w:t>
      </w:r>
      <w:r>
        <w:t>ing</w:t>
      </w:r>
      <w:r w:rsidRPr="00483631">
        <w:t xml:space="preserve"> building </w:t>
      </w:r>
      <w:r>
        <w:t>in t</w:t>
      </w:r>
      <w:r w:rsidRPr="00483631">
        <w:t xml:space="preserve">e </w:t>
      </w:r>
      <w:r>
        <w:t>a</w:t>
      </w:r>
      <w:r w:rsidRPr="00483631">
        <w:t>o Māori and culturally appropriate service deliver</w:t>
      </w:r>
      <w:r>
        <w:t>y</w:t>
      </w:r>
      <w:r w:rsidRPr="00483631">
        <w:t xml:space="preserve">, with bilingual and bicultural models of care </w:t>
      </w:r>
      <w:r>
        <w:t>using</w:t>
      </w:r>
      <w:r w:rsidRPr="00483631">
        <w:t xml:space="preserve"> Māori</w:t>
      </w:r>
      <w:r>
        <w:t xml:space="preserve"> and </w:t>
      </w:r>
      <w:r w:rsidRPr="00483631">
        <w:t>Pacific clinicians and specialists</w:t>
      </w:r>
    </w:p>
    <w:p w14:paraId="5209F3E3" w14:textId="77777777" w:rsidR="007179EA" w:rsidRPr="00483631" w:rsidRDefault="007179EA" w:rsidP="002A2CA5">
      <w:pPr>
        <w:pStyle w:val="Bullet"/>
      </w:pPr>
      <w:r>
        <w:t>w</w:t>
      </w:r>
      <w:r w:rsidRPr="00483631">
        <w:t>ork</w:t>
      </w:r>
      <w:r>
        <w:t>ing</w:t>
      </w:r>
      <w:r w:rsidRPr="00483631">
        <w:t xml:space="preserve"> with the gambling harm sector and providers to improve referral pathways to community-based services, with improve</w:t>
      </w:r>
      <w:r>
        <w:t>d</w:t>
      </w:r>
      <w:r w:rsidRPr="00483631">
        <w:t xml:space="preserve"> continuity of care</w:t>
      </w:r>
    </w:p>
    <w:p w14:paraId="62DE2920" w14:textId="77777777" w:rsidR="007179EA" w:rsidRPr="00483631" w:rsidRDefault="007179EA" w:rsidP="002A2CA5">
      <w:pPr>
        <w:pStyle w:val="Bullet"/>
      </w:pPr>
      <w:r>
        <w:t>i</w:t>
      </w:r>
      <w:r w:rsidRPr="00483631">
        <w:t xml:space="preserve">mproved </w:t>
      </w:r>
      <w:r>
        <w:t xml:space="preserve">data </w:t>
      </w:r>
      <w:r w:rsidRPr="00483631">
        <w:t xml:space="preserve">collection, </w:t>
      </w:r>
      <w:r>
        <w:t>expanding it to include</w:t>
      </w:r>
      <w:r w:rsidRPr="00483631">
        <w:t xml:space="preserve"> </w:t>
      </w:r>
      <w:r>
        <w:t xml:space="preserve">data on </w:t>
      </w:r>
      <w:r w:rsidRPr="00483631">
        <w:t>demographic</w:t>
      </w:r>
      <w:r>
        <w:t>s</w:t>
      </w:r>
      <w:r w:rsidRPr="00483631">
        <w:t>, service user experience and service user outcomes.</w:t>
      </w:r>
    </w:p>
    <w:p w14:paraId="7FDC8C69" w14:textId="77777777" w:rsidR="007179EA" w:rsidRDefault="007179EA" w:rsidP="002A2CA5"/>
    <w:p w14:paraId="4B03858A" w14:textId="77777777" w:rsidR="007179EA" w:rsidRDefault="007179EA" w:rsidP="002A2CA5">
      <w:r w:rsidRPr="0076680F">
        <w:t>The Asian Helpline is a service for the Asian community</w:t>
      </w:r>
      <w:r>
        <w:t xml:space="preserve">. This is </w:t>
      </w:r>
      <w:r w:rsidRPr="0076680F">
        <w:t>provided by PGF Group of the Problem Gambling Foundation of New Zealand and funded out of clinical intervention and support services. The helpline provides free and confidential services for Asian people experiencing gambling harm, with counsellors offering support in multiple languages.</w:t>
      </w:r>
    </w:p>
    <w:p w14:paraId="6126E077" w14:textId="77777777" w:rsidR="007179EA" w:rsidRDefault="007179EA" w:rsidP="002A2CA5"/>
    <w:p w14:paraId="2B7E0D33" w14:textId="77777777" w:rsidR="007179EA" w:rsidRPr="00483631" w:rsidRDefault="007179EA" w:rsidP="002A2CA5">
      <w:pPr>
        <w:pStyle w:val="Heading3"/>
      </w:pPr>
      <w:bookmarkStart w:id="209" w:name="_Toc78882301"/>
      <w:r w:rsidRPr="002E0B81">
        <w:t>Data</w:t>
      </w:r>
      <w:r w:rsidRPr="00483631">
        <w:t xml:space="preserve"> collection and reporting</w:t>
      </w:r>
      <w:bookmarkEnd w:id="209"/>
    </w:p>
    <w:p w14:paraId="1DCD1A72" w14:textId="77777777" w:rsidR="007179EA" w:rsidRDefault="007179EA" w:rsidP="002A2CA5">
      <w:r>
        <w:t>The Ministry largely carries out data collection and reporting internally. The small sum, specifically budgeted each year for collecting and reporting on data, allows for an external provider to address data collection issues that require institutional knowledge and to make small technical adjustments if required.</w:t>
      </w:r>
    </w:p>
    <w:p w14:paraId="607C54BD" w14:textId="77777777" w:rsidR="002A2CA5" w:rsidRDefault="002A2CA5" w:rsidP="002A2CA5"/>
    <w:p w14:paraId="1CCBC1E3" w14:textId="77777777" w:rsidR="007179EA" w:rsidRPr="00483631" w:rsidRDefault="007179EA" w:rsidP="002A2CA5">
      <w:pPr>
        <w:pStyle w:val="Heading3"/>
      </w:pPr>
      <w:bookmarkStart w:id="210" w:name="_Toc78882302"/>
      <w:r w:rsidRPr="00483631">
        <w:lastRenderedPageBreak/>
        <w:t>Workforce development (clinical)</w:t>
      </w:r>
      <w:bookmarkEnd w:id="210"/>
    </w:p>
    <w:p w14:paraId="4FD9D22B" w14:textId="77777777" w:rsidR="007179EA" w:rsidRPr="002A2CA5" w:rsidRDefault="007179EA" w:rsidP="002A2CA5">
      <w:pPr>
        <w:keepNext/>
      </w:pPr>
      <w:r>
        <w:t>The Ministry will continue to fund workforce development and support for the gambling-harm clinical workforce.</w:t>
      </w:r>
    </w:p>
    <w:p w14:paraId="72609801" w14:textId="77777777" w:rsidR="007179EA" w:rsidRDefault="007179EA" w:rsidP="002A2CA5">
      <w:pPr>
        <w:keepNext/>
      </w:pPr>
    </w:p>
    <w:p w14:paraId="7EB45D23" w14:textId="77777777" w:rsidR="007179EA" w:rsidRDefault="007179EA" w:rsidP="002A2CA5">
      <w:pPr>
        <w:keepNext/>
        <w:keepLines/>
      </w:pPr>
      <w:r>
        <w:t xml:space="preserve">A qualified and culturally competent clinical workforce able to offer culturally responsive services is crucial in reducing the harm for </w:t>
      </w:r>
      <w:r w:rsidRPr="00FC7E7A">
        <w:t>people affected by gambling including families, whānau and affected others</w:t>
      </w:r>
      <w:r>
        <w:t>. Qualified clinicians use best practice evidence-based tools to help alleviate and minimise the effects of harmful gambling and build skills to prevent relapse. Building the competence of the workforce to treat and support clients who present with co-existing issues and teaching clinicians how to use different treatment modalities will be a key focus. Training will also include an emphasis on understanding different world views through cultural competence training, including their ability to work with Māori, Pacific and Asian communities and rangatahi.</w:t>
      </w:r>
    </w:p>
    <w:p w14:paraId="686614CD" w14:textId="77777777" w:rsidR="007179EA" w:rsidRDefault="007179EA" w:rsidP="002A2CA5"/>
    <w:p w14:paraId="2F38FDE0" w14:textId="77777777" w:rsidR="00BC6B27" w:rsidRDefault="007179EA" w:rsidP="002A2CA5">
      <w:r>
        <w:t>New providers and clinicians will also be supported to access training and support to become competent clinicians working in this sector.</w:t>
      </w:r>
    </w:p>
    <w:p w14:paraId="38704873" w14:textId="77777777" w:rsidR="002A2CA5" w:rsidRDefault="002A2CA5" w:rsidP="002A2CA5"/>
    <w:p w14:paraId="469847F5" w14:textId="77777777" w:rsidR="007179EA" w:rsidRDefault="007179EA" w:rsidP="002A2CA5">
      <w:pPr>
        <w:pStyle w:val="Heading2"/>
      </w:pPr>
      <w:bookmarkStart w:id="211" w:name="_Toc9239606"/>
      <w:bookmarkStart w:id="212" w:name="_Toc78882303"/>
      <w:bookmarkStart w:id="213" w:name="_Toc80965855"/>
      <w:bookmarkStart w:id="214" w:name="_Toc89684401"/>
      <w:bookmarkStart w:id="215" w:name="_Toc90885057"/>
      <w:r>
        <w:t>Research</w:t>
      </w:r>
      <w:r w:rsidRPr="00D14DF8">
        <w:t xml:space="preserve"> and evaluation</w:t>
      </w:r>
      <w:bookmarkEnd w:id="211"/>
      <w:bookmarkEnd w:id="212"/>
      <w:bookmarkEnd w:id="213"/>
      <w:bookmarkEnd w:id="214"/>
      <w:bookmarkEnd w:id="215"/>
    </w:p>
    <w:p w14:paraId="5B0D5639" w14:textId="77777777" w:rsidR="00BC6B27" w:rsidRDefault="007179EA" w:rsidP="002A2CA5">
      <w:r w:rsidRPr="00927967">
        <w:t xml:space="preserve">The Ministry will commission and deliver a research and evaluation programme targeting </w:t>
      </w:r>
      <w:r>
        <w:t>strategic priority areas.</w:t>
      </w:r>
    </w:p>
    <w:p w14:paraId="29B1A8D7" w14:textId="77777777" w:rsidR="002A2CA5" w:rsidRDefault="002A2CA5" w:rsidP="002A2CA5"/>
    <w:p w14:paraId="1FA71BAC" w14:textId="77777777" w:rsidR="00BC6B27" w:rsidRPr="002A2CA5" w:rsidRDefault="007179EA" w:rsidP="002A2CA5">
      <w:r>
        <w:t xml:space="preserve">While some submissions supported the consultation proposal to reduce research funding, </w:t>
      </w:r>
      <w:bookmarkStart w:id="216" w:name="_Hlk88203869"/>
      <w:r>
        <w:t xml:space="preserve">several recommended more research was required to strengthen the evidence base and inform the priority areas listed below. Some submissions also </w:t>
      </w:r>
      <w:bookmarkEnd w:id="216"/>
      <w:r>
        <w:t xml:space="preserve">recommended that researchers and evaluators need to engage more with people with </w:t>
      </w:r>
      <w:r w:rsidRPr="002A2CA5">
        <w:t>lived experience and affected communities and populations, to inform research and evaluation design as well as report findings to those communities.</w:t>
      </w:r>
    </w:p>
    <w:p w14:paraId="68DD479C" w14:textId="77777777" w:rsidR="002A2CA5" w:rsidRDefault="002A2CA5" w:rsidP="002A2CA5"/>
    <w:p w14:paraId="0C11195F" w14:textId="77777777" w:rsidR="00BC6B27" w:rsidRDefault="007179EA" w:rsidP="002A2CA5">
      <w:r>
        <w:t xml:space="preserve">In response, we have increased the amount allocated to the research and evaluation programme </w:t>
      </w:r>
      <w:r w:rsidRPr="00BA2DF6">
        <w:t>to ensure that it will be</w:t>
      </w:r>
      <w:r w:rsidRPr="006550E7">
        <w:t xml:space="preserve"> able to effectively inform the strategy and service development proposed. </w:t>
      </w:r>
      <w:r w:rsidRPr="003D2E77">
        <w:t>The proposed budget for research and evaluation is $5.658</w:t>
      </w:r>
      <w:r w:rsidR="00046A83">
        <w:t> million</w:t>
      </w:r>
      <w:r w:rsidRPr="003D2E77">
        <w:t xml:space="preserve"> for the 2022/23–2024/25 period. This amount is $0.971</w:t>
      </w:r>
      <w:r w:rsidR="00046A83">
        <w:t> million</w:t>
      </w:r>
      <w:r w:rsidRPr="003D2E77">
        <w:t xml:space="preserve"> less than the current levy period as funds have been prioritised to gambling harm services and suppo</w:t>
      </w:r>
      <w:r w:rsidRPr="00BA2DF6">
        <w:t>rt.</w:t>
      </w:r>
    </w:p>
    <w:p w14:paraId="070701FE" w14:textId="77777777" w:rsidR="002A2CA5" w:rsidRDefault="002A2CA5" w:rsidP="002A2CA5"/>
    <w:p w14:paraId="32E434C2" w14:textId="77777777" w:rsidR="00BC6B27" w:rsidRDefault="007179EA" w:rsidP="002A2CA5">
      <w:r>
        <w:t xml:space="preserve">This budget takes account of delays in commissioning some of the research and evaluation proposals for this levy period due to </w:t>
      </w:r>
      <w:r w:rsidR="001461C6">
        <w:t>COVID</w:t>
      </w:r>
      <w:r w:rsidR="001461C6">
        <w:noBreakHyphen/>
        <w:t>19</w:t>
      </w:r>
      <w:r>
        <w:t xml:space="preserve"> restrictions and includes funding for the delivery of current commitments in the next levy period beginning on 1</w:t>
      </w:r>
      <w:r w:rsidR="002A2CA5">
        <w:t> </w:t>
      </w:r>
      <w:r>
        <w:t>July 2022.</w:t>
      </w:r>
    </w:p>
    <w:p w14:paraId="77C8B4E4" w14:textId="77777777" w:rsidR="007179EA" w:rsidRDefault="007179EA" w:rsidP="002A2CA5"/>
    <w:p w14:paraId="69D0746E" w14:textId="635A8E83" w:rsidR="007179EA" w:rsidRDefault="002A2CA5" w:rsidP="002A2CA5">
      <w:pPr>
        <w:pStyle w:val="Table"/>
      </w:pPr>
      <w:bookmarkStart w:id="217" w:name="_Toc8398936"/>
      <w:bookmarkStart w:id="218" w:name="_Toc4156636"/>
      <w:bookmarkStart w:id="219" w:name="_Toc89335324"/>
      <w:bookmarkStart w:id="220" w:name="_Toc90626958"/>
      <w:r>
        <w:lastRenderedPageBreak/>
        <w:t>Table </w:t>
      </w:r>
      <w:fldSimple w:instr=" SEQ Table \* ARABIC ">
        <w:r w:rsidR="00451900">
          <w:rPr>
            <w:noProof/>
          </w:rPr>
          <w:t>8</w:t>
        </w:r>
      </w:fldSimple>
      <w:r w:rsidR="007179EA" w:rsidRPr="003C377B">
        <w:rPr>
          <w:rFonts w:cstheme="minorHAnsi"/>
        </w:rPr>
        <w:t xml:space="preserve">: Research and evaluation </w:t>
      </w:r>
      <w:r w:rsidR="007179EA" w:rsidRPr="007357DC">
        <w:rPr>
          <w:rFonts w:cstheme="minorHAnsi"/>
        </w:rPr>
        <w:t>budget</w:t>
      </w:r>
      <w:r w:rsidR="007179EA" w:rsidRPr="00460652">
        <w:rPr>
          <w:rFonts w:cstheme="minorHAnsi"/>
        </w:rPr>
        <w:t xml:space="preserve"> (GST exclusive),</w:t>
      </w:r>
      <w:r w:rsidR="007179EA">
        <w:t xml:space="preserve"> 2022/23 to 2024/25</w:t>
      </w:r>
      <w:bookmarkEnd w:id="217"/>
      <w:bookmarkEnd w:id="218"/>
      <w:bookmarkEnd w:id="219"/>
      <w:bookmarkEnd w:id="220"/>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686"/>
        <w:gridCol w:w="1098"/>
        <w:gridCol w:w="1099"/>
        <w:gridCol w:w="1098"/>
        <w:gridCol w:w="1099"/>
      </w:tblGrid>
      <w:tr w:rsidR="007179EA" w14:paraId="7D61A999" w14:textId="77777777" w:rsidTr="002A2CA5">
        <w:trPr>
          <w:cantSplit/>
        </w:trPr>
        <w:tc>
          <w:tcPr>
            <w:tcW w:w="3686" w:type="dxa"/>
            <w:tcBorders>
              <w:top w:val="nil"/>
              <w:left w:val="nil"/>
              <w:bottom w:val="nil"/>
              <w:right w:val="nil"/>
            </w:tcBorders>
            <w:shd w:val="clear" w:color="auto" w:fill="D9D9D9" w:themeFill="background1" w:themeFillShade="D9"/>
            <w:hideMark/>
          </w:tcPr>
          <w:p w14:paraId="7D0F857C" w14:textId="77777777" w:rsidR="007179EA" w:rsidRPr="00E905E6" w:rsidRDefault="007179EA" w:rsidP="002A2CA5">
            <w:pPr>
              <w:pStyle w:val="TableText"/>
              <w:keepNext/>
              <w:rPr>
                <w:b/>
              </w:rPr>
            </w:pPr>
            <w:r w:rsidRPr="00E905E6">
              <w:rPr>
                <w:b/>
              </w:rPr>
              <w:t>Service area</w:t>
            </w:r>
          </w:p>
        </w:tc>
        <w:tc>
          <w:tcPr>
            <w:tcW w:w="1098" w:type="dxa"/>
            <w:tcBorders>
              <w:top w:val="nil"/>
              <w:left w:val="nil"/>
              <w:bottom w:val="nil"/>
              <w:right w:val="nil"/>
            </w:tcBorders>
            <w:shd w:val="clear" w:color="auto" w:fill="D9D9D9" w:themeFill="background1" w:themeFillShade="D9"/>
            <w:hideMark/>
          </w:tcPr>
          <w:p w14:paraId="5780EAF8" w14:textId="77777777" w:rsidR="007179EA" w:rsidRPr="00E905E6" w:rsidRDefault="007179EA" w:rsidP="002A2CA5">
            <w:pPr>
              <w:pStyle w:val="TableText"/>
              <w:keepNext/>
              <w:jc w:val="center"/>
              <w:rPr>
                <w:b/>
                <w:lang w:eastAsia="en-US"/>
              </w:rPr>
            </w:pPr>
            <w:r w:rsidRPr="00E905E6">
              <w:rPr>
                <w:b/>
              </w:rPr>
              <w:t>2022/23</w:t>
            </w:r>
            <w:r w:rsidRPr="00E905E6">
              <w:rPr>
                <w:b/>
              </w:rPr>
              <w:br/>
              <w:t>($m)</w:t>
            </w:r>
          </w:p>
        </w:tc>
        <w:tc>
          <w:tcPr>
            <w:tcW w:w="1099" w:type="dxa"/>
            <w:tcBorders>
              <w:top w:val="nil"/>
              <w:left w:val="nil"/>
              <w:bottom w:val="nil"/>
              <w:right w:val="nil"/>
            </w:tcBorders>
            <w:shd w:val="clear" w:color="auto" w:fill="D9D9D9" w:themeFill="background1" w:themeFillShade="D9"/>
            <w:hideMark/>
          </w:tcPr>
          <w:p w14:paraId="07C30EEE" w14:textId="77777777" w:rsidR="007179EA" w:rsidRPr="00E905E6" w:rsidRDefault="007179EA" w:rsidP="002A2CA5">
            <w:pPr>
              <w:pStyle w:val="TableText"/>
              <w:keepNext/>
              <w:jc w:val="center"/>
              <w:rPr>
                <w:b/>
                <w:lang w:eastAsia="en-US"/>
              </w:rPr>
            </w:pPr>
            <w:r w:rsidRPr="00E905E6">
              <w:rPr>
                <w:b/>
              </w:rPr>
              <w:t>2023/24</w:t>
            </w:r>
            <w:r w:rsidRPr="00E905E6">
              <w:rPr>
                <w:b/>
              </w:rPr>
              <w:br/>
              <w:t>($m)</w:t>
            </w:r>
          </w:p>
        </w:tc>
        <w:tc>
          <w:tcPr>
            <w:tcW w:w="1098" w:type="dxa"/>
            <w:tcBorders>
              <w:top w:val="nil"/>
              <w:left w:val="nil"/>
              <w:bottom w:val="nil"/>
              <w:right w:val="nil"/>
            </w:tcBorders>
            <w:shd w:val="clear" w:color="auto" w:fill="D9D9D9" w:themeFill="background1" w:themeFillShade="D9"/>
            <w:hideMark/>
          </w:tcPr>
          <w:p w14:paraId="612063FA" w14:textId="77777777" w:rsidR="007179EA" w:rsidRPr="00E905E6" w:rsidRDefault="007179EA" w:rsidP="002A2CA5">
            <w:pPr>
              <w:pStyle w:val="TableText"/>
              <w:keepNext/>
              <w:jc w:val="center"/>
              <w:rPr>
                <w:b/>
                <w:lang w:eastAsia="en-US"/>
              </w:rPr>
            </w:pPr>
            <w:r w:rsidRPr="00E905E6">
              <w:rPr>
                <w:b/>
              </w:rPr>
              <w:t>2024/25</w:t>
            </w:r>
            <w:r w:rsidRPr="00E905E6">
              <w:rPr>
                <w:b/>
              </w:rPr>
              <w:br/>
              <w:t>($m)</w:t>
            </w:r>
          </w:p>
        </w:tc>
        <w:tc>
          <w:tcPr>
            <w:tcW w:w="1099" w:type="dxa"/>
            <w:tcBorders>
              <w:top w:val="nil"/>
              <w:left w:val="nil"/>
              <w:bottom w:val="nil"/>
              <w:right w:val="nil"/>
            </w:tcBorders>
            <w:shd w:val="clear" w:color="auto" w:fill="D9D9D9" w:themeFill="background1" w:themeFillShade="D9"/>
            <w:hideMark/>
          </w:tcPr>
          <w:p w14:paraId="32A84B68" w14:textId="77777777" w:rsidR="007179EA" w:rsidRPr="00E905E6" w:rsidRDefault="007179EA" w:rsidP="002A2CA5">
            <w:pPr>
              <w:pStyle w:val="TableText"/>
              <w:keepNext/>
              <w:jc w:val="center"/>
              <w:rPr>
                <w:b/>
              </w:rPr>
            </w:pPr>
            <w:r w:rsidRPr="00E905E6">
              <w:rPr>
                <w:b/>
              </w:rPr>
              <w:t>Total</w:t>
            </w:r>
            <w:r w:rsidRPr="00E905E6">
              <w:rPr>
                <w:b/>
              </w:rPr>
              <w:br/>
              <w:t>($m)</w:t>
            </w:r>
          </w:p>
        </w:tc>
      </w:tr>
      <w:tr w:rsidR="007179EA" w14:paraId="6198A693" w14:textId="77777777" w:rsidTr="002A2CA5">
        <w:trPr>
          <w:cantSplit/>
        </w:trPr>
        <w:tc>
          <w:tcPr>
            <w:tcW w:w="3686" w:type="dxa"/>
            <w:tcBorders>
              <w:top w:val="nil"/>
              <w:left w:val="nil"/>
              <w:bottom w:val="single" w:sz="4" w:space="0" w:color="A6A6A6" w:themeColor="background1" w:themeShade="A6"/>
              <w:right w:val="nil"/>
            </w:tcBorders>
            <w:hideMark/>
          </w:tcPr>
          <w:p w14:paraId="26B4441A" w14:textId="77777777" w:rsidR="007179EA" w:rsidRDefault="007179EA" w:rsidP="005B24AB">
            <w:pPr>
              <w:pStyle w:val="TableText"/>
            </w:pPr>
            <w:r>
              <w:t>Research</w:t>
            </w:r>
          </w:p>
        </w:tc>
        <w:tc>
          <w:tcPr>
            <w:tcW w:w="1098" w:type="dxa"/>
            <w:tcBorders>
              <w:top w:val="nil"/>
              <w:left w:val="nil"/>
              <w:bottom w:val="single" w:sz="4" w:space="0" w:color="A6A6A6" w:themeColor="background1" w:themeShade="A6"/>
              <w:right w:val="nil"/>
            </w:tcBorders>
            <w:noWrap/>
            <w:hideMark/>
          </w:tcPr>
          <w:p w14:paraId="6CA5541D" w14:textId="77777777" w:rsidR="007179EA" w:rsidRPr="007B3B7F" w:rsidRDefault="007179EA" w:rsidP="002A2CA5">
            <w:pPr>
              <w:pStyle w:val="TableText"/>
              <w:jc w:val="center"/>
              <w:rPr>
                <w:highlight w:val="yellow"/>
              </w:rPr>
            </w:pPr>
            <w:r w:rsidRPr="00DB4FD4">
              <w:t>1.340</w:t>
            </w:r>
          </w:p>
        </w:tc>
        <w:tc>
          <w:tcPr>
            <w:tcW w:w="1099" w:type="dxa"/>
            <w:tcBorders>
              <w:top w:val="nil"/>
              <w:left w:val="nil"/>
              <w:bottom w:val="single" w:sz="4" w:space="0" w:color="A6A6A6" w:themeColor="background1" w:themeShade="A6"/>
              <w:right w:val="nil"/>
            </w:tcBorders>
            <w:noWrap/>
            <w:hideMark/>
          </w:tcPr>
          <w:p w14:paraId="1D98BEFE" w14:textId="77777777" w:rsidR="007179EA" w:rsidRPr="007B3B7F" w:rsidRDefault="007179EA" w:rsidP="002A2CA5">
            <w:pPr>
              <w:pStyle w:val="TableText"/>
              <w:jc w:val="center"/>
              <w:rPr>
                <w:highlight w:val="yellow"/>
              </w:rPr>
            </w:pPr>
            <w:r w:rsidRPr="00DB4FD4">
              <w:t>2.048</w:t>
            </w:r>
          </w:p>
        </w:tc>
        <w:tc>
          <w:tcPr>
            <w:tcW w:w="1098" w:type="dxa"/>
            <w:tcBorders>
              <w:top w:val="nil"/>
              <w:left w:val="nil"/>
              <w:bottom w:val="single" w:sz="4" w:space="0" w:color="A6A6A6" w:themeColor="background1" w:themeShade="A6"/>
              <w:right w:val="nil"/>
            </w:tcBorders>
            <w:noWrap/>
            <w:hideMark/>
          </w:tcPr>
          <w:p w14:paraId="07E3E3D4" w14:textId="77777777" w:rsidR="007179EA" w:rsidRPr="007B3B7F" w:rsidRDefault="007179EA" w:rsidP="002A2CA5">
            <w:pPr>
              <w:pStyle w:val="TableText"/>
              <w:jc w:val="center"/>
              <w:rPr>
                <w:highlight w:val="yellow"/>
              </w:rPr>
            </w:pPr>
            <w:r w:rsidRPr="00DB4FD4">
              <w:t>1.300</w:t>
            </w:r>
          </w:p>
        </w:tc>
        <w:tc>
          <w:tcPr>
            <w:tcW w:w="1099" w:type="dxa"/>
            <w:tcBorders>
              <w:top w:val="nil"/>
              <w:left w:val="nil"/>
              <w:bottom w:val="single" w:sz="4" w:space="0" w:color="A6A6A6" w:themeColor="background1" w:themeShade="A6"/>
              <w:right w:val="nil"/>
            </w:tcBorders>
            <w:noWrap/>
            <w:hideMark/>
          </w:tcPr>
          <w:p w14:paraId="4CA7EF6A" w14:textId="77777777" w:rsidR="007179EA" w:rsidRPr="007B3B7F" w:rsidRDefault="007179EA" w:rsidP="002A2CA5">
            <w:pPr>
              <w:pStyle w:val="TableText"/>
              <w:jc w:val="center"/>
              <w:rPr>
                <w:highlight w:val="yellow"/>
              </w:rPr>
            </w:pPr>
            <w:r w:rsidRPr="00DB4FD4">
              <w:t>4.688</w:t>
            </w:r>
          </w:p>
        </w:tc>
      </w:tr>
      <w:tr w:rsidR="007179EA" w14:paraId="188F07D2" w14:textId="77777777" w:rsidTr="002A2CA5">
        <w:trPr>
          <w:cantSplit/>
        </w:trPr>
        <w:tc>
          <w:tcPr>
            <w:tcW w:w="3686" w:type="dxa"/>
            <w:tcBorders>
              <w:top w:val="single" w:sz="4" w:space="0" w:color="A6A6A6" w:themeColor="background1" w:themeShade="A6"/>
              <w:left w:val="nil"/>
              <w:bottom w:val="single" w:sz="4" w:space="0" w:color="A6A6A6" w:themeColor="background1" w:themeShade="A6"/>
              <w:right w:val="nil"/>
            </w:tcBorders>
            <w:hideMark/>
          </w:tcPr>
          <w:p w14:paraId="383B32EA" w14:textId="77777777" w:rsidR="007179EA" w:rsidRDefault="007179EA" w:rsidP="005B24AB">
            <w:pPr>
              <w:pStyle w:val="TableText"/>
            </w:pPr>
            <w:r>
              <w:t>Evaluation (including outcomes reporting)</w:t>
            </w:r>
          </w:p>
        </w:tc>
        <w:tc>
          <w:tcPr>
            <w:tcW w:w="1098" w:type="dxa"/>
            <w:tcBorders>
              <w:top w:val="single" w:sz="4" w:space="0" w:color="A6A6A6" w:themeColor="background1" w:themeShade="A6"/>
              <w:left w:val="nil"/>
              <w:bottom w:val="single" w:sz="4" w:space="0" w:color="A6A6A6" w:themeColor="background1" w:themeShade="A6"/>
              <w:right w:val="nil"/>
            </w:tcBorders>
            <w:noWrap/>
            <w:hideMark/>
          </w:tcPr>
          <w:p w14:paraId="521D08DC" w14:textId="77777777" w:rsidR="007179EA" w:rsidRPr="007B3B7F" w:rsidRDefault="007179EA" w:rsidP="002A2CA5">
            <w:pPr>
              <w:pStyle w:val="TableText"/>
              <w:jc w:val="center"/>
              <w:rPr>
                <w:highlight w:val="yellow"/>
              </w:rPr>
            </w:pPr>
            <w:r w:rsidRPr="005A4A32">
              <w:t>0.425</w:t>
            </w:r>
          </w:p>
        </w:tc>
        <w:tc>
          <w:tcPr>
            <w:tcW w:w="1099" w:type="dxa"/>
            <w:tcBorders>
              <w:top w:val="single" w:sz="4" w:space="0" w:color="A6A6A6" w:themeColor="background1" w:themeShade="A6"/>
              <w:left w:val="nil"/>
              <w:bottom w:val="single" w:sz="4" w:space="0" w:color="A6A6A6" w:themeColor="background1" w:themeShade="A6"/>
              <w:right w:val="nil"/>
            </w:tcBorders>
            <w:noWrap/>
            <w:hideMark/>
          </w:tcPr>
          <w:p w14:paraId="3EE9AF32" w14:textId="77777777" w:rsidR="007179EA" w:rsidRPr="007B3B7F" w:rsidRDefault="007179EA" w:rsidP="002A2CA5">
            <w:pPr>
              <w:pStyle w:val="TableText"/>
              <w:jc w:val="center"/>
              <w:rPr>
                <w:highlight w:val="yellow"/>
              </w:rPr>
            </w:pPr>
            <w:r w:rsidRPr="005A4A32">
              <w:t>0.345</w:t>
            </w:r>
          </w:p>
        </w:tc>
        <w:tc>
          <w:tcPr>
            <w:tcW w:w="1098" w:type="dxa"/>
            <w:tcBorders>
              <w:top w:val="single" w:sz="4" w:space="0" w:color="A6A6A6" w:themeColor="background1" w:themeShade="A6"/>
              <w:left w:val="nil"/>
              <w:bottom w:val="single" w:sz="4" w:space="0" w:color="A6A6A6" w:themeColor="background1" w:themeShade="A6"/>
              <w:right w:val="nil"/>
            </w:tcBorders>
            <w:noWrap/>
            <w:hideMark/>
          </w:tcPr>
          <w:p w14:paraId="25F2F1C0" w14:textId="77777777" w:rsidR="007179EA" w:rsidRPr="007B3B7F" w:rsidRDefault="007179EA" w:rsidP="002A2CA5">
            <w:pPr>
              <w:pStyle w:val="TableText"/>
              <w:jc w:val="center"/>
              <w:rPr>
                <w:highlight w:val="yellow"/>
              </w:rPr>
            </w:pPr>
            <w:r w:rsidRPr="005A4A32">
              <w:t>0.200</w:t>
            </w:r>
          </w:p>
        </w:tc>
        <w:tc>
          <w:tcPr>
            <w:tcW w:w="1099" w:type="dxa"/>
            <w:tcBorders>
              <w:top w:val="single" w:sz="4" w:space="0" w:color="A6A6A6" w:themeColor="background1" w:themeShade="A6"/>
              <w:left w:val="nil"/>
              <w:bottom w:val="single" w:sz="4" w:space="0" w:color="A6A6A6" w:themeColor="background1" w:themeShade="A6"/>
              <w:right w:val="nil"/>
            </w:tcBorders>
            <w:noWrap/>
            <w:hideMark/>
          </w:tcPr>
          <w:p w14:paraId="74310B65" w14:textId="77777777" w:rsidR="007179EA" w:rsidRPr="007B3B7F" w:rsidRDefault="007179EA" w:rsidP="002A2CA5">
            <w:pPr>
              <w:pStyle w:val="TableText"/>
              <w:jc w:val="center"/>
              <w:rPr>
                <w:highlight w:val="yellow"/>
              </w:rPr>
            </w:pPr>
            <w:r w:rsidRPr="005A4A32">
              <w:t>0.970</w:t>
            </w:r>
          </w:p>
        </w:tc>
      </w:tr>
      <w:tr w:rsidR="007179EA" w:rsidRPr="00E905E6" w14:paraId="6D8174D6" w14:textId="77777777" w:rsidTr="002A2CA5">
        <w:trPr>
          <w:cantSplit/>
        </w:trPr>
        <w:tc>
          <w:tcPr>
            <w:tcW w:w="3686" w:type="dxa"/>
            <w:tcBorders>
              <w:top w:val="single" w:sz="4" w:space="0" w:color="A6A6A6" w:themeColor="background1" w:themeShade="A6"/>
              <w:left w:val="nil"/>
              <w:bottom w:val="single" w:sz="4" w:space="0" w:color="A6A6A6" w:themeColor="background1" w:themeShade="A6"/>
              <w:right w:val="nil"/>
            </w:tcBorders>
            <w:hideMark/>
          </w:tcPr>
          <w:p w14:paraId="422BCCF2" w14:textId="77777777" w:rsidR="007179EA" w:rsidRPr="00E905E6" w:rsidRDefault="007179EA" w:rsidP="005B24AB">
            <w:pPr>
              <w:pStyle w:val="TableText"/>
              <w:rPr>
                <w:b/>
              </w:rPr>
            </w:pPr>
            <w:r w:rsidRPr="00E905E6">
              <w:rPr>
                <w:b/>
              </w:rPr>
              <w:t>Total ($m)</w:t>
            </w:r>
          </w:p>
        </w:tc>
        <w:tc>
          <w:tcPr>
            <w:tcW w:w="1098" w:type="dxa"/>
            <w:tcBorders>
              <w:top w:val="single" w:sz="4" w:space="0" w:color="A6A6A6" w:themeColor="background1" w:themeShade="A6"/>
              <w:left w:val="nil"/>
              <w:bottom w:val="single" w:sz="4" w:space="0" w:color="A6A6A6" w:themeColor="background1" w:themeShade="A6"/>
              <w:right w:val="nil"/>
            </w:tcBorders>
            <w:hideMark/>
          </w:tcPr>
          <w:p w14:paraId="25622899" w14:textId="77777777" w:rsidR="007179EA" w:rsidRPr="007B3B7F" w:rsidRDefault="007179EA" w:rsidP="002A2CA5">
            <w:pPr>
              <w:pStyle w:val="TableText"/>
              <w:jc w:val="center"/>
              <w:rPr>
                <w:b/>
                <w:bCs/>
                <w:highlight w:val="yellow"/>
              </w:rPr>
            </w:pPr>
            <w:r w:rsidRPr="00D65902">
              <w:t>1.765</w:t>
            </w:r>
          </w:p>
        </w:tc>
        <w:tc>
          <w:tcPr>
            <w:tcW w:w="1099" w:type="dxa"/>
            <w:tcBorders>
              <w:top w:val="single" w:sz="4" w:space="0" w:color="A6A6A6" w:themeColor="background1" w:themeShade="A6"/>
              <w:left w:val="nil"/>
              <w:bottom w:val="single" w:sz="4" w:space="0" w:color="A6A6A6" w:themeColor="background1" w:themeShade="A6"/>
              <w:right w:val="nil"/>
            </w:tcBorders>
            <w:hideMark/>
          </w:tcPr>
          <w:p w14:paraId="41BC3067" w14:textId="77777777" w:rsidR="007179EA" w:rsidRPr="007B3B7F" w:rsidRDefault="007179EA" w:rsidP="002A2CA5">
            <w:pPr>
              <w:pStyle w:val="TableText"/>
              <w:jc w:val="center"/>
              <w:rPr>
                <w:b/>
                <w:bCs/>
                <w:highlight w:val="yellow"/>
              </w:rPr>
            </w:pPr>
            <w:r w:rsidRPr="00D65902">
              <w:t>2.393</w:t>
            </w:r>
          </w:p>
        </w:tc>
        <w:tc>
          <w:tcPr>
            <w:tcW w:w="1098" w:type="dxa"/>
            <w:tcBorders>
              <w:top w:val="single" w:sz="4" w:space="0" w:color="A6A6A6" w:themeColor="background1" w:themeShade="A6"/>
              <w:left w:val="nil"/>
              <w:bottom w:val="single" w:sz="4" w:space="0" w:color="A6A6A6" w:themeColor="background1" w:themeShade="A6"/>
              <w:right w:val="nil"/>
            </w:tcBorders>
            <w:hideMark/>
          </w:tcPr>
          <w:p w14:paraId="6B99A972" w14:textId="77777777" w:rsidR="007179EA" w:rsidRPr="007B3B7F" w:rsidRDefault="007179EA" w:rsidP="002A2CA5">
            <w:pPr>
              <w:pStyle w:val="TableText"/>
              <w:jc w:val="center"/>
              <w:rPr>
                <w:b/>
                <w:bCs/>
                <w:highlight w:val="yellow"/>
              </w:rPr>
            </w:pPr>
            <w:r w:rsidRPr="00D65902">
              <w:t>1.500</w:t>
            </w:r>
          </w:p>
        </w:tc>
        <w:tc>
          <w:tcPr>
            <w:tcW w:w="1099" w:type="dxa"/>
            <w:tcBorders>
              <w:top w:val="single" w:sz="4" w:space="0" w:color="A6A6A6" w:themeColor="background1" w:themeShade="A6"/>
              <w:left w:val="nil"/>
              <w:bottom w:val="single" w:sz="4" w:space="0" w:color="A6A6A6" w:themeColor="background1" w:themeShade="A6"/>
              <w:right w:val="nil"/>
            </w:tcBorders>
            <w:hideMark/>
          </w:tcPr>
          <w:p w14:paraId="010665F1" w14:textId="77777777" w:rsidR="007179EA" w:rsidRPr="007B3B7F" w:rsidRDefault="007179EA" w:rsidP="002A2CA5">
            <w:pPr>
              <w:pStyle w:val="TableText"/>
              <w:jc w:val="center"/>
              <w:rPr>
                <w:b/>
                <w:highlight w:val="yellow"/>
              </w:rPr>
            </w:pPr>
            <w:r w:rsidRPr="00D65902">
              <w:t>5.658</w:t>
            </w:r>
          </w:p>
        </w:tc>
      </w:tr>
    </w:tbl>
    <w:p w14:paraId="1A6C2EFB" w14:textId="77777777" w:rsidR="007179EA" w:rsidRDefault="007179EA" w:rsidP="002A2CA5">
      <w:pPr>
        <w:pStyle w:val="Note"/>
      </w:pPr>
      <w:bookmarkStart w:id="221" w:name="_Toc78882304"/>
      <w:r>
        <w:t>Note: budget totals may not sum precisely due to rounding</w:t>
      </w:r>
      <w:r w:rsidR="002A2CA5">
        <w:t>.</w:t>
      </w:r>
    </w:p>
    <w:p w14:paraId="43530E27" w14:textId="77777777" w:rsidR="007179EA" w:rsidRDefault="007179EA" w:rsidP="002A2CA5"/>
    <w:p w14:paraId="6452C622" w14:textId="77777777" w:rsidR="007179EA" w:rsidRDefault="007179EA" w:rsidP="002A2CA5">
      <w:r w:rsidRPr="00344239">
        <w:t xml:space="preserve">The increased funding </w:t>
      </w:r>
      <w:r>
        <w:t xml:space="preserve">identified above compared to the consultation document budget </w:t>
      </w:r>
      <w:r w:rsidRPr="00344239">
        <w:t xml:space="preserve">reflects </w:t>
      </w:r>
      <w:r>
        <w:t xml:space="preserve">a stronger </w:t>
      </w:r>
      <w:r w:rsidRPr="00344239">
        <w:t xml:space="preserve">commitment to the strategy </w:t>
      </w:r>
      <w:r>
        <w:t xml:space="preserve">and a </w:t>
      </w:r>
      <w:r w:rsidRPr="00E87861">
        <w:t>focus</w:t>
      </w:r>
      <w:r>
        <w:t xml:space="preserve"> on:</w:t>
      </w:r>
    </w:p>
    <w:p w14:paraId="5687E9A1" w14:textId="77777777" w:rsidR="007179EA" w:rsidRPr="00344239" w:rsidRDefault="007179EA" w:rsidP="002A2CA5">
      <w:pPr>
        <w:pStyle w:val="Bullet"/>
      </w:pPr>
      <w:r w:rsidRPr="00344239">
        <w:t>research in</w:t>
      </w:r>
      <w:r>
        <w:t>to</w:t>
      </w:r>
      <w:r w:rsidRPr="00344239">
        <w:t xml:space="preserve"> young people</w:t>
      </w:r>
      <w:r w:rsidR="00BC6B27">
        <w:t>’</w:t>
      </w:r>
      <w:r>
        <w:t xml:space="preserve">s </w:t>
      </w:r>
      <w:r w:rsidRPr="00344239">
        <w:t>gambling and online gambling, two inter-related topics. The increase allows for more than one research project to be commissioned</w:t>
      </w:r>
    </w:p>
    <w:p w14:paraId="371AB92E" w14:textId="77777777" w:rsidR="007179EA" w:rsidRDefault="007179EA" w:rsidP="002A2CA5">
      <w:pPr>
        <w:pStyle w:val="Bullet"/>
      </w:pPr>
      <w:r w:rsidRPr="00CD0D8F">
        <w:t>research into co-existing conditions for greater understanding of the barriers to preventing and minimising gambling harm</w:t>
      </w:r>
    </w:p>
    <w:p w14:paraId="173EDE93" w14:textId="77777777" w:rsidR="007179EA" w:rsidRDefault="007179EA" w:rsidP="002A2CA5">
      <w:pPr>
        <w:pStyle w:val="Bullet"/>
      </w:pPr>
      <w:r>
        <w:t>increasing action r</w:t>
      </w:r>
      <w:r w:rsidRPr="00371691">
        <w:t>esearch</w:t>
      </w:r>
      <w:r>
        <w:t xml:space="preserve"> and evaluation </w:t>
      </w:r>
      <w:r w:rsidRPr="00371691">
        <w:t xml:space="preserve">with </w:t>
      </w:r>
      <w:r>
        <w:t xml:space="preserve">affected </w:t>
      </w:r>
      <w:r w:rsidRPr="00371691">
        <w:t>communities</w:t>
      </w:r>
      <w:r w:rsidR="002A2CA5">
        <w:t>.</w:t>
      </w:r>
    </w:p>
    <w:p w14:paraId="61ED5E1B" w14:textId="77777777" w:rsidR="002A2CA5" w:rsidRPr="00CD0D8F" w:rsidRDefault="002A2CA5" w:rsidP="002A2CA5"/>
    <w:p w14:paraId="6A400E31" w14:textId="77777777" w:rsidR="007179EA" w:rsidRDefault="007179EA" w:rsidP="002A2CA5">
      <w:pPr>
        <w:pStyle w:val="Heading3"/>
      </w:pPr>
      <w:r w:rsidRPr="00483631">
        <w:t>Strategic priorit</w:t>
      </w:r>
      <w:r>
        <w:t>ies</w:t>
      </w:r>
      <w:r w:rsidRPr="00483631">
        <w:t xml:space="preserve"> for 2022/23</w:t>
      </w:r>
      <w:r>
        <w:t xml:space="preserve"> to </w:t>
      </w:r>
      <w:r w:rsidRPr="00483631">
        <w:t>2024/25</w:t>
      </w:r>
      <w:bookmarkEnd w:id="221"/>
    </w:p>
    <w:p w14:paraId="366D6C95" w14:textId="77777777" w:rsidR="00BC6B27" w:rsidRDefault="007179EA" w:rsidP="002A2CA5">
      <w:r>
        <w:t xml:space="preserve">The proposed research and evaluation programme is designed to strengthen the </w:t>
      </w:r>
      <w:r w:rsidRPr="00483631">
        <w:t xml:space="preserve">evidence base </w:t>
      </w:r>
      <w:r>
        <w:t xml:space="preserve">that supports all our work by informing policy and operational decisions </w:t>
      </w:r>
      <w:r w:rsidRPr="00483631">
        <w:t>to prevent and minimise gambling harm</w:t>
      </w:r>
      <w:r>
        <w:t>. Evaluation is embedded into all new services and innovation activities. The priorities below take account of the submissions to the consultation document, feedback from the needs assessment and the strategic framework focus areas outlined earlier.</w:t>
      </w:r>
    </w:p>
    <w:p w14:paraId="1EEB507F" w14:textId="77777777" w:rsidR="007179EA" w:rsidRDefault="007179EA" w:rsidP="002A2CA5"/>
    <w:p w14:paraId="447BCCBD" w14:textId="77777777" w:rsidR="007179EA" w:rsidRDefault="007179EA" w:rsidP="002A2CA5">
      <w:r>
        <w:t>The strategy research priorities include:</w:t>
      </w:r>
    </w:p>
    <w:p w14:paraId="5C6A35C4" w14:textId="77777777" w:rsidR="00BC6B27" w:rsidRDefault="007179EA" w:rsidP="002A2CA5">
      <w:pPr>
        <w:pStyle w:val="Bullet"/>
      </w:pPr>
      <w:r>
        <w:t>obtaining longitudinal and prevalence data about gambling from p</w:t>
      </w:r>
      <w:r w:rsidRPr="00483631">
        <w:t>opulation level surveys</w:t>
      </w:r>
      <w:r>
        <w:t xml:space="preserve">, including </w:t>
      </w:r>
      <w:r w:rsidRPr="00483631">
        <w:t>gambling components in existing large-cohort longitudinal studies</w:t>
      </w:r>
      <w:r>
        <w:t xml:space="preserve"> as appropriate</w:t>
      </w:r>
      <w:r w:rsidRPr="002A2CA5">
        <w:rPr>
          <w:rStyle w:val="FootnoteReference"/>
        </w:rPr>
        <w:footnoteReference w:id="61"/>
      </w:r>
    </w:p>
    <w:p w14:paraId="719D8880" w14:textId="77777777" w:rsidR="007179EA" w:rsidRPr="00483631" w:rsidRDefault="007179EA" w:rsidP="002A2CA5">
      <w:pPr>
        <w:pStyle w:val="Bullet"/>
      </w:pPr>
      <w:r>
        <w:t>studying p</w:t>
      </w:r>
      <w:r w:rsidRPr="00483631">
        <w:t xml:space="preserve">atterns and impact of </w:t>
      </w:r>
      <w:r>
        <w:t xml:space="preserve">gambling on young people/rangatahi, and </w:t>
      </w:r>
      <w:r w:rsidRPr="00483631">
        <w:t xml:space="preserve">online gambling </w:t>
      </w:r>
      <w:r>
        <w:t xml:space="preserve">(to inform </w:t>
      </w:r>
      <w:r w:rsidRPr="00483631">
        <w:t>gambling harm and prevention strategies</w:t>
      </w:r>
      <w:r>
        <w:t>)</w:t>
      </w:r>
    </w:p>
    <w:p w14:paraId="438A90B5" w14:textId="77777777" w:rsidR="007179EA" w:rsidRPr="00483631" w:rsidRDefault="007179EA" w:rsidP="002A2CA5">
      <w:pPr>
        <w:pStyle w:val="Bullet"/>
      </w:pPr>
      <w:r>
        <w:t>assessing the r</w:t>
      </w:r>
      <w:r w:rsidRPr="00483631">
        <w:t>elationship between gaming and gambling in relation to preventing and minimising gambling harm</w:t>
      </w:r>
    </w:p>
    <w:p w14:paraId="35DE537C" w14:textId="77777777" w:rsidR="00BC6B27" w:rsidRDefault="007179EA" w:rsidP="002A2CA5">
      <w:pPr>
        <w:pStyle w:val="Bullet"/>
      </w:pPr>
      <w:r>
        <w:t xml:space="preserve">assessing </w:t>
      </w:r>
      <w:r w:rsidRPr="0003777A">
        <w:t xml:space="preserve">barriers to equitable service </w:t>
      </w:r>
      <w:r>
        <w:t xml:space="preserve">and support </w:t>
      </w:r>
      <w:r w:rsidRPr="0003777A">
        <w:t>access and outcomes, including for subgroups</w:t>
      </w:r>
      <w:r>
        <w:t>,</w:t>
      </w:r>
      <w:r w:rsidRPr="0003777A">
        <w:t xml:space="preserve"> </w:t>
      </w:r>
      <w:r>
        <w:t>for example</w:t>
      </w:r>
      <w:r w:rsidRPr="0003777A">
        <w:t xml:space="preserve">, Asian communities, </w:t>
      </w:r>
      <w:r>
        <w:t>young people/rangatahi</w:t>
      </w:r>
      <w:r w:rsidRPr="0003777A">
        <w:t>, new migrants and the disability community</w:t>
      </w:r>
    </w:p>
    <w:p w14:paraId="2D358CD2" w14:textId="77777777" w:rsidR="007179EA" w:rsidRDefault="007179EA" w:rsidP="002A2CA5">
      <w:pPr>
        <w:pStyle w:val="Bullet"/>
      </w:pPr>
      <w:r>
        <w:t xml:space="preserve">research into </w:t>
      </w:r>
      <w:r w:rsidRPr="00483631">
        <w:t>preventi</w:t>
      </w:r>
      <w:r>
        <w:t>ng</w:t>
      </w:r>
      <w:r w:rsidRPr="00483631">
        <w:t xml:space="preserve"> and reduc</w:t>
      </w:r>
      <w:r>
        <w:t>ing</w:t>
      </w:r>
      <w:r w:rsidRPr="00483631">
        <w:t xml:space="preserve"> </w:t>
      </w:r>
      <w:r>
        <w:t xml:space="preserve">gambling </w:t>
      </w:r>
      <w:r w:rsidRPr="00483631">
        <w:t>relapse and treatment dropout</w:t>
      </w:r>
      <w:r>
        <w:t>s</w:t>
      </w:r>
    </w:p>
    <w:p w14:paraId="7A6826C8" w14:textId="77777777" w:rsidR="007179EA" w:rsidRPr="00483631" w:rsidRDefault="007179EA" w:rsidP="002A2CA5">
      <w:pPr>
        <w:pStyle w:val="Bullet"/>
      </w:pPr>
      <w:r>
        <w:t>evaluation of new service and innovation , for which delivery will continue into the new strategy period.</w:t>
      </w:r>
    </w:p>
    <w:p w14:paraId="08A4C656" w14:textId="77777777" w:rsidR="007179EA" w:rsidRDefault="007179EA" w:rsidP="002A2CA5"/>
    <w:p w14:paraId="34599880" w14:textId="77777777" w:rsidR="00BC6B27" w:rsidRDefault="007179EA" w:rsidP="002A2CA5">
      <w:pPr>
        <w:keepNext/>
      </w:pPr>
      <w:r>
        <w:lastRenderedPageBreak/>
        <w:t>As noted above, some research and evaluation projects were delayed and will be continue in the new levy period.</w:t>
      </w:r>
    </w:p>
    <w:p w14:paraId="6C3C365F" w14:textId="77777777" w:rsidR="007179EA" w:rsidRDefault="007179EA" w:rsidP="002A2CA5">
      <w:pPr>
        <w:keepNext/>
      </w:pPr>
    </w:p>
    <w:p w14:paraId="5CFECC7A" w14:textId="77777777" w:rsidR="00BC6B27" w:rsidRDefault="007179EA" w:rsidP="002A2CA5">
      <w:r>
        <w:t xml:space="preserve">The Ministry accepts that stakeholders want better information about how research will be used, and that research and evaluation </w:t>
      </w:r>
      <w:r w:rsidRPr="00483631">
        <w:t xml:space="preserve">findings </w:t>
      </w:r>
      <w:r>
        <w:t xml:space="preserve">could be more </w:t>
      </w:r>
      <w:r w:rsidRPr="00483631">
        <w:t xml:space="preserve">accessible to the </w:t>
      </w:r>
      <w:r>
        <w:t xml:space="preserve">whole </w:t>
      </w:r>
      <w:r w:rsidRPr="00483631">
        <w:t>gambling sector and communicated in ways that resonate with different communities</w:t>
      </w:r>
      <w:r>
        <w:t>. The Ministry commits to work more closely with the gambling sector to make research and evaluation findings more accessible, to better communicate findings to all stakeholders and affected communities, and support application of these learnings into gambling harm services.</w:t>
      </w:r>
    </w:p>
    <w:p w14:paraId="35F748CD" w14:textId="77777777" w:rsidR="002A2CA5" w:rsidRDefault="002A2CA5" w:rsidP="002A2CA5"/>
    <w:p w14:paraId="6AB0AA33" w14:textId="77777777" w:rsidR="00BC6B27" w:rsidRDefault="007179EA" w:rsidP="002A2CA5">
      <w:pPr>
        <w:pStyle w:val="Heading4"/>
      </w:pPr>
      <w:r w:rsidRPr="00344239">
        <w:t xml:space="preserve">Learning from </w:t>
      </w:r>
      <w:r>
        <w:t>evaluations</w:t>
      </w:r>
    </w:p>
    <w:p w14:paraId="167E5C8B" w14:textId="77777777" w:rsidR="007179EA" w:rsidRDefault="007179EA" w:rsidP="002A2CA5">
      <w:r>
        <w:t xml:space="preserve">The evaluation allocation in the table above includes funding to </w:t>
      </w:r>
      <w:r w:rsidRPr="00FE239E">
        <w:t>evaluat</w:t>
      </w:r>
      <w:r>
        <w:t xml:space="preserve">e all new service and innovation activities as well as </w:t>
      </w:r>
      <w:r w:rsidRPr="00FE239E">
        <w:t xml:space="preserve">new activities </w:t>
      </w:r>
      <w:r w:rsidRPr="002607C0">
        <w:t>identified</w:t>
      </w:r>
      <w:r w:rsidRPr="00FE239E">
        <w:t xml:space="preserve"> in th</w:t>
      </w:r>
      <w:r>
        <w:t xml:space="preserve">is </w:t>
      </w:r>
      <w:r w:rsidRPr="00FE239E">
        <w:t>proposals document</w:t>
      </w:r>
      <w:r>
        <w:t xml:space="preserve">, developed </w:t>
      </w:r>
      <w:r w:rsidRPr="00FE239E">
        <w:t xml:space="preserve">in response to submissions. </w:t>
      </w:r>
      <w:r>
        <w:t xml:space="preserve">Evaluation is an important part of the learning process to develop and bed in new services and supports, </w:t>
      </w:r>
      <w:r>
        <w:rPr>
          <w:rFonts w:cstheme="minorHAnsi"/>
        </w:rPr>
        <w:t xml:space="preserve">to </w:t>
      </w:r>
      <w:r w:rsidRPr="00966126">
        <w:t>continue or expand promising approache</w:t>
      </w:r>
      <w:r w:rsidRPr="00966126">
        <w:rPr>
          <w:rFonts w:cstheme="minorHAnsi"/>
        </w:rPr>
        <w:t>s</w:t>
      </w:r>
      <w:r>
        <w:rPr>
          <w:rFonts w:cstheme="minorHAnsi"/>
        </w:rPr>
        <w:t xml:space="preserve"> and improve services </w:t>
      </w:r>
      <w:r w:rsidRPr="00344239">
        <w:t>to prevent and minimise gambling harm.</w:t>
      </w:r>
    </w:p>
    <w:p w14:paraId="08B0F733" w14:textId="77777777" w:rsidR="002A2CA5" w:rsidRDefault="002A2CA5" w:rsidP="002A2CA5"/>
    <w:p w14:paraId="08080392" w14:textId="77777777" w:rsidR="007179EA" w:rsidRDefault="007179EA" w:rsidP="002A2CA5">
      <w:pPr>
        <w:pStyle w:val="Heading2"/>
      </w:pPr>
      <w:bookmarkStart w:id="222" w:name="_Toc9239607"/>
      <w:bookmarkStart w:id="223" w:name="_Toc530487414"/>
      <w:bookmarkStart w:id="224" w:name="_Toc78882305"/>
      <w:bookmarkStart w:id="225" w:name="_Ref80859651"/>
      <w:bookmarkStart w:id="226" w:name="_Toc80965856"/>
      <w:bookmarkStart w:id="227" w:name="_Toc89684402"/>
      <w:bookmarkStart w:id="228" w:name="_Toc90885058"/>
      <w:r w:rsidRPr="00483631">
        <w:t>New services</w:t>
      </w:r>
      <w:r>
        <w:t xml:space="preserve"> and </w:t>
      </w:r>
      <w:r w:rsidRPr="00483631">
        <w:t>innovation</w:t>
      </w:r>
      <w:bookmarkEnd w:id="222"/>
      <w:bookmarkEnd w:id="223"/>
      <w:bookmarkEnd w:id="224"/>
      <w:bookmarkEnd w:id="225"/>
      <w:bookmarkEnd w:id="226"/>
      <w:bookmarkEnd w:id="227"/>
      <w:bookmarkEnd w:id="228"/>
    </w:p>
    <w:p w14:paraId="367DB9AD" w14:textId="77777777" w:rsidR="00BC6B27" w:rsidRDefault="007179EA" w:rsidP="002A2CA5">
      <w:r w:rsidRPr="002B1F09">
        <w:t>This area of the service plan identifies</w:t>
      </w:r>
      <w:r w:rsidRPr="00344239">
        <w:t xml:space="preserve"> areas of significant </w:t>
      </w:r>
      <w:r w:rsidRPr="002B1F09">
        <w:t>investment</w:t>
      </w:r>
      <w:r w:rsidRPr="00344239">
        <w:t xml:space="preserve"> to develop </w:t>
      </w:r>
      <w:r w:rsidRPr="002B1F09">
        <w:t>new services</w:t>
      </w:r>
      <w:r>
        <w:t xml:space="preserve"> and ways to respond</w:t>
      </w:r>
      <w:r w:rsidRPr="002B1F09">
        <w:t xml:space="preserve">, </w:t>
      </w:r>
      <w:r>
        <w:t xml:space="preserve">including new </w:t>
      </w:r>
      <w:r w:rsidRPr="002B1F09">
        <w:t>service component</w:t>
      </w:r>
      <w:r w:rsidRPr="00344239">
        <w:t>s</w:t>
      </w:r>
      <w:r w:rsidRPr="002B1F09">
        <w:t xml:space="preserve"> or service models and innovations</w:t>
      </w:r>
      <w:r>
        <w:t xml:space="preserve">. There are focused </w:t>
      </w:r>
      <w:r w:rsidRPr="002B1F09">
        <w:t>to improve services and address areas identified in the strategy such as persistent gambling harm or health inequities</w:t>
      </w:r>
      <w:r w:rsidRPr="00344239">
        <w:t>.</w:t>
      </w:r>
    </w:p>
    <w:p w14:paraId="10490030" w14:textId="77777777" w:rsidR="002A2CA5" w:rsidRDefault="002A2CA5" w:rsidP="002A2CA5"/>
    <w:p w14:paraId="5B98D8D9" w14:textId="77777777" w:rsidR="007179EA" w:rsidRPr="00344239" w:rsidRDefault="007179EA" w:rsidP="002A2CA5">
      <w:r w:rsidRPr="002B1F09">
        <w:t xml:space="preserve">Typically, these activities are tested and evaluated to identify learnings </w:t>
      </w:r>
      <w:r w:rsidRPr="00344239">
        <w:t xml:space="preserve">and changes </w:t>
      </w:r>
      <w:r w:rsidRPr="002B1F09">
        <w:t>t</w:t>
      </w:r>
      <w:r w:rsidRPr="00344239">
        <w:t xml:space="preserve">o </w:t>
      </w:r>
      <w:r w:rsidRPr="002B1F09">
        <w:t xml:space="preserve">incorporate into the relevant area of the service plan. </w:t>
      </w:r>
      <w:r>
        <w:t>All e</w:t>
      </w:r>
      <w:r w:rsidRPr="00344239">
        <w:t>valuation costs are met from the research evaluation allocation.</w:t>
      </w:r>
    </w:p>
    <w:p w14:paraId="11C3EB81" w14:textId="77777777" w:rsidR="002A2CA5" w:rsidRDefault="002A2CA5" w:rsidP="002A2CA5"/>
    <w:p w14:paraId="242E7235" w14:textId="77777777" w:rsidR="00BC6B27" w:rsidRDefault="007179EA" w:rsidP="002A2CA5">
      <w:r w:rsidRPr="00344239">
        <w:t xml:space="preserve">There are </w:t>
      </w:r>
      <w:r>
        <w:t xml:space="preserve">two </w:t>
      </w:r>
      <w:r w:rsidRPr="00344239">
        <w:t>streams within this area of the service plan:</w:t>
      </w:r>
    </w:p>
    <w:p w14:paraId="24E01387" w14:textId="77777777" w:rsidR="00BC6B27" w:rsidRPr="00BC6B27" w:rsidRDefault="007179EA" w:rsidP="002A2CA5">
      <w:pPr>
        <w:pStyle w:val="Bullet"/>
      </w:pPr>
      <w:r w:rsidRPr="00BC6B27">
        <w:t>delivery of existing commitments under the current strategy</w:t>
      </w:r>
    </w:p>
    <w:p w14:paraId="4359E554" w14:textId="77777777" w:rsidR="007179EA" w:rsidRPr="00BC6B27" w:rsidRDefault="007179EA" w:rsidP="002A2CA5">
      <w:pPr>
        <w:pStyle w:val="Bullet"/>
      </w:pPr>
      <w:r w:rsidRPr="00BC6B27">
        <w:t>new proposals to strengthen and develop a skilled, diverse, and culturally responsive workforce.</w:t>
      </w:r>
    </w:p>
    <w:p w14:paraId="6ABFA5B3" w14:textId="77777777" w:rsidR="007179EA" w:rsidRDefault="007179EA" w:rsidP="002A2CA5"/>
    <w:p w14:paraId="5544AA3B" w14:textId="46AD86E6" w:rsidR="007179EA" w:rsidRDefault="002A2CA5" w:rsidP="002A2CA5">
      <w:pPr>
        <w:pStyle w:val="Table"/>
      </w:pPr>
      <w:bookmarkStart w:id="229" w:name="_Ref90611839"/>
      <w:bookmarkStart w:id="230" w:name="_Toc8398937"/>
      <w:bookmarkStart w:id="231" w:name="_Toc4156637"/>
      <w:bookmarkStart w:id="232" w:name="_Toc530487441"/>
      <w:bookmarkStart w:id="233" w:name="_Toc89335325"/>
      <w:bookmarkStart w:id="234" w:name="_Toc90626959"/>
      <w:r>
        <w:lastRenderedPageBreak/>
        <w:t>Table </w:t>
      </w:r>
      <w:fldSimple w:instr=" SEQ Table \* ARABIC ">
        <w:r w:rsidR="00451900">
          <w:rPr>
            <w:noProof/>
          </w:rPr>
          <w:t>9</w:t>
        </w:r>
      </w:fldSimple>
      <w:bookmarkEnd w:id="229"/>
      <w:r w:rsidR="007179EA" w:rsidRPr="0003777A">
        <w:t>: Budget for new services</w:t>
      </w:r>
      <w:r w:rsidR="007179EA">
        <w:t xml:space="preserve"> and</w:t>
      </w:r>
      <w:r w:rsidR="007179EA" w:rsidRPr="0003777A">
        <w:t xml:space="preserve"> innovation (GST exclusive), 2022/23 to 2024/2</w:t>
      </w:r>
      <w:bookmarkEnd w:id="230"/>
      <w:bookmarkEnd w:id="231"/>
      <w:bookmarkEnd w:id="232"/>
      <w:r w:rsidR="007179EA" w:rsidRPr="0003777A">
        <w:t>5</w:t>
      </w:r>
      <w:bookmarkEnd w:id="233"/>
      <w:bookmarkEnd w:id="234"/>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00" w:firstRow="0" w:lastRow="0" w:firstColumn="0" w:lastColumn="0" w:noHBand="1" w:noVBand="1"/>
      </w:tblPr>
      <w:tblGrid>
        <w:gridCol w:w="4255"/>
        <w:gridCol w:w="957"/>
        <w:gridCol w:w="958"/>
        <w:gridCol w:w="957"/>
        <w:gridCol w:w="958"/>
      </w:tblGrid>
      <w:tr w:rsidR="007179EA" w:rsidRPr="00E905E6" w14:paraId="0080AC6A" w14:textId="77777777" w:rsidTr="002A2CA5">
        <w:trPr>
          <w:cantSplit/>
        </w:trPr>
        <w:tc>
          <w:tcPr>
            <w:tcW w:w="4255"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464369FB" w14:textId="77777777" w:rsidR="007179EA" w:rsidRPr="00E905E6" w:rsidRDefault="007179EA" w:rsidP="002A2CA5">
            <w:pPr>
              <w:pStyle w:val="TableText"/>
              <w:keepNext/>
              <w:rPr>
                <w:b/>
                <w:highlight w:val="yellow"/>
              </w:rPr>
            </w:pPr>
            <w:r w:rsidRPr="00E905E6">
              <w:rPr>
                <w:b/>
              </w:rPr>
              <w:t>Service area</w:t>
            </w:r>
          </w:p>
        </w:tc>
        <w:tc>
          <w:tcPr>
            <w:tcW w:w="957"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2345A624" w14:textId="77777777" w:rsidR="007179EA" w:rsidRPr="00E905E6" w:rsidRDefault="007179EA" w:rsidP="005B24AB">
            <w:pPr>
              <w:pStyle w:val="TableText"/>
              <w:jc w:val="center"/>
              <w:rPr>
                <w:b/>
                <w:highlight w:val="yellow"/>
              </w:rPr>
            </w:pPr>
            <w:r w:rsidRPr="00E905E6">
              <w:rPr>
                <w:b/>
              </w:rPr>
              <w:t>2022/23</w:t>
            </w:r>
            <w:r w:rsidRPr="00E905E6">
              <w:rPr>
                <w:b/>
              </w:rPr>
              <w:br/>
              <w:t>($m)</w:t>
            </w:r>
          </w:p>
        </w:tc>
        <w:tc>
          <w:tcPr>
            <w:tcW w:w="958"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42037265" w14:textId="77777777" w:rsidR="007179EA" w:rsidRPr="00E905E6" w:rsidRDefault="007179EA" w:rsidP="005B24AB">
            <w:pPr>
              <w:pStyle w:val="TableText"/>
              <w:jc w:val="center"/>
              <w:rPr>
                <w:b/>
                <w:highlight w:val="yellow"/>
              </w:rPr>
            </w:pPr>
            <w:r w:rsidRPr="00E905E6">
              <w:rPr>
                <w:b/>
              </w:rPr>
              <w:t>2023/24</w:t>
            </w:r>
            <w:r w:rsidRPr="00E905E6">
              <w:rPr>
                <w:b/>
              </w:rPr>
              <w:br/>
              <w:t>($m)</w:t>
            </w:r>
          </w:p>
        </w:tc>
        <w:tc>
          <w:tcPr>
            <w:tcW w:w="957"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194852D4" w14:textId="77777777" w:rsidR="007179EA" w:rsidRPr="00E905E6" w:rsidRDefault="007179EA" w:rsidP="005B24AB">
            <w:pPr>
              <w:pStyle w:val="TableText"/>
              <w:jc w:val="center"/>
              <w:rPr>
                <w:b/>
                <w:highlight w:val="yellow"/>
              </w:rPr>
            </w:pPr>
            <w:r w:rsidRPr="00E905E6">
              <w:rPr>
                <w:b/>
              </w:rPr>
              <w:t>2024/25</w:t>
            </w:r>
            <w:r w:rsidRPr="00E905E6">
              <w:rPr>
                <w:b/>
              </w:rPr>
              <w:br/>
              <w:t>($m)</w:t>
            </w:r>
          </w:p>
        </w:tc>
        <w:tc>
          <w:tcPr>
            <w:tcW w:w="958"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069E4318" w14:textId="77777777" w:rsidR="007179EA" w:rsidRPr="00E905E6" w:rsidRDefault="007179EA" w:rsidP="005B24AB">
            <w:pPr>
              <w:pStyle w:val="TableText"/>
              <w:jc w:val="center"/>
              <w:rPr>
                <w:b/>
                <w:highlight w:val="yellow"/>
              </w:rPr>
            </w:pPr>
            <w:r w:rsidRPr="00E905E6">
              <w:rPr>
                <w:b/>
              </w:rPr>
              <w:t>Total</w:t>
            </w:r>
            <w:r w:rsidRPr="00E905E6">
              <w:rPr>
                <w:b/>
              </w:rPr>
              <w:br/>
              <w:t>($m)</w:t>
            </w:r>
          </w:p>
        </w:tc>
      </w:tr>
      <w:tr w:rsidR="007179EA" w14:paraId="7989DA26" w14:textId="77777777" w:rsidTr="002A2CA5">
        <w:trPr>
          <w:cantSplit/>
        </w:trPr>
        <w:tc>
          <w:tcPr>
            <w:tcW w:w="4255" w:type="dxa"/>
            <w:tcBorders>
              <w:top w:val="nil"/>
              <w:left w:val="nil"/>
              <w:bottom w:val="single" w:sz="4" w:space="0" w:color="A6A6A6" w:themeColor="background1" w:themeShade="A6"/>
              <w:right w:val="nil"/>
            </w:tcBorders>
            <w:tcMar>
              <w:top w:w="0" w:type="dxa"/>
              <w:left w:w="57" w:type="dxa"/>
              <w:bottom w:w="0" w:type="dxa"/>
              <w:right w:w="57" w:type="dxa"/>
            </w:tcMar>
            <w:hideMark/>
          </w:tcPr>
          <w:p w14:paraId="636316ED" w14:textId="77777777" w:rsidR="007179EA" w:rsidRDefault="007179EA" w:rsidP="002A2CA5">
            <w:pPr>
              <w:pStyle w:val="TableText"/>
              <w:keepNext/>
              <w:ind w:right="113"/>
            </w:pPr>
            <w:r>
              <w:t>New activities to address inequity (public health and intervention services)</w:t>
            </w:r>
          </w:p>
        </w:tc>
        <w:tc>
          <w:tcPr>
            <w:tcW w:w="957" w:type="dxa"/>
            <w:tcBorders>
              <w:top w:val="nil"/>
              <w:left w:val="nil"/>
              <w:bottom w:val="single" w:sz="4" w:space="0" w:color="A6A6A6" w:themeColor="background1" w:themeShade="A6"/>
              <w:right w:val="nil"/>
            </w:tcBorders>
            <w:tcMar>
              <w:top w:w="0" w:type="dxa"/>
              <w:left w:w="57" w:type="dxa"/>
              <w:bottom w:w="0" w:type="dxa"/>
              <w:right w:w="57" w:type="dxa"/>
            </w:tcMar>
            <w:hideMark/>
          </w:tcPr>
          <w:p w14:paraId="6B7379AF" w14:textId="77777777" w:rsidR="007179EA" w:rsidRPr="007B3B7F" w:rsidRDefault="007179EA" w:rsidP="00372BC9">
            <w:pPr>
              <w:pStyle w:val="TableText"/>
              <w:jc w:val="center"/>
              <w:rPr>
                <w:highlight w:val="yellow"/>
              </w:rPr>
            </w:pPr>
            <w:r>
              <w:t>1.138</w:t>
            </w:r>
          </w:p>
        </w:tc>
        <w:tc>
          <w:tcPr>
            <w:tcW w:w="958" w:type="dxa"/>
            <w:tcBorders>
              <w:top w:val="nil"/>
              <w:left w:val="nil"/>
              <w:bottom w:val="single" w:sz="4" w:space="0" w:color="A6A6A6" w:themeColor="background1" w:themeShade="A6"/>
              <w:right w:val="nil"/>
            </w:tcBorders>
            <w:tcMar>
              <w:top w:w="0" w:type="dxa"/>
              <w:left w:w="57" w:type="dxa"/>
              <w:bottom w:w="0" w:type="dxa"/>
              <w:right w:w="57" w:type="dxa"/>
            </w:tcMar>
            <w:hideMark/>
          </w:tcPr>
          <w:p w14:paraId="48100FFB" w14:textId="77777777" w:rsidR="007179EA" w:rsidRPr="007B3B7F" w:rsidRDefault="007179EA" w:rsidP="00372BC9">
            <w:pPr>
              <w:pStyle w:val="TableText"/>
              <w:jc w:val="center"/>
              <w:rPr>
                <w:highlight w:val="yellow"/>
              </w:rPr>
            </w:pPr>
            <w:r>
              <w:t>1.138</w:t>
            </w:r>
          </w:p>
        </w:tc>
        <w:tc>
          <w:tcPr>
            <w:tcW w:w="957" w:type="dxa"/>
            <w:tcBorders>
              <w:top w:val="nil"/>
              <w:left w:val="nil"/>
              <w:bottom w:val="single" w:sz="4" w:space="0" w:color="A6A6A6" w:themeColor="background1" w:themeShade="A6"/>
              <w:right w:val="nil"/>
            </w:tcBorders>
            <w:tcMar>
              <w:top w:w="0" w:type="dxa"/>
              <w:left w:w="57" w:type="dxa"/>
              <w:bottom w:w="0" w:type="dxa"/>
              <w:right w:w="57" w:type="dxa"/>
            </w:tcMar>
            <w:hideMark/>
          </w:tcPr>
          <w:p w14:paraId="2B41EF1F" w14:textId="77777777" w:rsidR="007179EA" w:rsidRPr="007B3B7F" w:rsidRDefault="007179EA" w:rsidP="00372BC9">
            <w:pPr>
              <w:pStyle w:val="TableText"/>
              <w:jc w:val="center"/>
              <w:rPr>
                <w:highlight w:val="yellow"/>
              </w:rPr>
            </w:pPr>
            <w:r>
              <w:t>1.138</w:t>
            </w:r>
          </w:p>
        </w:tc>
        <w:tc>
          <w:tcPr>
            <w:tcW w:w="958" w:type="dxa"/>
            <w:tcBorders>
              <w:top w:val="nil"/>
              <w:left w:val="nil"/>
              <w:bottom w:val="single" w:sz="4" w:space="0" w:color="A6A6A6" w:themeColor="background1" w:themeShade="A6"/>
              <w:right w:val="nil"/>
            </w:tcBorders>
            <w:tcMar>
              <w:top w:w="0" w:type="dxa"/>
              <w:left w:w="57" w:type="dxa"/>
              <w:bottom w:w="0" w:type="dxa"/>
              <w:right w:w="57" w:type="dxa"/>
            </w:tcMar>
            <w:hideMark/>
          </w:tcPr>
          <w:p w14:paraId="1B7F310F" w14:textId="77777777" w:rsidR="007179EA" w:rsidRPr="007B3B7F" w:rsidRDefault="007179EA" w:rsidP="00372BC9">
            <w:pPr>
              <w:pStyle w:val="TableText"/>
              <w:jc w:val="center"/>
              <w:rPr>
                <w:highlight w:val="yellow"/>
              </w:rPr>
            </w:pPr>
            <w:r w:rsidRPr="002B13B1">
              <w:t>3.</w:t>
            </w:r>
            <w:r>
              <w:t>414</w:t>
            </w:r>
          </w:p>
        </w:tc>
      </w:tr>
      <w:tr w:rsidR="007179EA" w14:paraId="4EB70C74" w14:textId="77777777" w:rsidTr="002A2CA5">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3882CB82" w14:textId="77777777" w:rsidR="007179EA" w:rsidRDefault="002A2CA5" w:rsidP="002A2CA5">
            <w:pPr>
              <w:pStyle w:val="TableText"/>
              <w:keepNext/>
              <w:ind w:right="113"/>
            </w:pPr>
            <w:r>
              <w:t>Technology-related innovation</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0CC5FCB1" w14:textId="77777777" w:rsidR="007179EA" w:rsidRPr="007B3B7F" w:rsidRDefault="007179EA" w:rsidP="00372BC9">
            <w:pPr>
              <w:pStyle w:val="TableText"/>
              <w:jc w:val="center"/>
              <w:rPr>
                <w:highlight w:val="yellow"/>
              </w:rPr>
            </w:pPr>
            <w:r>
              <w:t>1.000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227BCA33" w14:textId="77777777" w:rsidR="007179EA" w:rsidRPr="007B3B7F" w:rsidRDefault="007179EA" w:rsidP="00372BC9">
            <w:pPr>
              <w:pStyle w:val="TableText"/>
              <w:jc w:val="center"/>
              <w:rPr>
                <w:highlight w:val="yellow"/>
              </w:rPr>
            </w:pPr>
            <w:r w:rsidRPr="005C664A">
              <w:t>0.</w:t>
            </w:r>
            <w:r>
              <w:t>500</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0208CD57" w14:textId="77777777" w:rsidR="007179EA" w:rsidRPr="007B3B7F" w:rsidRDefault="00372BC9" w:rsidP="00372BC9">
            <w:pPr>
              <w:pStyle w:val="TableText"/>
              <w:jc w:val="center"/>
              <w:rPr>
                <w:highlight w:val="yellow"/>
              </w:rPr>
            </w:pPr>
            <w:r>
              <w:t>–</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26BA28AC" w14:textId="77777777" w:rsidR="007179EA" w:rsidRPr="007B3B7F" w:rsidRDefault="007179EA" w:rsidP="00372BC9">
            <w:pPr>
              <w:pStyle w:val="TableText"/>
              <w:jc w:val="center"/>
              <w:rPr>
                <w:highlight w:val="yellow"/>
              </w:rPr>
            </w:pPr>
            <w:r w:rsidRPr="005C664A">
              <w:t>1.</w:t>
            </w:r>
            <w:r>
              <w:t>50</w:t>
            </w:r>
            <w:r w:rsidRPr="005C664A">
              <w:t>0</w:t>
            </w:r>
          </w:p>
        </w:tc>
      </w:tr>
      <w:tr w:rsidR="007179EA" w14:paraId="3C136B2C" w14:textId="77777777" w:rsidTr="002A2CA5">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5F6590EF" w14:textId="77777777" w:rsidR="007179EA" w:rsidRDefault="007179EA" w:rsidP="002A2CA5">
            <w:pPr>
              <w:pStyle w:val="TableText"/>
              <w:keepNext/>
              <w:ind w:right="113"/>
            </w:pPr>
            <w:r>
              <w:t>Intensive support</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56761603" w14:textId="77777777" w:rsidR="007179EA" w:rsidRPr="007B3B7F" w:rsidRDefault="007179EA" w:rsidP="00372BC9">
            <w:pPr>
              <w:pStyle w:val="TableText"/>
              <w:jc w:val="center"/>
              <w:rPr>
                <w:highlight w:val="yellow"/>
              </w:rPr>
            </w:pPr>
            <w:r w:rsidRPr="00455CEC">
              <w:t>0.</w:t>
            </w:r>
            <w:r>
              <w:t>100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0B374E3B" w14:textId="77777777" w:rsidR="007179EA" w:rsidRPr="007B3B7F" w:rsidRDefault="007179EA" w:rsidP="00372BC9">
            <w:pPr>
              <w:pStyle w:val="TableText"/>
              <w:jc w:val="center"/>
              <w:rPr>
                <w:highlight w:val="yellow"/>
              </w:rPr>
            </w:pPr>
            <w:r w:rsidRPr="00455CEC">
              <w:t>0.1</w:t>
            </w:r>
            <w:r>
              <w:t>6</w:t>
            </w:r>
            <w:r w:rsidRPr="00455CEC">
              <w:t>0</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63C0D871" w14:textId="77777777" w:rsidR="007179EA" w:rsidRPr="007B3B7F" w:rsidRDefault="007179EA" w:rsidP="00372BC9">
            <w:pPr>
              <w:pStyle w:val="TableText"/>
              <w:jc w:val="center"/>
              <w:rPr>
                <w:highlight w:val="yellow"/>
              </w:rPr>
            </w:pPr>
            <w:r>
              <w:t>0.240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783C4AED" w14:textId="77777777" w:rsidR="007179EA" w:rsidRPr="007B3B7F" w:rsidRDefault="007179EA" w:rsidP="00372BC9">
            <w:pPr>
              <w:pStyle w:val="TableText"/>
              <w:jc w:val="center"/>
              <w:rPr>
                <w:highlight w:val="yellow"/>
              </w:rPr>
            </w:pPr>
            <w:r w:rsidRPr="00455CEC">
              <w:t>0.</w:t>
            </w:r>
            <w:r>
              <w:t>500</w:t>
            </w:r>
          </w:p>
        </w:tc>
      </w:tr>
      <w:tr w:rsidR="007179EA" w14:paraId="0F1C5FCF" w14:textId="77777777" w:rsidTr="002A2CA5">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5003413D" w14:textId="77777777" w:rsidR="007179EA" w:rsidRDefault="007179EA" w:rsidP="002A2CA5">
            <w:pPr>
              <w:pStyle w:val="TableText"/>
              <w:keepNext/>
              <w:ind w:right="113"/>
            </w:pPr>
            <w:r>
              <w:t>Peer workforce and expansion</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27EA9B3A" w14:textId="77777777" w:rsidR="007179EA" w:rsidRPr="007B3B7F" w:rsidRDefault="007179EA" w:rsidP="00372BC9">
            <w:pPr>
              <w:pStyle w:val="TableText"/>
              <w:jc w:val="center"/>
              <w:rPr>
                <w:highlight w:val="yellow"/>
              </w:rPr>
            </w:pPr>
            <w:r w:rsidRPr="001F159F">
              <w:t>0.350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6E51C048" w14:textId="77777777" w:rsidR="007179EA" w:rsidRPr="007B3B7F" w:rsidRDefault="007179EA" w:rsidP="00372BC9">
            <w:pPr>
              <w:pStyle w:val="TableText"/>
              <w:jc w:val="center"/>
              <w:rPr>
                <w:highlight w:val="yellow"/>
              </w:rPr>
            </w:pPr>
            <w:r w:rsidRPr="001F159F">
              <w:t>0.688</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514A7D8C" w14:textId="77777777" w:rsidR="007179EA" w:rsidRPr="007B3B7F" w:rsidRDefault="007179EA" w:rsidP="00372BC9">
            <w:pPr>
              <w:pStyle w:val="TableText"/>
              <w:jc w:val="center"/>
              <w:rPr>
                <w:highlight w:val="yellow"/>
              </w:rPr>
            </w:pPr>
            <w:r w:rsidRPr="001F159F">
              <w:t>0.800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31BF3336" w14:textId="77777777" w:rsidR="007179EA" w:rsidRPr="007B3B7F" w:rsidRDefault="007179EA" w:rsidP="00372BC9">
            <w:pPr>
              <w:pStyle w:val="TableText"/>
              <w:jc w:val="center"/>
              <w:rPr>
                <w:highlight w:val="yellow"/>
              </w:rPr>
            </w:pPr>
            <w:r w:rsidRPr="001F159F">
              <w:t>1.838</w:t>
            </w:r>
          </w:p>
        </w:tc>
      </w:tr>
      <w:tr w:rsidR="007179EA" w14:paraId="6A97E8DA" w14:textId="77777777" w:rsidTr="002A2CA5">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E943CB9" w14:textId="77777777" w:rsidR="007179EA" w:rsidRDefault="007179EA" w:rsidP="005B24AB">
            <w:pPr>
              <w:pStyle w:val="TableText"/>
              <w:ind w:right="113"/>
            </w:pPr>
            <w:r>
              <w:t>Developing gambling harm content for NZQA level 7 paper</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27EA6BB6" w14:textId="77777777" w:rsidR="007179EA" w:rsidRPr="007B3B7F" w:rsidRDefault="007179EA" w:rsidP="00372BC9">
            <w:pPr>
              <w:pStyle w:val="TableText"/>
              <w:jc w:val="center"/>
              <w:rPr>
                <w:highlight w:val="yellow"/>
              </w:rPr>
            </w:pPr>
            <w:r w:rsidRPr="00DE6AE8">
              <w:t>0.080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6732EB2C" w14:textId="77777777" w:rsidR="007179EA" w:rsidRPr="007B3B7F" w:rsidRDefault="007179EA" w:rsidP="00372BC9">
            <w:pPr>
              <w:pStyle w:val="TableText"/>
              <w:jc w:val="center"/>
              <w:rPr>
                <w:highlight w:val="yellow"/>
              </w:rPr>
            </w:pPr>
            <w:r w:rsidRPr="00DE6AE8">
              <w:t>0.120</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2774F0D2" w14:textId="77777777" w:rsidR="007179EA" w:rsidRPr="007B3B7F" w:rsidRDefault="00372BC9" w:rsidP="00372BC9">
            <w:pPr>
              <w:pStyle w:val="TableText"/>
              <w:jc w:val="center"/>
              <w:rPr>
                <w:highlight w:val="yellow"/>
              </w:rPr>
            </w:pPr>
            <w:r>
              <w:t>–</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C47691A" w14:textId="77777777" w:rsidR="007179EA" w:rsidRPr="007B3B7F" w:rsidRDefault="007179EA" w:rsidP="00372BC9">
            <w:pPr>
              <w:pStyle w:val="TableText"/>
              <w:jc w:val="center"/>
              <w:rPr>
                <w:highlight w:val="yellow"/>
              </w:rPr>
            </w:pPr>
            <w:r w:rsidRPr="00DE6AE8">
              <w:t>0.200</w:t>
            </w:r>
          </w:p>
        </w:tc>
      </w:tr>
      <w:tr w:rsidR="007179EA" w14:paraId="18026CCD" w14:textId="77777777" w:rsidTr="002A2CA5">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60CCEE4D" w14:textId="77777777" w:rsidR="007179EA" w:rsidRDefault="007179EA" w:rsidP="005B24AB">
            <w:pPr>
              <w:pStyle w:val="TableText"/>
              <w:ind w:right="113"/>
            </w:pPr>
            <w:r>
              <w:t>Gambling harm scholarships</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30DEEA86" w14:textId="77777777" w:rsidR="007179EA" w:rsidRPr="007B3B7F" w:rsidRDefault="007179EA" w:rsidP="00372BC9">
            <w:pPr>
              <w:pStyle w:val="TableText"/>
              <w:jc w:val="center"/>
              <w:rPr>
                <w:highlight w:val="yellow"/>
              </w:rPr>
            </w:pPr>
            <w:r w:rsidRPr="00D24E0A">
              <w:t>0.163</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72D7D564" w14:textId="77777777" w:rsidR="007179EA" w:rsidRPr="007B3B7F" w:rsidRDefault="007179EA" w:rsidP="00372BC9">
            <w:pPr>
              <w:pStyle w:val="TableText"/>
              <w:jc w:val="center"/>
              <w:rPr>
                <w:highlight w:val="yellow"/>
              </w:rPr>
            </w:pPr>
            <w:r w:rsidRPr="00D24E0A">
              <w:t>0.163</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5D225ECE" w14:textId="77777777" w:rsidR="007179EA" w:rsidRPr="007B3B7F" w:rsidRDefault="007179EA" w:rsidP="00372BC9">
            <w:pPr>
              <w:pStyle w:val="TableText"/>
              <w:jc w:val="center"/>
              <w:rPr>
                <w:highlight w:val="yellow"/>
              </w:rPr>
            </w:pPr>
            <w:r w:rsidRPr="00D24E0A">
              <w:t>0.163</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0A9BD9E2" w14:textId="77777777" w:rsidR="007179EA" w:rsidRPr="007B3B7F" w:rsidRDefault="007179EA" w:rsidP="00372BC9">
            <w:pPr>
              <w:pStyle w:val="TableText"/>
              <w:jc w:val="center"/>
              <w:rPr>
                <w:highlight w:val="yellow"/>
              </w:rPr>
            </w:pPr>
            <w:r w:rsidRPr="00D24E0A">
              <w:t>0.489</w:t>
            </w:r>
          </w:p>
        </w:tc>
      </w:tr>
      <w:tr w:rsidR="007179EA" w:rsidRPr="00FA0FEE" w14:paraId="1A059985" w14:textId="77777777" w:rsidTr="002A2CA5">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3014A2B4" w14:textId="77777777" w:rsidR="007179EA" w:rsidRPr="00E905E6" w:rsidRDefault="007179EA" w:rsidP="005B24AB">
            <w:pPr>
              <w:pStyle w:val="TableText"/>
              <w:ind w:right="113"/>
              <w:rPr>
                <w:b/>
                <w:lang w:eastAsia="en-NZ"/>
              </w:rPr>
            </w:pPr>
            <w:r w:rsidRPr="00E905E6">
              <w:rPr>
                <w:b/>
                <w:lang w:eastAsia="en-NZ"/>
              </w:rPr>
              <w:t>Total ($m)</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22B2B001" w14:textId="77777777" w:rsidR="007179EA" w:rsidRPr="003D2E77" w:rsidRDefault="007179EA" w:rsidP="00372BC9">
            <w:pPr>
              <w:pStyle w:val="TableText"/>
              <w:jc w:val="center"/>
              <w:rPr>
                <w:b/>
                <w:bCs/>
                <w:highlight w:val="yellow"/>
              </w:rPr>
            </w:pPr>
            <w:r>
              <w:rPr>
                <w:b/>
                <w:bCs/>
              </w:rPr>
              <w:t>2.831</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3C16DD52" w14:textId="77777777" w:rsidR="007179EA" w:rsidRPr="00FA0FEE" w:rsidRDefault="007179EA" w:rsidP="00372BC9">
            <w:pPr>
              <w:pStyle w:val="TableText"/>
              <w:jc w:val="center"/>
              <w:rPr>
                <w:b/>
                <w:bCs/>
              </w:rPr>
            </w:pPr>
            <w:r w:rsidRPr="00874472">
              <w:rPr>
                <w:b/>
                <w:bCs/>
              </w:rPr>
              <w:t>2.76</w:t>
            </w:r>
            <w:r w:rsidRPr="00FA0FEE">
              <w:rPr>
                <w:b/>
                <w:bCs/>
              </w:rPr>
              <w:t>9</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54356D27" w14:textId="77777777" w:rsidR="007179EA" w:rsidRPr="00FA0FEE" w:rsidRDefault="007179EA" w:rsidP="00372BC9">
            <w:pPr>
              <w:pStyle w:val="TableText"/>
              <w:jc w:val="center"/>
              <w:rPr>
                <w:b/>
                <w:bCs/>
              </w:rPr>
            </w:pPr>
            <w:r w:rsidRPr="00E216B6">
              <w:rPr>
                <w:b/>
                <w:bCs/>
              </w:rPr>
              <w:t>2.</w:t>
            </w:r>
            <w:r w:rsidRPr="00874472">
              <w:rPr>
                <w:b/>
                <w:bCs/>
              </w:rPr>
              <w:t>341</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20A94D42" w14:textId="77777777" w:rsidR="007179EA" w:rsidRPr="00FA0FEE" w:rsidRDefault="007179EA" w:rsidP="00372BC9">
            <w:pPr>
              <w:pStyle w:val="TableText"/>
              <w:jc w:val="center"/>
              <w:rPr>
                <w:b/>
                <w:bCs/>
              </w:rPr>
            </w:pPr>
            <w:r w:rsidRPr="00E216B6">
              <w:rPr>
                <w:b/>
                <w:bCs/>
              </w:rPr>
              <w:t>7.</w:t>
            </w:r>
            <w:r w:rsidRPr="00874472">
              <w:rPr>
                <w:b/>
                <w:bCs/>
              </w:rPr>
              <w:t>9</w:t>
            </w:r>
            <w:r w:rsidRPr="00FA0FEE">
              <w:rPr>
                <w:b/>
                <w:bCs/>
              </w:rPr>
              <w:t>41</w:t>
            </w:r>
          </w:p>
        </w:tc>
      </w:tr>
    </w:tbl>
    <w:p w14:paraId="63DF542A" w14:textId="77777777" w:rsidR="007179EA" w:rsidRDefault="007179EA" w:rsidP="00372BC9">
      <w:pPr>
        <w:pStyle w:val="Note"/>
      </w:pPr>
      <w:r>
        <w:t>Note</w:t>
      </w:r>
      <w:r w:rsidR="00BC6B27">
        <w:t xml:space="preserve"> </w:t>
      </w:r>
      <w:r>
        <w:t>Budget totals may not sum due to rounding</w:t>
      </w:r>
      <w:r w:rsidR="00372BC9">
        <w:t>.</w:t>
      </w:r>
    </w:p>
    <w:p w14:paraId="09ACA8BA" w14:textId="77777777" w:rsidR="00372BC9" w:rsidRPr="00372BC9" w:rsidRDefault="00372BC9" w:rsidP="00372BC9"/>
    <w:p w14:paraId="3FD19667" w14:textId="77777777" w:rsidR="00BC6B27" w:rsidRDefault="007179EA" w:rsidP="00372BC9">
      <w:pPr>
        <w:pStyle w:val="Heading4"/>
      </w:pPr>
      <w:r w:rsidRPr="00344239">
        <w:t>Co</w:t>
      </w:r>
      <w:r>
        <w:t>ntinuing current commitments in the new strategy period</w:t>
      </w:r>
    </w:p>
    <w:p w14:paraId="6683B50C" w14:textId="77777777" w:rsidR="007179EA" w:rsidRPr="00E6652F" w:rsidRDefault="007179EA" w:rsidP="00372BC9">
      <w:r>
        <w:t>The current strategy includes commitments to deliver several</w:t>
      </w:r>
      <w:r w:rsidRPr="00344239">
        <w:t xml:space="preserve"> </w:t>
      </w:r>
      <w:r w:rsidRPr="00E6652F">
        <w:t xml:space="preserve">new service models that address inequities related to public health and intervention services. These </w:t>
      </w:r>
      <w:r>
        <w:t xml:space="preserve">activities </w:t>
      </w:r>
      <w:r w:rsidRPr="00E6652F">
        <w:t xml:space="preserve">will be completed after 1 July 2022, </w:t>
      </w:r>
      <w:r>
        <w:t>there is</w:t>
      </w:r>
      <w:r w:rsidRPr="00E6652F">
        <w:t xml:space="preserve"> forecast spend </w:t>
      </w:r>
      <w:r>
        <w:t xml:space="preserve">that will occur in the </w:t>
      </w:r>
      <w:r w:rsidRPr="00E6652F">
        <w:t>new levy period</w:t>
      </w:r>
      <w:r>
        <w:t>. These activities will develop and test:</w:t>
      </w:r>
    </w:p>
    <w:p w14:paraId="65C58013" w14:textId="77777777" w:rsidR="00BC6B27" w:rsidRDefault="007179EA" w:rsidP="00372BC9">
      <w:pPr>
        <w:pStyle w:val="Bullet"/>
      </w:pPr>
      <w:r w:rsidRPr="00E6652F">
        <w:t xml:space="preserve">new ways of providing public health and intervention services, </w:t>
      </w:r>
      <w:r>
        <w:t>to a</w:t>
      </w:r>
      <w:r w:rsidRPr="00E6652F">
        <w:t>ddress inequities for priorit</w:t>
      </w:r>
      <w:r>
        <w:t>y</w:t>
      </w:r>
      <w:r w:rsidRPr="00E6652F">
        <w:t xml:space="preserve"> groups who experience the most gambling harm, </w:t>
      </w:r>
      <w:r>
        <w:t>with a focus on</w:t>
      </w:r>
      <w:r w:rsidRPr="00E6652F">
        <w:t xml:space="preserve"> Māori</w:t>
      </w:r>
      <w:r>
        <w:t xml:space="preserve"> and</w:t>
      </w:r>
      <w:r w:rsidRPr="00E6652F">
        <w:t xml:space="preserve"> Pacific peoples</w:t>
      </w:r>
    </w:p>
    <w:p w14:paraId="64CF3643" w14:textId="77777777" w:rsidR="007179EA" w:rsidRPr="00E6652F" w:rsidRDefault="007179EA" w:rsidP="00372BC9">
      <w:pPr>
        <w:pStyle w:val="Bullet"/>
      </w:pPr>
      <w:r w:rsidRPr="00E6652F">
        <w:t>a clinically robust model of care based on intensive treatment for people experiencing severe gambling harm</w:t>
      </w:r>
    </w:p>
    <w:p w14:paraId="7C618E9D" w14:textId="77777777" w:rsidR="007179EA" w:rsidRPr="00E6652F" w:rsidRDefault="007179EA" w:rsidP="00372BC9">
      <w:pPr>
        <w:pStyle w:val="Bullet"/>
      </w:pPr>
      <w:r w:rsidRPr="00E6652F">
        <w:t>innovative uses of technology to manage or mitigate gambling harm</w:t>
      </w:r>
    </w:p>
    <w:p w14:paraId="45A91AEA" w14:textId="77777777" w:rsidR="007179EA" w:rsidRDefault="007179EA" w:rsidP="00372BC9">
      <w:pPr>
        <w:pStyle w:val="Bullet"/>
      </w:pPr>
      <w:r>
        <w:t xml:space="preserve">development of a </w:t>
      </w:r>
      <w:r w:rsidRPr="00E6652F">
        <w:t xml:space="preserve">peer workforce </w:t>
      </w:r>
      <w:r>
        <w:t xml:space="preserve">for </w:t>
      </w:r>
      <w:r w:rsidRPr="00E6652F">
        <w:t>gambling harm services</w:t>
      </w:r>
      <w:r w:rsidR="00372BC9">
        <w:t>.</w:t>
      </w:r>
    </w:p>
    <w:p w14:paraId="037A62D8" w14:textId="77777777" w:rsidR="00372BC9" w:rsidRDefault="00372BC9" w:rsidP="00372BC9"/>
    <w:p w14:paraId="092EB829" w14:textId="77777777" w:rsidR="007179EA" w:rsidRPr="00344239" w:rsidRDefault="007179EA" w:rsidP="00372BC9">
      <w:pPr>
        <w:pStyle w:val="Heading4"/>
        <w:rPr>
          <w:rStyle w:val="Heading5Char"/>
        </w:rPr>
      </w:pPr>
      <w:bookmarkStart w:id="235" w:name="_Toc78882306"/>
      <w:r w:rsidRPr="00A35842">
        <w:rPr>
          <w:rStyle w:val="Heading5Char"/>
        </w:rPr>
        <w:t>New activities</w:t>
      </w:r>
      <w:r w:rsidRPr="00344239">
        <w:rPr>
          <w:rStyle w:val="Heading5Char"/>
        </w:rPr>
        <w:t xml:space="preserve"> to address inequity (public health and intervention services)</w:t>
      </w:r>
      <w:bookmarkEnd w:id="235"/>
    </w:p>
    <w:p w14:paraId="605BBF81" w14:textId="77777777" w:rsidR="00BC6B27" w:rsidRDefault="007179EA" w:rsidP="00372BC9">
      <w:r>
        <w:t>The needs assessment and submissions strongly recommended prioritising equity.</w:t>
      </w:r>
    </w:p>
    <w:p w14:paraId="3ACEA40F" w14:textId="77777777" w:rsidR="00372BC9" w:rsidRDefault="00372BC9" w:rsidP="00372BC9"/>
    <w:p w14:paraId="2478B861" w14:textId="3ABCA0AF" w:rsidR="007179EA" w:rsidRDefault="007179EA" w:rsidP="00372BC9">
      <w:r>
        <w:t>The Ministry has committed under the current strategy to commission a range of new activities to address inequity.</w:t>
      </w:r>
      <w:r w:rsidR="00BC6B27">
        <w:t xml:space="preserve"> </w:t>
      </w:r>
      <w:r>
        <w:t xml:space="preserve">The activities provide for local co-design and delivery of new ways of providing public health and intervention services to address inequities for Māori and Pacific peoples. </w:t>
      </w:r>
      <w:r w:rsidR="00372BC9">
        <w:fldChar w:fldCharType="begin"/>
      </w:r>
      <w:r w:rsidR="00372BC9">
        <w:instrText xml:space="preserve"> REF _Ref90611839 \h </w:instrText>
      </w:r>
      <w:r w:rsidR="00372BC9">
        <w:fldChar w:fldCharType="separate"/>
      </w:r>
      <w:r w:rsidR="00451900">
        <w:t>Table </w:t>
      </w:r>
      <w:r w:rsidR="00451900">
        <w:rPr>
          <w:noProof/>
        </w:rPr>
        <w:t>9</w:t>
      </w:r>
      <w:r w:rsidR="00372BC9">
        <w:fldChar w:fldCharType="end"/>
      </w:r>
      <w:r>
        <w:t xml:space="preserve"> includes funding committed in the current levy period that will be spent to complete these activities over the first two</w:t>
      </w:r>
      <w:r w:rsidR="0018228E">
        <w:t> years</w:t>
      </w:r>
      <w:r>
        <w:t xml:space="preserve"> of the new levy period.</w:t>
      </w:r>
    </w:p>
    <w:p w14:paraId="46462E6A" w14:textId="77777777" w:rsidR="007179EA" w:rsidRDefault="007179EA" w:rsidP="00372BC9"/>
    <w:p w14:paraId="0D6F75CC" w14:textId="77777777" w:rsidR="00BC6B27" w:rsidRDefault="007179EA" w:rsidP="00372BC9">
      <w:r>
        <w:t>We are committed to applying the lessons learnt from these activities and evaluations to enable local providers and communities to develop innovative and culturally appropriate approaches to preventing and minimising gambling harm that work locally.</w:t>
      </w:r>
    </w:p>
    <w:p w14:paraId="0806CC0F" w14:textId="77777777" w:rsidR="007179EA" w:rsidRDefault="007179EA" w:rsidP="00372BC9"/>
    <w:p w14:paraId="07CF10BA" w14:textId="77777777" w:rsidR="007179EA" w:rsidRDefault="007179EA" w:rsidP="00372BC9">
      <w:pPr>
        <w:keepNext/>
      </w:pPr>
      <w:r>
        <w:lastRenderedPageBreak/>
        <w:t>Additional funding is proposed for 2024/25 to enable us to incorporate learnings to into clinical and public health services.</w:t>
      </w:r>
    </w:p>
    <w:p w14:paraId="2DC168AB" w14:textId="77777777" w:rsidR="007179EA" w:rsidRDefault="007179EA" w:rsidP="00372BC9"/>
    <w:p w14:paraId="6FD92B54" w14:textId="77777777" w:rsidR="007179EA" w:rsidRPr="00483631" w:rsidRDefault="007179EA" w:rsidP="00372BC9">
      <w:pPr>
        <w:pStyle w:val="Heading4"/>
      </w:pPr>
      <w:r w:rsidRPr="00483631">
        <w:t>Intensive</w:t>
      </w:r>
      <w:r>
        <w:t xml:space="preserve"> </w:t>
      </w:r>
      <w:r w:rsidRPr="00483631">
        <w:t xml:space="preserve">support </w:t>
      </w:r>
      <w:r>
        <w:t>model</w:t>
      </w:r>
    </w:p>
    <w:p w14:paraId="79603318" w14:textId="77777777" w:rsidR="007179EA" w:rsidRDefault="007179EA" w:rsidP="00372BC9">
      <w:r>
        <w:t>This new service model will develop and test a clinically robust model of care based on intensive treatment for people experiencing severe gambling harm. An intensive support option for clients with high needs is in line with a stepped-care model, where treatment intensity increases as a client</w:t>
      </w:r>
      <w:r w:rsidR="00BC6B27">
        <w:t>’</w:t>
      </w:r>
      <w:r>
        <w:t>s needs increase.</w:t>
      </w:r>
    </w:p>
    <w:p w14:paraId="7A950A0A" w14:textId="77777777" w:rsidR="007179EA" w:rsidRDefault="007179EA" w:rsidP="00372BC9"/>
    <w:p w14:paraId="42AF183F" w14:textId="77777777" w:rsidR="00BC6B27" w:rsidRDefault="007179EA" w:rsidP="00372BC9">
      <w:r>
        <w:t xml:space="preserve">We will engage with the gambling sector, including providers, to develop this model of care. </w:t>
      </w:r>
      <w:r w:rsidRPr="00E43F7D">
        <w:t>The design of th</w:t>
      </w:r>
      <w:r>
        <w:t>e</w:t>
      </w:r>
      <w:r w:rsidRPr="00E43F7D">
        <w:t xml:space="preserve"> </w:t>
      </w:r>
      <w:r>
        <w:t>model</w:t>
      </w:r>
      <w:r w:rsidRPr="00E43F7D">
        <w:t xml:space="preserve"> will be informed by </w:t>
      </w:r>
      <w:r>
        <w:t>the</w:t>
      </w:r>
      <w:r w:rsidRPr="00E43F7D">
        <w:t xml:space="preserve"> literature review of the provision and effectiveness of residential care for gambling harm treatment</w:t>
      </w:r>
      <w:r w:rsidRPr="00372BC9">
        <w:rPr>
          <w:rStyle w:val="FootnoteReference"/>
        </w:rPr>
        <w:footnoteReference w:id="62"/>
      </w:r>
      <w:r w:rsidR="00372BC9">
        <w:t xml:space="preserve"> </w:t>
      </w:r>
      <w:r>
        <w:t xml:space="preserve">which shows </w:t>
      </w:r>
      <w:r w:rsidRPr="00E43F7D">
        <w:t xml:space="preserve">there is support for providing </w:t>
      </w:r>
      <w:r>
        <w:t>an intensive support</w:t>
      </w:r>
      <w:r w:rsidRPr="00E43F7D">
        <w:t xml:space="preserve"> option, largely based upon expert opinion and experience</w:t>
      </w:r>
      <w:r>
        <w:t xml:space="preserve"> as there is limited research evidence</w:t>
      </w:r>
      <w:r w:rsidRPr="00E43F7D">
        <w:t xml:space="preserve">. </w:t>
      </w:r>
      <w:r>
        <w:t>T</w:t>
      </w:r>
      <w:r w:rsidRPr="00E43F7D">
        <w:t>he people most severely affected by their gambling are likely to have complex issues and needs</w:t>
      </w:r>
      <w:r>
        <w:t xml:space="preserve">, so could </w:t>
      </w:r>
      <w:r w:rsidRPr="00E43F7D">
        <w:t>benefit from attending a residential programme</w:t>
      </w:r>
      <w:r>
        <w:t xml:space="preserve"> to </w:t>
      </w:r>
      <w:r w:rsidRPr="00E43F7D">
        <w:t xml:space="preserve">prevent distractions and pressures in the community that </w:t>
      </w:r>
      <w:r>
        <w:t xml:space="preserve">may otherwise </w:t>
      </w:r>
      <w:r w:rsidRPr="00E43F7D">
        <w:t xml:space="preserve">impact negatively on their </w:t>
      </w:r>
      <w:r>
        <w:t xml:space="preserve">treatment and </w:t>
      </w:r>
      <w:r w:rsidRPr="00E43F7D">
        <w:t>recovery.</w:t>
      </w:r>
    </w:p>
    <w:p w14:paraId="5241F10B" w14:textId="77777777" w:rsidR="007179EA" w:rsidRDefault="007179EA" w:rsidP="00372BC9"/>
    <w:p w14:paraId="46C909C3" w14:textId="77777777" w:rsidR="007179EA" w:rsidRDefault="007179EA" w:rsidP="00372BC9">
      <w:pPr>
        <w:pStyle w:val="Heading4"/>
      </w:pPr>
      <w:r>
        <w:t>Technology innovation</w:t>
      </w:r>
    </w:p>
    <w:p w14:paraId="298864B8" w14:textId="77777777" w:rsidR="00BC6B27" w:rsidRDefault="007179EA" w:rsidP="00372BC9">
      <w:r w:rsidRPr="00781432">
        <w:t>Submissions from services, providers, NCGM and priority populations all supported greater use of e-tools and emerging technologies to address gambling harm and improve access to and choice of information, services, and support. Sector views differed on what would be best, with submissions from services in favour of expanding digital service offerings, while some industry submissions suggested technical solutions such as enhancing the MVE system.</w:t>
      </w:r>
    </w:p>
    <w:p w14:paraId="708CA961" w14:textId="77777777" w:rsidR="007179EA" w:rsidRDefault="007179EA" w:rsidP="00372BC9"/>
    <w:p w14:paraId="5F4AD377" w14:textId="77777777" w:rsidR="00BC6B27" w:rsidRDefault="007179EA" w:rsidP="00372BC9">
      <w:r w:rsidRPr="00256E98">
        <w:t xml:space="preserve">The current strategy includes and allocation for </w:t>
      </w:r>
      <w:r w:rsidR="00BC6B27">
        <w:t>‘</w:t>
      </w:r>
      <w:r w:rsidRPr="00256E98">
        <w:t>technology investment</w:t>
      </w:r>
      <w:r w:rsidR="00BC6B27">
        <w:t>’</w:t>
      </w:r>
      <w:r w:rsidRPr="00256E98">
        <w:t xml:space="preserve"> to develop and/or test technology and online support tools and other technological solutions to prevent and minimise gambling harm.. This workstream covers funding for 2022/23 and 2023/24</w:t>
      </w:r>
      <w:r>
        <w:t xml:space="preserve"> for delivery that will occur in the new strategy period.</w:t>
      </w:r>
    </w:p>
    <w:p w14:paraId="549F655B" w14:textId="77777777" w:rsidR="007179EA" w:rsidRDefault="007179EA" w:rsidP="00372BC9"/>
    <w:p w14:paraId="020027D5" w14:textId="77777777" w:rsidR="007179EA" w:rsidRDefault="007179EA" w:rsidP="00372BC9">
      <w:r w:rsidRPr="00256E98">
        <w:t xml:space="preserve">Additional funding </w:t>
      </w:r>
      <w:r>
        <w:t xml:space="preserve">for digital services and supports </w:t>
      </w:r>
      <w:r w:rsidRPr="00256E98">
        <w:t>is proposed in the clinical services section.</w:t>
      </w:r>
    </w:p>
    <w:p w14:paraId="5B04CCB3" w14:textId="77777777" w:rsidR="00372BC9" w:rsidRPr="00256E98" w:rsidRDefault="00372BC9" w:rsidP="00372BC9"/>
    <w:p w14:paraId="622DE351" w14:textId="77777777" w:rsidR="007179EA" w:rsidRPr="00483631" w:rsidRDefault="007179EA" w:rsidP="00372BC9">
      <w:pPr>
        <w:pStyle w:val="Heading3"/>
      </w:pPr>
      <w:bookmarkStart w:id="236" w:name="_Toc78882309"/>
      <w:r w:rsidRPr="00483631">
        <w:lastRenderedPageBreak/>
        <w:t xml:space="preserve">Enabling a </w:t>
      </w:r>
      <w:r>
        <w:t>diverse</w:t>
      </w:r>
      <w:r w:rsidRPr="00483631">
        <w:t xml:space="preserve"> skilled</w:t>
      </w:r>
      <w:r>
        <w:t xml:space="preserve">, </w:t>
      </w:r>
      <w:r w:rsidRPr="00483631">
        <w:t>and responsive workforce</w:t>
      </w:r>
      <w:bookmarkEnd w:id="236"/>
    </w:p>
    <w:p w14:paraId="157687AD" w14:textId="77777777" w:rsidR="00BC6B27" w:rsidRDefault="007179EA" w:rsidP="00372BC9">
      <w:pPr>
        <w:keepNext/>
        <w:keepLines/>
        <w:rPr>
          <w:spacing w:val="-2"/>
        </w:rPr>
      </w:pPr>
      <w:r w:rsidRPr="00032721">
        <w:t>Many submissions, mostly</w:t>
      </w:r>
      <w:r w:rsidRPr="00F25177">
        <w:t xml:space="preserve"> </w:t>
      </w:r>
      <w:r w:rsidRPr="0056438B">
        <w:t>from service and health providers, supported the proposed investment</w:t>
      </w:r>
      <w:r>
        <w:t>s</w:t>
      </w:r>
      <w:r w:rsidRPr="0056438B">
        <w:t xml:space="preserve"> to </w:t>
      </w:r>
      <w:r w:rsidRPr="00242E3B">
        <w:t>strengthen and diversify the gambling harm workforce</w:t>
      </w:r>
      <w:r w:rsidRPr="00444278">
        <w:rPr>
          <w:spacing w:val="-2"/>
        </w:rPr>
        <w:t xml:space="preserve"> to improv</w:t>
      </w:r>
      <w:r>
        <w:rPr>
          <w:spacing w:val="-2"/>
        </w:rPr>
        <w:t>e</w:t>
      </w:r>
      <w:r w:rsidRPr="00444278">
        <w:rPr>
          <w:spacing w:val="-2"/>
        </w:rPr>
        <w:t xml:space="preserve"> workforce capacity and capability. Th</w:t>
      </w:r>
      <w:r>
        <w:rPr>
          <w:spacing w:val="-2"/>
        </w:rPr>
        <w:t xml:space="preserve">e proposals </w:t>
      </w:r>
      <w:r w:rsidRPr="00444278">
        <w:rPr>
          <w:spacing w:val="-2"/>
        </w:rPr>
        <w:t>included enabling and recognising the specialist skillsets required within gambling harm services, as well as the need for adequate cultural competence and cultural safety training across the health and disability sector.</w:t>
      </w:r>
    </w:p>
    <w:p w14:paraId="7F3FA4E0" w14:textId="77777777" w:rsidR="00372BC9" w:rsidRDefault="00372BC9" w:rsidP="00372BC9">
      <w:pPr>
        <w:keepNext/>
      </w:pPr>
    </w:p>
    <w:p w14:paraId="47A52BF2" w14:textId="77777777" w:rsidR="007179EA" w:rsidRPr="0032257C" w:rsidRDefault="007179EA" w:rsidP="00372BC9">
      <w:pPr>
        <w:rPr>
          <w:rFonts w:cs="Calibri"/>
        </w:rPr>
      </w:pPr>
      <w:r>
        <w:t xml:space="preserve">We propose to </w:t>
      </w:r>
      <w:r w:rsidRPr="0032257C">
        <w:t xml:space="preserve">develop a skilled, enabled and culturally responsive gambling harm workforce </w:t>
      </w:r>
      <w:r>
        <w:t>by</w:t>
      </w:r>
      <w:r w:rsidRPr="0032257C">
        <w:t xml:space="preserve"> investing in:</w:t>
      </w:r>
    </w:p>
    <w:p w14:paraId="2693C572" w14:textId="77777777" w:rsidR="007179EA" w:rsidRPr="00483631" w:rsidRDefault="007179EA" w:rsidP="00372BC9">
      <w:pPr>
        <w:pStyle w:val="Bullet"/>
      </w:pPr>
      <w:r>
        <w:t xml:space="preserve">expanding </w:t>
      </w:r>
      <w:r w:rsidRPr="00483631">
        <w:t>the peer workforce</w:t>
      </w:r>
    </w:p>
    <w:p w14:paraId="0E0A7AC9" w14:textId="77777777" w:rsidR="007179EA" w:rsidRDefault="007179EA" w:rsidP="00372BC9">
      <w:pPr>
        <w:pStyle w:val="Bullet"/>
      </w:pPr>
      <w:r>
        <w:t xml:space="preserve">incentivising qualifications uptake with </w:t>
      </w:r>
      <w:r w:rsidRPr="00483631">
        <w:t>scholarships to support Māori</w:t>
      </w:r>
      <w:r>
        <w:t xml:space="preserve"> and </w:t>
      </w:r>
      <w:r w:rsidRPr="00483631">
        <w:t xml:space="preserve">Pacific </w:t>
      </w:r>
      <w:r>
        <w:t xml:space="preserve">peoples, </w:t>
      </w:r>
      <w:r w:rsidRPr="00483631">
        <w:t>Asian people</w:t>
      </w:r>
      <w:r>
        <w:t>s</w:t>
      </w:r>
      <w:r w:rsidRPr="00483631">
        <w:t xml:space="preserve"> and people with lived experience of gambling harm </w:t>
      </w:r>
      <w:r>
        <w:t xml:space="preserve">to undertake an </w:t>
      </w:r>
      <w:r w:rsidRPr="00483631">
        <w:t xml:space="preserve">addiction relevant </w:t>
      </w:r>
      <w:r>
        <w:t xml:space="preserve">qualification to work in the </w:t>
      </w:r>
      <w:r w:rsidRPr="00483631">
        <w:t xml:space="preserve">gambling harm </w:t>
      </w:r>
      <w:r>
        <w:t>services sector</w:t>
      </w:r>
    </w:p>
    <w:p w14:paraId="431538BA" w14:textId="77777777" w:rsidR="007179EA" w:rsidRDefault="007179EA" w:rsidP="00372BC9">
      <w:pPr>
        <w:pStyle w:val="Bullet"/>
      </w:pPr>
      <w:r>
        <w:t xml:space="preserve">developing </w:t>
      </w:r>
      <w:r w:rsidRPr="00483631">
        <w:t>a degree</w:t>
      </w:r>
      <w:r>
        <w:t>-</w:t>
      </w:r>
      <w:r w:rsidRPr="00483631">
        <w:t>level paper specific to gambling harm, which has been identified as a gap in current education and training provision</w:t>
      </w:r>
      <w:r w:rsidR="00372BC9">
        <w:t>.</w:t>
      </w:r>
    </w:p>
    <w:p w14:paraId="202E0AE5" w14:textId="77777777" w:rsidR="00372BC9" w:rsidRDefault="00372BC9" w:rsidP="00372BC9"/>
    <w:p w14:paraId="2164A612" w14:textId="77777777" w:rsidR="007179EA" w:rsidRDefault="007179EA" w:rsidP="00372BC9">
      <w:r>
        <w:t>This is in addition to investing in workforce development for the PMGH clinical and public health workforce as outlined in the above sections.</w:t>
      </w:r>
    </w:p>
    <w:p w14:paraId="2D43C0D4" w14:textId="77777777" w:rsidR="00372BC9" w:rsidRDefault="00372BC9" w:rsidP="00372BC9"/>
    <w:p w14:paraId="1B495903" w14:textId="77777777" w:rsidR="007179EA" w:rsidRPr="006953CF" w:rsidRDefault="007179EA" w:rsidP="00372BC9">
      <w:pPr>
        <w:pStyle w:val="Heading4"/>
      </w:pPr>
      <w:bookmarkStart w:id="237" w:name="_Toc78882310"/>
      <w:r w:rsidRPr="006953CF">
        <w:t xml:space="preserve">Peer workforce </w:t>
      </w:r>
      <w:r>
        <w:t xml:space="preserve">service model </w:t>
      </w:r>
      <w:r w:rsidRPr="006953CF">
        <w:t>and expansion</w:t>
      </w:r>
      <w:bookmarkEnd w:id="237"/>
    </w:p>
    <w:p w14:paraId="67E89351" w14:textId="77777777" w:rsidR="007179EA" w:rsidRDefault="007179EA" w:rsidP="00372BC9">
      <w:r>
        <w:t>The Ministry is funding a peer workforce service model (pilot) under the current service plan 2019/20 to 2021/22. The model will be based in Auckland and run by a peer-led organisation. The model will run over two</w:t>
      </w:r>
      <w:r w:rsidR="00E06D9F">
        <w:t xml:space="preserve"> </w:t>
      </w:r>
      <w:r w:rsidR="0018228E">
        <w:t>years</w:t>
      </w:r>
      <w:r>
        <w:t>, with Māori and Pacific peer roles the first being developed, working with clinical intervention and support services. The design of this model has been informed by a literature review and proposal process that we commissioned in 2020 from Te Pou.</w:t>
      </w:r>
      <w:r w:rsidRPr="00372BC9">
        <w:rPr>
          <w:rStyle w:val="FootnoteReference"/>
          <w:rFonts w:eastAsia="MS Gothic"/>
        </w:rPr>
        <w:footnoteReference w:id="63"/>
      </w:r>
      <w:r>
        <w:t xml:space="preserve"> This included an expert advisory group, with people of lived experience and gambling harm and mental health and addiction service providers.</w:t>
      </w:r>
      <w:r w:rsidRPr="00CA4A96">
        <w:rPr>
          <w:rFonts w:eastAsiaTheme="minorHAnsi"/>
        </w:rPr>
        <w:t xml:space="preserve"> </w:t>
      </w:r>
      <w:r w:rsidRPr="008E6724">
        <w:rPr>
          <w:rFonts w:eastAsiaTheme="minorHAnsi"/>
        </w:rPr>
        <w:t xml:space="preserve">The </w:t>
      </w:r>
      <w:r>
        <w:rPr>
          <w:rFonts w:eastAsiaTheme="minorHAnsi"/>
        </w:rPr>
        <w:t>model</w:t>
      </w:r>
      <w:r w:rsidRPr="008E6724">
        <w:rPr>
          <w:rFonts w:eastAsiaTheme="minorHAnsi"/>
        </w:rPr>
        <w:t xml:space="preserve"> will continue into the new levy period</w:t>
      </w:r>
      <w:r w:rsidR="00372BC9">
        <w:rPr>
          <w:rFonts w:eastAsiaTheme="minorHAnsi"/>
        </w:rPr>
        <w:t>.</w:t>
      </w:r>
    </w:p>
    <w:p w14:paraId="6068725A" w14:textId="77777777" w:rsidR="007179EA" w:rsidRDefault="007179EA" w:rsidP="00372BC9"/>
    <w:p w14:paraId="21F7BE10" w14:textId="77777777" w:rsidR="007179EA" w:rsidRPr="008E6724" w:rsidRDefault="007179EA" w:rsidP="00372BC9">
      <w:pPr>
        <w:rPr>
          <w:rFonts w:eastAsiaTheme="minorHAnsi"/>
        </w:rPr>
      </w:pPr>
      <w:r>
        <w:rPr>
          <w:rFonts w:eastAsiaTheme="minorHAnsi"/>
        </w:rPr>
        <w:t xml:space="preserve">We also propose additional funding, once the model is evaluated, to </w:t>
      </w:r>
      <w:r w:rsidRPr="008E6724">
        <w:rPr>
          <w:rFonts w:eastAsiaTheme="minorHAnsi"/>
        </w:rPr>
        <w:t xml:space="preserve">expand the peer workforce across both intervention and public health services. </w:t>
      </w:r>
      <w:r>
        <w:rPr>
          <w:rFonts w:eastAsiaTheme="minorHAnsi"/>
        </w:rPr>
        <w:t>We</w:t>
      </w:r>
      <w:r w:rsidRPr="008E6724">
        <w:rPr>
          <w:rFonts w:eastAsiaTheme="minorHAnsi"/>
        </w:rPr>
        <w:t xml:space="preserve"> will engage with the gambling sector and peer workforce organisations to develop </w:t>
      </w:r>
      <w:r>
        <w:rPr>
          <w:rFonts w:eastAsiaTheme="minorHAnsi"/>
        </w:rPr>
        <w:t xml:space="preserve">and refine the </w:t>
      </w:r>
      <w:r w:rsidRPr="008E6724">
        <w:rPr>
          <w:rFonts w:eastAsiaTheme="minorHAnsi"/>
        </w:rPr>
        <w:t xml:space="preserve">peer workforce roles based on the </w:t>
      </w:r>
      <w:r>
        <w:rPr>
          <w:rFonts w:eastAsiaTheme="minorHAnsi"/>
        </w:rPr>
        <w:t>model</w:t>
      </w:r>
      <w:r w:rsidRPr="008E6724">
        <w:rPr>
          <w:rFonts w:eastAsiaTheme="minorHAnsi"/>
        </w:rPr>
        <w:t xml:space="preserve"> evaluation findings</w:t>
      </w:r>
      <w:r>
        <w:rPr>
          <w:rFonts w:eastAsiaTheme="minorHAnsi"/>
        </w:rPr>
        <w:t>.</w:t>
      </w:r>
    </w:p>
    <w:p w14:paraId="38433DB6" w14:textId="77777777" w:rsidR="007179EA" w:rsidRDefault="007179EA" w:rsidP="00372BC9">
      <w:pPr>
        <w:rPr>
          <w:rFonts w:eastAsiaTheme="minorHAnsi"/>
        </w:rPr>
      </w:pPr>
    </w:p>
    <w:p w14:paraId="06A3370D" w14:textId="77777777" w:rsidR="007179EA" w:rsidRPr="007F4B4C" w:rsidRDefault="007179EA" w:rsidP="00372BC9">
      <w:pPr>
        <w:pStyle w:val="Heading4"/>
      </w:pPr>
      <w:bookmarkStart w:id="238" w:name="_Toc78882311"/>
      <w:r w:rsidRPr="007F4B4C">
        <w:lastRenderedPageBreak/>
        <w:t xml:space="preserve">Developing NZQA level </w:t>
      </w:r>
      <w:r>
        <w:t>7</w:t>
      </w:r>
      <w:r w:rsidRPr="007F4B4C">
        <w:t xml:space="preserve"> </w:t>
      </w:r>
      <w:r>
        <w:t xml:space="preserve">content </w:t>
      </w:r>
      <w:r w:rsidRPr="007F4B4C">
        <w:t>covering gambling harm</w:t>
      </w:r>
      <w:bookmarkEnd w:id="238"/>
    </w:p>
    <w:p w14:paraId="3E83AF96" w14:textId="77777777" w:rsidR="00BC6B27" w:rsidRDefault="007179EA" w:rsidP="00372BC9">
      <w:pPr>
        <w:keepNext/>
      </w:pPr>
      <w:r w:rsidRPr="00344239">
        <w:t>Health practitioners working in gambling harm need to understand the specific interventions available, the specific pathways to problematic gambling and the ways in which families, whānau and affected others can identify gambling issues in others.</w:t>
      </w:r>
    </w:p>
    <w:p w14:paraId="5CF3DA5E" w14:textId="77777777" w:rsidR="007179EA" w:rsidRDefault="007179EA" w:rsidP="00372BC9">
      <w:pPr>
        <w:keepNext/>
      </w:pPr>
    </w:p>
    <w:p w14:paraId="120D2FED" w14:textId="77777777" w:rsidR="007179EA" w:rsidRDefault="007179EA" w:rsidP="00372BC9">
      <w:pPr>
        <w:keepNext/>
      </w:pPr>
      <w:r>
        <w:t>The Ministry</w:t>
      </w:r>
      <w:r w:rsidR="00BC6B27">
        <w:t>’</w:t>
      </w:r>
      <w:r>
        <w:t>s expectation is that all intervention practitioners will be:</w:t>
      </w:r>
    </w:p>
    <w:p w14:paraId="1EF46088" w14:textId="77777777" w:rsidR="007179EA" w:rsidRPr="00E43F7D" w:rsidRDefault="007179EA" w:rsidP="00372BC9">
      <w:pPr>
        <w:pStyle w:val="Bullet"/>
      </w:pPr>
      <w:r w:rsidRPr="00E43F7D">
        <w:t>registered as a health practitioner who is permitted to practise within a relevant scope of practice under the Health Practitioners Competence Assurance Act 2003, or</w:t>
      </w:r>
    </w:p>
    <w:p w14:paraId="2027F52F" w14:textId="77777777" w:rsidR="007179EA" w:rsidRDefault="007179EA" w:rsidP="00372BC9">
      <w:pPr>
        <w:pStyle w:val="Bullet"/>
      </w:pPr>
      <w:r w:rsidRPr="00483631">
        <w:t>registered or endorsed by the Drug and Alcohol Practitioners</w:t>
      </w:r>
      <w:r w:rsidR="00BC6B27">
        <w:t>’</w:t>
      </w:r>
      <w:r w:rsidRPr="00483631">
        <w:t xml:space="preserve"> Association Aotearoa</w:t>
      </w:r>
      <w:r>
        <w:t>-</w:t>
      </w:r>
      <w:r w:rsidRPr="00483631">
        <w:t>New Zealand (</w:t>
      </w:r>
      <w:r>
        <w:t>dapaanz</w:t>
      </w:r>
      <w:r w:rsidR="00372BC9">
        <w:t>)</w:t>
      </w:r>
      <w:r w:rsidRPr="00372BC9">
        <w:rPr>
          <w:rStyle w:val="FootnoteReference"/>
        </w:rPr>
        <w:footnoteReference w:id="64"/>
      </w:r>
      <w:r w:rsidRPr="00483631">
        <w:t xml:space="preserve"> as having demonstrated the relevant specific competencies, or</w:t>
      </w:r>
    </w:p>
    <w:p w14:paraId="37F5D342" w14:textId="77777777" w:rsidR="007179EA" w:rsidRPr="00483631" w:rsidRDefault="007179EA" w:rsidP="00372BC9">
      <w:pPr>
        <w:pStyle w:val="Bullet"/>
      </w:pPr>
      <w:r w:rsidRPr="00483631">
        <w:t>equivalently registered with another relevant professional organisation (</w:t>
      </w:r>
      <w:r>
        <w:t>for example</w:t>
      </w:r>
      <w:r w:rsidRPr="00483631">
        <w:t>, a counsellor registered with the New Zealand Association of Counsellors</w:t>
      </w:r>
      <w:r>
        <w:t>,</w:t>
      </w:r>
      <w:r w:rsidRPr="004462E8">
        <w:t xml:space="preserve"> </w:t>
      </w:r>
      <w:r w:rsidRPr="00483631">
        <w:t xml:space="preserve">Te </w:t>
      </w:r>
      <w:r>
        <w:t>R</w:t>
      </w:r>
      <w:r w:rsidRPr="00483631">
        <w:t>oopu Kaiwhiriwhiri o Aotearoa</w:t>
      </w:r>
      <w:r>
        <w:t>, NZAC</w:t>
      </w:r>
      <w:r w:rsidRPr="00483631">
        <w:t>).</w:t>
      </w:r>
    </w:p>
    <w:p w14:paraId="6CB653E1" w14:textId="77777777" w:rsidR="007179EA" w:rsidRDefault="007179EA" w:rsidP="00372BC9"/>
    <w:p w14:paraId="29BCD4D4" w14:textId="77777777" w:rsidR="007179EA" w:rsidRDefault="007179EA" w:rsidP="00372BC9">
      <w:r w:rsidRPr="00927967">
        <w:t xml:space="preserve">We recognise that currently </w:t>
      </w:r>
      <w:r>
        <w:t xml:space="preserve">relevant qualifications </w:t>
      </w:r>
      <w:r w:rsidRPr="00927967">
        <w:t xml:space="preserve">available to those wanting to enter the </w:t>
      </w:r>
      <w:r>
        <w:t>workforce do not include a focus on preventing and minimising gambling harm</w:t>
      </w:r>
      <w:r w:rsidRPr="00927967">
        <w:t xml:space="preserve">, and we intend to address this gap. We will work with </w:t>
      </w:r>
      <w:r>
        <w:t>dapaanz</w:t>
      </w:r>
      <w:r w:rsidRPr="00927967">
        <w:t>, NZAC, education and training providers and the gambling sector to develop either a level</w:t>
      </w:r>
      <w:r w:rsidR="00E06D9F">
        <w:t> </w:t>
      </w:r>
      <w:r w:rsidRPr="00927967">
        <w:t xml:space="preserve">7 gambling-harm qualification and/or gambling-harm-specific content </w:t>
      </w:r>
      <w:r>
        <w:t xml:space="preserve">or a paper to include in </w:t>
      </w:r>
      <w:r w:rsidRPr="00927967">
        <w:t>existing level</w:t>
      </w:r>
      <w:r w:rsidR="00372BC9">
        <w:t> </w:t>
      </w:r>
      <w:r w:rsidRPr="00927967">
        <w:t>7 addiction qualifications</w:t>
      </w:r>
      <w:r>
        <w:t>.</w:t>
      </w:r>
    </w:p>
    <w:p w14:paraId="4C3D86AE" w14:textId="77777777" w:rsidR="007179EA" w:rsidRDefault="007179EA" w:rsidP="00372BC9"/>
    <w:p w14:paraId="6F64ADDB" w14:textId="77777777" w:rsidR="007179EA" w:rsidRDefault="007179EA" w:rsidP="00372BC9">
      <w:r>
        <w:t>The Ministry remains committed to supporting the clinical intervention gambling harm workforce to achieve, or be on a pathway to achieving, the appropriate NZQA level</w:t>
      </w:r>
      <w:r w:rsidR="00E06D9F">
        <w:t> </w:t>
      </w:r>
      <w:r>
        <w:t>7 qualifications.</w:t>
      </w:r>
      <w:r w:rsidR="00BC6B27">
        <w:t xml:space="preserve"> </w:t>
      </w:r>
      <w:r w:rsidRPr="00344239">
        <w:t>Some submissions expressed concerns a Level</w:t>
      </w:r>
      <w:r w:rsidR="00E06D9F">
        <w:t> </w:t>
      </w:r>
      <w:r w:rsidRPr="00344239">
        <w:t>7 qualification would exclude people entering the workforce, and others suggested we should only develop a module that that could be used in various addiction qualifications. As noted below there are alternative pathways and support available to encourage people from priority populations or with lived experience to be trained in an area of the PMGH workforce, with scholarships proposed (see section following below).</w:t>
      </w:r>
    </w:p>
    <w:p w14:paraId="046E92F0" w14:textId="77777777" w:rsidR="00372BC9" w:rsidRPr="00927967" w:rsidRDefault="00372BC9" w:rsidP="00372BC9"/>
    <w:p w14:paraId="2107B5B7" w14:textId="77777777" w:rsidR="007179EA" w:rsidRDefault="007179EA" w:rsidP="00372BC9">
      <w:pPr>
        <w:pStyle w:val="Heading4"/>
      </w:pPr>
      <w:bookmarkStart w:id="239" w:name="_Toc78882312"/>
      <w:r>
        <w:t>Gambling harm s</w:t>
      </w:r>
      <w:r w:rsidRPr="00483631">
        <w:t>cholarships</w:t>
      </w:r>
      <w:bookmarkEnd w:id="239"/>
    </w:p>
    <w:bookmarkEnd w:id="158"/>
    <w:bookmarkEnd w:id="159"/>
    <w:p w14:paraId="3FD2ED9F" w14:textId="77777777" w:rsidR="007179EA" w:rsidRDefault="007179EA" w:rsidP="00372BC9">
      <w:r>
        <w:t xml:space="preserve">Targeted scholarships will be developed to grow the diversity, capability and capacity of the gambling-harm workforce. The scholarships will be developed specifically to enable Māori and Pacific peoples, </w:t>
      </w:r>
      <w:r w:rsidRPr="00256E98">
        <w:t xml:space="preserve">Asian peoples, </w:t>
      </w:r>
      <w:r w:rsidRPr="002414F8">
        <w:t>young people</w:t>
      </w:r>
      <w:r>
        <w:t xml:space="preserve">/rangatahi </w:t>
      </w:r>
      <w:r w:rsidRPr="002414F8">
        <w:t>and</w:t>
      </w:r>
      <w:r>
        <w:t xml:space="preserve"> people with lived experience of gambling harm (peers) to do addiction relevant tertiary study that will help them enter the gambling-harm workforce.</w:t>
      </w:r>
    </w:p>
    <w:p w14:paraId="19F2B2D3" w14:textId="77777777" w:rsidR="007179EA" w:rsidRDefault="007179EA" w:rsidP="00372BC9"/>
    <w:p w14:paraId="0EC2F5C3" w14:textId="77777777" w:rsidR="00BC6B27" w:rsidRDefault="007179EA" w:rsidP="00372BC9">
      <w:pPr>
        <w:keepNext/>
      </w:pPr>
      <w:r>
        <w:lastRenderedPageBreak/>
        <w:t>The scholarships will include:</w:t>
      </w:r>
    </w:p>
    <w:p w14:paraId="685AFAA7" w14:textId="77777777" w:rsidR="007179EA" w:rsidRDefault="00372BC9" w:rsidP="00372BC9">
      <w:pPr>
        <w:pStyle w:val="Bullet"/>
        <w:keepNext/>
      </w:pPr>
      <w:r>
        <w:t>f</w:t>
      </w:r>
      <w:r w:rsidR="007179EA">
        <w:t>unding to undertake an NZQA level 7 addiction qualification, alongside support for professional development and practicum placements with providers. Scholarship recipients will be expected to take a gambling-harm level 7 qualification/or compon</w:t>
      </w:r>
      <w:r>
        <w:t>ent when this becomes available</w:t>
      </w:r>
    </w:p>
    <w:p w14:paraId="054EB715" w14:textId="77777777" w:rsidR="00BC6B27" w:rsidRDefault="00372BC9" w:rsidP="00372BC9">
      <w:pPr>
        <w:pStyle w:val="Bullet"/>
      </w:pPr>
      <w:r>
        <w:t>f</w:t>
      </w:r>
      <w:r w:rsidR="007179EA">
        <w:t xml:space="preserve">unding to </w:t>
      </w:r>
      <w:r w:rsidR="007179EA" w:rsidRPr="00344239">
        <w:t xml:space="preserve">study </w:t>
      </w:r>
      <w:r w:rsidR="007179EA">
        <w:t xml:space="preserve">a lower level NZQA qualification relevant to </w:t>
      </w:r>
      <w:r w:rsidR="007179EA" w:rsidRPr="00344239">
        <w:t>gambling</w:t>
      </w:r>
      <w:r w:rsidR="007179EA">
        <w:t>, and peer workforce qualifications. The specific qualifications are to be confirmed. These</w:t>
      </w:r>
      <w:r w:rsidR="007179EA" w:rsidRPr="00344239">
        <w:t xml:space="preserve"> </w:t>
      </w:r>
      <w:r w:rsidR="007179EA" w:rsidRPr="001C3624">
        <w:t>scholarships</w:t>
      </w:r>
      <w:r w:rsidR="007179EA" w:rsidRPr="00344239">
        <w:t xml:space="preserve"> </w:t>
      </w:r>
      <w:r w:rsidR="007179EA" w:rsidRPr="001C3624">
        <w:t>have been</w:t>
      </w:r>
      <w:r w:rsidR="007179EA" w:rsidRPr="00344239">
        <w:t xml:space="preserve"> included in response to </w:t>
      </w:r>
      <w:r w:rsidR="007179EA" w:rsidRPr="001C3624">
        <w:t>submissions</w:t>
      </w:r>
      <w:r w:rsidR="007179EA" w:rsidRPr="00344239">
        <w:t xml:space="preserve"> seeking</w:t>
      </w:r>
      <w:r w:rsidR="007179EA">
        <w:t xml:space="preserve"> support for lower level qualifications and</w:t>
      </w:r>
      <w:r w:rsidR="007179EA" w:rsidRPr="00344239">
        <w:t xml:space="preserve"> </w:t>
      </w:r>
      <w:r w:rsidR="007179EA">
        <w:t xml:space="preserve">alternative training </w:t>
      </w:r>
      <w:r w:rsidR="007179EA" w:rsidRPr="00344239">
        <w:t>support for the peer workforce</w:t>
      </w:r>
      <w:r w:rsidR="007179EA">
        <w:t>.</w:t>
      </w:r>
    </w:p>
    <w:p w14:paraId="37D24F03" w14:textId="77777777" w:rsidR="00372BC9" w:rsidRDefault="00372BC9" w:rsidP="00372BC9"/>
    <w:p w14:paraId="1A2DEA47" w14:textId="77777777" w:rsidR="007179EA" w:rsidRPr="00483631" w:rsidRDefault="007179EA" w:rsidP="00372BC9">
      <w:pPr>
        <w:pStyle w:val="Heading2"/>
      </w:pPr>
      <w:bookmarkStart w:id="240" w:name="_Toc78882313"/>
      <w:bookmarkStart w:id="241" w:name="_Toc80965857"/>
      <w:bookmarkStart w:id="242" w:name="_Toc89684403"/>
      <w:bookmarkStart w:id="243" w:name="_Toc90885059"/>
      <w:r w:rsidRPr="00483631">
        <w:t>Ministry of Healt</w:t>
      </w:r>
      <w:r>
        <w:t>h</w:t>
      </w:r>
      <w:r w:rsidRPr="00483631">
        <w:t xml:space="preserve"> operating costs</w:t>
      </w:r>
      <w:bookmarkEnd w:id="240"/>
      <w:bookmarkEnd w:id="241"/>
      <w:bookmarkEnd w:id="242"/>
      <w:bookmarkEnd w:id="243"/>
    </w:p>
    <w:p w14:paraId="6E816481" w14:textId="77777777" w:rsidR="00BC6B27" w:rsidRDefault="007179EA" w:rsidP="00372BC9">
      <w:r>
        <w:t>Ministry operating costs (departmental expenditure) includes:</w:t>
      </w:r>
    </w:p>
    <w:p w14:paraId="74F9AA56" w14:textId="77777777" w:rsidR="00BC6B27" w:rsidRDefault="007179EA" w:rsidP="00372BC9">
      <w:pPr>
        <w:pStyle w:val="Bullet"/>
      </w:pPr>
      <w:r>
        <w:t>providing strategic advice and information about gambling harm, and harm prevention and harm minimisation</w:t>
      </w:r>
    </w:p>
    <w:p w14:paraId="2908A0A7" w14:textId="77777777" w:rsidR="007179EA" w:rsidRDefault="007179EA" w:rsidP="00372BC9">
      <w:pPr>
        <w:pStyle w:val="Bullet"/>
      </w:pPr>
      <w:r>
        <w:t>contributing to cross government strategy and policy to prevent and minimise gambling harm</w:t>
      </w:r>
    </w:p>
    <w:p w14:paraId="4B07E070" w14:textId="77777777" w:rsidR="00BC6B27" w:rsidRDefault="007179EA" w:rsidP="00372BC9">
      <w:pPr>
        <w:pStyle w:val="Bullet"/>
      </w:pPr>
      <w:r>
        <w:t>commissioning to deliver service plan commitments</w:t>
      </w:r>
    </w:p>
    <w:p w14:paraId="083A0441" w14:textId="77777777" w:rsidR="007179EA" w:rsidRDefault="007179EA" w:rsidP="00372BC9">
      <w:pPr>
        <w:pStyle w:val="Bullet"/>
      </w:pPr>
      <w:r>
        <w:t>managing contracts, the research and evaluation programme and Client Information Collection (CLIC) database</w:t>
      </w:r>
    </w:p>
    <w:p w14:paraId="34C1E3BE" w14:textId="77777777" w:rsidR="00BC6B27" w:rsidRDefault="007179EA" w:rsidP="00372BC9">
      <w:pPr>
        <w:pStyle w:val="Bullet"/>
      </w:pPr>
      <w:r>
        <w:t>leadership and service development, helping to position gambling harm activities and services for the future. This would include aligning with the new health and disability system.</w:t>
      </w:r>
    </w:p>
    <w:p w14:paraId="0D4AB75C" w14:textId="77777777" w:rsidR="007179EA" w:rsidRDefault="007179EA" w:rsidP="00372BC9"/>
    <w:p w14:paraId="0668F4E8" w14:textId="77777777" w:rsidR="00BC6B27" w:rsidRDefault="007179EA" w:rsidP="00372BC9">
      <w:r>
        <w:t>The Ministry proposes an increase to its operating costs to enhance its leadership function and ensure we can deliver the proposed expanded work programme and commitments outlined.</w:t>
      </w:r>
    </w:p>
    <w:p w14:paraId="03880967" w14:textId="77777777" w:rsidR="007179EA" w:rsidRDefault="007179EA" w:rsidP="00372BC9"/>
    <w:p w14:paraId="14DD72D6" w14:textId="4E3A5DFE" w:rsidR="007179EA" w:rsidRDefault="00372BC9" w:rsidP="00372BC9">
      <w:pPr>
        <w:pStyle w:val="Table"/>
      </w:pPr>
      <w:bookmarkStart w:id="244" w:name="_Toc89335326"/>
      <w:bookmarkStart w:id="245" w:name="_Toc90626960"/>
      <w:r>
        <w:t>Table </w:t>
      </w:r>
      <w:fldSimple w:instr=" SEQ Table \* ARABIC ">
        <w:r w:rsidR="00451900">
          <w:rPr>
            <w:noProof/>
          </w:rPr>
          <w:t>10</w:t>
        </w:r>
      </w:fldSimple>
      <w:r w:rsidR="007179EA">
        <w:t xml:space="preserve">: Budget </w:t>
      </w:r>
      <w:r w:rsidR="007179EA" w:rsidRPr="00ED3213">
        <w:t>for</w:t>
      </w:r>
      <w:r w:rsidR="007179EA">
        <w:t xml:space="preserve"> Ministry operating costs (GST exclusive), 2022/23 to 2024/25</w:t>
      </w:r>
      <w:bookmarkEnd w:id="244"/>
      <w:bookmarkEnd w:id="245"/>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835"/>
        <w:gridCol w:w="1311"/>
        <w:gridCol w:w="1311"/>
        <w:gridCol w:w="1311"/>
        <w:gridCol w:w="1312"/>
      </w:tblGrid>
      <w:tr w:rsidR="007179EA" w14:paraId="41ADB41B" w14:textId="77777777" w:rsidTr="005B24AB">
        <w:trPr>
          <w:cantSplit/>
        </w:trPr>
        <w:tc>
          <w:tcPr>
            <w:tcW w:w="2835" w:type="dxa"/>
            <w:tcBorders>
              <w:top w:val="nil"/>
              <w:left w:val="nil"/>
              <w:bottom w:val="nil"/>
              <w:right w:val="nil"/>
            </w:tcBorders>
            <w:shd w:val="clear" w:color="auto" w:fill="D9D9D9" w:themeFill="background1" w:themeFillShade="D9"/>
          </w:tcPr>
          <w:p w14:paraId="0E8B3AFC" w14:textId="77777777" w:rsidR="007179EA" w:rsidRDefault="007179EA" w:rsidP="005B24AB">
            <w:pPr>
              <w:pStyle w:val="TableText"/>
            </w:pPr>
          </w:p>
        </w:tc>
        <w:tc>
          <w:tcPr>
            <w:tcW w:w="1311" w:type="dxa"/>
            <w:tcBorders>
              <w:top w:val="nil"/>
              <w:left w:val="nil"/>
              <w:bottom w:val="nil"/>
              <w:right w:val="nil"/>
            </w:tcBorders>
            <w:shd w:val="clear" w:color="auto" w:fill="D9D9D9" w:themeFill="background1" w:themeFillShade="D9"/>
            <w:hideMark/>
          </w:tcPr>
          <w:p w14:paraId="0E6294B7" w14:textId="77777777" w:rsidR="007179EA" w:rsidRPr="003347C7" w:rsidRDefault="007179EA" w:rsidP="005B24AB">
            <w:pPr>
              <w:pStyle w:val="TableText"/>
              <w:jc w:val="center"/>
              <w:rPr>
                <w:b/>
                <w:lang w:eastAsia="en-US"/>
              </w:rPr>
            </w:pPr>
            <w:r w:rsidRPr="003347C7">
              <w:rPr>
                <w:b/>
                <w:lang w:eastAsia="en-US"/>
              </w:rPr>
              <w:t>2022/23</w:t>
            </w:r>
            <w:r w:rsidRPr="003347C7">
              <w:rPr>
                <w:b/>
                <w:lang w:eastAsia="en-US"/>
              </w:rPr>
              <w:br/>
              <w:t>($m)</w:t>
            </w:r>
          </w:p>
        </w:tc>
        <w:tc>
          <w:tcPr>
            <w:tcW w:w="1311" w:type="dxa"/>
            <w:tcBorders>
              <w:top w:val="nil"/>
              <w:left w:val="nil"/>
              <w:bottom w:val="nil"/>
              <w:right w:val="nil"/>
            </w:tcBorders>
            <w:shd w:val="clear" w:color="auto" w:fill="D9D9D9" w:themeFill="background1" w:themeFillShade="D9"/>
            <w:hideMark/>
          </w:tcPr>
          <w:p w14:paraId="76EFE8AC" w14:textId="77777777" w:rsidR="007179EA" w:rsidRPr="003347C7" w:rsidRDefault="007179EA" w:rsidP="005B24AB">
            <w:pPr>
              <w:pStyle w:val="TableText"/>
              <w:jc w:val="center"/>
              <w:rPr>
                <w:b/>
                <w:lang w:eastAsia="en-US"/>
              </w:rPr>
            </w:pPr>
            <w:r w:rsidRPr="003347C7">
              <w:rPr>
                <w:b/>
                <w:lang w:eastAsia="en-US"/>
              </w:rPr>
              <w:t>2023/24</w:t>
            </w:r>
            <w:r w:rsidRPr="003347C7">
              <w:rPr>
                <w:b/>
                <w:lang w:eastAsia="en-US"/>
              </w:rPr>
              <w:br/>
              <w:t>($m)</w:t>
            </w:r>
          </w:p>
        </w:tc>
        <w:tc>
          <w:tcPr>
            <w:tcW w:w="1311" w:type="dxa"/>
            <w:tcBorders>
              <w:top w:val="nil"/>
              <w:left w:val="nil"/>
              <w:bottom w:val="nil"/>
              <w:right w:val="nil"/>
            </w:tcBorders>
            <w:shd w:val="clear" w:color="auto" w:fill="D9D9D9" w:themeFill="background1" w:themeFillShade="D9"/>
            <w:hideMark/>
          </w:tcPr>
          <w:p w14:paraId="6CBE1787" w14:textId="77777777" w:rsidR="007179EA" w:rsidRPr="003347C7" w:rsidRDefault="007179EA" w:rsidP="005B24AB">
            <w:pPr>
              <w:pStyle w:val="TableText"/>
              <w:jc w:val="center"/>
              <w:rPr>
                <w:b/>
                <w:lang w:eastAsia="en-US"/>
              </w:rPr>
            </w:pPr>
            <w:r w:rsidRPr="003347C7">
              <w:rPr>
                <w:b/>
                <w:lang w:eastAsia="en-US"/>
              </w:rPr>
              <w:t>2024/25</w:t>
            </w:r>
            <w:r w:rsidRPr="003347C7">
              <w:rPr>
                <w:b/>
                <w:lang w:eastAsia="en-US"/>
              </w:rPr>
              <w:br/>
              <w:t>($m)</w:t>
            </w:r>
          </w:p>
        </w:tc>
        <w:tc>
          <w:tcPr>
            <w:tcW w:w="1312" w:type="dxa"/>
            <w:tcBorders>
              <w:top w:val="nil"/>
              <w:left w:val="nil"/>
              <w:bottom w:val="nil"/>
              <w:right w:val="nil"/>
            </w:tcBorders>
            <w:shd w:val="clear" w:color="auto" w:fill="D9D9D9" w:themeFill="background1" w:themeFillShade="D9"/>
            <w:hideMark/>
          </w:tcPr>
          <w:p w14:paraId="5399786C" w14:textId="77777777" w:rsidR="007179EA" w:rsidRPr="003347C7" w:rsidRDefault="007179EA" w:rsidP="005B24AB">
            <w:pPr>
              <w:pStyle w:val="TableText"/>
              <w:jc w:val="center"/>
              <w:rPr>
                <w:b/>
              </w:rPr>
            </w:pPr>
            <w:r w:rsidRPr="003347C7">
              <w:rPr>
                <w:b/>
              </w:rPr>
              <w:t>Total</w:t>
            </w:r>
            <w:r w:rsidRPr="003347C7">
              <w:rPr>
                <w:b/>
              </w:rPr>
              <w:br/>
              <w:t>($m)</w:t>
            </w:r>
          </w:p>
        </w:tc>
      </w:tr>
      <w:tr w:rsidR="007179EA" w14:paraId="1A1CDA56" w14:textId="77777777" w:rsidTr="005B24AB">
        <w:trPr>
          <w:cantSplit/>
        </w:trPr>
        <w:tc>
          <w:tcPr>
            <w:tcW w:w="2835" w:type="dxa"/>
            <w:tcBorders>
              <w:top w:val="nil"/>
              <w:left w:val="nil"/>
              <w:bottom w:val="single" w:sz="4" w:space="0" w:color="A6A6A6" w:themeColor="background1" w:themeShade="A6"/>
              <w:right w:val="nil"/>
            </w:tcBorders>
            <w:hideMark/>
          </w:tcPr>
          <w:p w14:paraId="3FE346BA" w14:textId="77777777" w:rsidR="007179EA" w:rsidRDefault="007179EA" w:rsidP="005B24AB">
            <w:pPr>
              <w:pStyle w:val="TableText"/>
            </w:pPr>
            <w:r>
              <w:t>Total operating costs ($m)</w:t>
            </w:r>
          </w:p>
        </w:tc>
        <w:tc>
          <w:tcPr>
            <w:tcW w:w="1311" w:type="dxa"/>
            <w:tcBorders>
              <w:top w:val="nil"/>
              <w:left w:val="nil"/>
              <w:bottom w:val="single" w:sz="4" w:space="0" w:color="A6A6A6" w:themeColor="background1" w:themeShade="A6"/>
              <w:right w:val="nil"/>
            </w:tcBorders>
            <w:hideMark/>
          </w:tcPr>
          <w:p w14:paraId="0D1D1C06" w14:textId="77777777" w:rsidR="007179EA" w:rsidRPr="007B3B7F" w:rsidRDefault="007179EA" w:rsidP="00372BC9">
            <w:pPr>
              <w:pStyle w:val="TableText"/>
              <w:jc w:val="center"/>
              <w:rPr>
                <w:rFonts w:eastAsia="Arial Unicode MS"/>
                <w:highlight w:val="yellow"/>
              </w:rPr>
            </w:pPr>
            <w:r w:rsidRPr="00555613">
              <w:t>1.157</w:t>
            </w:r>
          </w:p>
        </w:tc>
        <w:tc>
          <w:tcPr>
            <w:tcW w:w="1311" w:type="dxa"/>
            <w:tcBorders>
              <w:top w:val="nil"/>
              <w:left w:val="nil"/>
              <w:bottom w:val="single" w:sz="4" w:space="0" w:color="A6A6A6" w:themeColor="background1" w:themeShade="A6"/>
              <w:right w:val="nil"/>
            </w:tcBorders>
            <w:hideMark/>
          </w:tcPr>
          <w:p w14:paraId="30C8CC7A" w14:textId="77777777" w:rsidR="007179EA" w:rsidRPr="007B3B7F" w:rsidRDefault="007179EA" w:rsidP="00372BC9">
            <w:pPr>
              <w:pStyle w:val="TableText"/>
              <w:jc w:val="center"/>
              <w:rPr>
                <w:rFonts w:eastAsia="Arial Unicode MS"/>
                <w:highlight w:val="yellow"/>
              </w:rPr>
            </w:pPr>
            <w:r w:rsidRPr="00555613">
              <w:t>1.157</w:t>
            </w:r>
          </w:p>
        </w:tc>
        <w:tc>
          <w:tcPr>
            <w:tcW w:w="1311" w:type="dxa"/>
            <w:tcBorders>
              <w:top w:val="nil"/>
              <w:left w:val="nil"/>
              <w:bottom w:val="single" w:sz="4" w:space="0" w:color="A6A6A6" w:themeColor="background1" w:themeShade="A6"/>
              <w:right w:val="nil"/>
            </w:tcBorders>
            <w:hideMark/>
          </w:tcPr>
          <w:p w14:paraId="225923F0" w14:textId="77777777" w:rsidR="007179EA" w:rsidRPr="007B3B7F" w:rsidRDefault="007179EA" w:rsidP="00372BC9">
            <w:pPr>
              <w:pStyle w:val="TableText"/>
              <w:jc w:val="center"/>
              <w:rPr>
                <w:rFonts w:eastAsia="Arial Unicode MS"/>
                <w:highlight w:val="yellow"/>
              </w:rPr>
            </w:pPr>
            <w:r w:rsidRPr="00555613">
              <w:t>1.157</w:t>
            </w:r>
          </w:p>
        </w:tc>
        <w:tc>
          <w:tcPr>
            <w:tcW w:w="1312" w:type="dxa"/>
            <w:tcBorders>
              <w:top w:val="nil"/>
              <w:left w:val="nil"/>
              <w:bottom w:val="single" w:sz="4" w:space="0" w:color="A6A6A6" w:themeColor="background1" w:themeShade="A6"/>
              <w:right w:val="nil"/>
            </w:tcBorders>
            <w:hideMark/>
          </w:tcPr>
          <w:p w14:paraId="50C469D4" w14:textId="77777777" w:rsidR="007179EA" w:rsidRPr="007B3B7F" w:rsidRDefault="007179EA" w:rsidP="00372BC9">
            <w:pPr>
              <w:pStyle w:val="TableText"/>
              <w:jc w:val="center"/>
              <w:rPr>
                <w:rFonts w:eastAsia="Arial Unicode MS"/>
                <w:highlight w:val="yellow"/>
              </w:rPr>
            </w:pPr>
            <w:r w:rsidRPr="00555613">
              <w:t>3.471</w:t>
            </w:r>
          </w:p>
        </w:tc>
      </w:tr>
    </w:tbl>
    <w:p w14:paraId="5FF0D36E" w14:textId="77777777" w:rsidR="007179EA" w:rsidRPr="0003777A" w:rsidRDefault="007179EA" w:rsidP="00372BC9"/>
    <w:p w14:paraId="34EC1A06" w14:textId="77777777" w:rsidR="007179EA" w:rsidRPr="00D80FBF" w:rsidRDefault="007179EA" w:rsidP="00372BC9">
      <w:pPr>
        <w:pStyle w:val="Heading1"/>
      </w:pPr>
      <w:bookmarkStart w:id="246" w:name="_Draft_levy_rates"/>
      <w:bookmarkStart w:id="247" w:name="_Toc89684404"/>
      <w:bookmarkStart w:id="248" w:name="_Toc90885060"/>
      <w:bookmarkEnd w:id="246"/>
      <w:r w:rsidRPr="00803D2C">
        <w:lastRenderedPageBreak/>
        <w:t>Draft levy rates for 2022/23 to 2024/25</w:t>
      </w:r>
      <w:bookmarkStart w:id="249" w:name="_Toc230066532"/>
      <w:bookmarkEnd w:id="247"/>
      <w:bookmarkEnd w:id="248"/>
    </w:p>
    <w:bookmarkEnd w:id="249"/>
    <w:p w14:paraId="60AF23B5" w14:textId="77777777" w:rsidR="007179EA" w:rsidRPr="00D80FBF" w:rsidRDefault="007179EA" w:rsidP="003B7C20">
      <w:r w:rsidRPr="00D80FBF">
        <w:t xml:space="preserve">Section 319(2) of the Gambling Act 2003 (the Act) states that the purpose of the levy is to </w:t>
      </w:r>
      <w:r w:rsidR="00BC6B27">
        <w:t>‘</w:t>
      </w:r>
      <w:r w:rsidRPr="00D80FBF">
        <w:t>recover the cost of developing, managing, and delivering the integrated problem gambling strategy</w:t>
      </w:r>
      <w:r w:rsidR="00BC6B27">
        <w:t>’</w:t>
      </w:r>
      <w:r w:rsidRPr="00D80FBF">
        <w:t>. The levy rates are set by regulation at least every three</w:t>
      </w:r>
      <w:r w:rsidR="00E06D9F">
        <w:t xml:space="preserve"> </w:t>
      </w:r>
      <w:r w:rsidR="0018228E">
        <w:t>years</w:t>
      </w:r>
      <w:r w:rsidRPr="00D80FBF">
        <w:t>. The next levy period is from 1 July 2022 to 30 June 2025 to match the next strategy.</w:t>
      </w:r>
    </w:p>
    <w:p w14:paraId="39F9B431" w14:textId="77777777" w:rsidR="007179EA" w:rsidRPr="00D80FBF" w:rsidRDefault="007179EA" w:rsidP="003B7C20"/>
    <w:p w14:paraId="3B8282AF" w14:textId="77777777" w:rsidR="007179EA" w:rsidRDefault="007179EA" w:rsidP="003B7C20">
      <w:r w:rsidRPr="00D80FBF">
        <w:t>Since the levy was first set in 2004, it has applied to gambling operators in four sectors: NCGM operators, casinos, TAB NZ and Lotto New Zealand.</w:t>
      </w:r>
    </w:p>
    <w:p w14:paraId="18DC46F9" w14:textId="77777777" w:rsidR="003B7C20" w:rsidRPr="00D80FBF" w:rsidRDefault="003B7C20" w:rsidP="003B7C20"/>
    <w:p w14:paraId="559B784D" w14:textId="77777777" w:rsidR="007179EA" w:rsidRPr="000D1058" w:rsidRDefault="007179EA" w:rsidP="003B7C20">
      <w:pPr>
        <w:pStyle w:val="Heading2"/>
      </w:pPr>
      <w:bookmarkStart w:id="250" w:name="_Toc230066534"/>
      <w:bookmarkStart w:id="251" w:name="_Toc329860063"/>
      <w:bookmarkStart w:id="252" w:name="_Toc421026478"/>
      <w:bookmarkStart w:id="253" w:name="_Toc517090912"/>
      <w:bookmarkStart w:id="254" w:name="_Toc530487419"/>
      <w:bookmarkStart w:id="255" w:name="_Toc522089414"/>
      <w:bookmarkStart w:id="256" w:name="_Toc61962072"/>
      <w:bookmarkStart w:id="257" w:name="_Toc71102175"/>
      <w:bookmarkStart w:id="258" w:name="_Toc78882316"/>
      <w:bookmarkStart w:id="259" w:name="_Toc80965860"/>
      <w:bookmarkStart w:id="260" w:name="_Toc89684405"/>
      <w:bookmarkStart w:id="261" w:name="_Toc90885061"/>
      <w:r w:rsidRPr="000D1058">
        <w:t>Process for setting the levy</w:t>
      </w:r>
      <w:bookmarkEnd w:id="250"/>
      <w:bookmarkEnd w:id="251"/>
      <w:r w:rsidRPr="000D1058">
        <w:t xml:space="preserve"> rates</w:t>
      </w:r>
      <w:bookmarkEnd w:id="252"/>
      <w:bookmarkEnd w:id="253"/>
      <w:bookmarkEnd w:id="254"/>
      <w:bookmarkEnd w:id="255"/>
      <w:bookmarkEnd w:id="256"/>
      <w:bookmarkEnd w:id="257"/>
      <w:bookmarkEnd w:id="258"/>
      <w:bookmarkEnd w:id="259"/>
      <w:bookmarkEnd w:id="260"/>
      <w:bookmarkEnd w:id="261"/>
    </w:p>
    <w:p w14:paraId="48630481" w14:textId="77777777" w:rsidR="007179EA" w:rsidRPr="00D80FBF" w:rsidRDefault="007179EA" w:rsidP="003B7C20">
      <w:r w:rsidRPr="00D80FBF">
        <w:t>The Act sets out the process for developing and setting the levy rates needed to recover the cost of the strategy (see sections 318–320 of the Act).</w:t>
      </w:r>
    </w:p>
    <w:p w14:paraId="19B09D3C" w14:textId="77777777" w:rsidR="007179EA" w:rsidRPr="00D80FBF" w:rsidRDefault="007179EA" w:rsidP="003B7C20"/>
    <w:p w14:paraId="278CCE81" w14:textId="77777777" w:rsidR="007179EA" w:rsidRPr="00D80FBF" w:rsidRDefault="007179EA" w:rsidP="003B7C20">
      <w:r w:rsidRPr="00D80FBF">
        <w:t>As part of this process, the Ministry consulted on its estimated annual funding requirements and four alternative sets of estimated levy rates for 1 July 2022 to 30 June 2025. The figures in the four alternative levy calculation options discussed below should be considered indicative at this stage. Further details of costs and overall indicative budget are discussed in the relevant sections of the service plan.</w:t>
      </w:r>
    </w:p>
    <w:p w14:paraId="5FDAFE2F" w14:textId="77777777" w:rsidR="007179EA" w:rsidRPr="00D80FBF" w:rsidRDefault="007179EA" w:rsidP="003B7C20"/>
    <w:p w14:paraId="6F562A50" w14:textId="77777777" w:rsidR="007179EA" w:rsidRPr="00D80FBF" w:rsidRDefault="007179EA" w:rsidP="003B7C20">
      <w:r w:rsidRPr="00D80FBF">
        <w:t>The Ministry</w:t>
      </w:r>
      <w:r w:rsidR="00BC6B27">
        <w:t>’</w:t>
      </w:r>
      <w:r w:rsidRPr="00D80FBF">
        <w:t>s consultation period ran from 29 August 2021 until 8 October 2021. The Ministry has considered the submissions received during that period when it developed this proposals document. It has now submitted this proposals document to the Minister of Health, the Minister of Internal Affairs and the Gambling Commission.</w:t>
      </w:r>
    </w:p>
    <w:p w14:paraId="57A225B7" w14:textId="77777777" w:rsidR="007179EA" w:rsidRDefault="007179EA" w:rsidP="003B7C20"/>
    <w:p w14:paraId="028DB1A1" w14:textId="77777777" w:rsidR="007179EA" w:rsidRDefault="007179EA" w:rsidP="003B7C20">
      <w:r>
        <w:t>S</w:t>
      </w:r>
      <w:r w:rsidRPr="00D80FBF">
        <w:t xml:space="preserve">ubmissions that commented on the proposed funding requirements and levy options were divided. </w:t>
      </w:r>
      <w:r>
        <w:t xml:space="preserve">While two thirds supported the proposed funding mix, </w:t>
      </w:r>
      <w:r w:rsidRPr="00D80FBF">
        <w:t xml:space="preserve">NCGM and some industry submissions did not support further investment arguing the strategy had been ineffective in reducing harm and require bold change, not </w:t>
      </w:r>
      <w:r w:rsidR="00BC6B27">
        <w:t>“</w:t>
      </w:r>
      <w:r w:rsidRPr="00D80FBF">
        <w:t>more of the same</w:t>
      </w:r>
      <w:r w:rsidR="00BC6B27">
        <w:t>”</w:t>
      </w:r>
      <w:r w:rsidRPr="00D80FBF">
        <w:t>.</w:t>
      </w:r>
      <w:r w:rsidR="00BC6B27">
        <w:t xml:space="preserve"> </w:t>
      </w:r>
      <w:r w:rsidRPr="00D80FBF">
        <w:t>Some submissions argued funding should be reduced and services cut back, as presentations to services were declining. Others offered qualified support for additional spending if measures were introduced to make services accountable and assess their impact in reducing gambling harm.</w:t>
      </w:r>
    </w:p>
    <w:p w14:paraId="10E4204B" w14:textId="77777777" w:rsidR="003B7C20" w:rsidRDefault="003B7C20" w:rsidP="003B7C20"/>
    <w:p w14:paraId="1AB79692" w14:textId="77777777" w:rsidR="007179EA" w:rsidRPr="00D80FBF" w:rsidRDefault="007179EA" w:rsidP="003B7C20">
      <w:r w:rsidRPr="00D80FBF">
        <w:t>Submissions from other sectors either supported the proposed funding and investment priorities or argued that much more funding would be required to effect real change or to compensate for increased operating costs.</w:t>
      </w:r>
    </w:p>
    <w:p w14:paraId="101827CC" w14:textId="77777777" w:rsidR="007179EA" w:rsidRDefault="007179EA" w:rsidP="003B7C20"/>
    <w:p w14:paraId="09BB7EE6" w14:textId="77777777" w:rsidR="00BC6B27" w:rsidRDefault="007179EA" w:rsidP="003B7C20">
      <w:pPr>
        <w:keepNext/>
        <w:keepLines/>
      </w:pPr>
      <w:r w:rsidRPr="004A3B78">
        <w:lastRenderedPageBreak/>
        <w:t>The Ministry notes the Synergia 2019 report to the Gambling Commission which concluded that given gambling expenditure continues to rise, presentations are decreasing, and the prevalence of gambling harm is keeping pace with population growth, there is evidence to suggest that the levy funding should be increased to reflect the population growth and increased costs to providers</w:t>
      </w:r>
      <w:r w:rsidR="003B7C20">
        <w:t>.</w:t>
      </w:r>
      <w:r w:rsidRPr="003B7C20">
        <w:rPr>
          <w:rStyle w:val="FootnoteReference"/>
        </w:rPr>
        <w:footnoteReference w:id="65"/>
      </w:r>
      <w:r w:rsidRPr="004A3B78">
        <w:t xml:space="preserve"> This report also commented that </w:t>
      </w:r>
      <w:r w:rsidR="00BC6B27">
        <w:t>‘</w:t>
      </w:r>
      <w:r w:rsidRPr="004A3B78">
        <w:t>rather than accept a historically determined budget envelope, the Ministry should assess what the needs are and develop a comprehensive strategy based on those needs. The levy should be based on the level of gambling harm and a robust strategy designed to address it</w:t>
      </w:r>
      <w:r w:rsidR="003B7C20">
        <w:t>’</w:t>
      </w:r>
      <w:r w:rsidRPr="004A3B78">
        <w:t>.</w:t>
      </w:r>
    </w:p>
    <w:p w14:paraId="79000376" w14:textId="77777777" w:rsidR="003B7C20" w:rsidRDefault="003B7C20" w:rsidP="003B7C20"/>
    <w:p w14:paraId="1091B1C4" w14:textId="77777777" w:rsidR="007179EA" w:rsidRDefault="007179EA" w:rsidP="003B7C20">
      <w:r w:rsidRPr="00D80FBF">
        <w:t>This section sets out the levy rate proposals in this document that ha</w:t>
      </w:r>
      <w:r>
        <w:t xml:space="preserve">ve </w:t>
      </w:r>
      <w:r w:rsidRPr="00D80FBF">
        <w:t>been referred to the Gambling Commission. The Gambling Commission may then obtain its own advice around the proposed levy rates and will convene a consultation meeting. It will subsequently make recommendations to the responsible Ministers. Cabinet will then approve the strategy, determine the level of funding to recommend to Parliament as the Ministry</w:t>
      </w:r>
      <w:r w:rsidR="00BC6B27">
        <w:t>’</w:t>
      </w:r>
      <w:r w:rsidRPr="00D80FBF">
        <w:t>s appropriation, and endorse responsible Ministers</w:t>
      </w:r>
      <w:r w:rsidR="00BC6B27">
        <w:t>’</w:t>
      </w:r>
      <w:r w:rsidRPr="00D80FBF">
        <w:t xml:space="preserve"> recommendations to the Governor-General on regulations setting out the sectors that will pay the levy and the relevant levy rates.</w:t>
      </w:r>
    </w:p>
    <w:p w14:paraId="405D7542" w14:textId="77777777" w:rsidR="003B7C20" w:rsidRPr="00D80FBF" w:rsidRDefault="003B7C20" w:rsidP="003B7C20"/>
    <w:p w14:paraId="5C6842A3" w14:textId="77777777" w:rsidR="007179EA" w:rsidRPr="000D1058" w:rsidRDefault="007179EA" w:rsidP="003B7C20">
      <w:pPr>
        <w:pStyle w:val="Heading2"/>
      </w:pPr>
      <w:bookmarkStart w:id="262" w:name="_Toc65389475"/>
      <w:bookmarkStart w:id="263" w:name="_Toc230066536"/>
      <w:bookmarkStart w:id="264" w:name="_Toc329860064"/>
      <w:bookmarkStart w:id="265" w:name="_Toc421026479"/>
      <w:bookmarkStart w:id="266" w:name="_Toc517090913"/>
      <w:bookmarkStart w:id="267" w:name="_Toc530487420"/>
      <w:bookmarkStart w:id="268" w:name="_Toc522089415"/>
      <w:bookmarkStart w:id="269" w:name="_Toc61962073"/>
      <w:bookmarkStart w:id="270" w:name="_Toc71102176"/>
      <w:bookmarkStart w:id="271" w:name="_Toc78882317"/>
      <w:bookmarkStart w:id="272" w:name="_Toc80965861"/>
      <w:bookmarkStart w:id="273" w:name="_Toc89684406"/>
      <w:bookmarkStart w:id="274" w:name="_Toc90885062"/>
      <w:r w:rsidRPr="000D1058">
        <w:t>The levy</w:t>
      </w:r>
      <w:bookmarkEnd w:id="262"/>
      <w:r w:rsidRPr="000D1058">
        <w:t xml:space="preserve"> formula</w:t>
      </w:r>
      <w:bookmarkEnd w:id="263"/>
      <w:bookmarkEnd w:id="264"/>
      <w:bookmarkEnd w:id="265"/>
      <w:bookmarkEnd w:id="266"/>
      <w:bookmarkEnd w:id="267"/>
      <w:bookmarkEnd w:id="268"/>
      <w:bookmarkEnd w:id="269"/>
      <w:bookmarkEnd w:id="270"/>
      <w:bookmarkEnd w:id="271"/>
      <w:bookmarkEnd w:id="272"/>
      <w:bookmarkEnd w:id="273"/>
      <w:bookmarkEnd w:id="274"/>
    </w:p>
    <w:p w14:paraId="26D14301" w14:textId="77777777" w:rsidR="007179EA" w:rsidRPr="003B7C20" w:rsidRDefault="007179EA" w:rsidP="003B7C20">
      <w:pPr>
        <w:rPr>
          <w:spacing w:val="-2"/>
        </w:rPr>
      </w:pPr>
      <w:r w:rsidRPr="003B7C20">
        <w:rPr>
          <w:spacing w:val="-2"/>
        </w:rPr>
        <w:t xml:space="preserve">The formula listed in section 320 of the Act </w:t>
      </w:r>
      <w:r w:rsidR="00BC6B27" w:rsidRPr="003B7C20">
        <w:rPr>
          <w:spacing w:val="-2"/>
        </w:rPr>
        <w:t>‘</w:t>
      </w:r>
      <w:r w:rsidRPr="003B7C20">
        <w:rPr>
          <w:spacing w:val="-2"/>
        </w:rPr>
        <w:t>provides a mechanism for allocating among gambling operators, and collecting from them, the approximate cost</w:t>
      </w:r>
      <w:r w:rsidR="00BC6B27" w:rsidRPr="003B7C20">
        <w:rPr>
          <w:spacing w:val="-2"/>
        </w:rPr>
        <w:t>’</w:t>
      </w:r>
      <w:r w:rsidRPr="003B7C20">
        <w:rPr>
          <w:spacing w:val="-2"/>
        </w:rPr>
        <w:t xml:space="preserve"> of the strategy.</w:t>
      </w:r>
    </w:p>
    <w:p w14:paraId="45044465" w14:textId="77777777" w:rsidR="007179EA" w:rsidRPr="00D80FBF" w:rsidRDefault="007179EA" w:rsidP="003B7C20"/>
    <w:p w14:paraId="4FC0B806" w14:textId="77777777" w:rsidR="007179EA" w:rsidRPr="00D80FBF" w:rsidRDefault="007179EA" w:rsidP="003B7C20">
      <w:r w:rsidRPr="00D80FBF">
        <w:t>The formula is:</w:t>
      </w:r>
    </w:p>
    <w:p w14:paraId="2F609626" w14:textId="77777777" w:rsidR="007179EA" w:rsidRPr="00D80FBF" w:rsidRDefault="007179EA" w:rsidP="003B7C20">
      <w:pPr>
        <w:spacing w:before="120"/>
        <w:ind w:left="567"/>
      </w:pPr>
      <w:r w:rsidRPr="00D80FBF">
        <w:t xml:space="preserve">Levy rate for each sector = </w:t>
      </w:r>
      <w:r w:rsidRPr="00D80FBF">
        <w:rPr>
          <w:u w:val="single"/>
        </w:rPr>
        <w:t>{[(A x W1) + (B x W2)] x C} plus or minus R</w:t>
      </w:r>
    </w:p>
    <w:p w14:paraId="276CECB9" w14:textId="77777777" w:rsidR="007179EA" w:rsidRPr="00D80FBF" w:rsidRDefault="007179EA" w:rsidP="003B7C20">
      <w:pPr>
        <w:ind w:left="3600" w:firstLine="720"/>
      </w:pPr>
      <w:r w:rsidRPr="00D80FBF">
        <w:t>D</w:t>
      </w:r>
    </w:p>
    <w:p w14:paraId="18C24289" w14:textId="77777777" w:rsidR="007179EA" w:rsidRPr="00D80FBF" w:rsidRDefault="007179EA" w:rsidP="003B7C20">
      <w:pPr>
        <w:ind w:left="567"/>
      </w:pPr>
      <w:r w:rsidRPr="00D80FBF">
        <w:t>where:</w:t>
      </w:r>
    </w:p>
    <w:p w14:paraId="6F7F46A0" w14:textId="77777777" w:rsidR="007179EA" w:rsidRPr="003B7C20" w:rsidRDefault="007179EA" w:rsidP="003B7C20">
      <w:pPr>
        <w:spacing w:before="90"/>
        <w:ind w:left="993" w:hanging="426"/>
        <w:rPr>
          <w:spacing w:val="-2"/>
        </w:rPr>
      </w:pPr>
      <w:r w:rsidRPr="00D80FBF">
        <w:rPr>
          <w:b/>
          <w:bCs/>
        </w:rPr>
        <w:t>A</w:t>
      </w:r>
      <w:r w:rsidRPr="00D80FBF">
        <w:t xml:space="preserve"> =</w:t>
      </w:r>
      <w:r w:rsidRPr="00D80FBF">
        <w:tab/>
      </w:r>
      <w:r w:rsidRPr="003B7C20">
        <w:rPr>
          <w:spacing w:val="-2"/>
        </w:rPr>
        <w:t>the estimated current player expenditure in a sector divided by the total estimated current player expenditure in all sectors that are subject to the levy</w:t>
      </w:r>
    </w:p>
    <w:p w14:paraId="00C5658F" w14:textId="77777777" w:rsidR="007179EA" w:rsidRPr="00D80FBF" w:rsidRDefault="007179EA" w:rsidP="003B7C20">
      <w:pPr>
        <w:spacing w:before="90"/>
        <w:ind w:left="992" w:hanging="425"/>
      </w:pPr>
      <w:r w:rsidRPr="00D80FBF">
        <w:rPr>
          <w:b/>
          <w:bCs/>
        </w:rPr>
        <w:t>B</w:t>
      </w:r>
      <w:r w:rsidRPr="00D80FBF">
        <w:t xml:space="preserve"> =</w:t>
      </w:r>
      <w:r w:rsidRPr="00D80FBF">
        <w:tab/>
        <w:t xml:space="preserve">the number of </w:t>
      </w:r>
      <w:r>
        <w:t>client</w:t>
      </w:r>
      <w:r w:rsidRPr="00D80FBF">
        <w:t xml:space="preserve"> presentations to problem gambling services that can be attributed to gambling in a sector divided by the total number of c</w:t>
      </w:r>
      <w:r>
        <w:t>lient</w:t>
      </w:r>
      <w:r w:rsidRPr="00D80FBF">
        <w:t xml:space="preserve"> presentations to problem gambling services in which a sector that is subject to the levy can be identified</w:t>
      </w:r>
    </w:p>
    <w:p w14:paraId="2FD5D520" w14:textId="77777777" w:rsidR="007179EA" w:rsidRPr="00D80FBF" w:rsidRDefault="007179EA" w:rsidP="003B7C20">
      <w:pPr>
        <w:spacing w:before="90"/>
        <w:ind w:left="992" w:hanging="425"/>
      </w:pPr>
      <w:r w:rsidRPr="00D80FBF">
        <w:rPr>
          <w:b/>
          <w:bCs/>
        </w:rPr>
        <w:t>C</w:t>
      </w:r>
      <w:r w:rsidRPr="00D80FBF">
        <w:t xml:space="preserve"> =</w:t>
      </w:r>
      <w:r w:rsidRPr="00D80FBF">
        <w:tab/>
        <w:t>the funding requirement for the period for which the levy is payable</w:t>
      </w:r>
    </w:p>
    <w:p w14:paraId="395DEC9E" w14:textId="77777777" w:rsidR="007179EA" w:rsidRPr="00D80FBF" w:rsidRDefault="007179EA" w:rsidP="003B7C20">
      <w:pPr>
        <w:spacing w:before="90"/>
        <w:ind w:left="993" w:hanging="426"/>
      </w:pPr>
      <w:r w:rsidRPr="00D80FBF">
        <w:rPr>
          <w:b/>
          <w:bCs/>
        </w:rPr>
        <w:t>D</w:t>
      </w:r>
      <w:r w:rsidRPr="00D80FBF">
        <w:t xml:space="preserve"> =</w:t>
      </w:r>
      <w:r w:rsidRPr="00D80FBF">
        <w:tab/>
        <w:t>the forecast player expenditure in a sector for the period during which the levy is payable</w:t>
      </w:r>
    </w:p>
    <w:p w14:paraId="634B2D05" w14:textId="77777777" w:rsidR="007179EA" w:rsidRPr="00D80FBF" w:rsidRDefault="007179EA" w:rsidP="003B7C20">
      <w:pPr>
        <w:spacing w:before="90"/>
        <w:ind w:left="993" w:hanging="426"/>
      </w:pPr>
      <w:r w:rsidRPr="00D80FBF">
        <w:rPr>
          <w:b/>
          <w:bCs/>
        </w:rPr>
        <w:t>R</w:t>
      </w:r>
      <w:r w:rsidRPr="00D80FBF">
        <w:rPr>
          <w:bCs/>
        </w:rPr>
        <w:t xml:space="preserve"> =</w:t>
      </w:r>
      <w:r w:rsidRPr="00D80FBF">
        <w:rPr>
          <w:bCs/>
        </w:rPr>
        <w:tab/>
        <w:t>the estimated under- or over-recovery of levy from a sector in the previous levy periods</w:t>
      </w:r>
      <w:r w:rsidRPr="003B7C20">
        <w:rPr>
          <w:rStyle w:val="FootnoteReference"/>
          <w:rFonts w:eastAsia="MS Gothic"/>
        </w:rPr>
        <w:footnoteReference w:id="66"/>
      </w:r>
    </w:p>
    <w:p w14:paraId="560B0337" w14:textId="77777777" w:rsidR="007179EA" w:rsidRPr="00D80FBF" w:rsidRDefault="007179EA" w:rsidP="003B7C20">
      <w:pPr>
        <w:spacing w:before="90"/>
        <w:ind w:left="993" w:hanging="426"/>
      </w:pPr>
      <w:r w:rsidRPr="00D80FBF">
        <w:rPr>
          <w:b/>
          <w:bCs/>
        </w:rPr>
        <w:t>W1</w:t>
      </w:r>
      <w:r w:rsidRPr="00D80FBF">
        <w:t xml:space="preserve"> and </w:t>
      </w:r>
      <w:r w:rsidRPr="00D80FBF">
        <w:rPr>
          <w:b/>
          <w:bCs/>
        </w:rPr>
        <w:t>W2</w:t>
      </w:r>
      <w:r w:rsidRPr="00D80FBF">
        <w:rPr>
          <w:vertAlign w:val="subscript"/>
        </w:rPr>
        <w:t xml:space="preserve"> </w:t>
      </w:r>
      <w:r w:rsidRPr="00D80FBF">
        <w:t>are weights, the sum of which is 1.</w:t>
      </w:r>
    </w:p>
    <w:p w14:paraId="7F872C1E" w14:textId="77777777" w:rsidR="007179EA" w:rsidRPr="00D80FBF" w:rsidRDefault="007179EA" w:rsidP="003B7C20">
      <w:pPr>
        <w:spacing w:before="240"/>
      </w:pPr>
      <w:r w:rsidRPr="00D80FBF">
        <w:lastRenderedPageBreak/>
        <w:t>The top line of the formula determines the dollar amount to be paid by each sector as its share of the total levy amount, taking into account any over- or under-recovery in previous levy periods.</w:t>
      </w:r>
    </w:p>
    <w:p w14:paraId="7FB4849D" w14:textId="77777777" w:rsidR="003B7C20" w:rsidRDefault="003B7C20" w:rsidP="003B7C20"/>
    <w:p w14:paraId="4B5075D8" w14:textId="77777777" w:rsidR="007179EA" w:rsidRPr="00D80FBF" w:rsidRDefault="007179EA" w:rsidP="003B7C20">
      <w:r w:rsidRPr="00D80FBF">
        <w:t>The bottom line of the formula (</w:t>
      </w:r>
      <w:r w:rsidRPr="00D80FBF">
        <w:rPr>
          <w:b/>
        </w:rPr>
        <w:t>D</w:t>
      </w:r>
      <w:r w:rsidRPr="00D80FBF">
        <w:t>, forecast player expenditure in the sector) determines the levy rate that is necessary for a sector to pay its required contribution (the dollar amount) determined by the top line of the formula.</w:t>
      </w:r>
    </w:p>
    <w:p w14:paraId="68C5AE37" w14:textId="77777777" w:rsidR="007179EA" w:rsidRPr="00D80FBF" w:rsidRDefault="007179EA" w:rsidP="003B7C20"/>
    <w:p w14:paraId="02B97084" w14:textId="77777777" w:rsidR="007179EA" w:rsidRDefault="007179EA" w:rsidP="003B7C20">
      <w:r w:rsidRPr="00D80FBF">
        <w:t>All other things being equal, the higher the forecast player expenditure for a sector, the lower that sector</w:t>
      </w:r>
      <w:r w:rsidR="00BC6B27">
        <w:t>’</w:t>
      </w:r>
      <w:r w:rsidRPr="00D80FBF">
        <w:t>s levy rate will be. Player expenditure for each sector is defined in section 320(3) of the Act. For example, each levy rate is the amount per dollar of player expenditure a sector must pay. A rate of 0.85 means a sector must pay 0.85 cents for every dollar of player expenditure in the levy period to which the rate applies.</w:t>
      </w:r>
    </w:p>
    <w:p w14:paraId="1F1E2716" w14:textId="77777777" w:rsidR="003B7C20" w:rsidRPr="00D80FBF" w:rsidRDefault="003B7C20" w:rsidP="003B7C20"/>
    <w:p w14:paraId="62CE3422" w14:textId="77777777" w:rsidR="007179EA" w:rsidRPr="00D80FBF" w:rsidRDefault="007179EA" w:rsidP="003B7C20">
      <w:pPr>
        <w:pStyle w:val="Heading3"/>
      </w:pPr>
      <w:bookmarkStart w:id="275" w:name="_Toc65389476"/>
      <w:bookmarkStart w:id="276" w:name="_Toc71102177"/>
      <w:bookmarkStart w:id="277" w:name="_Toc78882318"/>
      <w:r w:rsidRPr="00D80FBF">
        <w:t>Estimated current player expenditure</w:t>
      </w:r>
      <w:bookmarkEnd w:id="275"/>
      <w:r w:rsidRPr="00D80FBF">
        <w:t xml:space="preserve"> (A)</w:t>
      </w:r>
      <w:bookmarkEnd w:id="276"/>
      <w:bookmarkEnd w:id="277"/>
    </w:p>
    <w:p w14:paraId="1BB2F597" w14:textId="77777777" w:rsidR="007179EA" w:rsidRPr="00D80FBF" w:rsidRDefault="007179EA" w:rsidP="003B7C20">
      <w:bookmarkStart w:id="278" w:name="_Toc422409758"/>
      <w:bookmarkStart w:id="279" w:name="_Toc422840825"/>
      <w:r w:rsidRPr="00D80FBF">
        <w:t>The formula in the Act requires the levy rate calculation take into account the latest, most reliable and most appropriate sources of information. The Ministry will use 2020/21 data, if available, for the final strategy document and levy calculations, but these were not available at the time of preparing this document.</w:t>
      </w:r>
    </w:p>
    <w:p w14:paraId="3B845149" w14:textId="77777777" w:rsidR="007179EA" w:rsidRPr="00D80FBF" w:rsidRDefault="007179EA" w:rsidP="003B7C20"/>
    <w:p w14:paraId="5E2F3688" w14:textId="77777777" w:rsidR="007179EA" w:rsidRPr="00D80FBF" w:rsidRDefault="007179EA" w:rsidP="003B7C20">
      <w:r w:rsidRPr="00D80FBF">
        <w:t>The DIA has estimated current player expenditure using a variety of sources of information, including its NCGM electronic monitoring system (EMS), gambling operators</w:t>
      </w:r>
      <w:r w:rsidR="00BC6B27">
        <w:t>’</w:t>
      </w:r>
      <w:r w:rsidRPr="00D80FBF">
        <w:t xml:space="preserve"> annual and half-yearly reports and information from the Inland Revenue Department (IRD).</w:t>
      </w:r>
      <w:r w:rsidRPr="003B7C20">
        <w:rPr>
          <w:rStyle w:val="FootnoteReference"/>
          <w:rFonts w:eastAsia="MS Gothic"/>
        </w:rPr>
        <w:footnoteReference w:id="67"/>
      </w:r>
      <w:r w:rsidRPr="00D80FBF">
        <w:t xml:space="preserve"> Other data on gambling expenditure is available on DIA</w:t>
      </w:r>
      <w:r w:rsidR="00BC6B27">
        <w:t>’</w:t>
      </w:r>
      <w:r w:rsidRPr="00D80FBF">
        <w:t>s website (</w:t>
      </w:r>
      <w:hyperlink r:id="rId27" w:history="1">
        <w:r w:rsidRPr="00D80FBF">
          <w:rPr>
            <w:rFonts w:eastAsia="MS Gothic"/>
            <w:b/>
            <w:color w:val="595959" w:themeColor="text1" w:themeTint="A6"/>
          </w:rPr>
          <w:t>www.dia.govt.nz</w:t>
        </w:r>
      </w:hyperlink>
      <w:r w:rsidRPr="00D80FBF">
        <w:t>).</w:t>
      </w:r>
    </w:p>
    <w:p w14:paraId="544BF784" w14:textId="77777777" w:rsidR="007179EA" w:rsidRPr="00D80FBF" w:rsidRDefault="007179EA" w:rsidP="003B7C20"/>
    <w:p w14:paraId="01636351" w14:textId="03E6B2CD" w:rsidR="007179EA" w:rsidRPr="00D80FBF" w:rsidRDefault="007179EA" w:rsidP="003B7C20">
      <w:r w:rsidRPr="00D80FBF">
        <w:t>Player expenditure by the four main gambling sectors for the</w:t>
      </w:r>
      <w:r w:rsidR="0018228E">
        <w:t> years</w:t>
      </w:r>
      <w:r w:rsidRPr="00D80FBF">
        <w:t xml:space="preserve"> up to 2019/20 is shown in </w:t>
      </w:r>
      <w:r w:rsidR="003B7C20">
        <w:fldChar w:fldCharType="begin"/>
      </w:r>
      <w:r w:rsidR="003B7C20">
        <w:instrText xml:space="preserve"> REF _Ref80794409 \h </w:instrText>
      </w:r>
      <w:r w:rsidR="003B7C20">
        <w:fldChar w:fldCharType="separate"/>
      </w:r>
      <w:r w:rsidR="00451900">
        <w:t>Table </w:t>
      </w:r>
      <w:r w:rsidR="00451900">
        <w:rPr>
          <w:noProof/>
        </w:rPr>
        <w:t>11</w:t>
      </w:r>
      <w:r w:rsidR="003B7C20">
        <w:fldChar w:fldCharType="end"/>
      </w:r>
      <w:r w:rsidRPr="00D80FBF">
        <w:t xml:space="preserve"> below.</w:t>
      </w:r>
    </w:p>
    <w:p w14:paraId="5CE5BE2A" w14:textId="77777777" w:rsidR="007179EA" w:rsidRPr="00D80FBF" w:rsidRDefault="007179EA" w:rsidP="003B7C20"/>
    <w:p w14:paraId="74BD43BF" w14:textId="73DB32C8" w:rsidR="007179EA" w:rsidRPr="00375B98" w:rsidRDefault="003B7C20" w:rsidP="003B7C20">
      <w:pPr>
        <w:pStyle w:val="Table"/>
      </w:pPr>
      <w:bookmarkStart w:id="280" w:name="_Ref80794409"/>
      <w:bookmarkStart w:id="281" w:name="_Toc517091244"/>
      <w:bookmarkStart w:id="282" w:name="_Toc522089448"/>
      <w:bookmarkStart w:id="283" w:name="_Toc89335327"/>
      <w:bookmarkStart w:id="284" w:name="_Toc90626961"/>
      <w:r>
        <w:lastRenderedPageBreak/>
        <w:t>Table </w:t>
      </w:r>
      <w:fldSimple w:instr=" SEQ Table \* ARABIC ">
        <w:r w:rsidR="00451900">
          <w:rPr>
            <w:noProof/>
          </w:rPr>
          <w:t>11</w:t>
        </w:r>
      </w:fldSimple>
      <w:bookmarkEnd w:id="280"/>
      <w:r w:rsidR="007179EA" w:rsidRPr="00375B98">
        <w:t>: Gambling expenditure and proportions from the four main gambling sectors, 2009/10 to 2019/</w:t>
      </w:r>
      <w:bookmarkEnd w:id="281"/>
      <w:bookmarkEnd w:id="282"/>
      <w:r w:rsidR="007179EA" w:rsidRPr="00375B98">
        <w:t>20</w:t>
      </w:r>
      <w:bookmarkEnd w:id="283"/>
      <w:bookmarkEnd w:id="284"/>
    </w:p>
    <w:tbl>
      <w:tblPr>
        <w:tblW w:w="4931"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059"/>
        <w:gridCol w:w="772"/>
        <w:gridCol w:w="772"/>
        <w:gridCol w:w="771"/>
        <w:gridCol w:w="772"/>
        <w:gridCol w:w="772"/>
        <w:gridCol w:w="771"/>
        <w:gridCol w:w="772"/>
        <w:gridCol w:w="772"/>
        <w:gridCol w:w="847"/>
      </w:tblGrid>
      <w:tr w:rsidR="007179EA" w:rsidRPr="00D80FBF" w14:paraId="61CD80CA" w14:textId="77777777" w:rsidTr="005B24AB">
        <w:trPr>
          <w:cantSplit/>
        </w:trPr>
        <w:tc>
          <w:tcPr>
            <w:tcW w:w="655" w:type="pct"/>
            <w:vMerge w:val="restart"/>
            <w:tcBorders>
              <w:top w:val="nil"/>
              <w:bottom w:val="nil"/>
              <w:right w:val="single" w:sz="4" w:space="0" w:color="A6A6A6" w:themeColor="background1" w:themeShade="A6"/>
            </w:tcBorders>
            <w:shd w:val="clear" w:color="auto" w:fill="D9D9D9" w:themeFill="background1" w:themeFillShade="D9"/>
            <w:vAlign w:val="bottom"/>
          </w:tcPr>
          <w:p w14:paraId="1BDCF0AC" w14:textId="77777777" w:rsidR="007179EA" w:rsidRPr="00D80FBF" w:rsidRDefault="007179EA" w:rsidP="005B24AB">
            <w:pPr>
              <w:keepNext/>
              <w:spacing w:before="60" w:after="60"/>
              <w:rPr>
                <w:b/>
                <w:sz w:val="18"/>
              </w:rPr>
            </w:pPr>
            <w:r w:rsidRPr="00D80FBF">
              <w:rPr>
                <w:b/>
                <w:sz w:val="18"/>
              </w:rPr>
              <w:t>Year</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609BABF" w14:textId="77777777" w:rsidR="007179EA" w:rsidRPr="00D80FBF" w:rsidRDefault="007179EA" w:rsidP="005B24AB">
            <w:pPr>
              <w:keepNext/>
              <w:spacing w:before="60"/>
              <w:jc w:val="center"/>
              <w:rPr>
                <w:b/>
                <w:sz w:val="18"/>
              </w:rPr>
            </w:pPr>
            <w:r w:rsidRPr="00D80FBF">
              <w:rPr>
                <w:b/>
                <w:sz w:val="18"/>
              </w:rPr>
              <w:t>NCGMs</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3E4DF712" w14:textId="77777777" w:rsidR="007179EA" w:rsidRPr="00D80FBF" w:rsidRDefault="007179EA" w:rsidP="005B24AB">
            <w:pPr>
              <w:keepNext/>
              <w:spacing w:before="60"/>
              <w:jc w:val="center"/>
              <w:rPr>
                <w:b/>
                <w:sz w:val="18"/>
              </w:rPr>
            </w:pPr>
            <w:r w:rsidRPr="00D80FBF">
              <w:rPr>
                <w:b/>
                <w:sz w:val="18"/>
              </w:rPr>
              <w:t>Casinos</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00C4488" w14:textId="77777777" w:rsidR="007179EA" w:rsidRPr="00D80FBF" w:rsidRDefault="007179EA" w:rsidP="005B24AB">
            <w:pPr>
              <w:keepNext/>
              <w:spacing w:before="60"/>
              <w:jc w:val="center"/>
              <w:rPr>
                <w:b/>
                <w:sz w:val="18"/>
              </w:rPr>
            </w:pPr>
            <w:r w:rsidRPr="00D80FBF">
              <w:rPr>
                <w:b/>
                <w:sz w:val="18"/>
              </w:rPr>
              <w:t>TAB NZ</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1ADEAD4" w14:textId="77777777" w:rsidR="007179EA" w:rsidRPr="00D80FBF" w:rsidRDefault="007179EA" w:rsidP="00B5605C">
            <w:pPr>
              <w:keepNext/>
              <w:spacing w:before="60"/>
              <w:jc w:val="center"/>
              <w:rPr>
                <w:b/>
                <w:sz w:val="18"/>
              </w:rPr>
            </w:pPr>
            <w:r w:rsidRPr="00D80FBF">
              <w:rPr>
                <w:b/>
                <w:sz w:val="18"/>
              </w:rPr>
              <w:t>Lotto New</w:t>
            </w:r>
            <w:r w:rsidR="00B5605C">
              <w:rPr>
                <w:b/>
                <w:sz w:val="18"/>
              </w:rPr>
              <w:t> </w:t>
            </w:r>
            <w:r w:rsidRPr="00D80FBF">
              <w:rPr>
                <w:b/>
                <w:sz w:val="18"/>
              </w:rPr>
              <w:t>Zealand</w:t>
            </w:r>
          </w:p>
        </w:tc>
        <w:tc>
          <w:tcPr>
            <w:tcW w:w="525" w:type="pct"/>
            <w:tcBorders>
              <w:top w:val="nil"/>
              <w:left w:val="single" w:sz="4" w:space="0" w:color="A6A6A6" w:themeColor="background1" w:themeShade="A6"/>
              <w:bottom w:val="nil"/>
            </w:tcBorders>
            <w:shd w:val="clear" w:color="auto" w:fill="D9D9D9" w:themeFill="background1" w:themeFillShade="D9"/>
          </w:tcPr>
          <w:p w14:paraId="08167D31" w14:textId="77777777" w:rsidR="007179EA" w:rsidRPr="00D80FBF" w:rsidRDefault="007179EA" w:rsidP="005B24AB">
            <w:pPr>
              <w:keepNext/>
              <w:spacing w:before="60"/>
              <w:jc w:val="center"/>
              <w:rPr>
                <w:b/>
                <w:sz w:val="18"/>
              </w:rPr>
            </w:pPr>
            <w:r w:rsidRPr="00D80FBF">
              <w:rPr>
                <w:b/>
                <w:sz w:val="18"/>
              </w:rPr>
              <w:t>Total</w:t>
            </w:r>
          </w:p>
        </w:tc>
      </w:tr>
      <w:tr w:rsidR="007179EA" w:rsidRPr="00D80FBF" w14:paraId="4944C828" w14:textId="77777777" w:rsidTr="005B24AB">
        <w:trPr>
          <w:cantSplit/>
        </w:trPr>
        <w:tc>
          <w:tcPr>
            <w:tcW w:w="655" w:type="pct"/>
            <w:vMerge/>
            <w:tcBorders>
              <w:top w:val="nil"/>
              <w:bottom w:val="nil"/>
              <w:right w:val="single" w:sz="4" w:space="0" w:color="A6A6A6" w:themeColor="background1" w:themeShade="A6"/>
            </w:tcBorders>
            <w:shd w:val="clear" w:color="auto" w:fill="D9D9D9" w:themeFill="background1" w:themeFillShade="D9"/>
          </w:tcPr>
          <w:p w14:paraId="23D2BADD" w14:textId="77777777" w:rsidR="007179EA" w:rsidRPr="00D80FBF" w:rsidRDefault="007179EA" w:rsidP="005B24AB">
            <w:pPr>
              <w:keepNext/>
              <w:spacing w:before="60" w:after="60"/>
              <w:rPr>
                <w:b/>
                <w:sz w:val="18"/>
              </w:rPr>
            </w:pPr>
          </w:p>
        </w:tc>
        <w:tc>
          <w:tcPr>
            <w:tcW w:w="477" w:type="pct"/>
            <w:tcBorders>
              <w:top w:val="nil"/>
              <w:left w:val="single" w:sz="4" w:space="0" w:color="A6A6A6" w:themeColor="background1" w:themeShade="A6"/>
              <w:bottom w:val="nil"/>
            </w:tcBorders>
            <w:shd w:val="clear" w:color="auto" w:fill="D9D9D9" w:themeFill="background1" w:themeFillShade="D9"/>
          </w:tcPr>
          <w:p w14:paraId="665773A5" w14:textId="77777777" w:rsidR="007179EA" w:rsidRPr="00D80FBF" w:rsidRDefault="007179EA" w:rsidP="005B24AB">
            <w:pPr>
              <w:keepNext/>
              <w:spacing w:after="60"/>
              <w:jc w:val="center"/>
              <w:rPr>
                <w:b/>
                <w:sz w:val="18"/>
              </w:rPr>
            </w:pPr>
            <w:r w:rsidRPr="00D80FBF">
              <w:rPr>
                <w:b/>
                <w:sz w:val="18"/>
              </w:rPr>
              <w:t>$m</w:t>
            </w:r>
          </w:p>
        </w:tc>
        <w:tc>
          <w:tcPr>
            <w:tcW w:w="478" w:type="pct"/>
            <w:tcBorders>
              <w:top w:val="nil"/>
              <w:bottom w:val="nil"/>
              <w:right w:val="single" w:sz="4" w:space="0" w:color="A6A6A6" w:themeColor="background1" w:themeShade="A6"/>
            </w:tcBorders>
            <w:shd w:val="clear" w:color="auto" w:fill="D9D9D9" w:themeFill="background1" w:themeFillShade="D9"/>
          </w:tcPr>
          <w:p w14:paraId="43FC6618" w14:textId="77777777" w:rsidR="007179EA" w:rsidRPr="00D80FBF" w:rsidRDefault="007179EA" w:rsidP="005B24AB">
            <w:pPr>
              <w:keepNext/>
              <w:spacing w:after="60"/>
              <w:jc w:val="center"/>
              <w:rPr>
                <w:b/>
                <w:sz w:val="18"/>
              </w:rPr>
            </w:pPr>
            <w:r w:rsidRPr="00D80FBF">
              <w:rPr>
                <w:b/>
                <w:sz w:val="18"/>
              </w:rPr>
              <w:t>%</w:t>
            </w:r>
          </w:p>
        </w:tc>
        <w:tc>
          <w:tcPr>
            <w:tcW w:w="477" w:type="pct"/>
            <w:tcBorders>
              <w:top w:val="nil"/>
              <w:left w:val="single" w:sz="4" w:space="0" w:color="A6A6A6" w:themeColor="background1" w:themeShade="A6"/>
              <w:bottom w:val="nil"/>
            </w:tcBorders>
            <w:shd w:val="clear" w:color="auto" w:fill="D9D9D9" w:themeFill="background1" w:themeFillShade="D9"/>
          </w:tcPr>
          <w:p w14:paraId="44E588CD" w14:textId="77777777" w:rsidR="007179EA" w:rsidRPr="00D80FBF" w:rsidRDefault="007179EA" w:rsidP="005B24AB">
            <w:pPr>
              <w:keepNext/>
              <w:spacing w:after="60"/>
              <w:jc w:val="center"/>
              <w:rPr>
                <w:b/>
                <w:sz w:val="18"/>
              </w:rPr>
            </w:pPr>
            <w:r w:rsidRPr="00D80FBF">
              <w:rPr>
                <w:b/>
                <w:sz w:val="18"/>
              </w:rPr>
              <w:t>$m</w:t>
            </w:r>
          </w:p>
        </w:tc>
        <w:tc>
          <w:tcPr>
            <w:tcW w:w="478" w:type="pct"/>
            <w:tcBorders>
              <w:top w:val="nil"/>
              <w:bottom w:val="nil"/>
              <w:right w:val="single" w:sz="4" w:space="0" w:color="A6A6A6" w:themeColor="background1" w:themeShade="A6"/>
            </w:tcBorders>
            <w:shd w:val="clear" w:color="auto" w:fill="D9D9D9" w:themeFill="background1" w:themeFillShade="D9"/>
          </w:tcPr>
          <w:p w14:paraId="34BDF165" w14:textId="77777777" w:rsidR="007179EA" w:rsidRPr="00D80FBF" w:rsidRDefault="007179EA" w:rsidP="005B24AB">
            <w:pPr>
              <w:keepNext/>
              <w:spacing w:after="60"/>
              <w:jc w:val="center"/>
              <w:rPr>
                <w:b/>
                <w:sz w:val="18"/>
              </w:rPr>
            </w:pPr>
            <w:r w:rsidRPr="00D80FBF">
              <w:rPr>
                <w:b/>
                <w:sz w:val="18"/>
              </w:rPr>
              <w:t>%</w:t>
            </w:r>
          </w:p>
        </w:tc>
        <w:tc>
          <w:tcPr>
            <w:tcW w:w="478" w:type="pct"/>
            <w:tcBorders>
              <w:top w:val="nil"/>
              <w:left w:val="single" w:sz="4" w:space="0" w:color="A6A6A6" w:themeColor="background1" w:themeShade="A6"/>
              <w:bottom w:val="nil"/>
            </w:tcBorders>
            <w:shd w:val="clear" w:color="auto" w:fill="D9D9D9" w:themeFill="background1" w:themeFillShade="D9"/>
          </w:tcPr>
          <w:p w14:paraId="75E2901F" w14:textId="77777777" w:rsidR="007179EA" w:rsidRPr="00D80FBF" w:rsidRDefault="007179EA" w:rsidP="005B24AB">
            <w:pPr>
              <w:keepNext/>
              <w:spacing w:after="60"/>
              <w:jc w:val="center"/>
              <w:rPr>
                <w:b/>
                <w:sz w:val="18"/>
              </w:rPr>
            </w:pPr>
            <w:r w:rsidRPr="00D80FBF">
              <w:rPr>
                <w:b/>
                <w:sz w:val="18"/>
              </w:rPr>
              <w:t>$m</w:t>
            </w:r>
          </w:p>
        </w:tc>
        <w:tc>
          <w:tcPr>
            <w:tcW w:w="477" w:type="pct"/>
            <w:tcBorders>
              <w:top w:val="nil"/>
              <w:bottom w:val="nil"/>
              <w:right w:val="single" w:sz="4" w:space="0" w:color="A6A6A6" w:themeColor="background1" w:themeShade="A6"/>
            </w:tcBorders>
            <w:shd w:val="clear" w:color="auto" w:fill="D9D9D9" w:themeFill="background1" w:themeFillShade="D9"/>
          </w:tcPr>
          <w:p w14:paraId="0FBFECB3" w14:textId="77777777" w:rsidR="007179EA" w:rsidRPr="00D80FBF" w:rsidRDefault="007179EA" w:rsidP="005B24AB">
            <w:pPr>
              <w:keepNext/>
              <w:spacing w:after="60"/>
              <w:jc w:val="center"/>
              <w:rPr>
                <w:b/>
                <w:sz w:val="18"/>
              </w:rPr>
            </w:pPr>
            <w:r w:rsidRPr="00D80FBF">
              <w:rPr>
                <w:b/>
                <w:sz w:val="18"/>
              </w:rPr>
              <w:t>%</w:t>
            </w:r>
          </w:p>
        </w:tc>
        <w:tc>
          <w:tcPr>
            <w:tcW w:w="478" w:type="pct"/>
            <w:tcBorders>
              <w:top w:val="nil"/>
              <w:left w:val="single" w:sz="4" w:space="0" w:color="A6A6A6" w:themeColor="background1" w:themeShade="A6"/>
              <w:bottom w:val="nil"/>
            </w:tcBorders>
            <w:shd w:val="clear" w:color="auto" w:fill="D9D9D9" w:themeFill="background1" w:themeFillShade="D9"/>
          </w:tcPr>
          <w:p w14:paraId="50E8572F" w14:textId="77777777" w:rsidR="007179EA" w:rsidRPr="00D80FBF" w:rsidRDefault="007179EA" w:rsidP="005B24AB">
            <w:pPr>
              <w:keepNext/>
              <w:spacing w:after="60"/>
              <w:jc w:val="center"/>
              <w:rPr>
                <w:b/>
                <w:sz w:val="18"/>
              </w:rPr>
            </w:pPr>
            <w:r w:rsidRPr="00D80FBF">
              <w:rPr>
                <w:b/>
                <w:sz w:val="18"/>
              </w:rPr>
              <w:t>$m</w:t>
            </w:r>
          </w:p>
        </w:tc>
        <w:tc>
          <w:tcPr>
            <w:tcW w:w="478" w:type="pct"/>
            <w:tcBorders>
              <w:top w:val="nil"/>
              <w:bottom w:val="nil"/>
              <w:right w:val="single" w:sz="4" w:space="0" w:color="A6A6A6" w:themeColor="background1" w:themeShade="A6"/>
            </w:tcBorders>
            <w:shd w:val="clear" w:color="auto" w:fill="D9D9D9" w:themeFill="background1" w:themeFillShade="D9"/>
          </w:tcPr>
          <w:p w14:paraId="7C657CD6" w14:textId="77777777" w:rsidR="007179EA" w:rsidRPr="00D80FBF" w:rsidRDefault="007179EA" w:rsidP="005B24AB">
            <w:pPr>
              <w:keepNext/>
              <w:spacing w:after="60"/>
              <w:jc w:val="center"/>
              <w:rPr>
                <w:b/>
                <w:sz w:val="18"/>
              </w:rPr>
            </w:pPr>
            <w:r w:rsidRPr="00D80FBF">
              <w:rPr>
                <w:b/>
                <w:sz w:val="18"/>
              </w:rPr>
              <w:t>%</w:t>
            </w:r>
          </w:p>
        </w:tc>
        <w:tc>
          <w:tcPr>
            <w:tcW w:w="525" w:type="pct"/>
            <w:tcBorders>
              <w:top w:val="nil"/>
              <w:left w:val="single" w:sz="4" w:space="0" w:color="A6A6A6" w:themeColor="background1" w:themeShade="A6"/>
              <w:bottom w:val="nil"/>
            </w:tcBorders>
            <w:shd w:val="clear" w:color="auto" w:fill="D9D9D9" w:themeFill="background1" w:themeFillShade="D9"/>
          </w:tcPr>
          <w:p w14:paraId="5C732AFB" w14:textId="77777777" w:rsidR="007179EA" w:rsidRPr="00D80FBF" w:rsidRDefault="007179EA" w:rsidP="005B24AB">
            <w:pPr>
              <w:keepNext/>
              <w:spacing w:after="60"/>
              <w:jc w:val="center"/>
              <w:rPr>
                <w:b/>
                <w:sz w:val="18"/>
              </w:rPr>
            </w:pPr>
            <w:r w:rsidRPr="00D80FBF">
              <w:rPr>
                <w:b/>
                <w:sz w:val="18"/>
              </w:rPr>
              <w:t>$m</w:t>
            </w:r>
          </w:p>
        </w:tc>
      </w:tr>
      <w:tr w:rsidR="007179EA" w:rsidRPr="00D80FBF" w14:paraId="51111548" w14:textId="77777777" w:rsidTr="005B24AB">
        <w:trPr>
          <w:cantSplit/>
        </w:trPr>
        <w:tc>
          <w:tcPr>
            <w:tcW w:w="655" w:type="pct"/>
            <w:tcBorders>
              <w:top w:val="nil"/>
              <w:bottom w:val="single" w:sz="4" w:space="0" w:color="A6A6A6" w:themeColor="background1" w:themeShade="A6"/>
              <w:right w:val="single" w:sz="4" w:space="0" w:color="A6A6A6" w:themeColor="background1" w:themeShade="A6"/>
            </w:tcBorders>
            <w:shd w:val="clear" w:color="auto" w:fill="auto"/>
          </w:tcPr>
          <w:p w14:paraId="6EBF92BA" w14:textId="77777777" w:rsidR="007179EA" w:rsidRPr="00D80FBF" w:rsidRDefault="007179EA" w:rsidP="005B24AB">
            <w:pPr>
              <w:keepNext/>
              <w:spacing w:before="60" w:after="60"/>
              <w:rPr>
                <w:sz w:val="18"/>
              </w:rPr>
            </w:pPr>
            <w:r w:rsidRPr="00D80FBF">
              <w:rPr>
                <w:sz w:val="18"/>
              </w:rPr>
              <w:t>2009/10</w:t>
            </w:r>
          </w:p>
        </w:tc>
        <w:tc>
          <w:tcPr>
            <w:tcW w:w="477" w:type="pct"/>
            <w:tcBorders>
              <w:top w:val="nil"/>
              <w:left w:val="single" w:sz="4" w:space="0" w:color="A6A6A6" w:themeColor="background1" w:themeShade="A6"/>
              <w:bottom w:val="single" w:sz="4" w:space="0" w:color="A6A6A6" w:themeColor="background1" w:themeShade="A6"/>
            </w:tcBorders>
            <w:shd w:val="clear" w:color="auto" w:fill="auto"/>
          </w:tcPr>
          <w:p w14:paraId="466CCE80" w14:textId="77777777" w:rsidR="007179EA" w:rsidRPr="00D80FBF" w:rsidRDefault="007179EA" w:rsidP="005B24AB">
            <w:pPr>
              <w:keepNext/>
              <w:spacing w:before="60" w:after="60"/>
              <w:jc w:val="center"/>
              <w:rPr>
                <w:sz w:val="18"/>
              </w:rPr>
            </w:pPr>
            <w:r w:rsidRPr="00D80FBF">
              <w:rPr>
                <w:sz w:val="18"/>
              </w:rPr>
              <w:t>849</w:t>
            </w:r>
          </w:p>
        </w:tc>
        <w:tc>
          <w:tcPr>
            <w:tcW w:w="478" w:type="pct"/>
            <w:tcBorders>
              <w:top w:val="nil"/>
              <w:bottom w:val="single" w:sz="4" w:space="0" w:color="A6A6A6" w:themeColor="background1" w:themeShade="A6"/>
              <w:right w:val="single" w:sz="4" w:space="0" w:color="A6A6A6" w:themeColor="background1" w:themeShade="A6"/>
            </w:tcBorders>
            <w:shd w:val="clear" w:color="auto" w:fill="auto"/>
          </w:tcPr>
          <w:p w14:paraId="573AD1C0" w14:textId="77777777" w:rsidR="007179EA" w:rsidRPr="00D80FBF" w:rsidRDefault="007179EA" w:rsidP="005B24AB">
            <w:pPr>
              <w:keepNext/>
              <w:spacing w:before="60" w:after="60"/>
              <w:jc w:val="center"/>
              <w:rPr>
                <w:sz w:val="18"/>
              </w:rPr>
            </w:pPr>
            <w:r w:rsidRPr="00D80FBF">
              <w:rPr>
                <w:sz w:val="18"/>
              </w:rPr>
              <w:t>44.4</w:t>
            </w:r>
          </w:p>
        </w:tc>
        <w:tc>
          <w:tcPr>
            <w:tcW w:w="477" w:type="pct"/>
            <w:tcBorders>
              <w:top w:val="nil"/>
              <w:left w:val="single" w:sz="4" w:space="0" w:color="A6A6A6" w:themeColor="background1" w:themeShade="A6"/>
              <w:bottom w:val="single" w:sz="4" w:space="0" w:color="A6A6A6" w:themeColor="background1" w:themeShade="A6"/>
            </w:tcBorders>
            <w:shd w:val="clear" w:color="auto" w:fill="auto"/>
          </w:tcPr>
          <w:p w14:paraId="068D9702" w14:textId="77777777" w:rsidR="007179EA" w:rsidRPr="00D80FBF" w:rsidRDefault="007179EA" w:rsidP="005B24AB">
            <w:pPr>
              <w:keepNext/>
              <w:spacing w:before="60" w:after="60"/>
              <w:jc w:val="center"/>
              <w:rPr>
                <w:sz w:val="18"/>
              </w:rPr>
            </w:pPr>
            <w:r w:rsidRPr="00D80FBF">
              <w:rPr>
                <w:sz w:val="18"/>
              </w:rPr>
              <w:t>440</w:t>
            </w:r>
          </w:p>
        </w:tc>
        <w:tc>
          <w:tcPr>
            <w:tcW w:w="478" w:type="pct"/>
            <w:tcBorders>
              <w:top w:val="nil"/>
              <w:bottom w:val="single" w:sz="4" w:space="0" w:color="A6A6A6" w:themeColor="background1" w:themeShade="A6"/>
              <w:right w:val="single" w:sz="4" w:space="0" w:color="A6A6A6" w:themeColor="background1" w:themeShade="A6"/>
            </w:tcBorders>
            <w:shd w:val="clear" w:color="auto" w:fill="auto"/>
          </w:tcPr>
          <w:p w14:paraId="00E6DC8E" w14:textId="77777777" w:rsidR="007179EA" w:rsidRPr="00D80FBF" w:rsidRDefault="007179EA" w:rsidP="005B24AB">
            <w:pPr>
              <w:keepNext/>
              <w:spacing w:before="60" w:after="60"/>
              <w:jc w:val="center"/>
              <w:rPr>
                <w:sz w:val="18"/>
              </w:rPr>
            </w:pPr>
            <w:r w:rsidRPr="00D80FBF">
              <w:rPr>
                <w:sz w:val="18"/>
              </w:rPr>
              <w:t>23.0</w:t>
            </w:r>
          </w:p>
        </w:tc>
        <w:tc>
          <w:tcPr>
            <w:tcW w:w="478" w:type="pct"/>
            <w:tcBorders>
              <w:top w:val="nil"/>
              <w:left w:val="single" w:sz="4" w:space="0" w:color="A6A6A6" w:themeColor="background1" w:themeShade="A6"/>
              <w:bottom w:val="single" w:sz="4" w:space="0" w:color="A6A6A6" w:themeColor="background1" w:themeShade="A6"/>
            </w:tcBorders>
            <w:shd w:val="clear" w:color="auto" w:fill="auto"/>
          </w:tcPr>
          <w:p w14:paraId="33A7E93C" w14:textId="77777777" w:rsidR="007179EA" w:rsidRPr="00D80FBF" w:rsidRDefault="007179EA" w:rsidP="005B24AB">
            <w:pPr>
              <w:keepNext/>
              <w:spacing w:before="60" w:after="60"/>
              <w:jc w:val="center"/>
              <w:rPr>
                <w:sz w:val="18"/>
              </w:rPr>
            </w:pPr>
            <w:r w:rsidRPr="00D80FBF">
              <w:rPr>
                <w:sz w:val="18"/>
              </w:rPr>
              <w:t>278</w:t>
            </w:r>
          </w:p>
        </w:tc>
        <w:tc>
          <w:tcPr>
            <w:tcW w:w="477" w:type="pct"/>
            <w:tcBorders>
              <w:top w:val="nil"/>
              <w:bottom w:val="single" w:sz="4" w:space="0" w:color="A6A6A6" w:themeColor="background1" w:themeShade="A6"/>
              <w:right w:val="single" w:sz="4" w:space="0" w:color="A6A6A6" w:themeColor="background1" w:themeShade="A6"/>
            </w:tcBorders>
            <w:shd w:val="clear" w:color="auto" w:fill="auto"/>
          </w:tcPr>
          <w:p w14:paraId="4BAB7EBC" w14:textId="77777777" w:rsidR="007179EA" w:rsidRPr="00D80FBF" w:rsidRDefault="007179EA" w:rsidP="005B24AB">
            <w:pPr>
              <w:keepNext/>
              <w:spacing w:before="60" w:after="60"/>
              <w:jc w:val="center"/>
              <w:rPr>
                <w:sz w:val="18"/>
              </w:rPr>
            </w:pPr>
            <w:r w:rsidRPr="00D80FBF">
              <w:rPr>
                <w:sz w:val="18"/>
              </w:rPr>
              <w:t>14.5</w:t>
            </w:r>
          </w:p>
        </w:tc>
        <w:tc>
          <w:tcPr>
            <w:tcW w:w="478" w:type="pct"/>
            <w:tcBorders>
              <w:top w:val="nil"/>
              <w:left w:val="single" w:sz="4" w:space="0" w:color="A6A6A6" w:themeColor="background1" w:themeShade="A6"/>
              <w:bottom w:val="single" w:sz="4" w:space="0" w:color="A6A6A6" w:themeColor="background1" w:themeShade="A6"/>
            </w:tcBorders>
            <w:shd w:val="clear" w:color="auto" w:fill="auto"/>
          </w:tcPr>
          <w:p w14:paraId="0D29D2C5" w14:textId="77777777" w:rsidR="007179EA" w:rsidRPr="00D80FBF" w:rsidRDefault="007179EA" w:rsidP="005B24AB">
            <w:pPr>
              <w:keepNext/>
              <w:spacing w:before="60" w:after="60"/>
              <w:jc w:val="center"/>
              <w:rPr>
                <w:sz w:val="18"/>
              </w:rPr>
            </w:pPr>
            <w:r w:rsidRPr="00D80FBF">
              <w:rPr>
                <w:sz w:val="18"/>
              </w:rPr>
              <w:t>347</w:t>
            </w:r>
          </w:p>
        </w:tc>
        <w:tc>
          <w:tcPr>
            <w:tcW w:w="478" w:type="pct"/>
            <w:tcBorders>
              <w:top w:val="nil"/>
              <w:bottom w:val="single" w:sz="4" w:space="0" w:color="A6A6A6" w:themeColor="background1" w:themeShade="A6"/>
              <w:right w:val="single" w:sz="4" w:space="0" w:color="A6A6A6" w:themeColor="background1" w:themeShade="A6"/>
            </w:tcBorders>
            <w:shd w:val="clear" w:color="auto" w:fill="auto"/>
          </w:tcPr>
          <w:p w14:paraId="188790E8" w14:textId="77777777" w:rsidR="007179EA" w:rsidRPr="00D80FBF" w:rsidRDefault="007179EA" w:rsidP="005B24AB">
            <w:pPr>
              <w:keepNext/>
              <w:spacing w:before="60" w:after="60"/>
              <w:jc w:val="center"/>
              <w:rPr>
                <w:sz w:val="18"/>
              </w:rPr>
            </w:pPr>
            <w:r w:rsidRPr="00D80FBF">
              <w:rPr>
                <w:sz w:val="18"/>
              </w:rPr>
              <w:t>18.1</w:t>
            </w:r>
          </w:p>
        </w:tc>
        <w:tc>
          <w:tcPr>
            <w:tcW w:w="525" w:type="pct"/>
            <w:tcBorders>
              <w:top w:val="nil"/>
              <w:left w:val="single" w:sz="4" w:space="0" w:color="A6A6A6" w:themeColor="background1" w:themeShade="A6"/>
              <w:bottom w:val="single" w:sz="4" w:space="0" w:color="A6A6A6" w:themeColor="background1" w:themeShade="A6"/>
            </w:tcBorders>
            <w:shd w:val="clear" w:color="auto" w:fill="auto"/>
          </w:tcPr>
          <w:p w14:paraId="23CED6BF" w14:textId="77777777" w:rsidR="007179EA" w:rsidRPr="00D80FBF" w:rsidRDefault="007179EA" w:rsidP="005B24AB">
            <w:pPr>
              <w:keepNext/>
              <w:spacing w:before="60" w:after="60"/>
              <w:jc w:val="center"/>
              <w:rPr>
                <w:sz w:val="18"/>
              </w:rPr>
            </w:pPr>
            <w:r w:rsidRPr="00D80FBF">
              <w:rPr>
                <w:sz w:val="18"/>
              </w:rPr>
              <w:t>1,914</w:t>
            </w:r>
          </w:p>
        </w:tc>
      </w:tr>
      <w:tr w:rsidR="007179EA" w:rsidRPr="00D80FBF" w14:paraId="614B5AA8" w14:textId="77777777" w:rsidTr="005B24AB">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6A5854" w14:textId="77777777" w:rsidR="007179EA" w:rsidRPr="00D80FBF" w:rsidRDefault="007179EA" w:rsidP="005B24AB">
            <w:pPr>
              <w:keepNext/>
              <w:spacing w:before="60" w:after="60"/>
              <w:rPr>
                <w:sz w:val="18"/>
              </w:rPr>
            </w:pPr>
            <w:r w:rsidRPr="00D80FBF">
              <w:rPr>
                <w:sz w:val="18"/>
              </w:rPr>
              <w:t>2010/11</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5CB5AF1" w14:textId="77777777" w:rsidR="007179EA" w:rsidRPr="00D80FBF" w:rsidRDefault="007179EA" w:rsidP="005B24AB">
            <w:pPr>
              <w:keepNext/>
              <w:spacing w:before="60" w:after="60"/>
              <w:jc w:val="center"/>
              <w:rPr>
                <w:sz w:val="18"/>
              </w:rPr>
            </w:pPr>
            <w:r w:rsidRPr="00D80FBF">
              <w:rPr>
                <w:sz w:val="18"/>
              </w:rPr>
              <w:t>856</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56CB3E1" w14:textId="77777777" w:rsidR="007179EA" w:rsidRPr="00D80FBF" w:rsidRDefault="007179EA" w:rsidP="005B24AB">
            <w:pPr>
              <w:keepNext/>
              <w:spacing w:before="60" w:after="60"/>
              <w:jc w:val="center"/>
              <w:rPr>
                <w:sz w:val="18"/>
              </w:rPr>
            </w:pPr>
            <w:r w:rsidRPr="00D80FBF">
              <w:rPr>
                <w:sz w:val="18"/>
              </w:rPr>
              <w:t>43.2</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63DA0E4" w14:textId="77777777" w:rsidR="007179EA" w:rsidRPr="00D80FBF" w:rsidRDefault="007179EA" w:rsidP="005B24AB">
            <w:pPr>
              <w:keepNext/>
              <w:spacing w:before="60" w:after="60"/>
              <w:jc w:val="center"/>
              <w:rPr>
                <w:sz w:val="18"/>
              </w:rPr>
            </w:pPr>
            <w:r w:rsidRPr="00D80FBF">
              <w:rPr>
                <w:sz w:val="18"/>
              </w:rPr>
              <w:t>448</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5524915" w14:textId="77777777" w:rsidR="007179EA" w:rsidRPr="00D80FBF" w:rsidRDefault="007179EA" w:rsidP="005B24AB">
            <w:pPr>
              <w:keepNext/>
              <w:spacing w:before="60" w:after="60"/>
              <w:jc w:val="center"/>
              <w:rPr>
                <w:sz w:val="18"/>
              </w:rPr>
            </w:pPr>
            <w:r w:rsidRPr="00D80FBF">
              <w:rPr>
                <w:sz w:val="18"/>
              </w:rPr>
              <w:t>22.6</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0CA8704" w14:textId="77777777" w:rsidR="007179EA" w:rsidRPr="00D80FBF" w:rsidRDefault="007179EA" w:rsidP="005B24AB">
            <w:pPr>
              <w:keepNext/>
              <w:spacing w:before="60" w:after="60"/>
              <w:jc w:val="center"/>
              <w:rPr>
                <w:sz w:val="18"/>
              </w:rPr>
            </w:pPr>
            <w:r w:rsidRPr="00D80FBF">
              <w:rPr>
                <w:sz w:val="18"/>
              </w:rPr>
              <w:t>273</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4AA7CDE" w14:textId="77777777" w:rsidR="007179EA" w:rsidRPr="00D80FBF" w:rsidRDefault="007179EA" w:rsidP="005B24AB">
            <w:pPr>
              <w:keepNext/>
              <w:spacing w:before="60" w:after="60"/>
              <w:jc w:val="center"/>
              <w:rPr>
                <w:sz w:val="18"/>
              </w:rPr>
            </w:pPr>
            <w:r w:rsidRPr="00D80FBF">
              <w:rPr>
                <w:sz w:val="18"/>
              </w:rPr>
              <w:t>13.8</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B85375F" w14:textId="77777777" w:rsidR="007179EA" w:rsidRPr="00D80FBF" w:rsidRDefault="007179EA" w:rsidP="005B24AB">
            <w:pPr>
              <w:keepNext/>
              <w:spacing w:before="60" w:after="60"/>
              <w:jc w:val="center"/>
              <w:rPr>
                <w:sz w:val="18"/>
              </w:rPr>
            </w:pPr>
            <w:r w:rsidRPr="00D80FBF">
              <w:rPr>
                <w:sz w:val="18"/>
              </w:rPr>
              <w:t>404</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0AA38D7" w14:textId="77777777" w:rsidR="007179EA" w:rsidRPr="00D80FBF" w:rsidRDefault="007179EA" w:rsidP="005B24AB">
            <w:pPr>
              <w:keepNext/>
              <w:spacing w:before="60" w:after="60"/>
              <w:jc w:val="center"/>
              <w:rPr>
                <w:sz w:val="18"/>
              </w:rPr>
            </w:pPr>
            <w:r w:rsidRPr="00D80FBF">
              <w:rPr>
                <w:sz w:val="18"/>
              </w:rPr>
              <w:t>20.4</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D53575C" w14:textId="77777777" w:rsidR="007179EA" w:rsidRPr="00D80FBF" w:rsidRDefault="007179EA" w:rsidP="005B24AB">
            <w:pPr>
              <w:keepNext/>
              <w:spacing w:before="60" w:after="60"/>
              <w:jc w:val="center"/>
              <w:rPr>
                <w:sz w:val="18"/>
              </w:rPr>
            </w:pPr>
            <w:r w:rsidRPr="00D80FBF">
              <w:rPr>
                <w:sz w:val="18"/>
              </w:rPr>
              <w:t>1,982</w:t>
            </w:r>
          </w:p>
        </w:tc>
      </w:tr>
      <w:tr w:rsidR="007179EA" w:rsidRPr="00D80FBF" w14:paraId="69B49F26" w14:textId="77777777" w:rsidTr="005B24AB">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E1D100" w14:textId="77777777" w:rsidR="007179EA" w:rsidRPr="00D80FBF" w:rsidRDefault="007179EA" w:rsidP="005B24AB">
            <w:pPr>
              <w:keepNext/>
              <w:spacing w:before="60" w:after="60"/>
              <w:rPr>
                <w:sz w:val="18"/>
              </w:rPr>
            </w:pPr>
            <w:r w:rsidRPr="00D80FBF">
              <w:rPr>
                <w:sz w:val="18"/>
              </w:rPr>
              <w:t>2011/12</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C1BAB0A" w14:textId="77777777" w:rsidR="007179EA" w:rsidRPr="00D80FBF" w:rsidRDefault="007179EA" w:rsidP="005B24AB">
            <w:pPr>
              <w:keepNext/>
              <w:spacing w:before="60" w:after="60"/>
              <w:jc w:val="center"/>
              <w:rPr>
                <w:sz w:val="18"/>
              </w:rPr>
            </w:pPr>
            <w:r w:rsidRPr="00D80FBF">
              <w:rPr>
                <w:sz w:val="18"/>
              </w:rPr>
              <w:t>854</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C7D87C1" w14:textId="77777777" w:rsidR="007179EA" w:rsidRPr="00D80FBF" w:rsidRDefault="007179EA" w:rsidP="005B24AB">
            <w:pPr>
              <w:keepNext/>
              <w:spacing w:before="60" w:after="60"/>
              <w:jc w:val="center"/>
              <w:rPr>
                <w:sz w:val="18"/>
              </w:rPr>
            </w:pPr>
            <w:r w:rsidRPr="00D80FBF">
              <w:rPr>
                <w:sz w:val="18"/>
              </w:rPr>
              <w:t>41.9</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6CDF13F" w14:textId="77777777" w:rsidR="007179EA" w:rsidRPr="00D80FBF" w:rsidRDefault="007179EA" w:rsidP="005B24AB">
            <w:pPr>
              <w:keepNext/>
              <w:spacing w:before="60" w:after="60"/>
              <w:jc w:val="center"/>
              <w:rPr>
                <w:sz w:val="18"/>
              </w:rPr>
            </w:pPr>
            <w:r w:rsidRPr="00D80FBF">
              <w:rPr>
                <w:sz w:val="18"/>
              </w:rPr>
              <w:t>483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5ACDA93" w14:textId="77777777" w:rsidR="007179EA" w:rsidRPr="00D80FBF" w:rsidRDefault="007179EA" w:rsidP="005B24AB">
            <w:pPr>
              <w:keepNext/>
              <w:spacing w:before="60" w:after="60"/>
              <w:jc w:val="center"/>
              <w:rPr>
                <w:sz w:val="18"/>
              </w:rPr>
            </w:pPr>
            <w:r w:rsidRPr="00D80FBF">
              <w:rPr>
                <w:sz w:val="18"/>
              </w:rPr>
              <w:t>23.7</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34A0754" w14:textId="77777777" w:rsidR="007179EA" w:rsidRPr="00D80FBF" w:rsidRDefault="007179EA" w:rsidP="005B24AB">
            <w:pPr>
              <w:keepNext/>
              <w:spacing w:before="60" w:after="60"/>
              <w:jc w:val="center"/>
              <w:rPr>
                <w:sz w:val="18"/>
              </w:rPr>
            </w:pPr>
            <w:r w:rsidRPr="00D80FBF">
              <w:rPr>
                <w:sz w:val="18"/>
              </w:rPr>
              <w:t>283</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A07F7C3" w14:textId="77777777" w:rsidR="007179EA" w:rsidRPr="00D80FBF" w:rsidRDefault="007179EA" w:rsidP="005B24AB">
            <w:pPr>
              <w:keepNext/>
              <w:spacing w:before="60" w:after="60"/>
              <w:jc w:val="center"/>
              <w:rPr>
                <w:sz w:val="18"/>
              </w:rPr>
            </w:pPr>
            <w:r w:rsidRPr="00D80FBF">
              <w:rPr>
                <w:sz w:val="18"/>
              </w:rPr>
              <w:t>13.9</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EB8A9F0" w14:textId="77777777" w:rsidR="007179EA" w:rsidRPr="00D80FBF" w:rsidRDefault="007179EA" w:rsidP="005B24AB">
            <w:pPr>
              <w:keepNext/>
              <w:spacing w:before="60" w:after="60"/>
              <w:jc w:val="center"/>
              <w:rPr>
                <w:sz w:val="18"/>
              </w:rPr>
            </w:pPr>
            <w:r w:rsidRPr="00D80FBF">
              <w:rPr>
                <w:sz w:val="18"/>
              </w:rPr>
              <w:t>419</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D5C3B92" w14:textId="77777777" w:rsidR="007179EA" w:rsidRPr="00D80FBF" w:rsidRDefault="007179EA" w:rsidP="005B24AB">
            <w:pPr>
              <w:keepNext/>
              <w:spacing w:before="60" w:after="60"/>
              <w:jc w:val="center"/>
              <w:rPr>
                <w:sz w:val="18"/>
              </w:rPr>
            </w:pPr>
            <w:r w:rsidRPr="00D80FBF">
              <w:rPr>
                <w:sz w:val="18"/>
              </w:rPr>
              <w:t>20.5</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66632B9" w14:textId="77777777" w:rsidR="007179EA" w:rsidRPr="00D80FBF" w:rsidRDefault="007179EA" w:rsidP="005B24AB">
            <w:pPr>
              <w:keepNext/>
              <w:spacing w:before="60" w:after="60"/>
              <w:jc w:val="center"/>
              <w:rPr>
                <w:sz w:val="18"/>
              </w:rPr>
            </w:pPr>
            <w:r w:rsidRPr="00D80FBF">
              <w:rPr>
                <w:sz w:val="18"/>
              </w:rPr>
              <w:t>2,038</w:t>
            </w:r>
          </w:p>
        </w:tc>
      </w:tr>
      <w:tr w:rsidR="007179EA" w:rsidRPr="00D80FBF" w14:paraId="61D3CC7E" w14:textId="77777777" w:rsidTr="005B24AB">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4A5AA2" w14:textId="77777777" w:rsidR="007179EA" w:rsidRPr="00D80FBF" w:rsidRDefault="007179EA" w:rsidP="005B24AB">
            <w:pPr>
              <w:keepNext/>
              <w:spacing w:before="60" w:after="60"/>
              <w:rPr>
                <w:sz w:val="18"/>
              </w:rPr>
            </w:pPr>
            <w:r w:rsidRPr="00D80FBF">
              <w:rPr>
                <w:sz w:val="18"/>
              </w:rPr>
              <w:t>2012/13</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C83CCEC" w14:textId="77777777" w:rsidR="007179EA" w:rsidRPr="00D80FBF" w:rsidRDefault="007179EA" w:rsidP="005B24AB">
            <w:pPr>
              <w:keepNext/>
              <w:spacing w:before="60" w:after="60"/>
              <w:jc w:val="center"/>
              <w:rPr>
                <w:sz w:val="18"/>
              </w:rPr>
            </w:pPr>
            <w:r w:rsidRPr="00D80FBF">
              <w:rPr>
                <w:sz w:val="18"/>
              </w:rPr>
              <w:t>827</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7594BEE" w14:textId="77777777" w:rsidR="007179EA" w:rsidRPr="00D80FBF" w:rsidRDefault="007179EA" w:rsidP="005B24AB">
            <w:pPr>
              <w:keepNext/>
              <w:spacing w:before="60" w:after="60"/>
              <w:jc w:val="center"/>
              <w:rPr>
                <w:sz w:val="18"/>
              </w:rPr>
            </w:pPr>
            <w:r w:rsidRPr="00D80FBF">
              <w:rPr>
                <w:sz w:val="18"/>
              </w:rPr>
              <w:t>40.5</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7C2CD45" w14:textId="77777777" w:rsidR="007179EA" w:rsidRPr="00D80FBF" w:rsidRDefault="007179EA" w:rsidP="005B24AB">
            <w:pPr>
              <w:keepNext/>
              <w:spacing w:before="60" w:after="60"/>
              <w:jc w:val="center"/>
              <w:rPr>
                <w:sz w:val="18"/>
              </w:rPr>
            </w:pPr>
            <w:r w:rsidRPr="00D80FBF">
              <w:rPr>
                <w:sz w:val="18"/>
              </w:rPr>
              <w:t>490</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7498172" w14:textId="77777777" w:rsidR="007179EA" w:rsidRPr="00D80FBF" w:rsidRDefault="007179EA" w:rsidP="005B24AB">
            <w:pPr>
              <w:keepNext/>
              <w:spacing w:before="60" w:after="60"/>
              <w:jc w:val="center"/>
              <w:rPr>
                <w:sz w:val="18"/>
              </w:rPr>
            </w:pPr>
            <w:r w:rsidRPr="00D80FBF">
              <w:rPr>
                <w:sz w:val="18"/>
              </w:rPr>
              <w:t>24.0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9F7C0CA" w14:textId="77777777" w:rsidR="007179EA" w:rsidRPr="00D80FBF" w:rsidRDefault="007179EA" w:rsidP="005B24AB">
            <w:pPr>
              <w:keepNext/>
              <w:spacing w:before="60" w:after="60"/>
              <w:jc w:val="center"/>
              <w:rPr>
                <w:sz w:val="18"/>
              </w:rPr>
            </w:pPr>
            <w:r w:rsidRPr="00D80FBF">
              <w:rPr>
                <w:sz w:val="18"/>
              </w:rPr>
              <w:t>294</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0ABDF12" w14:textId="77777777" w:rsidR="007179EA" w:rsidRPr="00D80FBF" w:rsidRDefault="007179EA" w:rsidP="005B24AB">
            <w:pPr>
              <w:keepNext/>
              <w:spacing w:before="60" w:after="60"/>
              <w:jc w:val="center"/>
              <w:rPr>
                <w:sz w:val="18"/>
              </w:rPr>
            </w:pPr>
            <w:r w:rsidRPr="00D80FBF">
              <w:rPr>
                <w:sz w:val="18"/>
              </w:rPr>
              <w:t>14.4</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C999FA4" w14:textId="77777777" w:rsidR="007179EA" w:rsidRPr="00D80FBF" w:rsidRDefault="007179EA" w:rsidP="005B24AB">
            <w:pPr>
              <w:keepNext/>
              <w:spacing w:before="60" w:after="60"/>
              <w:jc w:val="center"/>
              <w:rPr>
                <w:sz w:val="18"/>
              </w:rPr>
            </w:pPr>
            <w:r w:rsidRPr="00D80FBF">
              <w:rPr>
                <w:sz w:val="18"/>
              </w:rPr>
              <w:t>432</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C8E11D9" w14:textId="77777777" w:rsidR="007179EA" w:rsidRPr="00D80FBF" w:rsidRDefault="007179EA" w:rsidP="005B24AB">
            <w:pPr>
              <w:keepNext/>
              <w:spacing w:before="60" w:after="60"/>
              <w:jc w:val="center"/>
              <w:rPr>
                <w:sz w:val="18"/>
              </w:rPr>
            </w:pPr>
            <w:r w:rsidRPr="00D80FBF">
              <w:rPr>
                <w:sz w:val="18"/>
              </w:rPr>
              <w:t>21.1</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14F7F50" w14:textId="77777777" w:rsidR="007179EA" w:rsidRPr="00D80FBF" w:rsidRDefault="007179EA" w:rsidP="005B24AB">
            <w:pPr>
              <w:keepNext/>
              <w:spacing w:before="60" w:after="60"/>
              <w:jc w:val="center"/>
              <w:rPr>
                <w:sz w:val="18"/>
              </w:rPr>
            </w:pPr>
            <w:r w:rsidRPr="00D80FBF">
              <w:rPr>
                <w:sz w:val="18"/>
              </w:rPr>
              <w:t>2,042</w:t>
            </w:r>
          </w:p>
        </w:tc>
      </w:tr>
      <w:tr w:rsidR="007179EA" w:rsidRPr="00D80FBF" w14:paraId="08D52D6B" w14:textId="77777777" w:rsidTr="005B24AB">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58F2F7" w14:textId="77777777" w:rsidR="007179EA" w:rsidRPr="00D80FBF" w:rsidRDefault="007179EA" w:rsidP="005B24AB">
            <w:pPr>
              <w:keepNext/>
              <w:spacing w:before="60" w:after="60"/>
              <w:rPr>
                <w:sz w:val="18"/>
              </w:rPr>
            </w:pPr>
            <w:r w:rsidRPr="00D80FBF">
              <w:rPr>
                <w:sz w:val="18"/>
              </w:rPr>
              <w:t>2013/14</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06DAFF8" w14:textId="77777777" w:rsidR="007179EA" w:rsidRPr="00D80FBF" w:rsidRDefault="007179EA" w:rsidP="005B24AB">
            <w:pPr>
              <w:keepNext/>
              <w:spacing w:before="60" w:after="60"/>
              <w:jc w:val="center"/>
              <w:rPr>
                <w:sz w:val="18"/>
              </w:rPr>
            </w:pPr>
            <w:r w:rsidRPr="00D80FBF">
              <w:rPr>
                <w:sz w:val="18"/>
              </w:rPr>
              <w:t>806</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B048672" w14:textId="77777777" w:rsidR="007179EA" w:rsidRPr="00D80FBF" w:rsidRDefault="007179EA" w:rsidP="005B24AB">
            <w:pPr>
              <w:keepNext/>
              <w:spacing w:before="60" w:after="60"/>
              <w:jc w:val="center"/>
              <w:rPr>
                <w:sz w:val="18"/>
              </w:rPr>
            </w:pPr>
            <w:r w:rsidRPr="00D80FBF">
              <w:rPr>
                <w:sz w:val="18"/>
              </w:rPr>
              <w:t>39.0</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7A6BCF2" w14:textId="77777777" w:rsidR="007179EA" w:rsidRPr="00D80FBF" w:rsidRDefault="007179EA" w:rsidP="005B24AB">
            <w:pPr>
              <w:keepNext/>
              <w:spacing w:before="60" w:after="60"/>
              <w:jc w:val="center"/>
              <w:rPr>
                <w:sz w:val="18"/>
              </w:rPr>
            </w:pPr>
            <w:r w:rsidRPr="00D80FBF">
              <w:rPr>
                <w:sz w:val="18"/>
              </w:rPr>
              <w:t>486</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2AB8195" w14:textId="77777777" w:rsidR="007179EA" w:rsidRPr="00D80FBF" w:rsidRDefault="007179EA" w:rsidP="005B24AB">
            <w:pPr>
              <w:keepNext/>
              <w:spacing w:before="60" w:after="60"/>
              <w:jc w:val="center"/>
              <w:rPr>
                <w:sz w:val="18"/>
              </w:rPr>
            </w:pPr>
            <w:r w:rsidRPr="00D80FBF">
              <w:rPr>
                <w:sz w:val="18"/>
              </w:rPr>
              <w:t>23.5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896F9A8" w14:textId="77777777" w:rsidR="007179EA" w:rsidRPr="00D80FBF" w:rsidRDefault="007179EA" w:rsidP="005B24AB">
            <w:pPr>
              <w:keepNext/>
              <w:spacing w:before="60" w:after="60"/>
              <w:jc w:val="center"/>
              <w:rPr>
                <w:sz w:val="18"/>
              </w:rPr>
            </w:pPr>
            <w:r w:rsidRPr="00D80FBF">
              <w:rPr>
                <w:sz w:val="18"/>
              </w:rPr>
              <w:t>310</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2F49BA4" w14:textId="77777777" w:rsidR="007179EA" w:rsidRPr="00D80FBF" w:rsidRDefault="007179EA" w:rsidP="005B24AB">
            <w:pPr>
              <w:keepNext/>
              <w:spacing w:before="60" w:after="60"/>
              <w:jc w:val="center"/>
              <w:rPr>
                <w:sz w:val="18"/>
              </w:rPr>
            </w:pPr>
            <w:r w:rsidRPr="00D80FBF">
              <w:rPr>
                <w:sz w:val="18"/>
              </w:rPr>
              <w:t>15.0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D03B4EE" w14:textId="77777777" w:rsidR="007179EA" w:rsidRPr="00D80FBF" w:rsidRDefault="007179EA" w:rsidP="005B24AB">
            <w:pPr>
              <w:keepNext/>
              <w:spacing w:before="60" w:after="60"/>
              <w:jc w:val="center"/>
              <w:rPr>
                <w:sz w:val="18"/>
              </w:rPr>
            </w:pPr>
            <w:r w:rsidRPr="00D80FBF">
              <w:rPr>
                <w:sz w:val="18"/>
              </w:rPr>
              <w:t>463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240B379" w14:textId="77777777" w:rsidR="007179EA" w:rsidRPr="00D80FBF" w:rsidRDefault="007179EA" w:rsidP="005B24AB">
            <w:pPr>
              <w:keepNext/>
              <w:spacing w:before="60" w:after="60"/>
              <w:jc w:val="center"/>
              <w:rPr>
                <w:sz w:val="18"/>
              </w:rPr>
            </w:pPr>
            <w:r w:rsidRPr="00D80FBF">
              <w:rPr>
                <w:sz w:val="18"/>
              </w:rPr>
              <w:t>22.4</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7321ED1" w14:textId="77777777" w:rsidR="007179EA" w:rsidRPr="00D80FBF" w:rsidRDefault="007179EA" w:rsidP="005B24AB">
            <w:pPr>
              <w:keepNext/>
              <w:spacing w:before="60" w:after="60"/>
              <w:jc w:val="center"/>
              <w:rPr>
                <w:sz w:val="18"/>
              </w:rPr>
            </w:pPr>
            <w:r w:rsidRPr="00D80FBF">
              <w:rPr>
                <w:sz w:val="18"/>
              </w:rPr>
              <w:t>2,065</w:t>
            </w:r>
          </w:p>
        </w:tc>
      </w:tr>
      <w:tr w:rsidR="007179EA" w:rsidRPr="00D80FBF" w14:paraId="2BF13B9F" w14:textId="77777777" w:rsidTr="005B24AB">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3C0E27" w14:textId="77777777" w:rsidR="007179EA" w:rsidRPr="00D80FBF" w:rsidRDefault="007179EA" w:rsidP="005B24AB">
            <w:pPr>
              <w:keepNext/>
              <w:spacing w:before="60" w:after="60"/>
              <w:rPr>
                <w:sz w:val="18"/>
              </w:rPr>
            </w:pPr>
            <w:r w:rsidRPr="00D80FBF">
              <w:rPr>
                <w:sz w:val="18"/>
              </w:rPr>
              <w:t>2014/15</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BF7D56C" w14:textId="77777777" w:rsidR="007179EA" w:rsidRPr="00D80FBF" w:rsidRDefault="007179EA" w:rsidP="005B24AB">
            <w:pPr>
              <w:keepNext/>
              <w:spacing w:before="60" w:after="60"/>
              <w:jc w:val="center"/>
              <w:rPr>
                <w:sz w:val="18"/>
              </w:rPr>
            </w:pPr>
            <w:r w:rsidRPr="00D80FBF">
              <w:rPr>
                <w:sz w:val="18"/>
              </w:rPr>
              <w:t>818</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DC34F67" w14:textId="77777777" w:rsidR="007179EA" w:rsidRPr="00D80FBF" w:rsidRDefault="007179EA" w:rsidP="005B24AB">
            <w:pPr>
              <w:keepNext/>
              <w:spacing w:before="60" w:after="60"/>
              <w:jc w:val="center"/>
              <w:rPr>
                <w:sz w:val="18"/>
              </w:rPr>
            </w:pPr>
            <w:r w:rsidRPr="00D80FBF">
              <w:rPr>
                <w:sz w:val="18"/>
              </w:rPr>
              <w:t>39.1</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8C9DA9E" w14:textId="77777777" w:rsidR="007179EA" w:rsidRPr="00D80FBF" w:rsidRDefault="007179EA" w:rsidP="005B24AB">
            <w:pPr>
              <w:keepNext/>
              <w:spacing w:before="60" w:after="60"/>
              <w:jc w:val="center"/>
              <w:rPr>
                <w:sz w:val="18"/>
              </w:rPr>
            </w:pPr>
            <w:r w:rsidRPr="00D80FBF">
              <w:rPr>
                <w:sz w:val="18"/>
              </w:rPr>
              <w:t>527</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2D49BB8" w14:textId="77777777" w:rsidR="007179EA" w:rsidRPr="00D80FBF" w:rsidRDefault="007179EA" w:rsidP="005B24AB">
            <w:pPr>
              <w:keepNext/>
              <w:spacing w:before="60" w:after="60"/>
              <w:jc w:val="center"/>
              <w:rPr>
                <w:sz w:val="18"/>
              </w:rPr>
            </w:pPr>
            <w:r w:rsidRPr="00D80FBF">
              <w:rPr>
                <w:sz w:val="18"/>
              </w:rPr>
              <w:t>25.2</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1669DCA" w14:textId="77777777" w:rsidR="007179EA" w:rsidRPr="00D80FBF" w:rsidRDefault="007179EA" w:rsidP="005B24AB">
            <w:pPr>
              <w:keepNext/>
              <w:spacing w:before="60" w:after="60"/>
              <w:jc w:val="center"/>
              <w:rPr>
                <w:sz w:val="18"/>
              </w:rPr>
            </w:pPr>
            <w:r w:rsidRPr="00D80FBF">
              <w:rPr>
                <w:sz w:val="18"/>
              </w:rPr>
              <w:t>325</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8C00DD9" w14:textId="77777777" w:rsidR="007179EA" w:rsidRPr="00D80FBF" w:rsidRDefault="007179EA" w:rsidP="005B24AB">
            <w:pPr>
              <w:keepNext/>
              <w:spacing w:before="60" w:after="60"/>
              <w:jc w:val="center"/>
              <w:rPr>
                <w:sz w:val="18"/>
              </w:rPr>
            </w:pPr>
            <w:r w:rsidRPr="00D80FBF">
              <w:rPr>
                <w:sz w:val="18"/>
              </w:rPr>
              <w:t>15.5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AE011E7" w14:textId="77777777" w:rsidR="007179EA" w:rsidRPr="00D80FBF" w:rsidRDefault="007179EA" w:rsidP="005B24AB">
            <w:pPr>
              <w:keepNext/>
              <w:spacing w:before="60" w:after="60"/>
              <w:jc w:val="center"/>
              <w:rPr>
                <w:sz w:val="18"/>
              </w:rPr>
            </w:pPr>
            <w:r w:rsidRPr="00D80FBF">
              <w:rPr>
                <w:sz w:val="18"/>
              </w:rPr>
              <w:t>420</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11BA894" w14:textId="77777777" w:rsidR="007179EA" w:rsidRPr="00D80FBF" w:rsidRDefault="007179EA" w:rsidP="005B24AB">
            <w:pPr>
              <w:keepNext/>
              <w:spacing w:before="60" w:after="60"/>
              <w:jc w:val="center"/>
              <w:rPr>
                <w:sz w:val="18"/>
              </w:rPr>
            </w:pPr>
            <w:r w:rsidRPr="00D80FBF">
              <w:rPr>
                <w:sz w:val="18"/>
              </w:rPr>
              <w:t>20.1</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D1F118D" w14:textId="77777777" w:rsidR="007179EA" w:rsidRPr="00D80FBF" w:rsidRDefault="007179EA" w:rsidP="005B24AB">
            <w:pPr>
              <w:keepNext/>
              <w:spacing w:before="60" w:after="60"/>
              <w:jc w:val="center"/>
              <w:rPr>
                <w:sz w:val="18"/>
              </w:rPr>
            </w:pPr>
            <w:r w:rsidRPr="00D80FBF">
              <w:rPr>
                <w:sz w:val="18"/>
              </w:rPr>
              <w:t>2,091</w:t>
            </w:r>
          </w:p>
        </w:tc>
      </w:tr>
      <w:tr w:rsidR="007179EA" w:rsidRPr="00D80FBF" w14:paraId="2FB564E4" w14:textId="77777777" w:rsidTr="005B24AB">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88FDBB" w14:textId="77777777" w:rsidR="007179EA" w:rsidRPr="00D80FBF" w:rsidRDefault="007179EA" w:rsidP="005B24AB">
            <w:pPr>
              <w:keepNext/>
              <w:spacing w:before="60" w:after="60"/>
              <w:rPr>
                <w:sz w:val="18"/>
              </w:rPr>
            </w:pPr>
            <w:r w:rsidRPr="00D80FBF">
              <w:rPr>
                <w:sz w:val="18"/>
              </w:rPr>
              <w:t>2015/16</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27AC6E7" w14:textId="77777777" w:rsidR="007179EA" w:rsidRPr="00D80FBF" w:rsidRDefault="007179EA" w:rsidP="005B24AB">
            <w:pPr>
              <w:keepNext/>
              <w:spacing w:before="60" w:after="60"/>
              <w:jc w:val="center"/>
              <w:rPr>
                <w:sz w:val="18"/>
              </w:rPr>
            </w:pPr>
            <w:r w:rsidRPr="00D80FBF">
              <w:rPr>
                <w:sz w:val="18"/>
              </w:rPr>
              <w:t>843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B2D48D6" w14:textId="77777777" w:rsidR="007179EA" w:rsidRPr="00D80FBF" w:rsidRDefault="007179EA" w:rsidP="005B24AB">
            <w:pPr>
              <w:keepNext/>
              <w:spacing w:before="60" w:after="60"/>
              <w:jc w:val="center"/>
              <w:rPr>
                <w:sz w:val="18"/>
              </w:rPr>
            </w:pPr>
            <w:r w:rsidRPr="00D80FBF">
              <w:rPr>
                <w:sz w:val="18"/>
              </w:rPr>
              <w:t>38.2</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3500712" w14:textId="77777777" w:rsidR="007179EA" w:rsidRPr="00D80FBF" w:rsidRDefault="007179EA" w:rsidP="005B24AB">
            <w:pPr>
              <w:keepNext/>
              <w:spacing w:before="60" w:after="60"/>
              <w:jc w:val="center"/>
              <w:rPr>
                <w:sz w:val="18"/>
              </w:rPr>
            </w:pPr>
            <w:r w:rsidRPr="00D80FBF">
              <w:rPr>
                <w:sz w:val="18"/>
              </w:rPr>
              <w:t>586</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02C1967" w14:textId="77777777" w:rsidR="007179EA" w:rsidRPr="00D80FBF" w:rsidRDefault="007179EA" w:rsidP="005B24AB">
            <w:pPr>
              <w:keepNext/>
              <w:spacing w:before="60" w:after="60"/>
              <w:jc w:val="center"/>
              <w:rPr>
                <w:sz w:val="18"/>
              </w:rPr>
            </w:pPr>
            <w:r w:rsidRPr="00D80FBF">
              <w:rPr>
                <w:sz w:val="18"/>
              </w:rPr>
              <w:t>26.5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6D7526A" w14:textId="77777777" w:rsidR="007179EA" w:rsidRPr="00D80FBF" w:rsidRDefault="007179EA" w:rsidP="005B24AB">
            <w:pPr>
              <w:keepNext/>
              <w:spacing w:before="60" w:after="60"/>
              <w:jc w:val="center"/>
              <w:rPr>
                <w:sz w:val="18"/>
              </w:rPr>
            </w:pPr>
            <w:r w:rsidRPr="00D80FBF">
              <w:rPr>
                <w:sz w:val="18"/>
              </w:rPr>
              <w:t>342</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D81B015" w14:textId="77777777" w:rsidR="007179EA" w:rsidRPr="00D80FBF" w:rsidRDefault="007179EA" w:rsidP="005B24AB">
            <w:pPr>
              <w:keepNext/>
              <w:spacing w:before="60" w:after="60"/>
              <w:jc w:val="center"/>
              <w:rPr>
                <w:sz w:val="18"/>
              </w:rPr>
            </w:pPr>
            <w:r w:rsidRPr="00D80FBF">
              <w:rPr>
                <w:sz w:val="18"/>
              </w:rPr>
              <w:t>15.5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34CEDF8" w14:textId="77777777" w:rsidR="007179EA" w:rsidRPr="00D80FBF" w:rsidRDefault="007179EA" w:rsidP="005B24AB">
            <w:pPr>
              <w:keepNext/>
              <w:spacing w:before="60" w:after="60"/>
              <w:jc w:val="center"/>
              <w:rPr>
                <w:sz w:val="18"/>
              </w:rPr>
            </w:pPr>
            <w:r w:rsidRPr="00D80FBF">
              <w:rPr>
                <w:sz w:val="18"/>
              </w:rPr>
              <w:t>437</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95222DB" w14:textId="77777777" w:rsidR="007179EA" w:rsidRPr="00D80FBF" w:rsidRDefault="007179EA" w:rsidP="005B24AB">
            <w:pPr>
              <w:keepNext/>
              <w:spacing w:before="60" w:after="60"/>
              <w:jc w:val="center"/>
              <w:rPr>
                <w:sz w:val="18"/>
              </w:rPr>
            </w:pPr>
            <w:r w:rsidRPr="00D80FBF">
              <w:rPr>
                <w:sz w:val="18"/>
              </w:rPr>
              <w:t>19.8</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0FE447" w14:textId="77777777" w:rsidR="007179EA" w:rsidRPr="00D80FBF" w:rsidRDefault="007179EA" w:rsidP="005B24AB">
            <w:pPr>
              <w:keepNext/>
              <w:spacing w:before="60" w:after="60"/>
              <w:jc w:val="center"/>
              <w:rPr>
                <w:sz w:val="18"/>
              </w:rPr>
            </w:pPr>
            <w:r w:rsidRPr="00D80FBF">
              <w:rPr>
                <w:sz w:val="18"/>
              </w:rPr>
              <w:t>2,209</w:t>
            </w:r>
          </w:p>
        </w:tc>
      </w:tr>
      <w:tr w:rsidR="007179EA" w:rsidRPr="00D80FBF" w14:paraId="5F67EC98" w14:textId="77777777" w:rsidTr="005B24AB">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EC4449" w14:textId="77777777" w:rsidR="007179EA" w:rsidRPr="00D80FBF" w:rsidRDefault="007179EA" w:rsidP="005B24AB">
            <w:pPr>
              <w:keepNext/>
              <w:spacing w:before="60" w:after="60"/>
              <w:rPr>
                <w:sz w:val="18"/>
              </w:rPr>
            </w:pPr>
            <w:r w:rsidRPr="00D80FBF">
              <w:rPr>
                <w:sz w:val="18"/>
              </w:rPr>
              <w:t>2016/17</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F048CF8" w14:textId="77777777" w:rsidR="007179EA" w:rsidRPr="00D80FBF" w:rsidRDefault="007179EA" w:rsidP="005B24AB">
            <w:pPr>
              <w:keepNext/>
              <w:spacing w:before="60" w:after="60"/>
              <w:jc w:val="center"/>
              <w:rPr>
                <w:sz w:val="18"/>
              </w:rPr>
            </w:pPr>
            <w:r w:rsidRPr="00D80FBF">
              <w:rPr>
                <w:sz w:val="18"/>
              </w:rPr>
              <w:t>870</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A0E7E1" w14:textId="77777777" w:rsidR="007179EA" w:rsidRPr="00D80FBF" w:rsidRDefault="007179EA" w:rsidP="005B24AB">
            <w:pPr>
              <w:keepNext/>
              <w:spacing w:before="60" w:after="60"/>
              <w:jc w:val="center"/>
              <w:rPr>
                <w:sz w:val="18"/>
              </w:rPr>
            </w:pPr>
            <w:r w:rsidRPr="00D80FBF">
              <w:rPr>
                <w:sz w:val="18"/>
              </w:rPr>
              <w:t>37.3</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3EC57DC" w14:textId="77777777" w:rsidR="007179EA" w:rsidRPr="00D80FBF" w:rsidRDefault="007179EA" w:rsidP="005B24AB">
            <w:pPr>
              <w:keepNext/>
              <w:spacing w:before="60" w:after="60"/>
              <w:jc w:val="center"/>
              <w:rPr>
                <w:sz w:val="18"/>
              </w:rPr>
            </w:pPr>
            <w:r w:rsidRPr="00D80FBF">
              <w:rPr>
                <w:sz w:val="18"/>
              </w:rPr>
              <w:t>572</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F38ACE" w14:textId="77777777" w:rsidR="007179EA" w:rsidRPr="00D80FBF" w:rsidRDefault="007179EA" w:rsidP="005B24AB">
            <w:pPr>
              <w:keepNext/>
              <w:spacing w:before="60" w:after="60"/>
              <w:jc w:val="center"/>
              <w:rPr>
                <w:sz w:val="18"/>
              </w:rPr>
            </w:pPr>
            <w:r w:rsidRPr="00D80FBF">
              <w:rPr>
                <w:sz w:val="18"/>
              </w:rPr>
              <w:t>24.5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620F2A7" w14:textId="77777777" w:rsidR="007179EA" w:rsidRPr="00D80FBF" w:rsidRDefault="007179EA" w:rsidP="005B24AB">
            <w:pPr>
              <w:keepNext/>
              <w:spacing w:before="60" w:after="60"/>
              <w:jc w:val="center"/>
              <w:rPr>
                <w:sz w:val="18"/>
              </w:rPr>
            </w:pPr>
            <w:r w:rsidRPr="00D80FBF">
              <w:rPr>
                <w:sz w:val="18"/>
              </w:rPr>
              <w:t>338</w:t>
            </w:r>
          </w:p>
        </w:tc>
        <w:tc>
          <w:tcPr>
            <w:tcW w:w="47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09C735" w14:textId="77777777" w:rsidR="007179EA" w:rsidRPr="00D80FBF" w:rsidRDefault="007179EA" w:rsidP="005B24AB">
            <w:pPr>
              <w:keepNext/>
              <w:spacing w:before="60" w:after="60"/>
              <w:jc w:val="center"/>
              <w:rPr>
                <w:sz w:val="18"/>
              </w:rPr>
            </w:pPr>
            <w:r w:rsidRPr="00D80FBF">
              <w:rPr>
                <w:sz w:val="18"/>
              </w:rPr>
              <w:t>14.5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72C3496" w14:textId="77777777" w:rsidR="007179EA" w:rsidRPr="00D80FBF" w:rsidRDefault="007179EA" w:rsidP="005B24AB">
            <w:pPr>
              <w:keepNext/>
              <w:spacing w:before="60" w:after="60"/>
              <w:jc w:val="center"/>
              <w:rPr>
                <w:sz w:val="18"/>
              </w:rPr>
            </w:pPr>
            <w:r w:rsidRPr="00D80FBF">
              <w:rPr>
                <w:sz w:val="18"/>
              </w:rPr>
              <w:t>555</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EA53C2" w14:textId="77777777" w:rsidR="007179EA" w:rsidRPr="00D80FBF" w:rsidRDefault="007179EA" w:rsidP="005B24AB">
            <w:pPr>
              <w:keepNext/>
              <w:spacing w:before="60" w:after="60"/>
              <w:jc w:val="center"/>
              <w:rPr>
                <w:sz w:val="18"/>
              </w:rPr>
            </w:pPr>
            <w:r w:rsidRPr="00D80FBF">
              <w:rPr>
                <w:sz w:val="18"/>
              </w:rPr>
              <w:t>23.8</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99BF738" w14:textId="77777777" w:rsidR="007179EA" w:rsidRPr="00D80FBF" w:rsidRDefault="007179EA" w:rsidP="005B24AB">
            <w:pPr>
              <w:keepNext/>
              <w:spacing w:before="60" w:after="60"/>
              <w:jc w:val="center"/>
              <w:rPr>
                <w:sz w:val="18"/>
              </w:rPr>
            </w:pPr>
            <w:r w:rsidRPr="00D80FBF">
              <w:rPr>
                <w:sz w:val="18"/>
              </w:rPr>
              <w:t>2,334</w:t>
            </w:r>
          </w:p>
        </w:tc>
      </w:tr>
      <w:tr w:rsidR="007179EA" w:rsidRPr="00D80FBF" w14:paraId="0CB9C696" w14:textId="77777777" w:rsidTr="005B24AB">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EC6779" w14:textId="77777777" w:rsidR="007179EA" w:rsidRPr="00D80FBF" w:rsidRDefault="007179EA" w:rsidP="005B24AB">
            <w:pPr>
              <w:keepNext/>
              <w:spacing w:before="60" w:after="60"/>
              <w:rPr>
                <w:sz w:val="18"/>
              </w:rPr>
            </w:pPr>
            <w:r w:rsidRPr="00D80FBF">
              <w:rPr>
                <w:sz w:val="18"/>
              </w:rPr>
              <w:t>2017/18</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84A6824" w14:textId="77777777" w:rsidR="007179EA" w:rsidRPr="00D80FBF" w:rsidRDefault="007179EA" w:rsidP="005B24AB">
            <w:pPr>
              <w:keepNext/>
              <w:spacing w:before="60" w:after="60"/>
              <w:jc w:val="center"/>
              <w:rPr>
                <w:sz w:val="18"/>
              </w:rPr>
            </w:pPr>
            <w:r w:rsidRPr="00D80FBF">
              <w:rPr>
                <w:sz w:val="18"/>
              </w:rPr>
              <w:t>895</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8A2F74" w14:textId="77777777" w:rsidR="007179EA" w:rsidRPr="00D80FBF" w:rsidRDefault="007179EA" w:rsidP="005B24AB">
            <w:pPr>
              <w:keepNext/>
              <w:spacing w:before="60" w:after="60"/>
              <w:jc w:val="center"/>
              <w:rPr>
                <w:sz w:val="18"/>
              </w:rPr>
            </w:pPr>
            <w:r w:rsidRPr="00D80FBF">
              <w:rPr>
                <w:sz w:val="18"/>
              </w:rPr>
              <w:t>37.6</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54B5114" w14:textId="77777777" w:rsidR="007179EA" w:rsidRPr="00D80FBF" w:rsidRDefault="007179EA" w:rsidP="005B24AB">
            <w:pPr>
              <w:keepNext/>
              <w:spacing w:before="60" w:after="60"/>
              <w:jc w:val="center"/>
              <w:rPr>
                <w:sz w:val="18"/>
              </w:rPr>
            </w:pPr>
            <w:r w:rsidRPr="00D80FBF">
              <w:rPr>
                <w:sz w:val="18"/>
              </w:rPr>
              <w:t>578</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72413C" w14:textId="77777777" w:rsidR="007179EA" w:rsidRPr="00D80FBF" w:rsidRDefault="007179EA" w:rsidP="005B24AB">
            <w:pPr>
              <w:keepNext/>
              <w:spacing w:before="60" w:after="60"/>
              <w:jc w:val="center"/>
              <w:rPr>
                <w:sz w:val="18"/>
              </w:rPr>
            </w:pPr>
            <w:r w:rsidRPr="00D80FBF">
              <w:rPr>
                <w:sz w:val="18"/>
              </w:rPr>
              <w:t>24.3</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B3D73E4" w14:textId="77777777" w:rsidR="007179EA" w:rsidRPr="00D80FBF" w:rsidRDefault="007179EA" w:rsidP="005B24AB">
            <w:pPr>
              <w:keepNext/>
              <w:spacing w:before="60" w:after="60"/>
              <w:jc w:val="center"/>
              <w:rPr>
                <w:sz w:val="18"/>
              </w:rPr>
            </w:pPr>
            <w:r w:rsidRPr="00D80FBF">
              <w:rPr>
                <w:sz w:val="18"/>
              </w:rPr>
              <w:t>350</w:t>
            </w:r>
          </w:p>
        </w:tc>
        <w:tc>
          <w:tcPr>
            <w:tcW w:w="47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93A42F" w14:textId="77777777" w:rsidR="007179EA" w:rsidRPr="00D80FBF" w:rsidRDefault="007179EA" w:rsidP="005B24AB">
            <w:pPr>
              <w:keepNext/>
              <w:spacing w:before="60" w:after="60"/>
              <w:jc w:val="center"/>
              <w:rPr>
                <w:sz w:val="18"/>
              </w:rPr>
            </w:pPr>
            <w:r w:rsidRPr="00D80FBF">
              <w:rPr>
                <w:sz w:val="18"/>
              </w:rPr>
              <w:t>14.7</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E0E54F2" w14:textId="77777777" w:rsidR="007179EA" w:rsidRPr="00D80FBF" w:rsidRDefault="007179EA" w:rsidP="005B24AB">
            <w:pPr>
              <w:keepNext/>
              <w:spacing w:before="60" w:after="60"/>
              <w:jc w:val="center"/>
              <w:rPr>
                <w:sz w:val="18"/>
              </w:rPr>
            </w:pPr>
            <w:r w:rsidRPr="00D80FBF">
              <w:rPr>
                <w:sz w:val="18"/>
              </w:rPr>
              <w:t>561</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DDB8C3" w14:textId="77777777" w:rsidR="007179EA" w:rsidRPr="00D80FBF" w:rsidRDefault="007179EA" w:rsidP="005B24AB">
            <w:pPr>
              <w:keepNext/>
              <w:spacing w:before="60" w:after="60"/>
              <w:jc w:val="center"/>
              <w:rPr>
                <w:sz w:val="18"/>
              </w:rPr>
            </w:pPr>
            <w:r w:rsidRPr="00D80FBF">
              <w:rPr>
                <w:sz w:val="18"/>
              </w:rPr>
              <w:t>23.5</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305B33C" w14:textId="77777777" w:rsidR="007179EA" w:rsidRPr="00D80FBF" w:rsidRDefault="007179EA" w:rsidP="005B24AB">
            <w:pPr>
              <w:keepNext/>
              <w:spacing w:before="60" w:after="60"/>
              <w:jc w:val="center"/>
              <w:rPr>
                <w:sz w:val="18"/>
              </w:rPr>
            </w:pPr>
            <w:r w:rsidRPr="00D80FBF">
              <w:rPr>
                <w:sz w:val="18"/>
              </w:rPr>
              <w:t>2,383</w:t>
            </w:r>
          </w:p>
        </w:tc>
      </w:tr>
      <w:tr w:rsidR="007179EA" w:rsidRPr="00D80FBF" w14:paraId="746E9948"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042E67" w14:textId="77777777" w:rsidR="007179EA" w:rsidRPr="00D80FBF" w:rsidRDefault="007179EA" w:rsidP="005B24AB">
            <w:pPr>
              <w:keepNext/>
              <w:spacing w:before="60" w:after="60"/>
              <w:rPr>
                <w:sz w:val="18"/>
              </w:rPr>
            </w:pPr>
            <w:r w:rsidRPr="00D80FBF">
              <w:rPr>
                <w:sz w:val="18"/>
              </w:rPr>
              <w:t>2018/19</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17501F3" w14:textId="77777777" w:rsidR="007179EA" w:rsidRPr="00D80FBF" w:rsidRDefault="007179EA" w:rsidP="005B24AB">
            <w:pPr>
              <w:keepNext/>
              <w:spacing w:before="60" w:after="60"/>
              <w:jc w:val="center"/>
              <w:rPr>
                <w:sz w:val="18"/>
              </w:rPr>
            </w:pPr>
            <w:r w:rsidRPr="00D80FBF">
              <w:rPr>
                <w:sz w:val="18"/>
              </w:rPr>
              <w:t>924</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D877FB" w14:textId="77777777" w:rsidR="007179EA" w:rsidRPr="00D80FBF" w:rsidRDefault="007179EA" w:rsidP="005B24AB">
            <w:pPr>
              <w:keepNext/>
              <w:spacing w:before="60" w:after="60"/>
              <w:jc w:val="center"/>
              <w:rPr>
                <w:sz w:val="18"/>
              </w:rPr>
            </w:pPr>
            <w:r w:rsidRPr="00D80FBF">
              <w:rPr>
                <w:sz w:val="18"/>
              </w:rPr>
              <w:t>38.5</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B7FB493" w14:textId="77777777" w:rsidR="007179EA" w:rsidRPr="00D80FBF" w:rsidRDefault="007179EA" w:rsidP="005B24AB">
            <w:pPr>
              <w:keepNext/>
              <w:spacing w:before="60" w:after="60"/>
              <w:jc w:val="center"/>
              <w:rPr>
                <w:sz w:val="18"/>
              </w:rPr>
            </w:pPr>
            <w:r w:rsidRPr="00D80FBF">
              <w:rPr>
                <w:sz w:val="18"/>
              </w:rPr>
              <w:t>616</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3F1D75" w14:textId="77777777" w:rsidR="007179EA" w:rsidRPr="00D80FBF" w:rsidRDefault="007179EA" w:rsidP="005B24AB">
            <w:pPr>
              <w:keepNext/>
              <w:spacing w:before="60" w:after="60"/>
              <w:jc w:val="center"/>
              <w:rPr>
                <w:sz w:val="18"/>
              </w:rPr>
            </w:pPr>
            <w:r w:rsidRPr="00D80FBF">
              <w:rPr>
                <w:sz w:val="18"/>
              </w:rPr>
              <w:t>25.6</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959D1DE" w14:textId="77777777" w:rsidR="007179EA" w:rsidRPr="00D80FBF" w:rsidRDefault="007179EA" w:rsidP="005B24AB">
            <w:pPr>
              <w:keepNext/>
              <w:spacing w:before="60" w:after="60"/>
              <w:jc w:val="center"/>
              <w:rPr>
                <w:sz w:val="18"/>
              </w:rPr>
            </w:pPr>
            <w:r w:rsidRPr="00D80FBF">
              <w:rPr>
                <w:sz w:val="18"/>
              </w:rPr>
              <w:t>332</w:t>
            </w:r>
          </w:p>
        </w:tc>
        <w:tc>
          <w:tcPr>
            <w:tcW w:w="47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D50C9D" w14:textId="77777777" w:rsidR="007179EA" w:rsidRPr="00D80FBF" w:rsidRDefault="007179EA" w:rsidP="005B24AB">
            <w:pPr>
              <w:keepNext/>
              <w:spacing w:before="60" w:after="60"/>
              <w:jc w:val="center"/>
              <w:rPr>
                <w:sz w:val="18"/>
              </w:rPr>
            </w:pPr>
            <w:r w:rsidRPr="00D80FBF">
              <w:rPr>
                <w:sz w:val="18"/>
              </w:rPr>
              <w:t>13.8</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951AA25" w14:textId="77777777" w:rsidR="007179EA" w:rsidRPr="00D80FBF" w:rsidRDefault="007179EA" w:rsidP="005B24AB">
            <w:pPr>
              <w:keepNext/>
              <w:spacing w:before="60" w:after="60"/>
              <w:jc w:val="center"/>
              <w:rPr>
                <w:sz w:val="18"/>
              </w:rPr>
            </w:pPr>
            <w:r w:rsidRPr="00D80FBF">
              <w:rPr>
                <w:sz w:val="18"/>
              </w:rPr>
              <w:t>530</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F90F61" w14:textId="77777777" w:rsidR="007179EA" w:rsidRPr="00D80FBF" w:rsidRDefault="007179EA" w:rsidP="005B24AB">
            <w:pPr>
              <w:keepNext/>
              <w:spacing w:before="60" w:after="60"/>
              <w:jc w:val="center"/>
              <w:rPr>
                <w:sz w:val="18"/>
              </w:rPr>
            </w:pPr>
            <w:r w:rsidRPr="00D80FBF">
              <w:rPr>
                <w:sz w:val="18"/>
              </w:rPr>
              <w:t>22.1</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9CFD015" w14:textId="77777777" w:rsidR="007179EA" w:rsidRPr="00D80FBF" w:rsidRDefault="007179EA" w:rsidP="005B24AB">
            <w:pPr>
              <w:keepNext/>
              <w:spacing w:before="60" w:after="60"/>
              <w:jc w:val="center"/>
              <w:rPr>
                <w:sz w:val="18"/>
              </w:rPr>
            </w:pPr>
            <w:r w:rsidRPr="00D80FBF">
              <w:rPr>
                <w:sz w:val="18"/>
              </w:rPr>
              <w:t>2,402</w:t>
            </w:r>
          </w:p>
        </w:tc>
      </w:tr>
      <w:tr w:rsidR="007179EA" w:rsidRPr="00D80FBF" w14:paraId="59D120BB"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FB4F53" w14:textId="77777777" w:rsidR="007179EA" w:rsidRPr="00D80FBF" w:rsidRDefault="007179EA" w:rsidP="005B24AB">
            <w:pPr>
              <w:keepNext/>
              <w:spacing w:before="60" w:after="60"/>
              <w:rPr>
                <w:sz w:val="18"/>
              </w:rPr>
            </w:pPr>
            <w:r w:rsidRPr="00D80FBF">
              <w:rPr>
                <w:sz w:val="18"/>
              </w:rPr>
              <w:t>2019/20</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11EF9D8" w14:textId="77777777" w:rsidR="007179EA" w:rsidRPr="00D80FBF" w:rsidRDefault="007179EA" w:rsidP="005B24AB">
            <w:pPr>
              <w:keepNext/>
              <w:spacing w:before="60" w:after="60"/>
              <w:jc w:val="center"/>
              <w:rPr>
                <w:sz w:val="18"/>
              </w:rPr>
            </w:pPr>
            <w:r w:rsidRPr="00D80FBF">
              <w:rPr>
                <w:sz w:val="18"/>
              </w:rPr>
              <w:t>802</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63B361" w14:textId="77777777" w:rsidR="007179EA" w:rsidRPr="00D80FBF" w:rsidRDefault="007179EA" w:rsidP="005B24AB">
            <w:pPr>
              <w:keepNext/>
              <w:spacing w:before="60" w:after="60"/>
              <w:jc w:val="center"/>
              <w:rPr>
                <w:sz w:val="18"/>
              </w:rPr>
            </w:pPr>
            <w:r w:rsidRPr="00D80FBF">
              <w:rPr>
                <w:sz w:val="18"/>
              </w:rPr>
              <w:t>35.6</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7E556E5" w14:textId="77777777" w:rsidR="007179EA" w:rsidRPr="00D80FBF" w:rsidRDefault="007179EA" w:rsidP="005B24AB">
            <w:pPr>
              <w:keepNext/>
              <w:spacing w:before="60" w:after="60"/>
              <w:jc w:val="center"/>
              <w:rPr>
                <w:sz w:val="18"/>
              </w:rPr>
            </w:pPr>
            <w:r w:rsidRPr="00D80FBF">
              <w:rPr>
                <w:sz w:val="18"/>
              </w:rPr>
              <w:t>504</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43740B" w14:textId="77777777" w:rsidR="007179EA" w:rsidRPr="00D80FBF" w:rsidRDefault="007179EA" w:rsidP="005B24AB">
            <w:pPr>
              <w:keepNext/>
              <w:spacing w:before="60" w:after="60"/>
              <w:jc w:val="center"/>
              <w:rPr>
                <w:sz w:val="18"/>
              </w:rPr>
            </w:pPr>
            <w:r w:rsidRPr="00D80FBF">
              <w:rPr>
                <w:sz w:val="18"/>
              </w:rPr>
              <w:t>22.4</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AC7B692" w14:textId="77777777" w:rsidR="007179EA" w:rsidRPr="00D80FBF" w:rsidRDefault="007179EA" w:rsidP="005B24AB">
            <w:pPr>
              <w:keepNext/>
              <w:spacing w:before="60" w:after="60"/>
              <w:jc w:val="center"/>
              <w:rPr>
                <w:sz w:val="18"/>
              </w:rPr>
            </w:pPr>
            <w:r w:rsidRPr="00D80FBF">
              <w:rPr>
                <w:sz w:val="18"/>
              </w:rPr>
              <w:t>315</w:t>
            </w:r>
          </w:p>
        </w:tc>
        <w:tc>
          <w:tcPr>
            <w:tcW w:w="47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B3BA16" w14:textId="77777777" w:rsidR="007179EA" w:rsidRPr="00D80FBF" w:rsidRDefault="007179EA" w:rsidP="005B24AB">
            <w:pPr>
              <w:keepNext/>
              <w:spacing w:before="60" w:after="60"/>
              <w:jc w:val="center"/>
              <w:rPr>
                <w:sz w:val="18"/>
              </w:rPr>
            </w:pPr>
            <w:r w:rsidRPr="00D80FBF">
              <w:rPr>
                <w:sz w:val="18"/>
              </w:rPr>
              <w:t>14.0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BF69690" w14:textId="77777777" w:rsidR="007179EA" w:rsidRPr="00D80FBF" w:rsidRDefault="007179EA" w:rsidP="005B24AB">
            <w:pPr>
              <w:keepNext/>
              <w:spacing w:before="60" w:after="60"/>
              <w:jc w:val="center"/>
              <w:rPr>
                <w:sz w:val="18"/>
              </w:rPr>
            </w:pPr>
            <w:r w:rsidRPr="00D80FBF">
              <w:rPr>
                <w:sz w:val="18"/>
              </w:rPr>
              <w:t>631</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FAF179" w14:textId="77777777" w:rsidR="007179EA" w:rsidRPr="00D80FBF" w:rsidRDefault="007179EA" w:rsidP="005B24AB">
            <w:pPr>
              <w:keepNext/>
              <w:spacing w:before="60" w:after="60"/>
              <w:jc w:val="center"/>
              <w:rPr>
                <w:sz w:val="18"/>
              </w:rPr>
            </w:pPr>
            <w:r w:rsidRPr="00D80FBF">
              <w:rPr>
                <w:sz w:val="18"/>
              </w:rPr>
              <w:t>28.4</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F0E7CA9" w14:textId="77777777" w:rsidR="007179EA" w:rsidRPr="00D80FBF" w:rsidRDefault="007179EA" w:rsidP="005B24AB">
            <w:pPr>
              <w:keepNext/>
              <w:spacing w:before="60" w:after="60"/>
              <w:jc w:val="center"/>
              <w:rPr>
                <w:sz w:val="18"/>
              </w:rPr>
            </w:pPr>
            <w:r w:rsidRPr="00D80FBF">
              <w:rPr>
                <w:sz w:val="18"/>
              </w:rPr>
              <w:t>2,252</w:t>
            </w:r>
          </w:p>
        </w:tc>
      </w:tr>
    </w:tbl>
    <w:p w14:paraId="46E18EC2" w14:textId="77777777" w:rsidR="007179EA" w:rsidRPr="00D80FBF" w:rsidRDefault="007179EA" w:rsidP="003B7C20">
      <w:pPr>
        <w:pStyle w:val="Note"/>
      </w:pPr>
      <w:r w:rsidRPr="00D80FBF">
        <w:t>Notes: All values are actual (not inflation adjusted), in NZ dollars, GST inclusive and rounded to the nearest</w:t>
      </w:r>
      <w:r w:rsidR="00046A83">
        <w:t> million</w:t>
      </w:r>
      <w:r w:rsidRPr="00D80FBF">
        <w:t xml:space="preserve">. The sum of the rows may differ from the total shown in the </w:t>
      </w:r>
      <w:r w:rsidR="00BC6B27">
        <w:t>‘</w:t>
      </w:r>
      <w:r w:rsidRPr="00D80FBF">
        <w:t>Total</w:t>
      </w:r>
      <w:r w:rsidR="00BC6B27">
        <w:t>’</w:t>
      </w:r>
      <w:r w:rsidRPr="00D80FBF">
        <w:t xml:space="preserve"> column due to rounding.</w:t>
      </w:r>
    </w:p>
    <w:p w14:paraId="562E86BC" w14:textId="77777777" w:rsidR="007179EA" w:rsidRDefault="007179EA" w:rsidP="003B7C20">
      <w:pPr>
        <w:pStyle w:val="Source"/>
        <w:rPr>
          <w:rFonts w:eastAsia="MS Gothic"/>
        </w:rPr>
      </w:pPr>
      <w:r w:rsidRPr="00D80FBF">
        <w:t xml:space="preserve">Source: The DIA expenditure figures from its website: </w:t>
      </w:r>
      <w:hyperlink r:id="rId28" w:history="1">
        <w:r w:rsidRPr="00D80FBF">
          <w:rPr>
            <w:b/>
            <w:color w:val="595959" w:themeColor="text1" w:themeTint="A6"/>
          </w:rPr>
          <w:t>www.dia.govt.nz/gambling-statistics-expenditure</w:t>
        </w:r>
      </w:hyperlink>
      <w:r w:rsidRPr="00D80FBF">
        <w:rPr>
          <w:rFonts w:asciiTheme="minorHAnsi" w:eastAsia="MS Gothic" w:hAnsiTheme="minorHAnsi" w:cstheme="minorHAnsi"/>
          <w:b/>
          <w:color w:val="595959" w:themeColor="text1" w:themeTint="A6"/>
        </w:rPr>
        <w:t xml:space="preserve"> </w:t>
      </w:r>
      <w:r w:rsidRPr="00D80FBF">
        <w:rPr>
          <w:rFonts w:eastAsia="MS Gothic"/>
        </w:rPr>
        <w:t>(accessed 12 March 2021).</w:t>
      </w:r>
    </w:p>
    <w:p w14:paraId="51F3C777" w14:textId="77777777" w:rsidR="003B7C20" w:rsidRPr="003B7C20" w:rsidRDefault="003B7C20" w:rsidP="003B7C20">
      <w:pPr>
        <w:rPr>
          <w:rFonts w:eastAsia="MS Gothic"/>
        </w:rPr>
      </w:pPr>
    </w:p>
    <w:p w14:paraId="10381306" w14:textId="77777777" w:rsidR="007179EA" w:rsidRPr="00D80FBF" w:rsidRDefault="007179EA" w:rsidP="00B5605C">
      <w:pPr>
        <w:pStyle w:val="Heading3"/>
      </w:pPr>
      <w:bookmarkStart w:id="285" w:name="_Toc65389477"/>
      <w:bookmarkStart w:id="286" w:name="_Toc71102178"/>
      <w:bookmarkStart w:id="287" w:name="_Toc78882319"/>
      <w:bookmarkEnd w:id="278"/>
      <w:bookmarkEnd w:id="279"/>
      <w:r w:rsidRPr="00D80FBF">
        <w:t>Presentations (B)</w:t>
      </w:r>
      <w:bookmarkEnd w:id="285"/>
      <w:bookmarkEnd w:id="286"/>
      <w:bookmarkEnd w:id="287"/>
    </w:p>
    <w:p w14:paraId="523E8B25" w14:textId="77777777" w:rsidR="00BC6B27" w:rsidRDefault="007179EA" w:rsidP="00B5605C">
      <w:r w:rsidRPr="00D80FBF">
        <w:t>The formula in the Act requires the levy rate calculation to take into account the latest, most reliable and most appropriate sources of information from the Ministry on client presentations to problem gambling s</w:t>
      </w:r>
      <w:r>
        <w:t>ervices that can be attributed to a gambling sector required to pay the levy.</w:t>
      </w:r>
    </w:p>
    <w:p w14:paraId="446CEC99" w14:textId="77777777" w:rsidR="007179EA" w:rsidRPr="00D80FBF" w:rsidRDefault="007179EA" w:rsidP="00B5605C"/>
    <w:p w14:paraId="21BD817A" w14:textId="77777777" w:rsidR="007179EA" w:rsidRPr="00D80FBF" w:rsidRDefault="007179EA" w:rsidP="00B5605C">
      <w:r w:rsidRPr="00D80FBF">
        <w:t>We generated the presentation figures used in the levy calculations in this document from data collected by our psychosocial intervention service providers. The figures relate to all clients who received a full facilitation or follow-up intervention session during the 12</w:t>
      </w:r>
      <w:r w:rsidR="0018228E">
        <w:t> months</w:t>
      </w:r>
      <w:r w:rsidRPr="00D80FBF">
        <w:t xml:space="preserve"> from 1 July 2020 to 30 June 2021.</w:t>
      </w:r>
    </w:p>
    <w:p w14:paraId="7E1CDB44" w14:textId="77777777" w:rsidR="007179EA" w:rsidRPr="00D80FBF" w:rsidRDefault="007179EA" w:rsidP="00B5605C"/>
    <w:p w14:paraId="3414B784" w14:textId="77777777" w:rsidR="007179EA" w:rsidRPr="00D80FBF" w:rsidRDefault="007179EA" w:rsidP="00B5605C">
      <w:r w:rsidRPr="00D80FBF">
        <w:t>Each qualifying client within each service provider counts as only one presentation for any specified time period (eg, during the course of a given 12-month period).</w:t>
      </w:r>
    </w:p>
    <w:p w14:paraId="19D10784" w14:textId="77777777" w:rsidR="007179EA" w:rsidRPr="00D80FBF" w:rsidRDefault="007179EA" w:rsidP="00B5605C"/>
    <w:p w14:paraId="031A0E27" w14:textId="77777777" w:rsidR="007179EA" w:rsidRPr="00D80FBF" w:rsidRDefault="007179EA" w:rsidP="00B5605C">
      <w:r w:rsidRPr="00D80FBF">
        <w:t>The figures exclude brief screening interventions and primary problem gambling modes (PPGM) in gambling sectors that are not subject to the levy (although these are recorded). Brief interventions essentially mean brief screenings carried out in non</w:t>
      </w:r>
      <w:r w:rsidRPr="00D80FBF">
        <w:noBreakHyphen/>
        <w:t>clinical settings. They are excluded mainly because they are considered unrepresentative of a sector. This is because a sector</w:t>
      </w:r>
      <w:r w:rsidR="00BC6B27">
        <w:t>’</w:t>
      </w:r>
      <w:r w:rsidRPr="00D80FBF">
        <w:t>s share of brief interventions will vary depending on the settings in which service providers decide to undertake them.</w:t>
      </w:r>
    </w:p>
    <w:p w14:paraId="199D8E51" w14:textId="77777777" w:rsidR="007179EA" w:rsidRPr="00D80FBF" w:rsidRDefault="007179EA" w:rsidP="00B5605C"/>
    <w:p w14:paraId="4C6969FB" w14:textId="77777777" w:rsidR="007179EA" w:rsidRPr="00D80FBF" w:rsidRDefault="007179EA" w:rsidP="00B5605C">
      <w:pPr>
        <w:keepNext/>
        <w:keepLines/>
      </w:pPr>
      <w:r w:rsidRPr="00D80FBF">
        <w:lastRenderedPageBreak/>
        <w:t>No changes have been made to the way in which we have recorded or weighted PPGMs since the last levy period. As previous documents have discussed the meaning of PPGMs at length, we do not intend to repeat that detail in this document but can provide an in-depth description if required.</w:t>
      </w:r>
    </w:p>
    <w:p w14:paraId="0313A7A4" w14:textId="77777777" w:rsidR="007179EA" w:rsidRPr="00D80FBF" w:rsidRDefault="007179EA" w:rsidP="00B5605C"/>
    <w:p w14:paraId="2412EFCF" w14:textId="5EB24258" w:rsidR="007179EA" w:rsidRPr="00D80FBF" w:rsidRDefault="007179EA" w:rsidP="00B5605C">
      <w:r w:rsidRPr="00D80FBF">
        <w:fldChar w:fldCharType="begin"/>
      </w:r>
      <w:r w:rsidRPr="00D80FBF">
        <w:instrText xml:space="preserve"> REF _Ref80795731 \h </w:instrText>
      </w:r>
      <w:r w:rsidRPr="00D80FBF">
        <w:fldChar w:fldCharType="separate"/>
      </w:r>
      <w:r w:rsidR="00451900">
        <w:t>Table </w:t>
      </w:r>
      <w:r w:rsidR="00451900">
        <w:rPr>
          <w:noProof/>
        </w:rPr>
        <w:t>12</w:t>
      </w:r>
      <w:r w:rsidRPr="00D80FBF">
        <w:fldChar w:fldCharType="end"/>
      </w:r>
      <w:r w:rsidRPr="00D80FBF">
        <w:t xml:space="preserve"> below show the presentations attributed to each of the four levy-paying sectors each year from 2011/12 to 2020/21.</w:t>
      </w:r>
    </w:p>
    <w:p w14:paraId="058698A5" w14:textId="77777777" w:rsidR="007179EA" w:rsidRPr="00D80FBF" w:rsidRDefault="007179EA" w:rsidP="00B5605C"/>
    <w:p w14:paraId="179A9E27" w14:textId="0CE10B40" w:rsidR="007179EA" w:rsidRPr="00375B98" w:rsidRDefault="00B5605C" w:rsidP="00B5605C">
      <w:pPr>
        <w:pStyle w:val="Table"/>
      </w:pPr>
      <w:bookmarkStart w:id="288" w:name="_Ref80795731"/>
      <w:bookmarkStart w:id="289" w:name="_Toc517091245"/>
      <w:bookmarkStart w:id="290" w:name="_Toc522089449"/>
      <w:bookmarkStart w:id="291" w:name="_Toc89335328"/>
      <w:bookmarkStart w:id="292" w:name="_Toc90626962"/>
      <w:r>
        <w:t>Table </w:t>
      </w:r>
      <w:fldSimple w:instr=" SEQ Table \* ARABIC ">
        <w:r w:rsidR="00451900">
          <w:rPr>
            <w:noProof/>
          </w:rPr>
          <w:t>12</w:t>
        </w:r>
      </w:fldSimple>
      <w:bookmarkEnd w:id="288"/>
      <w:r w:rsidR="007179EA" w:rsidRPr="00375B98">
        <w:t>: Presentations and proportions attributed to the four main gambling sectors, 2011/12 to 2020</w:t>
      </w:r>
      <w:bookmarkEnd w:id="289"/>
      <w:bookmarkEnd w:id="290"/>
      <w:r w:rsidR="007179EA" w:rsidRPr="00375B98">
        <w:t>/21</w:t>
      </w:r>
      <w:bookmarkEnd w:id="291"/>
      <w:bookmarkEnd w:id="292"/>
    </w:p>
    <w:tbl>
      <w:tblPr>
        <w:tblW w:w="4931" w:type="pct"/>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9"/>
        <w:gridCol w:w="772"/>
        <w:gridCol w:w="772"/>
        <w:gridCol w:w="771"/>
        <w:gridCol w:w="772"/>
        <w:gridCol w:w="772"/>
        <w:gridCol w:w="771"/>
        <w:gridCol w:w="772"/>
        <w:gridCol w:w="772"/>
        <w:gridCol w:w="847"/>
      </w:tblGrid>
      <w:tr w:rsidR="007179EA" w:rsidRPr="00D80FBF" w14:paraId="6A3B3EA4" w14:textId="77777777" w:rsidTr="00B5605C">
        <w:trPr>
          <w:cantSplit/>
        </w:trPr>
        <w:tc>
          <w:tcPr>
            <w:tcW w:w="655" w:type="pct"/>
            <w:vMerge w:val="restart"/>
            <w:tcBorders>
              <w:top w:val="nil"/>
              <w:bottom w:val="nil"/>
              <w:right w:val="single" w:sz="4" w:space="0" w:color="A6A6A6" w:themeColor="background1" w:themeShade="A6"/>
            </w:tcBorders>
            <w:shd w:val="clear" w:color="auto" w:fill="D9D9D9" w:themeFill="background1" w:themeFillShade="D9"/>
            <w:vAlign w:val="bottom"/>
          </w:tcPr>
          <w:p w14:paraId="21B1F817" w14:textId="77777777" w:rsidR="007179EA" w:rsidRPr="00D80FBF" w:rsidRDefault="007179EA" w:rsidP="00B5605C">
            <w:pPr>
              <w:spacing w:before="60" w:after="60"/>
              <w:rPr>
                <w:b/>
                <w:sz w:val="18"/>
              </w:rPr>
            </w:pPr>
            <w:r w:rsidRPr="00D80FBF">
              <w:rPr>
                <w:b/>
                <w:sz w:val="18"/>
              </w:rPr>
              <w:t>Year</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3874D7E" w14:textId="77777777" w:rsidR="007179EA" w:rsidRPr="00D80FBF" w:rsidRDefault="007179EA" w:rsidP="00B5605C">
            <w:pPr>
              <w:spacing w:before="60"/>
              <w:jc w:val="center"/>
              <w:rPr>
                <w:b/>
                <w:sz w:val="18"/>
              </w:rPr>
            </w:pPr>
            <w:r w:rsidRPr="00D80FBF">
              <w:rPr>
                <w:b/>
                <w:sz w:val="18"/>
              </w:rPr>
              <w:t>NCGMs</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38B4AB06" w14:textId="77777777" w:rsidR="007179EA" w:rsidRPr="00D80FBF" w:rsidRDefault="007179EA" w:rsidP="00B5605C">
            <w:pPr>
              <w:spacing w:before="60"/>
              <w:jc w:val="center"/>
              <w:rPr>
                <w:b/>
                <w:sz w:val="18"/>
              </w:rPr>
            </w:pPr>
            <w:r w:rsidRPr="00D80FBF">
              <w:rPr>
                <w:b/>
                <w:sz w:val="18"/>
              </w:rPr>
              <w:t>Casinos</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611CD44" w14:textId="77777777" w:rsidR="007179EA" w:rsidRPr="00D80FBF" w:rsidRDefault="007179EA" w:rsidP="00B5605C">
            <w:pPr>
              <w:spacing w:before="60"/>
              <w:jc w:val="center"/>
              <w:rPr>
                <w:b/>
                <w:sz w:val="18"/>
              </w:rPr>
            </w:pPr>
            <w:r w:rsidRPr="00D80FBF">
              <w:rPr>
                <w:b/>
                <w:sz w:val="18"/>
              </w:rPr>
              <w:t>TAB NZ</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73FC5323" w14:textId="77777777" w:rsidR="007179EA" w:rsidRPr="00D80FBF" w:rsidRDefault="007179EA" w:rsidP="00B5605C">
            <w:pPr>
              <w:spacing w:before="60"/>
              <w:jc w:val="center"/>
              <w:rPr>
                <w:b/>
                <w:sz w:val="18"/>
              </w:rPr>
            </w:pPr>
            <w:r w:rsidRPr="00D80FBF">
              <w:rPr>
                <w:b/>
                <w:sz w:val="18"/>
              </w:rPr>
              <w:t>Lotto New</w:t>
            </w:r>
            <w:r w:rsidR="00B5605C">
              <w:rPr>
                <w:b/>
                <w:sz w:val="18"/>
              </w:rPr>
              <w:t> </w:t>
            </w:r>
            <w:r w:rsidRPr="00D80FBF">
              <w:rPr>
                <w:b/>
                <w:sz w:val="18"/>
              </w:rPr>
              <w:t>Zealand</w:t>
            </w:r>
          </w:p>
        </w:tc>
        <w:tc>
          <w:tcPr>
            <w:tcW w:w="525" w:type="pct"/>
            <w:tcBorders>
              <w:top w:val="nil"/>
              <w:left w:val="single" w:sz="4" w:space="0" w:color="A6A6A6" w:themeColor="background1" w:themeShade="A6"/>
              <w:bottom w:val="nil"/>
            </w:tcBorders>
            <w:shd w:val="clear" w:color="auto" w:fill="D9D9D9" w:themeFill="background1" w:themeFillShade="D9"/>
          </w:tcPr>
          <w:p w14:paraId="320E50B7" w14:textId="77777777" w:rsidR="007179EA" w:rsidRPr="00D80FBF" w:rsidRDefault="007179EA" w:rsidP="00B5605C">
            <w:pPr>
              <w:spacing w:before="60"/>
              <w:jc w:val="center"/>
              <w:rPr>
                <w:b/>
                <w:sz w:val="18"/>
              </w:rPr>
            </w:pPr>
            <w:r w:rsidRPr="00D80FBF">
              <w:rPr>
                <w:b/>
                <w:sz w:val="18"/>
              </w:rPr>
              <w:t>Total</w:t>
            </w:r>
          </w:p>
        </w:tc>
      </w:tr>
      <w:tr w:rsidR="007179EA" w:rsidRPr="00D80FBF" w14:paraId="05A0D5E4" w14:textId="77777777" w:rsidTr="00B5605C">
        <w:trPr>
          <w:cantSplit/>
        </w:trPr>
        <w:tc>
          <w:tcPr>
            <w:tcW w:w="655" w:type="pct"/>
            <w:vMerge/>
            <w:tcBorders>
              <w:top w:val="nil"/>
              <w:bottom w:val="nil"/>
              <w:right w:val="single" w:sz="4" w:space="0" w:color="A6A6A6" w:themeColor="background1" w:themeShade="A6"/>
            </w:tcBorders>
            <w:shd w:val="clear" w:color="auto" w:fill="D9D9D9" w:themeFill="background1" w:themeFillShade="D9"/>
          </w:tcPr>
          <w:p w14:paraId="7DDF0253" w14:textId="77777777" w:rsidR="007179EA" w:rsidRPr="00D80FBF" w:rsidRDefault="007179EA" w:rsidP="00B5605C">
            <w:pPr>
              <w:spacing w:before="60" w:after="60"/>
              <w:rPr>
                <w:sz w:val="18"/>
              </w:rPr>
            </w:pPr>
          </w:p>
        </w:tc>
        <w:tc>
          <w:tcPr>
            <w:tcW w:w="477" w:type="pct"/>
            <w:tcBorders>
              <w:top w:val="nil"/>
              <w:left w:val="single" w:sz="4" w:space="0" w:color="A6A6A6" w:themeColor="background1" w:themeShade="A6"/>
              <w:bottom w:val="nil"/>
              <w:right w:val="nil"/>
            </w:tcBorders>
            <w:shd w:val="clear" w:color="auto" w:fill="D9D9D9" w:themeFill="background1" w:themeFillShade="D9"/>
          </w:tcPr>
          <w:p w14:paraId="6F6927CE" w14:textId="77777777" w:rsidR="007179EA" w:rsidRPr="00D80FBF" w:rsidRDefault="007179EA" w:rsidP="00B5605C">
            <w:pPr>
              <w:spacing w:after="60"/>
              <w:jc w:val="center"/>
              <w:rPr>
                <w:b/>
                <w:sz w:val="18"/>
              </w:rPr>
            </w:pPr>
            <w:r w:rsidRPr="00D80FBF">
              <w:rPr>
                <w:b/>
                <w:sz w:val="18"/>
              </w:rPr>
              <w:t>n</w:t>
            </w:r>
          </w:p>
        </w:tc>
        <w:tc>
          <w:tcPr>
            <w:tcW w:w="478" w:type="pct"/>
            <w:tcBorders>
              <w:top w:val="nil"/>
              <w:left w:val="nil"/>
              <w:bottom w:val="nil"/>
              <w:right w:val="single" w:sz="4" w:space="0" w:color="A6A6A6" w:themeColor="background1" w:themeShade="A6"/>
            </w:tcBorders>
            <w:shd w:val="clear" w:color="auto" w:fill="D9D9D9" w:themeFill="background1" w:themeFillShade="D9"/>
          </w:tcPr>
          <w:p w14:paraId="3028FB34" w14:textId="77777777" w:rsidR="007179EA" w:rsidRPr="00D80FBF" w:rsidRDefault="007179EA" w:rsidP="00B5605C">
            <w:pPr>
              <w:spacing w:after="60"/>
              <w:jc w:val="center"/>
              <w:rPr>
                <w:b/>
                <w:sz w:val="18"/>
              </w:rPr>
            </w:pPr>
            <w:r w:rsidRPr="00D80FBF">
              <w:rPr>
                <w:b/>
                <w:sz w:val="18"/>
              </w:rPr>
              <w:t>%</w:t>
            </w:r>
          </w:p>
        </w:tc>
        <w:tc>
          <w:tcPr>
            <w:tcW w:w="477" w:type="pct"/>
            <w:tcBorders>
              <w:top w:val="nil"/>
              <w:left w:val="single" w:sz="4" w:space="0" w:color="A6A6A6" w:themeColor="background1" w:themeShade="A6"/>
              <w:bottom w:val="nil"/>
              <w:right w:val="nil"/>
            </w:tcBorders>
            <w:shd w:val="clear" w:color="auto" w:fill="D9D9D9" w:themeFill="background1" w:themeFillShade="D9"/>
          </w:tcPr>
          <w:p w14:paraId="2F39CCFD" w14:textId="77777777" w:rsidR="007179EA" w:rsidRPr="00D80FBF" w:rsidRDefault="007179EA" w:rsidP="00B5605C">
            <w:pPr>
              <w:spacing w:after="60"/>
              <w:jc w:val="center"/>
              <w:rPr>
                <w:b/>
                <w:sz w:val="18"/>
              </w:rPr>
            </w:pPr>
            <w:r w:rsidRPr="00D80FBF">
              <w:rPr>
                <w:b/>
                <w:sz w:val="18"/>
              </w:rPr>
              <w:t>n</w:t>
            </w:r>
          </w:p>
        </w:tc>
        <w:tc>
          <w:tcPr>
            <w:tcW w:w="478" w:type="pct"/>
            <w:tcBorders>
              <w:top w:val="nil"/>
              <w:left w:val="nil"/>
              <w:bottom w:val="nil"/>
              <w:right w:val="single" w:sz="4" w:space="0" w:color="A6A6A6" w:themeColor="background1" w:themeShade="A6"/>
            </w:tcBorders>
            <w:shd w:val="clear" w:color="auto" w:fill="D9D9D9" w:themeFill="background1" w:themeFillShade="D9"/>
          </w:tcPr>
          <w:p w14:paraId="5779CA3E" w14:textId="77777777" w:rsidR="007179EA" w:rsidRPr="00D80FBF" w:rsidRDefault="007179EA" w:rsidP="00B5605C">
            <w:pPr>
              <w:spacing w:after="60"/>
              <w:jc w:val="center"/>
              <w:rPr>
                <w:b/>
                <w:sz w:val="18"/>
              </w:rPr>
            </w:pPr>
            <w:r w:rsidRPr="00D80FBF">
              <w:rPr>
                <w:b/>
                <w:sz w:val="18"/>
              </w:rPr>
              <w:t>%</w:t>
            </w:r>
          </w:p>
        </w:tc>
        <w:tc>
          <w:tcPr>
            <w:tcW w:w="478" w:type="pct"/>
            <w:tcBorders>
              <w:top w:val="nil"/>
              <w:left w:val="single" w:sz="4" w:space="0" w:color="A6A6A6" w:themeColor="background1" w:themeShade="A6"/>
              <w:bottom w:val="nil"/>
              <w:right w:val="nil"/>
            </w:tcBorders>
            <w:shd w:val="clear" w:color="auto" w:fill="D9D9D9" w:themeFill="background1" w:themeFillShade="D9"/>
          </w:tcPr>
          <w:p w14:paraId="76509F89" w14:textId="77777777" w:rsidR="007179EA" w:rsidRPr="00D80FBF" w:rsidRDefault="007179EA" w:rsidP="00B5605C">
            <w:pPr>
              <w:spacing w:after="60"/>
              <w:jc w:val="center"/>
              <w:rPr>
                <w:b/>
                <w:sz w:val="18"/>
              </w:rPr>
            </w:pPr>
            <w:r w:rsidRPr="00D80FBF">
              <w:rPr>
                <w:b/>
                <w:sz w:val="18"/>
              </w:rPr>
              <w:t>n</w:t>
            </w:r>
          </w:p>
        </w:tc>
        <w:tc>
          <w:tcPr>
            <w:tcW w:w="477" w:type="pct"/>
            <w:tcBorders>
              <w:top w:val="nil"/>
              <w:left w:val="nil"/>
              <w:bottom w:val="nil"/>
              <w:right w:val="single" w:sz="4" w:space="0" w:color="A6A6A6" w:themeColor="background1" w:themeShade="A6"/>
            </w:tcBorders>
            <w:shd w:val="clear" w:color="auto" w:fill="D9D9D9" w:themeFill="background1" w:themeFillShade="D9"/>
          </w:tcPr>
          <w:p w14:paraId="0E054402" w14:textId="77777777" w:rsidR="007179EA" w:rsidRPr="00D80FBF" w:rsidRDefault="007179EA" w:rsidP="00B5605C">
            <w:pPr>
              <w:spacing w:after="60"/>
              <w:jc w:val="center"/>
              <w:rPr>
                <w:b/>
                <w:sz w:val="18"/>
              </w:rPr>
            </w:pPr>
            <w:r w:rsidRPr="00D80FBF">
              <w:rPr>
                <w:b/>
                <w:sz w:val="18"/>
              </w:rPr>
              <w:t>%</w:t>
            </w:r>
          </w:p>
        </w:tc>
        <w:tc>
          <w:tcPr>
            <w:tcW w:w="478" w:type="pct"/>
            <w:tcBorders>
              <w:top w:val="nil"/>
              <w:left w:val="single" w:sz="4" w:space="0" w:color="A6A6A6" w:themeColor="background1" w:themeShade="A6"/>
              <w:bottom w:val="nil"/>
              <w:right w:val="nil"/>
            </w:tcBorders>
            <w:shd w:val="clear" w:color="auto" w:fill="D9D9D9" w:themeFill="background1" w:themeFillShade="D9"/>
          </w:tcPr>
          <w:p w14:paraId="7B0EB04E" w14:textId="77777777" w:rsidR="007179EA" w:rsidRPr="00D80FBF" w:rsidRDefault="007179EA" w:rsidP="00B5605C">
            <w:pPr>
              <w:spacing w:after="60"/>
              <w:jc w:val="center"/>
              <w:rPr>
                <w:b/>
                <w:sz w:val="18"/>
              </w:rPr>
            </w:pPr>
            <w:r w:rsidRPr="00D80FBF">
              <w:rPr>
                <w:b/>
                <w:sz w:val="18"/>
              </w:rPr>
              <w:t>n</w:t>
            </w:r>
          </w:p>
        </w:tc>
        <w:tc>
          <w:tcPr>
            <w:tcW w:w="478" w:type="pct"/>
            <w:tcBorders>
              <w:top w:val="nil"/>
              <w:left w:val="nil"/>
              <w:bottom w:val="nil"/>
              <w:right w:val="single" w:sz="4" w:space="0" w:color="A6A6A6" w:themeColor="background1" w:themeShade="A6"/>
            </w:tcBorders>
            <w:shd w:val="clear" w:color="auto" w:fill="D9D9D9" w:themeFill="background1" w:themeFillShade="D9"/>
          </w:tcPr>
          <w:p w14:paraId="7D8E8749" w14:textId="77777777" w:rsidR="007179EA" w:rsidRPr="00D80FBF" w:rsidRDefault="007179EA" w:rsidP="00B5605C">
            <w:pPr>
              <w:spacing w:after="60"/>
              <w:jc w:val="center"/>
              <w:rPr>
                <w:b/>
                <w:sz w:val="18"/>
              </w:rPr>
            </w:pPr>
            <w:r w:rsidRPr="00D80FBF">
              <w:rPr>
                <w:b/>
                <w:sz w:val="18"/>
              </w:rPr>
              <w:t>%</w:t>
            </w:r>
          </w:p>
        </w:tc>
        <w:tc>
          <w:tcPr>
            <w:tcW w:w="525" w:type="pct"/>
            <w:tcBorders>
              <w:top w:val="nil"/>
              <w:left w:val="single" w:sz="4" w:space="0" w:color="A6A6A6" w:themeColor="background1" w:themeShade="A6"/>
              <w:bottom w:val="nil"/>
            </w:tcBorders>
            <w:shd w:val="clear" w:color="auto" w:fill="D9D9D9" w:themeFill="background1" w:themeFillShade="D9"/>
          </w:tcPr>
          <w:p w14:paraId="5FE8EB89" w14:textId="77777777" w:rsidR="007179EA" w:rsidRPr="00D80FBF" w:rsidRDefault="007179EA" w:rsidP="00B5605C">
            <w:pPr>
              <w:spacing w:after="60"/>
              <w:jc w:val="center"/>
              <w:rPr>
                <w:b/>
                <w:sz w:val="18"/>
              </w:rPr>
            </w:pPr>
            <w:r w:rsidRPr="00D80FBF">
              <w:rPr>
                <w:b/>
                <w:sz w:val="18"/>
              </w:rPr>
              <w:t>n</w:t>
            </w:r>
          </w:p>
        </w:tc>
      </w:tr>
      <w:tr w:rsidR="007179EA" w:rsidRPr="00D80FBF" w14:paraId="52E16B3E" w14:textId="77777777" w:rsidTr="00B5605C">
        <w:trPr>
          <w:cantSplit/>
        </w:trPr>
        <w:tc>
          <w:tcPr>
            <w:tcW w:w="655" w:type="pct"/>
            <w:tcBorders>
              <w:top w:val="nil"/>
              <w:bottom w:val="single" w:sz="4" w:space="0" w:color="A6A6A6" w:themeColor="background1" w:themeShade="A6"/>
              <w:right w:val="single" w:sz="4" w:space="0" w:color="A6A6A6" w:themeColor="background1" w:themeShade="A6"/>
            </w:tcBorders>
            <w:shd w:val="clear" w:color="auto" w:fill="auto"/>
          </w:tcPr>
          <w:p w14:paraId="063A4D9E" w14:textId="77777777" w:rsidR="007179EA" w:rsidRPr="00D80FBF" w:rsidRDefault="007179EA" w:rsidP="00B5605C">
            <w:pPr>
              <w:spacing w:before="60" w:after="60"/>
              <w:rPr>
                <w:sz w:val="18"/>
              </w:rPr>
            </w:pPr>
            <w:r w:rsidRPr="00D80FBF">
              <w:rPr>
                <w:sz w:val="18"/>
              </w:rPr>
              <w:t>2011/12</w:t>
            </w:r>
          </w:p>
        </w:tc>
        <w:tc>
          <w:tcPr>
            <w:tcW w:w="477" w:type="pct"/>
            <w:tcBorders>
              <w:top w:val="nil"/>
              <w:left w:val="single" w:sz="4" w:space="0" w:color="A6A6A6" w:themeColor="background1" w:themeShade="A6"/>
              <w:bottom w:val="single" w:sz="4" w:space="0" w:color="A6A6A6" w:themeColor="background1" w:themeShade="A6"/>
              <w:right w:val="nil"/>
            </w:tcBorders>
            <w:shd w:val="clear" w:color="auto" w:fill="auto"/>
          </w:tcPr>
          <w:p w14:paraId="05C06C4F" w14:textId="77777777" w:rsidR="007179EA" w:rsidRPr="00D80FBF" w:rsidRDefault="007179EA" w:rsidP="00B5605C">
            <w:pPr>
              <w:spacing w:before="60" w:after="60"/>
              <w:jc w:val="center"/>
              <w:rPr>
                <w:sz w:val="18"/>
              </w:rPr>
            </w:pPr>
            <w:r w:rsidRPr="00D80FBF">
              <w:rPr>
                <w:sz w:val="18"/>
              </w:rPr>
              <w:t>3,708</w:t>
            </w:r>
          </w:p>
        </w:tc>
        <w:tc>
          <w:tcPr>
            <w:tcW w:w="478" w:type="pct"/>
            <w:tcBorders>
              <w:top w:val="nil"/>
              <w:left w:val="nil"/>
              <w:bottom w:val="single" w:sz="4" w:space="0" w:color="A6A6A6" w:themeColor="background1" w:themeShade="A6"/>
              <w:right w:val="single" w:sz="4" w:space="0" w:color="A6A6A6" w:themeColor="background1" w:themeShade="A6"/>
            </w:tcBorders>
            <w:shd w:val="clear" w:color="auto" w:fill="auto"/>
          </w:tcPr>
          <w:p w14:paraId="4207D83C" w14:textId="77777777" w:rsidR="007179EA" w:rsidRPr="00D80FBF" w:rsidRDefault="007179EA" w:rsidP="00B5605C">
            <w:pPr>
              <w:spacing w:before="60" w:after="60"/>
              <w:jc w:val="center"/>
              <w:rPr>
                <w:sz w:val="18"/>
              </w:rPr>
            </w:pPr>
            <w:r w:rsidRPr="00D80FBF">
              <w:rPr>
                <w:sz w:val="18"/>
              </w:rPr>
              <w:t>64</w:t>
            </w:r>
          </w:p>
        </w:tc>
        <w:tc>
          <w:tcPr>
            <w:tcW w:w="477" w:type="pct"/>
            <w:tcBorders>
              <w:top w:val="nil"/>
              <w:left w:val="single" w:sz="4" w:space="0" w:color="A6A6A6" w:themeColor="background1" w:themeShade="A6"/>
              <w:bottom w:val="single" w:sz="4" w:space="0" w:color="A6A6A6" w:themeColor="background1" w:themeShade="A6"/>
              <w:right w:val="nil"/>
            </w:tcBorders>
            <w:shd w:val="clear" w:color="auto" w:fill="auto"/>
          </w:tcPr>
          <w:p w14:paraId="41FF3EDA" w14:textId="77777777" w:rsidR="007179EA" w:rsidRPr="00D80FBF" w:rsidRDefault="007179EA" w:rsidP="00B5605C">
            <w:pPr>
              <w:tabs>
                <w:tab w:val="decimal" w:pos="510"/>
              </w:tabs>
              <w:spacing w:before="60" w:after="60"/>
              <w:rPr>
                <w:sz w:val="18"/>
              </w:rPr>
            </w:pPr>
            <w:r w:rsidRPr="00D80FBF">
              <w:rPr>
                <w:sz w:val="18"/>
              </w:rPr>
              <w:t>1,188</w:t>
            </w:r>
          </w:p>
        </w:tc>
        <w:tc>
          <w:tcPr>
            <w:tcW w:w="478" w:type="pct"/>
            <w:tcBorders>
              <w:top w:val="nil"/>
              <w:left w:val="nil"/>
              <w:bottom w:val="single" w:sz="4" w:space="0" w:color="A6A6A6" w:themeColor="background1" w:themeShade="A6"/>
              <w:right w:val="single" w:sz="4" w:space="0" w:color="A6A6A6" w:themeColor="background1" w:themeShade="A6"/>
            </w:tcBorders>
            <w:shd w:val="clear" w:color="auto" w:fill="auto"/>
          </w:tcPr>
          <w:p w14:paraId="781B0EDA" w14:textId="77777777" w:rsidR="007179EA" w:rsidRPr="00D80FBF" w:rsidRDefault="007179EA" w:rsidP="00B5605C">
            <w:pPr>
              <w:spacing w:before="60" w:after="60"/>
              <w:jc w:val="center"/>
              <w:rPr>
                <w:sz w:val="18"/>
              </w:rPr>
            </w:pPr>
            <w:r w:rsidRPr="00D80FBF">
              <w:rPr>
                <w:sz w:val="18"/>
              </w:rPr>
              <w:t>21</w:t>
            </w:r>
          </w:p>
        </w:tc>
        <w:tc>
          <w:tcPr>
            <w:tcW w:w="478" w:type="pct"/>
            <w:tcBorders>
              <w:top w:val="nil"/>
              <w:left w:val="single" w:sz="4" w:space="0" w:color="A6A6A6" w:themeColor="background1" w:themeShade="A6"/>
              <w:bottom w:val="single" w:sz="4" w:space="0" w:color="A6A6A6" w:themeColor="background1" w:themeShade="A6"/>
              <w:right w:val="nil"/>
            </w:tcBorders>
            <w:shd w:val="clear" w:color="auto" w:fill="auto"/>
          </w:tcPr>
          <w:p w14:paraId="4115C359" w14:textId="77777777" w:rsidR="007179EA" w:rsidRPr="00D80FBF" w:rsidRDefault="007179EA" w:rsidP="00B5605C">
            <w:pPr>
              <w:spacing w:before="60" w:after="60"/>
              <w:jc w:val="center"/>
              <w:rPr>
                <w:sz w:val="18"/>
              </w:rPr>
            </w:pPr>
            <w:r w:rsidRPr="00D80FBF">
              <w:rPr>
                <w:sz w:val="18"/>
              </w:rPr>
              <w:t>548</w:t>
            </w:r>
          </w:p>
        </w:tc>
        <w:tc>
          <w:tcPr>
            <w:tcW w:w="477" w:type="pct"/>
            <w:tcBorders>
              <w:top w:val="nil"/>
              <w:left w:val="nil"/>
              <w:bottom w:val="single" w:sz="4" w:space="0" w:color="A6A6A6" w:themeColor="background1" w:themeShade="A6"/>
              <w:right w:val="single" w:sz="4" w:space="0" w:color="A6A6A6" w:themeColor="background1" w:themeShade="A6"/>
            </w:tcBorders>
            <w:shd w:val="clear" w:color="auto" w:fill="auto"/>
          </w:tcPr>
          <w:p w14:paraId="7AF3F470" w14:textId="77777777" w:rsidR="007179EA" w:rsidRPr="00D80FBF" w:rsidRDefault="007179EA" w:rsidP="00B5605C">
            <w:pPr>
              <w:tabs>
                <w:tab w:val="decimal" w:pos="380"/>
              </w:tabs>
              <w:spacing w:before="60" w:after="60"/>
              <w:rPr>
                <w:sz w:val="18"/>
              </w:rPr>
            </w:pPr>
            <w:r w:rsidRPr="00D80FBF">
              <w:rPr>
                <w:sz w:val="18"/>
              </w:rPr>
              <w:t>9</w:t>
            </w:r>
          </w:p>
        </w:tc>
        <w:tc>
          <w:tcPr>
            <w:tcW w:w="478" w:type="pct"/>
            <w:tcBorders>
              <w:top w:val="nil"/>
              <w:left w:val="single" w:sz="4" w:space="0" w:color="A6A6A6" w:themeColor="background1" w:themeShade="A6"/>
              <w:bottom w:val="single" w:sz="4" w:space="0" w:color="A6A6A6" w:themeColor="background1" w:themeShade="A6"/>
              <w:right w:val="nil"/>
            </w:tcBorders>
            <w:shd w:val="clear" w:color="auto" w:fill="auto"/>
          </w:tcPr>
          <w:p w14:paraId="7BF554FC" w14:textId="77777777" w:rsidR="007179EA" w:rsidRPr="00D80FBF" w:rsidRDefault="007179EA" w:rsidP="00B5605C">
            <w:pPr>
              <w:spacing w:before="60" w:after="60"/>
              <w:jc w:val="center"/>
              <w:rPr>
                <w:sz w:val="18"/>
              </w:rPr>
            </w:pPr>
            <w:r w:rsidRPr="00D80FBF">
              <w:rPr>
                <w:sz w:val="18"/>
              </w:rPr>
              <w:t>339</w:t>
            </w:r>
          </w:p>
        </w:tc>
        <w:tc>
          <w:tcPr>
            <w:tcW w:w="478" w:type="pct"/>
            <w:tcBorders>
              <w:top w:val="nil"/>
              <w:left w:val="nil"/>
              <w:bottom w:val="single" w:sz="4" w:space="0" w:color="A6A6A6" w:themeColor="background1" w:themeShade="A6"/>
              <w:right w:val="single" w:sz="4" w:space="0" w:color="A6A6A6" w:themeColor="background1" w:themeShade="A6"/>
            </w:tcBorders>
            <w:shd w:val="clear" w:color="auto" w:fill="auto"/>
          </w:tcPr>
          <w:p w14:paraId="0DCA41C2" w14:textId="77777777" w:rsidR="007179EA" w:rsidRPr="00D80FBF" w:rsidRDefault="007179EA" w:rsidP="00B5605C">
            <w:pPr>
              <w:tabs>
                <w:tab w:val="decimal" w:pos="334"/>
              </w:tabs>
              <w:spacing w:before="60" w:after="60"/>
              <w:rPr>
                <w:sz w:val="18"/>
              </w:rPr>
            </w:pPr>
            <w:r w:rsidRPr="00D80FBF">
              <w:rPr>
                <w:sz w:val="18"/>
              </w:rPr>
              <w:t>6</w:t>
            </w:r>
          </w:p>
        </w:tc>
        <w:tc>
          <w:tcPr>
            <w:tcW w:w="525" w:type="pct"/>
            <w:tcBorders>
              <w:top w:val="nil"/>
              <w:left w:val="single" w:sz="4" w:space="0" w:color="A6A6A6" w:themeColor="background1" w:themeShade="A6"/>
              <w:bottom w:val="single" w:sz="4" w:space="0" w:color="A6A6A6" w:themeColor="background1" w:themeShade="A6"/>
            </w:tcBorders>
            <w:shd w:val="clear" w:color="auto" w:fill="auto"/>
          </w:tcPr>
          <w:p w14:paraId="23496CD8" w14:textId="77777777" w:rsidR="007179EA" w:rsidRPr="00D80FBF" w:rsidRDefault="007179EA" w:rsidP="00B5605C">
            <w:pPr>
              <w:spacing w:before="60" w:after="60"/>
              <w:jc w:val="center"/>
              <w:rPr>
                <w:sz w:val="18"/>
              </w:rPr>
            </w:pPr>
            <w:r w:rsidRPr="00D80FBF">
              <w:rPr>
                <w:sz w:val="18"/>
              </w:rPr>
              <w:t>5,783</w:t>
            </w:r>
          </w:p>
        </w:tc>
      </w:tr>
      <w:tr w:rsidR="007179EA" w:rsidRPr="00D80FBF" w14:paraId="5B082349"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DBFC05" w14:textId="77777777" w:rsidR="007179EA" w:rsidRPr="00D80FBF" w:rsidRDefault="007179EA" w:rsidP="00B5605C">
            <w:pPr>
              <w:spacing w:before="60" w:after="60"/>
              <w:rPr>
                <w:sz w:val="18"/>
              </w:rPr>
            </w:pPr>
            <w:r w:rsidRPr="00D80FBF">
              <w:rPr>
                <w:sz w:val="18"/>
              </w:rPr>
              <w:t>2012/13</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E602522" w14:textId="77777777" w:rsidR="007179EA" w:rsidRPr="00D80FBF" w:rsidRDefault="007179EA" w:rsidP="00B5605C">
            <w:pPr>
              <w:spacing w:before="60" w:after="60"/>
              <w:jc w:val="center"/>
              <w:rPr>
                <w:sz w:val="18"/>
              </w:rPr>
            </w:pPr>
            <w:r w:rsidRPr="00D80FBF">
              <w:rPr>
                <w:sz w:val="18"/>
              </w:rPr>
              <w:t>3,721</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97D509C" w14:textId="77777777" w:rsidR="007179EA" w:rsidRPr="00D80FBF" w:rsidRDefault="007179EA" w:rsidP="00B5605C">
            <w:pPr>
              <w:spacing w:before="60" w:after="60"/>
              <w:jc w:val="center"/>
              <w:rPr>
                <w:sz w:val="18"/>
              </w:rPr>
            </w:pPr>
            <w:r w:rsidRPr="00D80FBF">
              <w:rPr>
                <w:sz w:val="18"/>
              </w:rPr>
              <w:t>59</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78A408B" w14:textId="77777777" w:rsidR="007179EA" w:rsidRPr="00D80FBF" w:rsidRDefault="007179EA" w:rsidP="00B5605C">
            <w:pPr>
              <w:tabs>
                <w:tab w:val="decimal" w:pos="510"/>
              </w:tabs>
              <w:spacing w:before="60" w:after="60"/>
              <w:rPr>
                <w:sz w:val="18"/>
              </w:rPr>
            </w:pPr>
            <w:r w:rsidRPr="00D80FBF">
              <w:rPr>
                <w:sz w:val="18"/>
              </w:rPr>
              <w:t>1,403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DDB0677" w14:textId="77777777" w:rsidR="007179EA" w:rsidRPr="00D80FBF" w:rsidRDefault="007179EA" w:rsidP="00B5605C">
            <w:pPr>
              <w:spacing w:before="60" w:after="60"/>
              <w:jc w:val="center"/>
              <w:rPr>
                <w:sz w:val="18"/>
              </w:rPr>
            </w:pPr>
            <w:r w:rsidRPr="00D80FBF">
              <w:rPr>
                <w:sz w:val="18"/>
              </w:rPr>
              <w:t>22</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693C159" w14:textId="77777777" w:rsidR="007179EA" w:rsidRPr="00D80FBF" w:rsidRDefault="007179EA" w:rsidP="00B5605C">
            <w:pPr>
              <w:spacing w:before="60" w:after="60"/>
              <w:jc w:val="center"/>
              <w:rPr>
                <w:sz w:val="18"/>
              </w:rPr>
            </w:pPr>
            <w:r w:rsidRPr="00D80FBF">
              <w:rPr>
                <w:sz w:val="18"/>
              </w:rPr>
              <w:t>568</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D6D3D11" w14:textId="77777777" w:rsidR="007179EA" w:rsidRPr="00D80FBF" w:rsidRDefault="007179EA" w:rsidP="00B5605C">
            <w:pPr>
              <w:tabs>
                <w:tab w:val="decimal" w:pos="380"/>
              </w:tabs>
              <w:spacing w:before="60" w:after="60"/>
              <w:rPr>
                <w:sz w:val="18"/>
              </w:rPr>
            </w:pPr>
            <w:r w:rsidRPr="00D80FBF">
              <w:rPr>
                <w:sz w:val="18"/>
              </w:rPr>
              <w:t>9</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2CC5E76" w14:textId="77777777" w:rsidR="007179EA" w:rsidRPr="00D80FBF" w:rsidRDefault="007179EA" w:rsidP="00B5605C">
            <w:pPr>
              <w:spacing w:before="60" w:after="60"/>
              <w:jc w:val="center"/>
              <w:rPr>
                <w:sz w:val="18"/>
              </w:rPr>
            </w:pPr>
            <w:r w:rsidRPr="00D80FBF">
              <w:rPr>
                <w:sz w:val="18"/>
              </w:rPr>
              <w:t>652</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550B1ED" w14:textId="77777777" w:rsidR="007179EA" w:rsidRPr="00D80FBF" w:rsidRDefault="007179EA" w:rsidP="00B5605C">
            <w:pPr>
              <w:tabs>
                <w:tab w:val="decimal" w:pos="334"/>
              </w:tabs>
              <w:spacing w:before="60" w:after="60"/>
              <w:rPr>
                <w:sz w:val="18"/>
              </w:rPr>
            </w:pPr>
            <w:r w:rsidRPr="00D80FBF">
              <w:rPr>
                <w:sz w:val="18"/>
              </w:rPr>
              <w:t>10</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3C6C1DD" w14:textId="77777777" w:rsidR="007179EA" w:rsidRPr="00D80FBF" w:rsidRDefault="007179EA" w:rsidP="00B5605C">
            <w:pPr>
              <w:spacing w:before="60" w:after="60"/>
              <w:jc w:val="center"/>
              <w:rPr>
                <w:sz w:val="18"/>
              </w:rPr>
            </w:pPr>
            <w:r w:rsidRPr="00D80FBF">
              <w:rPr>
                <w:sz w:val="18"/>
              </w:rPr>
              <w:t>6,344</w:t>
            </w:r>
          </w:p>
        </w:tc>
      </w:tr>
      <w:tr w:rsidR="007179EA" w:rsidRPr="00D80FBF" w14:paraId="343DB831"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3E85DA" w14:textId="77777777" w:rsidR="007179EA" w:rsidRPr="00D80FBF" w:rsidRDefault="007179EA" w:rsidP="00B5605C">
            <w:pPr>
              <w:spacing w:before="60" w:after="60"/>
              <w:rPr>
                <w:sz w:val="18"/>
              </w:rPr>
            </w:pPr>
            <w:r w:rsidRPr="00D80FBF">
              <w:rPr>
                <w:sz w:val="18"/>
              </w:rPr>
              <w:t>2013/14</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3A1F056" w14:textId="77777777" w:rsidR="007179EA" w:rsidRPr="00D80FBF" w:rsidRDefault="007179EA" w:rsidP="00B5605C">
            <w:pPr>
              <w:spacing w:before="60" w:after="60"/>
              <w:jc w:val="center"/>
              <w:rPr>
                <w:sz w:val="18"/>
              </w:rPr>
            </w:pPr>
            <w:r w:rsidRPr="00D80FBF">
              <w:rPr>
                <w:sz w:val="18"/>
              </w:rPr>
              <w:t>3,871</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68DDB8C" w14:textId="77777777" w:rsidR="007179EA" w:rsidRPr="00D80FBF" w:rsidRDefault="007179EA" w:rsidP="00B5605C">
            <w:pPr>
              <w:spacing w:before="60" w:after="60"/>
              <w:jc w:val="center"/>
              <w:rPr>
                <w:sz w:val="18"/>
              </w:rPr>
            </w:pPr>
            <w:r w:rsidRPr="00D80FBF">
              <w:rPr>
                <w:sz w:val="18"/>
              </w:rPr>
              <w:t>59</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B2C6E90" w14:textId="77777777" w:rsidR="007179EA" w:rsidRPr="00D80FBF" w:rsidRDefault="007179EA" w:rsidP="00B5605C">
            <w:pPr>
              <w:tabs>
                <w:tab w:val="decimal" w:pos="510"/>
              </w:tabs>
              <w:spacing w:before="60" w:after="60"/>
              <w:rPr>
                <w:sz w:val="18"/>
              </w:rPr>
            </w:pPr>
            <w:r w:rsidRPr="00D80FBF">
              <w:rPr>
                <w:sz w:val="18"/>
              </w:rPr>
              <w:t>1,413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29A68F3" w14:textId="77777777" w:rsidR="007179EA" w:rsidRPr="00D80FBF" w:rsidRDefault="007179EA" w:rsidP="00B5605C">
            <w:pPr>
              <w:spacing w:before="60" w:after="60"/>
              <w:jc w:val="center"/>
              <w:rPr>
                <w:sz w:val="18"/>
              </w:rPr>
            </w:pPr>
            <w:r w:rsidRPr="00D80FBF">
              <w:rPr>
                <w:sz w:val="18"/>
              </w:rPr>
              <w:t>22</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8B8F58F" w14:textId="77777777" w:rsidR="007179EA" w:rsidRPr="00D80FBF" w:rsidRDefault="007179EA" w:rsidP="00B5605C">
            <w:pPr>
              <w:spacing w:before="60" w:after="60"/>
              <w:jc w:val="center"/>
              <w:rPr>
                <w:sz w:val="18"/>
              </w:rPr>
            </w:pPr>
            <w:r w:rsidRPr="00D80FBF">
              <w:rPr>
                <w:sz w:val="18"/>
              </w:rPr>
              <w:t>651</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AB1737F" w14:textId="77777777" w:rsidR="007179EA" w:rsidRPr="00D80FBF" w:rsidRDefault="007179EA" w:rsidP="00B5605C">
            <w:pPr>
              <w:tabs>
                <w:tab w:val="decimal" w:pos="380"/>
              </w:tabs>
              <w:spacing w:before="60" w:after="60"/>
              <w:rPr>
                <w:sz w:val="18"/>
              </w:rPr>
            </w:pPr>
            <w:r w:rsidRPr="00D80FBF">
              <w:rPr>
                <w:sz w:val="18"/>
              </w:rPr>
              <w:t>10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4A8CC58" w14:textId="77777777" w:rsidR="007179EA" w:rsidRPr="00D80FBF" w:rsidRDefault="007179EA" w:rsidP="00B5605C">
            <w:pPr>
              <w:spacing w:before="60" w:after="60"/>
              <w:jc w:val="center"/>
              <w:rPr>
                <w:sz w:val="18"/>
              </w:rPr>
            </w:pPr>
            <w:r w:rsidRPr="00D80FBF">
              <w:rPr>
                <w:sz w:val="18"/>
              </w:rPr>
              <w:t>590</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AB41373" w14:textId="77777777" w:rsidR="007179EA" w:rsidRPr="00D80FBF" w:rsidRDefault="007179EA" w:rsidP="00B5605C">
            <w:pPr>
              <w:tabs>
                <w:tab w:val="decimal" w:pos="334"/>
              </w:tabs>
              <w:spacing w:before="60" w:after="60"/>
              <w:rPr>
                <w:sz w:val="18"/>
              </w:rPr>
            </w:pPr>
            <w:r w:rsidRPr="00D80FBF">
              <w:rPr>
                <w:sz w:val="18"/>
              </w:rPr>
              <w:t>9</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95B078D" w14:textId="77777777" w:rsidR="007179EA" w:rsidRPr="00D80FBF" w:rsidRDefault="007179EA" w:rsidP="00B5605C">
            <w:pPr>
              <w:spacing w:before="60" w:after="60"/>
              <w:jc w:val="center"/>
              <w:rPr>
                <w:sz w:val="18"/>
              </w:rPr>
            </w:pPr>
            <w:r w:rsidRPr="00D80FBF">
              <w:rPr>
                <w:sz w:val="18"/>
              </w:rPr>
              <w:t>6,525</w:t>
            </w:r>
          </w:p>
        </w:tc>
      </w:tr>
      <w:tr w:rsidR="007179EA" w:rsidRPr="00D80FBF" w14:paraId="0B1624EB"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CFEEF7" w14:textId="77777777" w:rsidR="007179EA" w:rsidRPr="00D80FBF" w:rsidRDefault="007179EA" w:rsidP="00B5605C">
            <w:pPr>
              <w:spacing w:before="60" w:after="60"/>
              <w:rPr>
                <w:sz w:val="18"/>
              </w:rPr>
            </w:pPr>
            <w:r w:rsidRPr="00D80FBF">
              <w:rPr>
                <w:sz w:val="18"/>
              </w:rPr>
              <w:t>2014/15</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A0F584A" w14:textId="77777777" w:rsidR="007179EA" w:rsidRPr="00D80FBF" w:rsidRDefault="007179EA" w:rsidP="00B5605C">
            <w:pPr>
              <w:spacing w:before="60" w:after="60"/>
              <w:jc w:val="center"/>
              <w:rPr>
                <w:sz w:val="18"/>
              </w:rPr>
            </w:pPr>
            <w:r w:rsidRPr="00D80FBF">
              <w:rPr>
                <w:sz w:val="18"/>
              </w:rPr>
              <w:t>3,674</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9BAF190" w14:textId="77777777" w:rsidR="007179EA" w:rsidRPr="00D80FBF" w:rsidRDefault="007179EA" w:rsidP="00B5605C">
            <w:pPr>
              <w:spacing w:before="60" w:after="60"/>
              <w:jc w:val="center"/>
              <w:rPr>
                <w:sz w:val="18"/>
              </w:rPr>
            </w:pPr>
            <w:r w:rsidRPr="00D80FBF">
              <w:rPr>
                <w:sz w:val="18"/>
              </w:rPr>
              <w:t>57</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3D2039F" w14:textId="77777777" w:rsidR="007179EA" w:rsidRPr="00D80FBF" w:rsidRDefault="007179EA" w:rsidP="00B5605C">
            <w:pPr>
              <w:tabs>
                <w:tab w:val="decimal" w:pos="510"/>
              </w:tabs>
              <w:spacing w:before="60" w:after="60"/>
              <w:rPr>
                <w:sz w:val="18"/>
              </w:rPr>
            </w:pPr>
            <w:r w:rsidRPr="00D80FBF">
              <w:rPr>
                <w:sz w:val="18"/>
              </w:rPr>
              <w:t>1,449</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AE1AA3A" w14:textId="77777777" w:rsidR="007179EA" w:rsidRPr="00D80FBF" w:rsidRDefault="007179EA" w:rsidP="00B5605C">
            <w:pPr>
              <w:spacing w:before="60" w:after="60"/>
              <w:jc w:val="center"/>
              <w:rPr>
                <w:sz w:val="18"/>
              </w:rPr>
            </w:pPr>
            <w:r w:rsidRPr="00D80FBF">
              <w:rPr>
                <w:sz w:val="18"/>
              </w:rPr>
              <w:t>22</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E4C4724" w14:textId="77777777" w:rsidR="007179EA" w:rsidRPr="00D80FBF" w:rsidRDefault="007179EA" w:rsidP="00B5605C">
            <w:pPr>
              <w:spacing w:before="60" w:after="60"/>
              <w:jc w:val="center"/>
              <w:rPr>
                <w:sz w:val="18"/>
              </w:rPr>
            </w:pPr>
            <w:r w:rsidRPr="00D80FBF">
              <w:rPr>
                <w:sz w:val="18"/>
              </w:rPr>
              <w:t>729</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F520246" w14:textId="77777777" w:rsidR="007179EA" w:rsidRPr="00D80FBF" w:rsidRDefault="007179EA" w:rsidP="00B5605C">
            <w:pPr>
              <w:tabs>
                <w:tab w:val="decimal" w:pos="380"/>
              </w:tabs>
              <w:spacing w:before="60" w:after="60"/>
              <w:rPr>
                <w:sz w:val="18"/>
              </w:rPr>
            </w:pPr>
            <w:r w:rsidRPr="00D80FBF">
              <w:rPr>
                <w:sz w:val="18"/>
              </w:rPr>
              <w:t>11</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82E1B3B" w14:textId="77777777" w:rsidR="007179EA" w:rsidRPr="00D80FBF" w:rsidRDefault="007179EA" w:rsidP="00B5605C">
            <w:pPr>
              <w:spacing w:before="60" w:after="60"/>
              <w:jc w:val="center"/>
              <w:rPr>
                <w:sz w:val="18"/>
              </w:rPr>
            </w:pPr>
            <w:r w:rsidRPr="00D80FBF">
              <w:rPr>
                <w:sz w:val="18"/>
              </w:rPr>
              <w:t>624</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BD7A48A" w14:textId="77777777" w:rsidR="007179EA" w:rsidRPr="00D80FBF" w:rsidRDefault="007179EA" w:rsidP="00B5605C">
            <w:pPr>
              <w:tabs>
                <w:tab w:val="decimal" w:pos="334"/>
              </w:tabs>
              <w:spacing w:before="60" w:after="60"/>
              <w:rPr>
                <w:sz w:val="18"/>
              </w:rPr>
            </w:pPr>
            <w:r w:rsidRPr="00D80FBF">
              <w:rPr>
                <w:sz w:val="18"/>
              </w:rPr>
              <w:t>10</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2AD01082" w14:textId="77777777" w:rsidR="007179EA" w:rsidRPr="00D80FBF" w:rsidRDefault="007179EA" w:rsidP="00B5605C">
            <w:pPr>
              <w:spacing w:before="60" w:after="60"/>
              <w:jc w:val="center"/>
              <w:rPr>
                <w:sz w:val="18"/>
              </w:rPr>
            </w:pPr>
            <w:r w:rsidRPr="00D80FBF">
              <w:rPr>
                <w:sz w:val="18"/>
              </w:rPr>
              <w:t>6,476</w:t>
            </w:r>
          </w:p>
        </w:tc>
      </w:tr>
      <w:tr w:rsidR="007179EA" w:rsidRPr="00D80FBF" w14:paraId="469124F9"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930F1B" w14:textId="77777777" w:rsidR="007179EA" w:rsidRPr="00D80FBF" w:rsidRDefault="007179EA" w:rsidP="00B5605C">
            <w:pPr>
              <w:spacing w:before="60" w:after="60"/>
              <w:rPr>
                <w:sz w:val="18"/>
              </w:rPr>
            </w:pPr>
            <w:r w:rsidRPr="00D80FBF">
              <w:rPr>
                <w:sz w:val="18"/>
              </w:rPr>
              <w:t>2015/16</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3B76072" w14:textId="77777777" w:rsidR="007179EA" w:rsidRPr="00D80FBF" w:rsidRDefault="007179EA" w:rsidP="00B5605C">
            <w:pPr>
              <w:spacing w:before="60" w:after="60"/>
              <w:jc w:val="center"/>
              <w:rPr>
                <w:sz w:val="18"/>
              </w:rPr>
            </w:pPr>
            <w:r w:rsidRPr="00D80FBF">
              <w:rPr>
                <w:sz w:val="18"/>
              </w:rPr>
              <w:t>3,251</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CFB9C9A" w14:textId="77777777" w:rsidR="007179EA" w:rsidRPr="00D80FBF" w:rsidRDefault="007179EA" w:rsidP="00B5605C">
            <w:pPr>
              <w:spacing w:before="60" w:after="60"/>
              <w:jc w:val="center"/>
              <w:rPr>
                <w:sz w:val="18"/>
              </w:rPr>
            </w:pPr>
            <w:r w:rsidRPr="00D80FBF">
              <w:rPr>
                <w:sz w:val="18"/>
              </w:rPr>
              <w:t>54</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BB399B6" w14:textId="77777777" w:rsidR="007179EA" w:rsidRPr="00D80FBF" w:rsidRDefault="007179EA" w:rsidP="00B5605C">
            <w:pPr>
              <w:tabs>
                <w:tab w:val="decimal" w:pos="510"/>
              </w:tabs>
              <w:spacing w:before="60" w:after="60"/>
              <w:rPr>
                <w:sz w:val="18"/>
              </w:rPr>
            </w:pPr>
            <w:r w:rsidRPr="00D80FBF">
              <w:rPr>
                <w:sz w:val="18"/>
              </w:rPr>
              <w:t>1,221</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1CA5D2" w14:textId="77777777" w:rsidR="007179EA" w:rsidRPr="00D80FBF" w:rsidRDefault="007179EA" w:rsidP="00B5605C">
            <w:pPr>
              <w:spacing w:before="60" w:after="60"/>
              <w:jc w:val="center"/>
              <w:rPr>
                <w:sz w:val="18"/>
              </w:rPr>
            </w:pPr>
            <w:r w:rsidRPr="00D80FBF">
              <w:rPr>
                <w:sz w:val="18"/>
              </w:rPr>
              <w:t>20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A1246CD" w14:textId="77777777" w:rsidR="007179EA" w:rsidRPr="00D80FBF" w:rsidRDefault="007179EA" w:rsidP="00B5605C">
            <w:pPr>
              <w:spacing w:before="60" w:after="60"/>
              <w:jc w:val="center"/>
              <w:rPr>
                <w:sz w:val="18"/>
              </w:rPr>
            </w:pPr>
            <w:r w:rsidRPr="00D80FBF">
              <w:rPr>
                <w:sz w:val="18"/>
              </w:rPr>
              <w:t>696</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A32F453" w14:textId="77777777" w:rsidR="007179EA" w:rsidRPr="00D80FBF" w:rsidRDefault="007179EA" w:rsidP="00B5605C">
            <w:pPr>
              <w:tabs>
                <w:tab w:val="decimal" w:pos="380"/>
              </w:tabs>
              <w:spacing w:before="60" w:after="60"/>
              <w:rPr>
                <w:sz w:val="18"/>
              </w:rPr>
            </w:pPr>
            <w:r w:rsidRPr="00D80FBF">
              <w:rPr>
                <w:sz w:val="18"/>
              </w:rPr>
              <w:t>12</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FD3E36E" w14:textId="77777777" w:rsidR="007179EA" w:rsidRPr="00D80FBF" w:rsidRDefault="007179EA" w:rsidP="00B5605C">
            <w:pPr>
              <w:spacing w:before="60" w:after="60"/>
              <w:jc w:val="center"/>
              <w:rPr>
                <w:sz w:val="18"/>
              </w:rPr>
            </w:pPr>
            <w:r w:rsidRPr="00D80FBF">
              <w:rPr>
                <w:sz w:val="18"/>
              </w:rPr>
              <w:t>812</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EC8AD2F" w14:textId="77777777" w:rsidR="007179EA" w:rsidRPr="00D80FBF" w:rsidRDefault="007179EA" w:rsidP="00B5605C">
            <w:pPr>
              <w:tabs>
                <w:tab w:val="decimal" w:pos="334"/>
              </w:tabs>
              <w:spacing w:before="60" w:after="60"/>
              <w:rPr>
                <w:sz w:val="18"/>
              </w:rPr>
            </w:pPr>
            <w:r w:rsidRPr="00D80FBF">
              <w:rPr>
                <w:sz w:val="18"/>
              </w:rPr>
              <w:t>14</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3A89CB9" w14:textId="77777777" w:rsidR="007179EA" w:rsidRPr="00D80FBF" w:rsidRDefault="007179EA" w:rsidP="00B5605C">
            <w:pPr>
              <w:spacing w:before="60" w:after="60"/>
              <w:jc w:val="center"/>
              <w:rPr>
                <w:sz w:val="18"/>
              </w:rPr>
            </w:pPr>
            <w:r w:rsidRPr="00D80FBF">
              <w:rPr>
                <w:sz w:val="18"/>
              </w:rPr>
              <w:t>5,980</w:t>
            </w:r>
          </w:p>
        </w:tc>
      </w:tr>
      <w:tr w:rsidR="007179EA" w:rsidRPr="00D80FBF" w14:paraId="475C89AD"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442E09" w14:textId="77777777" w:rsidR="007179EA" w:rsidRPr="00D80FBF" w:rsidRDefault="007179EA" w:rsidP="00B5605C">
            <w:pPr>
              <w:spacing w:before="60" w:after="60"/>
              <w:rPr>
                <w:sz w:val="18"/>
              </w:rPr>
            </w:pPr>
            <w:r w:rsidRPr="00D80FBF">
              <w:rPr>
                <w:sz w:val="18"/>
              </w:rPr>
              <w:t>2016/17</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7A6F758" w14:textId="77777777" w:rsidR="007179EA" w:rsidRPr="00D80FBF" w:rsidRDefault="007179EA" w:rsidP="00B5605C">
            <w:pPr>
              <w:spacing w:before="60" w:after="60"/>
              <w:jc w:val="center"/>
              <w:rPr>
                <w:sz w:val="18"/>
              </w:rPr>
            </w:pPr>
            <w:r w:rsidRPr="00D80FBF">
              <w:rPr>
                <w:sz w:val="18"/>
              </w:rPr>
              <w:t>3,060</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B6BD046" w14:textId="77777777" w:rsidR="007179EA" w:rsidRPr="00D80FBF" w:rsidRDefault="007179EA" w:rsidP="00B5605C">
            <w:pPr>
              <w:spacing w:before="60" w:after="60"/>
              <w:jc w:val="center"/>
              <w:rPr>
                <w:sz w:val="18"/>
              </w:rPr>
            </w:pPr>
            <w:r w:rsidRPr="00D80FBF">
              <w:rPr>
                <w:sz w:val="18"/>
              </w:rPr>
              <w:t>54</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221D716" w14:textId="77777777" w:rsidR="007179EA" w:rsidRPr="00D80FBF" w:rsidRDefault="007179EA" w:rsidP="00B5605C">
            <w:pPr>
              <w:tabs>
                <w:tab w:val="decimal" w:pos="510"/>
              </w:tabs>
              <w:spacing w:before="60" w:after="60"/>
              <w:rPr>
                <w:sz w:val="18"/>
              </w:rPr>
            </w:pPr>
            <w:r w:rsidRPr="00D80FBF">
              <w:rPr>
                <w:sz w:val="18"/>
              </w:rPr>
              <w:t>1,240</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7452FAC" w14:textId="77777777" w:rsidR="007179EA" w:rsidRPr="00D80FBF" w:rsidRDefault="007179EA" w:rsidP="00B5605C">
            <w:pPr>
              <w:spacing w:before="60" w:after="60"/>
              <w:jc w:val="center"/>
              <w:rPr>
                <w:sz w:val="18"/>
              </w:rPr>
            </w:pPr>
            <w:r w:rsidRPr="00D80FBF">
              <w:rPr>
                <w:sz w:val="18"/>
              </w:rPr>
              <w:t>22</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442BAAB" w14:textId="77777777" w:rsidR="007179EA" w:rsidRPr="00D80FBF" w:rsidRDefault="007179EA" w:rsidP="00B5605C">
            <w:pPr>
              <w:spacing w:before="60" w:after="60"/>
              <w:jc w:val="center"/>
              <w:rPr>
                <w:sz w:val="18"/>
              </w:rPr>
            </w:pPr>
            <w:r w:rsidRPr="00D80FBF">
              <w:rPr>
                <w:sz w:val="18"/>
              </w:rPr>
              <w:t>593</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EFFFC26" w14:textId="77777777" w:rsidR="007179EA" w:rsidRPr="00D80FBF" w:rsidRDefault="007179EA" w:rsidP="00B5605C">
            <w:pPr>
              <w:tabs>
                <w:tab w:val="decimal" w:pos="380"/>
              </w:tabs>
              <w:spacing w:before="60" w:after="60"/>
              <w:rPr>
                <w:sz w:val="18"/>
              </w:rPr>
            </w:pPr>
            <w:r w:rsidRPr="00D80FBF">
              <w:rPr>
                <w:sz w:val="18"/>
              </w:rPr>
              <w:t>10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D792954" w14:textId="77777777" w:rsidR="007179EA" w:rsidRPr="00D80FBF" w:rsidRDefault="007179EA" w:rsidP="00B5605C">
            <w:pPr>
              <w:spacing w:before="60" w:after="60"/>
              <w:jc w:val="center"/>
              <w:rPr>
                <w:sz w:val="18"/>
              </w:rPr>
            </w:pPr>
            <w:r w:rsidRPr="00D80FBF">
              <w:rPr>
                <w:sz w:val="18"/>
              </w:rPr>
              <w:t>820</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C334818" w14:textId="77777777" w:rsidR="007179EA" w:rsidRPr="00D80FBF" w:rsidRDefault="007179EA" w:rsidP="00B5605C">
            <w:pPr>
              <w:tabs>
                <w:tab w:val="decimal" w:pos="334"/>
              </w:tabs>
              <w:spacing w:before="60" w:after="60"/>
              <w:rPr>
                <w:sz w:val="18"/>
              </w:rPr>
            </w:pPr>
            <w:r w:rsidRPr="00D80FBF">
              <w:rPr>
                <w:sz w:val="18"/>
              </w:rPr>
              <w:t>14</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6618C9E" w14:textId="77777777" w:rsidR="007179EA" w:rsidRPr="00D80FBF" w:rsidRDefault="007179EA" w:rsidP="00B5605C">
            <w:pPr>
              <w:spacing w:before="60" w:after="60"/>
              <w:jc w:val="center"/>
              <w:rPr>
                <w:sz w:val="18"/>
              </w:rPr>
            </w:pPr>
            <w:r w:rsidRPr="00D80FBF">
              <w:rPr>
                <w:sz w:val="18"/>
              </w:rPr>
              <w:t>5,713</w:t>
            </w:r>
          </w:p>
        </w:tc>
      </w:tr>
      <w:tr w:rsidR="007179EA" w:rsidRPr="00D80FBF" w14:paraId="4B6BF5CC"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1A8A7D" w14:textId="77777777" w:rsidR="007179EA" w:rsidRPr="00D80FBF" w:rsidRDefault="007179EA" w:rsidP="00B5605C">
            <w:pPr>
              <w:spacing w:before="60" w:after="60"/>
              <w:rPr>
                <w:sz w:val="18"/>
              </w:rPr>
            </w:pPr>
            <w:r w:rsidRPr="00D80FBF">
              <w:rPr>
                <w:sz w:val="18"/>
              </w:rPr>
              <w:t>2017/18</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93FB2AE" w14:textId="77777777" w:rsidR="007179EA" w:rsidRPr="00D80FBF" w:rsidRDefault="007179EA" w:rsidP="00B5605C">
            <w:pPr>
              <w:spacing w:before="60" w:after="60"/>
              <w:jc w:val="center"/>
              <w:rPr>
                <w:sz w:val="18"/>
              </w:rPr>
            </w:pPr>
            <w:r w:rsidRPr="00D80FBF">
              <w:rPr>
                <w:sz w:val="18"/>
              </w:rPr>
              <w:t>2,635</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BB68BD0" w14:textId="77777777" w:rsidR="007179EA" w:rsidRPr="00D80FBF" w:rsidRDefault="007179EA" w:rsidP="00B5605C">
            <w:pPr>
              <w:spacing w:before="60" w:after="60"/>
              <w:jc w:val="center"/>
              <w:rPr>
                <w:sz w:val="18"/>
              </w:rPr>
            </w:pPr>
            <w:r w:rsidRPr="00D80FBF">
              <w:rPr>
                <w:sz w:val="18"/>
              </w:rPr>
              <w:t>53</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51E72CC" w14:textId="77777777" w:rsidR="007179EA" w:rsidRPr="00D80FBF" w:rsidRDefault="007179EA" w:rsidP="00B5605C">
            <w:pPr>
              <w:tabs>
                <w:tab w:val="decimal" w:pos="510"/>
              </w:tabs>
              <w:spacing w:before="60" w:after="60"/>
              <w:rPr>
                <w:sz w:val="18"/>
              </w:rPr>
            </w:pPr>
            <w:r w:rsidRPr="00D80FBF">
              <w:rPr>
                <w:sz w:val="18"/>
              </w:rPr>
              <w:t>1,135</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C26B37B" w14:textId="77777777" w:rsidR="007179EA" w:rsidRPr="00D80FBF" w:rsidRDefault="007179EA" w:rsidP="00B5605C">
            <w:pPr>
              <w:spacing w:before="60" w:after="60"/>
              <w:jc w:val="center"/>
              <w:rPr>
                <w:sz w:val="18"/>
              </w:rPr>
            </w:pPr>
            <w:r w:rsidRPr="00D80FBF">
              <w:rPr>
                <w:sz w:val="18"/>
              </w:rPr>
              <w:t>23</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03C05871" w14:textId="77777777" w:rsidR="007179EA" w:rsidRPr="00D80FBF" w:rsidRDefault="007179EA" w:rsidP="00B5605C">
            <w:pPr>
              <w:spacing w:before="60" w:after="60"/>
              <w:jc w:val="center"/>
              <w:rPr>
                <w:sz w:val="18"/>
              </w:rPr>
            </w:pPr>
            <w:r w:rsidRPr="00D80FBF">
              <w:rPr>
                <w:sz w:val="18"/>
              </w:rPr>
              <w:t>515</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50DA9F7" w14:textId="77777777" w:rsidR="007179EA" w:rsidRPr="00D80FBF" w:rsidRDefault="007179EA" w:rsidP="00B5605C">
            <w:pPr>
              <w:tabs>
                <w:tab w:val="decimal" w:pos="380"/>
              </w:tabs>
              <w:spacing w:before="60" w:after="60"/>
              <w:rPr>
                <w:sz w:val="18"/>
              </w:rPr>
            </w:pPr>
            <w:r w:rsidRPr="00D80FBF">
              <w:rPr>
                <w:sz w:val="18"/>
              </w:rPr>
              <w:t>10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83E2412" w14:textId="77777777" w:rsidR="007179EA" w:rsidRPr="00D80FBF" w:rsidRDefault="007179EA" w:rsidP="00B5605C">
            <w:pPr>
              <w:spacing w:before="60" w:after="60"/>
              <w:jc w:val="center"/>
              <w:rPr>
                <w:sz w:val="18"/>
              </w:rPr>
            </w:pPr>
            <w:r w:rsidRPr="00D80FBF">
              <w:rPr>
                <w:sz w:val="18"/>
              </w:rPr>
              <w:t>657</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2FAC15A" w14:textId="77777777" w:rsidR="007179EA" w:rsidRPr="00D80FBF" w:rsidRDefault="007179EA" w:rsidP="00B5605C">
            <w:pPr>
              <w:tabs>
                <w:tab w:val="decimal" w:pos="334"/>
              </w:tabs>
              <w:spacing w:before="60" w:after="60"/>
              <w:rPr>
                <w:sz w:val="18"/>
              </w:rPr>
            </w:pPr>
            <w:r w:rsidRPr="00D80FBF">
              <w:rPr>
                <w:sz w:val="18"/>
              </w:rPr>
              <w:t>13</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8D84214" w14:textId="77777777" w:rsidR="007179EA" w:rsidRPr="00D80FBF" w:rsidRDefault="007179EA" w:rsidP="00B5605C">
            <w:pPr>
              <w:spacing w:before="60" w:after="60"/>
              <w:jc w:val="center"/>
              <w:rPr>
                <w:sz w:val="18"/>
              </w:rPr>
            </w:pPr>
            <w:r w:rsidRPr="00D80FBF">
              <w:rPr>
                <w:sz w:val="18"/>
              </w:rPr>
              <w:t>4,941</w:t>
            </w:r>
          </w:p>
        </w:tc>
      </w:tr>
      <w:tr w:rsidR="007179EA" w:rsidRPr="00D80FBF" w14:paraId="2B9D360A"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C17F9C" w14:textId="77777777" w:rsidR="007179EA" w:rsidRPr="00D80FBF" w:rsidRDefault="007179EA" w:rsidP="00B5605C">
            <w:pPr>
              <w:spacing w:before="60" w:after="60"/>
              <w:rPr>
                <w:sz w:val="18"/>
              </w:rPr>
            </w:pPr>
            <w:r w:rsidRPr="00D80FBF">
              <w:rPr>
                <w:sz w:val="18"/>
              </w:rPr>
              <w:t>2018/19</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54937C0" w14:textId="77777777" w:rsidR="007179EA" w:rsidRPr="00D80FBF" w:rsidRDefault="007179EA" w:rsidP="00B5605C">
            <w:pPr>
              <w:spacing w:before="60" w:after="60"/>
              <w:jc w:val="center"/>
              <w:rPr>
                <w:sz w:val="18"/>
              </w:rPr>
            </w:pPr>
            <w:r w:rsidRPr="00D80FBF">
              <w:rPr>
                <w:sz w:val="18"/>
              </w:rPr>
              <w:t>2,403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4EC7D72" w14:textId="77777777" w:rsidR="007179EA" w:rsidRPr="00D80FBF" w:rsidRDefault="007179EA" w:rsidP="00B5605C">
            <w:pPr>
              <w:spacing w:before="60" w:after="60"/>
              <w:jc w:val="center"/>
              <w:rPr>
                <w:sz w:val="18"/>
              </w:rPr>
            </w:pPr>
            <w:r w:rsidRPr="00D80FBF">
              <w:rPr>
                <w:sz w:val="18"/>
              </w:rPr>
              <w:t>55</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F9536D5" w14:textId="77777777" w:rsidR="007179EA" w:rsidRPr="00D80FBF" w:rsidRDefault="007179EA" w:rsidP="00B5605C">
            <w:pPr>
              <w:tabs>
                <w:tab w:val="decimal" w:pos="510"/>
              </w:tabs>
              <w:spacing w:before="60" w:after="60"/>
              <w:rPr>
                <w:sz w:val="18"/>
              </w:rPr>
            </w:pPr>
            <w:r w:rsidRPr="00D80FBF">
              <w:rPr>
                <w:sz w:val="18"/>
              </w:rPr>
              <w:t>942</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A6580F8" w14:textId="77777777" w:rsidR="007179EA" w:rsidRPr="00D80FBF" w:rsidRDefault="007179EA" w:rsidP="00B5605C">
            <w:pPr>
              <w:spacing w:before="60" w:after="60"/>
              <w:jc w:val="center"/>
              <w:rPr>
                <w:sz w:val="18"/>
              </w:rPr>
            </w:pPr>
            <w:r w:rsidRPr="00D80FBF">
              <w:rPr>
                <w:sz w:val="18"/>
              </w:rPr>
              <w:t>22</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31159AC" w14:textId="77777777" w:rsidR="007179EA" w:rsidRPr="00D80FBF" w:rsidRDefault="007179EA" w:rsidP="00B5605C">
            <w:pPr>
              <w:spacing w:before="60" w:after="60"/>
              <w:jc w:val="center"/>
              <w:rPr>
                <w:sz w:val="18"/>
              </w:rPr>
            </w:pPr>
            <w:r w:rsidRPr="00D80FBF">
              <w:rPr>
                <w:sz w:val="18"/>
              </w:rPr>
              <w:t>489</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BAA0270" w14:textId="77777777" w:rsidR="007179EA" w:rsidRPr="00D80FBF" w:rsidRDefault="007179EA" w:rsidP="00B5605C">
            <w:pPr>
              <w:tabs>
                <w:tab w:val="decimal" w:pos="380"/>
              </w:tabs>
              <w:spacing w:before="60" w:after="60"/>
              <w:rPr>
                <w:sz w:val="18"/>
              </w:rPr>
            </w:pPr>
            <w:r w:rsidRPr="00D80FBF">
              <w:rPr>
                <w:sz w:val="18"/>
              </w:rPr>
              <w:t>11</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42C4C32" w14:textId="77777777" w:rsidR="007179EA" w:rsidRPr="00D80FBF" w:rsidRDefault="007179EA" w:rsidP="00B5605C">
            <w:pPr>
              <w:spacing w:before="60" w:after="60"/>
              <w:jc w:val="center"/>
              <w:rPr>
                <w:sz w:val="18"/>
              </w:rPr>
            </w:pPr>
            <w:r w:rsidRPr="00D80FBF">
              <w:rPr>
                <w:sz w:val="18"/>
              </w:rPr>
              <w:t>514</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273D4E9" w14:textId="77777777" w:rsidR="007179EA" w:rsidRPr="00D80FBF" w:rsidRDefault="007179EA" w:rsidP="00B5605C">
            <w:pPr>
              <w:tabs>
                <w:tab w:val="decimal" w:pos="334"/>
              </w:tabs>
              <w:spacing w:before="60" w:after="60"/>
              <w:rPr>
                <w:sz w:val="18"/>
              </w:rPr>
            </w:pPr>
            <w:r w:rsidRPr="00D80FBF">
              <w:rPr>
                <w:sz w:val="18"/>
              </w:rPr>
              <w:t>12</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0BBB1B5" w14:textId="77777777" w:rsidR="007179EA" w:rsidRPr="00D80FBF" w:rsidRDefault="007179EA" w:rsidP="00B5605C">
            <w:pPr>
              <w:spacing w:before="60" w:after="60"/>
              <w:jc w:val="center"/>
              <w:rPr>
                <w:sz w:val="18"/>
              </w:rPr>
            </w:pPr>
            <w:r w:rsidRPr="00D80FBF">
              <w:rPr>
                <w:sz w:val="18"/>
              </w:rPr>
              <w:t>4,348</w:t>
            </w:r>
          </w:p>
        </w:tc>
      </w:tr>
      <w:tr w:rsidR="007179EA" w:rsidRPr="00D80FBF" w14:paraId="2207192A"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2EDA79" w14:textId="77777777" w:rsidR="007179EA" w:rsidRPr="00D80FBF" w:rsidRDefault="007179EA" w:rsidP="00B5605C">
            <w:pPr>
              <w:spacing w:before="60" w:after="60"/>
              <w:rPr>
                <w:sz w:val="18"/>
              </w:rPr>
            </w:pPr>
            <w:r w:rsidRPr="00D80FBF">
              <w:rPr>
                <w:sz w:val="18"/>
              </w:rPr>
              <w:t>2019/20</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58040AE" w14:textId="77777777" w:rsidR="007179EA" w:rsidRPr="00D80FBF" w:rsidRDefault="007179EA" w:rsidP="00B5605C">
            <w:pPr>
              <w:spacing w:before="60" w:after="60"/>
              <w:jc w:val="center"/>
              <w:rPr>
                <w:sz w:val="18"/>
              </w:rPr>
            </w:pPr>
            <w:r w:rsidRPr="00D80FBF">
              <w:rPr>
                <w:sz w:val="18"/>
              </w:rPr>
              <w:t>2,098</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43E1C31" w14:textId="77777777" w:rsidR="007179EA" w:rsidRPr="00D80FBF" w:rsidRDefault="007179EA" w:rsidP="00B5605C">
            <w:pPr>
              <w:spacing w:before="60" w:after="60"/>
              <w:jc w:val="center"/>
              <w:rPr>
                <w:sz w:val="18"/>
              </w:rPr>
            </w:pPr>
            <w:r w:rsidRPr="00D80FBF">
              <w:rPr>
                <w:sz w:val="18"/>
              </w:rPr>
              <w:t>54</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DCC5A7F" w14:textId="77777777" w:rsidR="007179EA" w:rsidRPr="00D80FBF" w:rsidRDefault="007179EA" w:rsidP="00B5605C">
            <w:pPr>
              <w:tabs>
                <w:tab w:val="decimal" w:pos="510"/>
              </w:tabs>
              <w:spacing w:before="60" w:after="60"/>
              <w:rPr>
                <w:sz w:val="18"/>
              </w:rPr>
            </w:pPr>
            <w:r w:rsidRPr="00D80FBF">
              <w:rPr>
                <w:sz w:val="18"/>
              </w:rPr>
              <w:t>898</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3B873AF" w14:textId="77777777" w:rsidR="007179EA" w:rsidRPr="00D80FBF" w:rsidRDefault="007179EA" w:rsidP="00B5605C">
            <w:pPr>
              <w:spacing w:before="60" w:after="60"/>
              <w:jc w:val="center"/>
              <w:rPr>
                <w:sz w:val="18"/>
              </w:rPr>
            </w:pPr>
            <w:r w:rsidRPr="00D80FBF">
              <w:rPr>
                <w:sz w:val="18"/>
              </w:rPr>
              <w:t>23</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63AC73C" w14:textId="77777777" w:rsidR="007179EA" w:rsidRPr="00D80FBF" w:rsidRDefault="007179EA" w:rsidP="00B5605C">
            <w:pPr>
              <w:spacing w:before="60" w:after="60"/>
              <w:jc w:val="center"/>
              <w:rPr>
                <w:sz w:val="18"/>
              </w:rPr>
            </w:pPr>
            <w:r w:rsidRPr="00D80FBF">
              <w:rPr>
                <w:sz w:val="18"/>
              </w:rPr>
              <w:t>405</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7FA0749" w14:textId="77777777" w:rsidR="007179EA" w:rsidRPr="00D80FBF" w:rsidRDefault="007179EA" w:rsidP="00B5605C">
            <w:pPr>
              <w:tabs>
                <w:tab w:val="decimal" w:pos="380"/>
              </w:tabs>
              <w:spacing w:before="60" w:after="60"/>
              <w:rPr>
                <w:sz w:val="18"/>
              </w:rPr>
            </w:pPr>
            <w:r w:rsidRPr="00D80FBF">
              <w:rPr>
                <w:sz w:val="18"/>
              </w:rPr>
              <w:t>10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DF66816" w14:textId="77777777" w:rsidR="007179EA" w:rsidRPr="00D80FBF" w:rsidRDefault="007179EA" w:rsidP="00B5605C">
            <w:pPr>
              <w:spacing w:before="60" w:after="60"/>
              <w:jc w:val="center"/>
              <w:rPr>
                <w:sz w:val="18"/>
              </w:rPr>
            </w:pPr>
            <w:r w:rsidRPr="00D80FBF">
              <w:rPr>
                <w:sz w:val="18"/>
              </w:rPr>
              <w:t>508</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1041BC2" w14:textId="77777777" w:rsidR="007179EA" w:rsidRPr="00D80FBF" w:rsidRDefault="007179EA" w:rsidP="00B5605C">
            <w:pPr>
              <w:tabs>
                <w:tab w:val="decimal" w:pos="334"/>
              </w:tabs>
              <w:spacing w:before="60" w:after="60"/>
              <w:rPr>
                <w:sz w:val="18"/>
              </w:rPr>
            </w:pPr>
            <w:r w:rsidRPr="00D80FBF">
              <w:rPr>
                <w:sz w:val="18"/>
              </w:rPr>
              <w:t>13</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5A9E6C6" w14:textId="77777777" w:rsidR="007179EA" w:rsidRPr="00D80FBF" w:rsidRDefault="007179EA" w:rsidP="00B5605C">
            <w:pPr>
              <w:spacing w:before="60" w:after="60"/>
              <w:jc w:val="center"/>
              <w:rPr>
                <w:sz w:val="18"/>
              </w:rPr>
            </w:pPr>
            <w:r w:rsidRPr="00D80FBF">
              <w:rPr>
                <w:sz w:val="18"/>
              </w:rPr>
              <w:t>3,909</w:t>
            </w:r>
          </w:p>
        </w:tc>
      </w:tr>
      <w:tr w:rsidR="007179EA" w:rsidRPr="00D80FBF" w14:paraId="1E81DFBB" w14:textId="77777777" w:rsidTr="00B5605C">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5D34EE" w14:textId="77777777" w:rsidR="007179EA" w:rsidRPr="00D80FBF" w:rsidRDefault="007179EA" w:rsidP="00B5605C">
            <w:pPr>
              <w:spacing w:before="60" w:after="60"/>
              <w:rPr>
                <w:sz w:val="18"/>
              </w:rPr>
            </w:pPr>
            <w:r w:rsidRPr="00D80FBF">
              <w:rPr>
                <w:sz w:val="18"/>
              </w:rPr>
              <w:t>2020/21</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3C44BAD" w14:textId="77777777" w:rsidR="007179EA" w:rsidRPr="00D80FBF" w:rsidRDefault="007179EA" w:rsidP="00B5605C">
            <w:pPr>
              <w:spacing w:before="60" w:after="60"/>
              <w:jc w:val="center"/>
              <w:rPr>
                <w:sz w:val="18"/>
              </w:rPr>
            </w:pPr>
            <w:r w:rsidRPr="00D80FBF">
              <w:rPr>
                <w:sz w:val="18"/>
              </w:rPr>
              <w:t>2,331</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C98150B" w14:textId="77777777" w:rsidR="007179EA" w:rsidRPr="00D80FBF" w:rsidRDefault="007179EA" w:rsidP="00B5605C">
            <w:pPr>
              <w:spacing w:before="60" w:after="60"/>
              <w:jc w:val="center"/>
              <w:rPr>
                <w:sz w:val="18"/>
              </w:rPr>
            </w:pPr>
            <w:r w:rsidRPr="00D80FBF">
              <w:rPr>
                <w:sz w:val="18"/>
              </w:rPr>
              <w:t>57</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16C4818" w14:textId="77777777" w:rsidR="007179EA" w:rsidRPr="00D80FBF" w:rsidRDefault="007179EA" w:rsidP="00B5605C">
            <w:pPr>
              <w:tabs>
                <w:tab w:val="decimal" w:pos="510"/>
              </w:tabs>
              <w:spacing w:before="60" w:after="60"/>
              <w:rPr>
                <w:sz w:val="18"/>
              </w:rPr>
            </w:pPr>
            <w:r w:rsidRPr="00D80FBF">
              <w:rPr>
                <w:sz w:val="18"/>
              </w:rPr>
              <w:t>845</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216BFB8" w14:textId="77777777" w:rsidR="007179EA" w:rsidRPr="00D80FBF" w:rsidRDefault="007179EA" w:rsidP="00B5605C">
            <w:pPr>
              <w:spacing w:before="60" w:after="60"/>
              <w:jc w:val="center"/>
              <w:rPr>
                <w:sz w:val="18"/>
              </w:rPr>
            </w:pPr>
            <w:r w:rsidRPr="00D80FBF">
              <w:rPr>
                <w:sz w:val="18"/>
              </w:rPr>
              <w:t>21</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1DC5F18E" w14:textId="77777777" w:rsidR="007179EA" w:rsidRPr="00D80FBF" w:rsidRDefault="007179EA" w:rsidP="00B5605C">
            <w:pPr>
              <w:spacing w:before="60" w:after="60"/>
              <w:jc w:val="center"/>
              <w:rPr>
                <w:sz w:val="18"/>
              </w:rPr>
            </w:pPr>
            <w:r w:rsidRPr="00D80FBF">
              <w:rPr>
                <w:sz w:val="18"/>
              </w:rPr>
              <w:t>422</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DD083CA" w14:textId="77777777" w:rsidR="007179EA" w:rsidRPr="00D80FBF" w:rsidRDefault="007179EA" w:rsidP="00B5605C">
            <w:pPr>
              <w:tabs>
                <w:tab w:val="decimal" w:pos="380"/>
              </w:tabs>
              <w:spacing w:before="60" w:after="60"/>
              <w:rPr>
                <w:sz w:val="18"/>
              </w:rPr>
            </w:pPr>
            <w:r w:rsidRPr="00D80FBF">
              <w:rPr>
                <w:sz w:val="18"/>
              </w:rPr>
              <w:t>10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35CC6DB" w14:textId="77777777" w:rsidR="007179EA" w:rsidRPr="00D80FBF" w:rsidRDefault="007179EA" w:rsidP="00B5605C">
            <w:pPr>
              <w:spacing w:before="60" w:after="60"/>
              <w:jc w:val="center"/>
              <w:rPr>
                <w:sz w:val="18"/>
              </w:rPr>
            </w:pPr>
            <w:r w:rsidRPr="00D80FBF">
              <w:rPr>
                <w:sz w:val="18"/>
              </w:rPr>
              <w:t>513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9459DAC" w14:textId="77777777" w:rsidR="007179EA" w:rsidRPr="00D80FBF" w:rsidRDefault="007179EA" w:rsidP="00B5605C">
            <w:pPr>
              <w:tabs>
                <w:tab w:val="decimal" w:pos="334"/>
              </w:tabs>
              <w:spacing w:before="60" w:after="60"/>
              <w:rPr>
                <w:sz w:val="18"/>
              </w:rPr>
            </w:pPr>
            <w:r w:rsidRPr="00D80FBF">
              <w:rPr>
                <w:sz w:val="18"/>
              </w:rPr>
              <w:t>12</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6EBE885A" w14:textId="77777777" w:rsidR="007179EA" w:rsidRPr="00D80FBF" w:rsidRDefault="007179EA" w:rsidP="00B5605C">
            <w:pPr>
              <w:spacing w:before="60" w:after="60"/>
              <w:jc w:val="center"/>
              <w:rPr>
                <w:sz w:val="18"/>
              </w:rPr>
            </w:pPr>
            <w:r w:rsidRPr="00D80FBF">
              <w:rPr>
                <w:sz w:val="18"/>
              </w:rPr>
              <w:t>4,110</w:t>
            </w:r>
          </w:p>
        </w:tc>
      </w:tr>
    </w:tbl>
    <w:p w14:paraId="7770C64C" w14:textId="77777777" w:rsidR="007179EA" w:rsidRPr="00D80FBF" w:rsidRDefault="007179EA" w:rsidP="00B5605C">
      <w:pPr>
        <w:pStyle w:val="Note"/>
      </w:pPr>
      <w:r w:rsidRPr="00D80FBF">
        <w:t xml:space="preserve">Note: The sum of the rows may differ from the total shown in the </w:t>
      </w:r>
      <w:r w:rsidR="00BC6B27">
        <w:t>‘</w:t>
      </w:r>
      <w:r w:rsidRPr="00D80FBF">
        <w:t>Total</w:t>
      </w:r>
      <w:r w:rsidR="00BC6B27">
        <w:t>’</w:t>
      </w:r>
      <w:r w:rsidRPr="00D80FBF">
        <w:t xml:space="preserve"> column due to rounding</w:t>
      </w:r>
      <w:r>
        <w:t>.</w:t>
      </w:r>
      <w:r w:rsidR="00BC6B27">
        <w:t xml:space="preserve"> </w:t>
      </w:r>
      <w:r>
        <w:t xml:space="preserve">The figures in this table are </w:t>
      </w:r>
      <w:r w:rsidRPr="009C191F">
        <w:t xml:space="preserve">lower than </w:t>
      </w:r>
      <w:r>
        <w:t xml:space="preserve">service data presentations </w:t>
      </w:r>
      <w:r w:rsidRPr="009C191F">
        <w:t xml:space="preserve">described earlier because the </w:t>
      </w:r>
      <w:r>
        <w:t xml:space="preserve">levy calculation is based only on </w:t>
      </w:r>
      <w:r w:rsidRPr="009C191F">
        <w:t>presentations attributed to the four main levy paying sectors</w:t>
      </w:r>
      <w:r w:rsidRPr="00D80FBF">
        <w:t>.</w:t>
      </w:r>
    </w:p>
    <w:p w14:paraId="3C7448BF" w14:textId="77777777" w:rsidR="007179EA" w:rsidRPr="00D80FBF" w:rsidRDefault="007179EA" w:rsidP="00B5605C">
      <w:pPr>
        <w:pStyle w:val="Source"/>
      </w:pPr>
      <w:r w:rsidRPr="00D80FBF">
        <w:t xml:space="preserve">Source: Service user data, Ministry of Health and 2020/21 CLIC data. URL: </w:t>
      </w:r>
      <w:hyperlink r:id="rId29" w:history="1">
        <w:r w:rsidRPr="00D80FBF">
          <w:rPr>
            <w:b/>
            <w:color w:val="595959" w:themeColor="text1" w:themeTint="A6"/>
          </w:rPr>
          <w:t>www.health.govt.nz/our-work/mental-health-and-addictions/problem-gambling/service-user-data/intervention-client-data</w:t>
        </w:r>
      </w:hyperlink>
      <w:r w:rsidRPr="00D80FBF">
        <w:t xml:space="preserve"> (accessed 12 November 2021).</w:t>
      </w:r>
    </w:p>
    <w:p w14:paraId="54179A08" w14:textId="77777777" w:rsidR="007179EA" w:rsidRPr="00D80FBF" w:rsidRDefault="007179EA" w:rsidP="00B5605C"/>
    <w:p w14:paraId="287D0C29" w14:textId="185206CF" w:rsidR="007179EA" w:rsidRPr="00D80FBF" w:rsidRDefault="007179EA" w:rsidP="00B5605C">
      <w:r w:rsidRPr="00D80FBF">
        <w:t xml:space="preserve">When considering the data presented in </w:t>
      </w:r>
      <w:r w:rsidRPr="00D80FBF">
        <w:fldChar w:fldCharType="begin"/>
      </w:r>
      <w:r w:rsidRPr="00D80FBF">
        <w:instrText xml:space="preserve"> REF _Ref80795731 \h </w:instrText>
      </w:r>
      <w:r w:rsidRPr="00D80FBF">
        <w:fldChar w:fldCharType="separate"/>
      </w:r>
      <w:r w:rsidR="00451900">
        <w:t>Table </w:t>
      </w:r>
      <w:r w:rsidR="00451900">
        <w:rPr>
          <w:noProof/>
        </w:rPr>
        <w:t>12</w:t>
      </w:r>
      <w:r w:rsidRPr="00D80FBF">
        <w:fldChar w:fldCharType="end"/>
      </w:r>
      <w:r w:rsidRPr="00D80FBF">
        <w:t xml:space="preserve">, note that from 1 October 2011, the Ministry required service providers to enter as PPGMs all forms of gambling that were causing a client </w:t>
      </w:r>
      <w:r w:rsidR="00BC6B27">
        <w:t>‘</w:t>
      </w:r>
      <w:r w:rsidRPr="00D80FBF">
        <w:t>significant harm</w:t>
      </w:r>
      <w:r w:rsidR="00BC6B27">
        <w:t>’</w:t>
      </w:r>
      <w:r w:rsidRPr="00D80FBF">
        <w:t xml:space="preserve"> and to enter as secondary modes of problem gambling all forms of gambling that were causing a client </w:t>
      </w:r>
      <w:r w:rsidR="00BC6B27">
        <w:t>‘</w:t>
      </w:r>
      <w:r w:rsidRPr="00D80FBF">
        <w:t>harm</w:t>
      </w:r>
      <w:r w:rsidR="00BC6B27">
        <w:t>’</w:t>
      </w:r>
      <w:r w:rsidRPr="00D80FBF">
        <w:t xml:space="preserve"> (up to a maximum of five in each case). Accordingly, the Ministry considers that its presentation figures from 2012/13 onwards are more reliable and appropriate than its earlier figures.</w:t>
      </w:r>
    </w:p>
    <w:p w14:paraId="60483FE8" w14:textId="77777777" w:rsidR="007179EA" w:rsidRPr="00D80FBF" w:rsidRDefault="007179EA" w:rsidP="00B5605C"/>
    <w:p w14:paraId="4EC89E44" w14:textId="77777777" w:rsidR="007179EA" w:rsidRPr="00D80FBF" w:rsidRDefault="007179EA" w:rsidP="00B5605C">
      <w:r w:rsidRPr="00D80FBF">
        <w:t>Other points to note from this table are as follows.</w:t>
      </w:r>
    </w:p>
    <w:p w14:paraId="016C81A1" w14:textId="77777777" w:rsidR="007179EA" w:rsidRPr="00D80FBF" w:rsidRDefault="007179EA" w:rsidP="00B5605C">
      <w:pPr>
        <w:pStyle w:val="Bullet"/>
      </w:pPr>
      <w:r w:rsidRPr="00D80FBF">
        <w:t>The number of NCGM presentations peaked in 2009/10, but the share of NCGM presentations peaked in 2004/05. Both figures have been declining unevenly since those respective dates. These patterns probably largely reflect the trend for reductions in both the number of NCGMs and NCGM venues and in the total NCGM sector expenditure as a proportion of the total gambling expenditure. Since 2015/16, the NCGMs</w:t>
      </w:r>
      <w:r w:rsidR="00BC6B27">
        <w:t>’</w:t>
      </w:r>
      <w:r w:rsidRPr="00D80FBF">
        <w:t xml:space="preserve"> share has remained at 53–57</w:t>
      </w:r>
      <w:r w:rsidR="001461C6">
        <w:t> percent</w:t>
      </w:r>
      <w:r w:rsidRPr="00D80FBF">
        <w:t>.</w:t>
      </w:r>
    </w:p>
    <w:p w14:paraId="3AB5B8AF" w14:textId="77777777" w:rsidR="007179EA" w:rsidRPr="00D80FBF" w:rsidRDefault="007179EA" w:rsidP="00B5605C">
      <w:pPr>
        <w:pStyle w:val="Bullet"/>
        <w:keepNext/>
      </w:pPr>
      <w:r w:rsidRPr="00D80FBF">
        <w:lastRenderedPageBreak/>
        <w:t xml:space="preserve">The </w:t>
      </w:r>
      <w:r w:rsidRPr="00D80FBF">
        <w:rPr>
          <w:i/>
          <w:iCs/>
        </w:rPr>
        <w:t xml:space="preserve">number </w:t>
      </w:r>
      <w:r w:rsidRPr="00D80FBF">
        <w:t xml:space="preserve">of casino presentations has increased each year since 2004/05 until peaking in 2014/15 and has declined slightly since. However, the casino </w:t>
      </w:r>
      <w:r w:rsidRPr="00D80FBF">
        <w:rPr>
          <w:i/>
          <w:iCs/>
        </w:rPr>
        <w:t>share</w:t>
      </w:r>
      <w:r w:rsidRPr="00D80FBF">
        <w:t xml:space="preserve"> of presentations has remained steady at around 21–23</w:t>
      </w:r>
      <w:r w:rsidR="001461C6">
        <w:t> percent</w:t>
      </w:r>
      <w:r w:rsidRPr="00D80FBF">
        <w:t xml:space="preserve"> since 2016/17.</w:t>
      </w:r>
    </w:p>
    <w:p w14:paraId="687AD815" w14:textId="77777777" w:rsidR="007179EA" w:rsidRPr="00D80FBF" w:rsidRDefault="007179EA" w:rsidP="00B5605C">
      <w:pPr>
        <w:pStyle w:val="Bullet"/>
      </w:pPr>
      <w:r w:rsidRPr="00D80FBF">
        <w:t xml:space="preserve">The </w:t>
      </w:r>
      <w:r w:rsidRPr="00D80FBF">
        <w:rPr>
          <w:i/>
          <w:iCs/>
        </w:rPr>
        <w:t xml:space="preserve">number </w:t>
      </w:r>
      <w:r w:rsidRPr="00D80FBF">
        <w:t xml:space="preserve">of TAB NZ presentations has risen each year since 2004/05 until peaking in 2014/15. The </w:t>
      </w:r>
      <w:r w:rsidRPr="00D80FBF">
        <w:rPr>
          <w:i/>
          <w:iCs/>
        </w:rPr>
        <w:t>share</w:t>
      </w:r>
      <w:r w:rsidRPr="00D80FBF">
        <w:t xml:space="preserve"> of TAB NZ presentations has remained steady at about 10</w:t>
      </w:r>
      <w:r w:rsidR="00B5605C">
        <w:t>–</w:t>
      </w:r>
      <w:r w:rsidRPr="00D80FBF">
        <w:t>11</w:t>
      </w:r>
      <w:r w:rsidR="001461C6">
        <w:t> percent</w:t>
      </w:r>
      <w:r w:rsidRPr="00D80FBF">
        <w:t xml:space="preserve"> since 2016/17.</w:t>
      </w:r>
    </w:p>
    <w:p w14:paraId="4BC08002" w14:textId="77777777" w:rsidR="007179EA" w:rsidRDefault="007179EA" w:rsidP="00B5605C">
      <w:pPr>
        <w:pStyle w:val="Bullet"/>
      </w:pPr>
      <w:r w:rsidRPr="00D80FBF">
        <w:t>The</w:t>
      </w:r>
      <w:r w:rsidRPr="00D80FBF">
        <w:rPr>
          <w:i/>
          <w:iCs/>
        </w:rPr>
        <w:t xml:space="preserve"> number </w:t>
      </w:r>
      <w:r w:rsidRPr="00D80FBF">
        <w:t xml:space="preserve">of Lotto New Zealand presentations has continued to increase since 2013/14 and peaked in 2016/17. The </w:t>
      </w:r>
      <w:r w:rsidRPr="00D80FBF">
        <w:rPr>
          <w:i/>
          <w:iCs/>
        </w:rPr>
        <w:t>share</w:t>
      </w:r>
      <w:r w:rsidRPr="00D80FBF">
        <w:t xml:space="preserve"> of presentations also peaked in 2016/17 and has remained steady at 12</w:t>
      </w:r>
      <w:r w:rsidR="00B5605C">
        <w:t>–</w:t>
      </w:r>
      <w:r w:rsidRPr="00D80FBF">
        <w:t>14</w:t>
      </w:r>
      <w:r w:rsidR="001461C6">
        <w:t> percent</w:t>
      </w:r>
      <w:r w:rsidRPr="00D80FBF">
        <w:t xml:space="preserve"> over the last few</w:t>
      </w:r>
      <w:r w:rsidR="0018228E">
        <w:t> years</w:t>
      </w:r>
      <w:r w:rsidRPr="00D80FBF">
        <w:t>. These patterns coincide with the increase in expenditure over this time.</w:t>
      </w:r>
    </w:p>
    <w:p w14:paraId="32FBB986" w14:textId="77777777" w:rsidR="00B5605C" w:rsidRPr="00D80FBF" w:rsidRDefault="00B5605C" w:rsidP="00B5605C"/>
    <w:p w14:paraId="7E0919A0" w14:textId="77777777" w:rsidR="007179EA" w:rsidRPr="00D80FBF" w:rsidRDefault="007179EA" w:rsidP="008B7780">
      <w:pPr>
        <w:pStyle w:val="Heading3"/>
      </w:pPr>
      <w:bookmarkStart w:id="293" w:name="_Toc71102179"/>
      <w:bookmarkStart w:id="294" w:name="_Toc78882320"/>
      <w:bookmarkStart w:id="295" w:name="_Toc65389478"/>
      <w:r w:rsidRPr="00D80FBF">
        <w:t>The funding requirement (C)</w:t>
      </w:r>
      <w:bookmarkEnd w:id="293"/>
      <w:bookmarkEnd w:id="294"/>
    </w:p>
    <w:p w14:paraId="3E29080F" w14:textId="77777777" w:rsidR="007179EA" w:rsidRPr="00BA2DF6" w:rsidRDefault="007179EA" w:rsidP="008B7780">
      <w:r w:rsidRPr="00BA2DF6">
        <w:t xml:space="preserve">The funding requirement represented by </w:t>
      </w:r>
      <w:r w:rsidRPr="00BA2DF6">
        <w:rPr>
          <w:b/>
        </w:rPr>
        <w:t>C</w:t>
      </w:r>
      <w:r w:rsidRPr="00BA2DF6">
        <w:t xml:space="preserve"> in the formula is the total cost of the strategy for 2022/23 to 2024/25, which the Ministry estimates as </w:t>
      </w:r>
      <w:r w:rsidRPr="003D2E77">
        <w:t>$</w:t>
      </w:r>
      <w:r w:rsidRPr="006550E7">
        <w:t>76.</w:t>
      </w:r>
      <w:r>
        <w:t>123</w:t>
      </w:r>
      <w:r w:rsidR="00046A83">
        <w:t> million</w:t>
      </w:r>
      <w:r w:rsidRPr="00BA2DF6">
        <w:t>.</w:t>
      </w:r>
    </w:p>
    <w:p w14:paraId="472707E2" w14:textId="77777777" w:rsidR="007179EA" w:rsidRPr="006550E7" w:rsidRDefault="007179EA" w:rsidP="008B7780"/>
    <w:p w14:paraId="3F663A2D" w14:textId="77777777" w:rsidR="007179EA" w:rsidRDefault="007179EA" w:rsidP="008B7780">
      <w:r w:rsidRPr="006550E7">
        <w:t xml:space="preserve">The draft service plan described in </w:t>
      </w:r>
      <w:hyperlink w:anchor="_Draft_service_plan" w:history="1">
        <w:r w:rsidRPr="00BA2DF6">
          <w:rPr>
            <w:b/>
            <w:color w:val="595959" w:themeColor="text1" w:themeTint="A6"/>
          </w:rPr>
          <w:t>section 4</w:t>
        </w:r>
      </w:hyperlink>
      <w:r w:rsidRPr="00BA2DF6">
        <w:t xml:space="preserve"> above sets out details about the </w:t>
      </w:r>
      <w:r w:rsidRPr="003D2E77">
        <w:t>$76.</w:t>
      </w:r>
      <w:r>
        <w:t>123</w:t>
      </w:r>
      <w:r w:rsidR="00046A83">
        <w:t> million</w:t>
      </w:r>
      <w:r w:rsidRPr="00BA2DF6">
        <w:t xml:space="preserve"> cost to provide and implement the strategy. This amount is </w:t>
      </w:r>
      <w:r w:rsidRPr="003D2E77">
        <w:t>$</w:t>
      </w:r>
      <w:r>
        <w:t>15.784</w:t>
      </w:r>
      <w:r w:rsidR="00046A83">
        <w:t> million</w:t>
      </w:r>
      <w:r w:rsidRPr="00BA2DF6">
        <w:t xml:space="preserve"> more than for the current levy period. The reasons for this additional funding are discussed in</w:t>
      </w:r>
      <w:r w:rsidRPr="006550E7">
        <w:t xml:space="preserve"> the Service Plan.</w:t>
      </w:r>
    </w:p>
    <w:p w14:paraId="4FD2985A" w14:textId="77777777" w:rsidR="008B7780" w:rsidRPr="00D80FBF" w:rsidRDefault="008B7780" w:rsidP="008B7780"/>
    <w:p w14:paraId="5D2BA3E3" w14:textId="77777777" w:rsidR="007179EA" w:rsidRPr="00D80FBF" w:rsidRDefault="007179EA" w:rsidP="008B7780">
      <w:pPr>
        <w:pStyle w:val="Heading3"/>
      </w:pPr>
      <w:bookmarkStart w:id="296" w:name="_Toc71102180"/>
      <w:bookmarkStart w:id="297" w:name="_Toc78882321"/>
      <w:r w:rsidRPr="00D80FBF">
        <w:t>Forecast player expenditure (D)</w:t>
      </w:r>
      <w:bookmarkEnd w:id="296"/>
      <w:bookmarkEnd w:id="297"/>
    </w:p>
    <w:p w14:paraId="6E3B2A95" w14:textId="77777777" w:rsidR="007179EA" w:rsidRPr="00D80FBF" w:rsidRDefault="007179EA" w:rsidP="008B7780">
      <w:r w:rsidRPr="00D80FBF">
        <w:t xml:space="preserve">The amounts represented by </w:t>
      </w:r>
      <w:r w:rsidRPr="00D80FBF">
        <w:rPr>
          <w:b/>
        </w:rPr>
        <w:t>D</w:t>
      </w:r>
      <w:r w:rsidRPr="00D80FBF">
        <w:t xml:space="preserve"> in the formula are sector-by-sector forecasts of the amounts that DIA expects </w:t>
      </w:r>
      <w:r>
        <w:t>people who gamble</w:t>
      </w:r>
      <w:r w:rsidRPr="00D80FBF">
        <w:t xml:space="preserve"> to spend on the gambling products of the four levy-paying gambling sectors in the period 2022/23–2024/25. The higher the forecast expenditure, the lower the levy rate necessary for a sector to pay its required contribution (as determined by the top line of the formula).</w:t>
      </w:r>
    </w:p>
    <w:p w14:paraId="6EDD7E47" w14:textId="77777777" w:rsidR="007179EA" w:rsidRPr="00D80FBF" w:rsidRDefault="007179EA" w:rsidP="008B7780"/>
    <w:p w14:paraId="42425637" w14:textId="77777777" w:rsidR="007179EA" w:rsidRPr="00D80FBF" w:rsidRDefault="007179EA" w:rsidP="008B7780">
      <w:r w:rsidRPr="00D80FBF">
        <w:t>As noted above, these forecasts by DIA took into account the latest, most reliable and most appropriate sources of information on player expenditure, including its NCGM EMS, gambling operators</w:t>
      </w:r>
      <w:r w:rsidR="00BC6B27">
        <w:t>’</w:t>
      </w:r>
      <w:r w:rsidRPr="00D80FBF">
        <w:t xml:space="preserve"> annual and half-yearly reports and information from IRD. The reasoning behind the DIA forecast for each sector is set out below.</w:t>
      </w:r>
    </w:p>
    <w:p w14:paraId="05F24F88" w14:textId="77777777" w:rsidR="007179EA" w:rsidRPr="00D80FBF" w:rsidRDefault="007179EA" w:rsidP="008B7780"/>
    <w:p w14:paraId="3BE1B5D3" w14:textId="77777777" w:rsidR="007179EA" w:rsidRDefault="007179EA" w:rsidP="008B7780">
      <w:r w:rsidRPr="00D80FBF">
        <w:t xml:space="preserve">Future changes in gambling regulation could have an impact on the levy rates and levy amount collected. These forecasts assume the current regulatory settings will remain and there is no significant shift in gambling expenditure patterns, for example towards offshore online gambling. There may be changes in gambling expenditure as a result of future changes to the Act or regulations, for example many people are of the view there should be stronger regulatory control on NCGM. </w:t>
      </w:r>
      <w:r w:rsidRPr="00D80FBF">
        <w:rPr>
          <w:rFonts w:cs="Segoe UI"/>
          <w:szCs w:val="21"/>
          <w:lang w:eastAsia="en-NZ"/>
        </w:rPr>
        <w:t xml:space="preserve">Should there be changes to the Act or regulations, this could have an impact on expenditure. However, </w:t>
      </w:r>
      <w:r w:rsidRPr="00D80FBF">
        <w:t>it is not possible to forecast the likely impact of any changes until the nature of any legislative or policy changes has been made clear.</w:t>
      </w:r>
    </w:p>
    <w:p w14:paraId="5D0939F1" w14:textId="77777777" w:rsidR="008B7780" w:rsidRPr="00D80FBF" w:rsidRDefault="008B7780" w:rsidP="008B7780"/>
    <w:p w14:paraId="4600A7AB" w14:textId="77777777" w:rsidR="007179EA" w:rsidRPr="00D80FBF" w:rsidRDefault="007179EA" w:rsidP="008B7780">
      <w:pPr>
        <w:pStyle w:val="Heading4"/>
      </w:pPr>
      <w:bookmarkStart w:id="298" w:name="_Toc71102181"/>
      <w:r w:rsidRPr="00D80FBF">
        <w:lastRenderedPageBreak/>
        <w:t>Non-casino gaming machines</w:t>
      </w:r>
      <w:bookmarkEnd w:id="298"/>
    </w:p>
    <w:p w14:paraId="222D3226" w14:textId="77777777" w:rsidR="00BC6B27" w:rsidRDefault="007179EA" w:rsidP="008B7780">
      <w:r w:rsidRPr="00D80FBF">
        <w:t>The number of NCGMs has declined from 25,221 in 2003 to 14,704 as of 30 June 2021 (there are 1,059 active venues).</w:t>
      </w:r>
      <w:r w:rsidRPr="008B7780">
        <w:rPr>
          <w:rStyle w:val="FootnoteReference"/>
          <w:rFonts w:eastAsia="MS Gothic"/>
        </w:rPr>
        <w:footnoteReference w:id="68"/>
      </w:r>
      <w:r w:rsidRPr="00D80FBF">
        <w:t xml:space="preserve"> NCGM expenditure also declined for several</w:t>
      </w:r>
      <w:r w:rsidR="0018228E">
        <w:t> years</w:t>
      </w:r>
      <w:r w:rsidRPr="00D80FBF">
        <w:t xml:space="preserve"> but has seen yearly increases since 2013/14. For example, from a historical low of $806</w:t>
      </w:r>
      <w:r w:rsidR="00046A83">
        <w:t> million</w:t>
      </w:r>
      <w:r w:rsidRPr="00D80FBF">
        <w:t xml:space="preserve"> in 2013/14, expenditure increased to $818</w:t>
      </w:r>
      <w:r w:rsidR="00046A83">
        <w:t> million</w:t>
      </w:r>
      <w:r w:rsidRPr="00D80FBF">
        <w:t xml:space="preserve"> in 2014/15, $843</w:t>
      </w:r>
      <w:r w:rsidR="00046A83">
        <w:t> million</w:t>
      </w:r>
      <w:r w:rsidRPr="00D80FBF">
        <w:t xml:space="preserve"> in 2015/16, $870</w:t>
      </w:r>
      <w:r w:rsidR="00046A83">
        <w:t> million</w:t>
      </w:r>
      <w:r w:rsidRPr="00D80FBF">
        <w:t xml:space="preserve"> in 2016/17, $895</w:t>
      </w:r>
      <w:r w:rsidR="00046A83">
        <w:t> million</w:t>
      </w:r>
      <w:r w:rsidRPr="00D80FBF">
        <w:t xml:space="preserve"> in 2017/18 and $924</w:t>
      </w:r>
      <w:r w:rsidR="00046A83">
        <w:t> million</w:t>
      </w:r>
      <w:r w:rsidRPr="00D80FBF">
        <w:t xml:space="preserve"> in 2018/19. There was a noticeable decrease down to $802</w:t>
      </w:r>
      <w:r w:rsidR="00046A83">
        <w:t> million</w:t>
      </w:r>
      <w:r w:rsidRPr="00D80FBF">
        <w:t xml:space="preserve"> in 2019/20, reflecting the impacts of </w:t>
      </w:r>
      <w:r w:rsidR="001461C6">
        <w:t>COVID</w:t>
      </w:r>
      <w:r w:rsidR="001461C6">
        <w:noBreakHyphen/>
        <w:t>19</w:t>
      </w:r>
      <w:r w:rsidRPr="00D80FBF">
        <w:t xml:space="preserve"> restrictions as </w:t>
      </w:r>
      <w:r>
        <w:t>NCGM</w:t>
      </w:r>
      <w:r w:rsidRPr="00D80FBF">
        <w:t xml:space="preserve"> venues were closed during the </w:t>
      </w:r>
      <w:r w:rsidR="001461C6">
        <w:t>COVID</w:t>
      </w:r>
      <w:r w:rsidR="001461C6">
        <w:noBreakHyphen/>
        <w:t>19</w:t>
      </w:r>
      <w:r w:rsidRPr="00D80FBF">
        <w:t xml:space="preserve"> lockdown. That said, expenditure for 2020/21 was $987</w:t>
      </w:r>
      <w:r w:rsidR="00046A83">
        <w:t> million</w:t>
      </w:r>
      <w:r w:rsidRPr="00D80FBF">
        <w:t>, making this the highest 12-month period on record.</w:t>
      </w:r>
    </w:p>
    <w:p w14:paraId="3AE9AC47" w14:textId="77777777" w:rsidR="007179EA" w:rsidRPr="00D80FBF" w:rsidRDefault="007179EA" w:rsidP="008B7780"/>
    <w:p w14:paraId="3182FCC8" w14:textId="77777777" w:rsidR="007179EA" w:rsidRDefault="007179EA" w:rsidP="008B7780">
      <w:r w:rsidRPr="00D80FBF">
        <w:t>DIA forecasts expenditure to continue with small annual increases over the next three</w:t>
      </w:r>
      <w:r w:rsidR="00D01979">
        <w:t xml:space="preserve"> </w:t>
      </w:r>
      <w:r w:rsidR="0018228E">
        <w:t>years</w:t>
      </w:r>
      <w:r w:rsidRPr="00D80FBF">
        <w:t>. Some variation in expenditure from year to year is expected, but the size of that variation cannot be forecast in advance.</w:t>
      </w:r>
    </w:p>
    <w:p w14:paraId="09284818" w14:textId="77777777" w:rsidR="008B7780" w:rsidRPr="00D80FBF" w:rsidRDefault="008B7780" w:rsidP="008B7780"/>
    <w:p w14:paraId="6962867A" w14:textId="77777777" w:rsidR="007179EA" w:rsidRPr="00D80FBF" w:rsidRDefault="007179EA" w:rsidP="008B7780">
      <w:pPr>
        <w:pStyle w:val="Heading4"/>
      </w:pPr>
      <w:bookmarkStart w:id="299" w:name="_Toc71102182"/>
      <w:r w:rsidRPr="00D80FBF">
        <w:t>Casinos</w:t>
      </w:r>
      <w:bookmarkEnd w:id="299"/>
    </w:p>
    <w:p w14:paraId="03CDD449" w14:textId="77777777" w:rsidR="007179EA" w:rsidRDefault="007179EA" w:rsidP="008B7780">
      <w:r w:rsidRPr="00D80FBF">
        <w:t>Over the last three</w:t>
      </w:r>
      <w:r w:rsidR="00D01979">
        <w:t xml:space="preserve"> </w:t>
      </w:r>
      <w:r w:rsidR="0018228E">
        <w:t>years</w:t>
      </w:r>
      <w:r w:rsidRPr="00D80FBF">
        <w:t>, spending on casino gambling has fluctuated. Figures from the DIA show expenditure of $578</w:t>
      </w:r>
      <w:r w:rsidR="00046A83">
        <w:t> million</w:t>
      </w:r>
      <w:r w:rsidRPr="00D80FBF">
        <w:t xml:space="preserve"> in 2017/18, $616</w:t>
      </w:r>
      <w:r w:rsidR="00046A83">
        <w:t> million</w:t>
      </w:r>
      <w:r w:rsidRPr="00D80FBF">
        <w:t xml:space="preserve"> in 2018/19 and $504</w:t>
      </w:r>
      <w:r w:rsidR="00046A83">
        <w:t> million</w:t>
      </w:r>
      <w:r w:rsidRPr="00D80FBF">
        <w:t xml:space="preserve"> in 2019/20. Casino expenditure is impacted by variations in international tourist numbers, including </w:t>
      </w:r>
      <w:r w:rsidR="00BC6B27">
        <w:t>‘</w:t>
      </w:r>
      <w:r w:rsidRPr="00D80FBF">
        <w:t>VIP</w:t>
      </w:r>
      <w:r w:rsidR="00BC6B27">
        <w:t>’</w:t>
      </w:r>
      <w:r w:rsidRPr="00D80FBF">
        <w:t xml:space="preserve">(high-stakes) gamblers. This has been most noticeable in the 2019/20 year given the restrictions due to </w:t>
      </w:r>
      <w:r w:rsidR="001461C6">
        <w:t>COVID</w:t>
      </w:r>
      <w:r w:rsidR="001461C6">
        <w:noBreakHyphen/>
        <w:t>19</w:t>
      </w:r>
      <w:r w:rsidRPr="00D80FBF">
        <w:t>, which are ongoing at the time of preparing this document. DIA anticipates some growth in expenditure for 2020/21 to 2024/25, but its forecast is relatively conservative.</w:t>
      </w:r>
    </w:p>
    <w:p w14:paraId="0A559F75" w14:textId="77777777" w:rsidR="008B7780" w:rsidRPr="00D80FBF" w:rsidRDefault="008B7780" w:rsidP="008B7780"/>
    <w:p w14:paraId="11D3020E" w14:textId="77777777" w:rsidR="007179EA" w:rsidRPr="00D80FBF" w:rsidRDefault="007179EA" w:rsidP="008B7780">
      <w:pPr>
        <w:pStyle w:val="Heading4"/>
      </w:pPr>
      <w:bookmarkStart w:id="300" w:name="_Toc71102183"/>
      <w:r w:rsidRPr="00D80FBF">
        <w:t>TAB NZ</w:t>
      </w:r>
      <w:bookmarkEnd w:id="300"/>
    </w:p>
    <w:p w14:paraId="67028F8D" w14:textId="77777777" w:rsidR="007179EA" w:rsidRDefault="007179EA" w:rsidP="008B7780">
      <w:r w:rsidRPr="00D80FBF">
        <w:t>Spending on TAB NZ products was relatively flat for some</w:t>
      </w:r>
      <w:r w:rsidR="00D01979">
        <w:t xml:space="preserve"> </w:t>
      </w:r>
      <w:r w:rsidR="0018228E">
        <w:t>years</w:t>
      </w:r>
      <w:r w:rsidRPr="00D80FBF">
        <w:t>. However, it hit a high of $350</w:t>
      </w:r>
      <w:r w:rsidR="00046A83">
        <w:t> million</w:t>
      </w:r>
      <w:r w:rsidRPr="00D80FBF">
        <w:t xml:space="preserve"> in 2017/18, with slight declines to $332</w:t>
      </w:r>
      <w:r w:rsidR="00046A83">
        <w:t> million</w:t>
      </w:r>
      <w:r w:rsidRPr="00D80FBF">
        <w:t xml:space="preserve"> in 2018/19 and $315</w:t>
      </w:r>
      <w:r w:rsidR="00046A83">
        <w:t> million</w:t>
      </w:r>
      <w:r w:rsidRPr="00D80FBF">
        <w:t xml:space="preserve"> in 2019/20. DIA anticipates modest expenditure growth in the next three-year period. Potential increases in expenditure brought about by technical innovations and product developments may be impacted by competition in the racing and sports betting market from offshore betting agencies.</w:t>
      </w:r>
    </w:p>
    <w:p w14:paraId="684A0477" w14:textId="77777777" w:rsidR="008B7780" w:rsidRPr="00D80FBF" w:rsidRDefault="008B7780" w:rsidP="008B7780"/>
    <w:p w14:paraId="7A9A26D0" w14:textId="77777777" w:rsidR="007179EA" w:rsidRPr="00D80FBF" w:rsidRDefault="007179EA" w:rsidP="008B7780">
      <w:pPr>
        <w:pStyle w:val="Heading4"/>
      </w:pPr>
      <w:r w:rsidRPr="00D80FBF">
        <w:lastRenderedPageBreak/>
        <w:t>Lotto New Zealand</w:t>
      </w:r>
    </w:p>
    <w:p w14:paraId="06CFF4C0" w14:textId="77777777" w:rsidR="007179EA" w:rsidRPr="00D80FBF" w:rsidRDefault="007179EA" w:rsidP="008B7780">
      <w:pPr>
        <w:keepNext/>
        <w:keepLines/>
      </w:pPr>
      <w:r w:rsidRPr="00D80FBF">
        <w:t>Spending growth on Lotto New Zealand products has been relatively high, but volatile, since 2005/06. This volatility appears to relate to the number of large jackpots in a year. Strong growth has continued over recent</w:t>
      </w:r>
      <w:r w:rsidR="00D01979">
        <w:t xml:space="preserve"> </w:t>
      </w:r>
      <w:r w:rsidR="0018228E">
        <w:t>years</w:t>
      </w:r>
      <w:r w:rsidRPr="00D80FBF">
        <w:t>: DIA noted player expenditure of $555</w:t>
      </w:r>
      <w:r w:rsidR="00046A83">
        <w:t> million</w:t>
      </w:r>
      <w:r w:rsidRPr="00D80FBF">
        <w:t xml:space="preserve"> in 2016/17, $561</w:t>
      </w:r>
      <w:r w:rsidR="00046A83">
        <w:t> million</w:t>
      </w:r>
      <w:r w:rsidRPr="00D80FBF">
        <w:t xml:space="preserve"> in 2017/18, $530</w:t>
      </w:r>
      <w:r w:rsidR="00046A83">
        <w:t> million</w:t>
      </w:r>
      <w:r w:rsidRPr="00D80FBF">
        <w:t xml:space="preserve"> in 2018/19 and $631</w:t>
      </w:r>
      <w:r w:rsidR="00046A83">
        <w:t> million</w:t>
      </w:r>
      <w:r w:rsidRPr="00D80FBF">
        <w:t xml:space="preserve"> in 2019/20. The significant increase in 2019/20 has been attributed to the rare occurrence of a Powerball Must-be-Won draw in February 2020, and their ability to continue operating during the </w:t>
      </w:r>
      <w:r w:rsidR="001461C6">
        <w:t>COVID</w:t>
      </w:r>
      <w:r w:rsidR="001461C6">
        <w:noBreakHyphen/>
        <w:t>19</w:t>
      </w:r>
      <w:r w:rsidRPr="00D80FBF">
        <w:t xml:space="preserve"> lockdowns.</w:t>
      </w:r>
      <w:r w:rsidRPr="008B7780">
        <w:rPr>
          <w:rStyle w:val="FootnoteReference"/>
        </w:rPr>
        <w:footnoteReference w:id="69"/>
      </w:r>
    </w:p>
    <w:p w14:paraId="72ED0E89" w14:textId="77777777" w:rsidR="007179EA" w:rsidRPr="00D80FBF" w:rsidRDefault="007179EA" w:rsidP="008B7780"/>
    <w:p w14:paraId="0B53A518" w14:textId="77777777" w:rsidR="007179EA" w:rsidRPr="00D80FBF" w:rsidRDefault="007179EA" w:rsidP="008B7780">
      <w:r w:rsidRPr="00D80FBF">
        <w:t>Lotto New Zealand is also working to diversify its portfolio by introducing new games, like online bingo,</w:t>
      </w:r>
      <w:r w:rsidRPr="008B7780">
        <w:rPr>
          <w:rStyle w:val="FootnoteReference"/>
          <w:rFonts w:eastAsia="MS Gothic"/>
        </w:rPr>
        <w:footnoteReference w:id="70"/>
      </w:r>
      <w:r w:rsidRPr="00D80FBF">
        <w:t xml:space="preserve"> to help mitigate fluctuations in spending on its lottery products.</w:t>
      </w:r>
    </w:p>
    <w:p w14:paraId="22F13EFF" w14:textId="77777777" w:rsidR="007179EA" w:rsidRPr="00D80FBF" w:rsidRDefault="007179EA" w:rsidP="008B7780"/>
    <w:p w14:paraId="1C0A75BC" w14:textId="1B556E1D" w:rsidR="007179EA" w:rsidRPr="00D80FBF" w:rsidRDefault="007179EA" w:rsidP="008B7780">
      <w:r w:rsidRPr="00D80FBF">
        <w:t xml:space="preserve">DIA expenditure forecasts by year and sector are shown in </w:t>
      </w:r>
      <w:r w:rsidR="008B7780">
        <w:fldChar w:fldCharType="begin"/>
      </w:r>
      <w:r w:rsidR="008B7780">
        <w:instrText xml:space="preserve"> REF _Ref90625751 \h </w:instrText>
      </w:r>
      <w:r w:rsidR="008B7780">
        <w:fldChar w:fldCharType="separate"/>
      </w:r>
      <w:r w:rsidR="00451900">
        <w:t>Table </w:t>
      </w:r>
      <w:r w:rsidR="00451900">
        <w:rPr>
          <w:noProof/>
        </w:rPr>
        <w:t>13</w:t>
      </w:r>
      <w:r w:rsidR="008B7780">
        <w:fldChar w:fldCharType="end"/>
      </w:r>
      <w:r>
        <w:t>.</w:t>
      </w:r>
      <w:r w:rsidRPr="00D80FBF">
        <w:t xml:space="preserve"> DIA forecasts that Lotto New Zealand will experience stronger expenditure growth but that the other three sectors will experience steadier expenditure growth over the same period.</w:t>
      </w:r>
    </w:p>
    <w:p w14:paraId="58537082" w14:textId="77777777" w:rsidR="007179EA" w:rsidRDefault="007179EA" w:rsidP="007179EA">
      <w:pPr>
        <w:rPr>
          <w:b/>
          <w:sz w:val="20"/>
        </w:rPr>
      </w:pPr>
      <w:bookmarkStart w:id="301" w:name="_Ref80796021"/>
      <w:bookmarkStart w:id="302" w:name="_Toc517091246"/>
      <w:bookmarkStart w:id="303" w:name="_Toc530487445"/>
      <w:bookmarkStart w:id="304" w:name="_Toc4156639"/>
      <w:bookmarkStart w:id="305" w:name="_Toc8398939"/>
      <w:bookmarkStart w:id="306" w:name="_Toc522089450"/>
    </w:p>
    <w:p w14:paraId="14100272" w14:textId="42CE31F0" w:rsidR="007179EA" w:rsidRPr="00375B98" w:rsidRDefault="008B7780" w:rsidP="008B7780">
      <w:pPr>
        <w:pStyle w:val="Table"/>
      </w:pPr>
      <w:bookmarkStart w:id="307" w:name="_Ref90625751"/>
      <w:bookmarkStart w:id="308" w:name="_Toc89335329"/>
      <w:bookmarkStart w:id="309" w:name="_Toc90626963"/>
      <w:r>
        <w:t>Table </w:t>
      </w:r>
      <w:fldSimple w:instr=" SEQ Table \* ARABIC ">
        <w:r w:rsidR="00451900">
          <w:rPr>
            <w:noProof/>
          </w:rPr>
          <w:t>13</w:t>
        </w:r>
      </w:fldSimple>
      <w:bookmarkEnd w:id="301"/>
      <w:bookmarkEnd w:id="307"/>
      <w:r>
        <w:t>:</w:t>
      </w:r>
      <w:r w:rsidR="007179EA" w:rsidRPr="00375B98">
        <w:t xml:space="preserve"> Forecast expenditure by sector (GST-inclusive), 2022/23 to 2024/</w:t>
      </w:r>
      <w:bookmarkEnd w:id="302"/>
      <w:bookmarkEnd w:id="303"/>
      <w:bookmarkEnd w:id="304"/>
      <w:bookmarkEnd w:id="305"/>
      <w:bookmarkEnd w:id="306"/>
      <w:r w:rsidR="007179EA" w:rsidRPr="00375B98">
        <w:t>25</w:t>
      </w:r>
      <w:bookmarkEnd w:id="308"/>
      <w:bookmarkEnd w:id="309"/>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127"/>
        <w:gridCol w:w="1370"/>
        <w:gridCol w:w="1370"/>
        <w:gridCol w:w="1370"/>
        <w:gridCol w:w="1843"/>
      </w:tblGrid>
      <w:tr w:rsidR="007179EA" w:rsidRPr="00D80FBF" w14:paraId="6DC67B63" w14:textId="77777777" w:rsidTr="005B24AB">
        <w:trPr>
          <w:cantSplit/>
        </w:trPr>
        <w:tc>
          <w:tcPr>
            <w:tcW w:w="2127" w:type="dxa"/>
            <w:tcBorders>
              <w:top w:val="nil"/>
              <w:bottom w:val="nil"/>
            </w:tcBorders>
            <w:shd w:val="clear" w:color="auto" w:fill="D9D9D9" w:themeFill="background1" w:themeFillShade="D9"/>
          </w:tcPr>
          <w:p w14:paraId="453A9360" w14:textId="77777777" w:rsidR="007179EA" w:rsidRPr="00D80FBF" w:rsidRDefault="007179EA" w:rsidP="005B24AB">
            <w:pPr>
              <w:spacing w:before="60" w:after="60"/>
              <w:rPr>
                <w:rFonts w:eastAsia="Arial Unicode MS"/>
                <w:b/>
                <w:sz w:val="18"/>
              </w:rPr>
            </w:pPr>
            <w:r w:rsidRPr="00D80FBF">
              <w:rPr>
                <w:rFonts w:eastAsia="Arial Unicode MS"/>
                <w:b/>
                <w:sz w:val="18"/>
              </w:rPr>
              <w:t>Forecast expenditure</w:t>
            </w:r>
          </w:p>
        </w:tc>
        <w:tc>
          <w:tcPr>
            <w:tcW w:w="1370" w:type="dxa"/>
            <w:tcBorders>
              <w:top w:val="nil"/>
              <w:bottom w:val="nil"/>
            </w:tcBorders>
            <w:shd w:val="clear" w:color="auto" w:fill="D9D9D9" w:themeFill="background1" w:themeFillShade="D9"/>
          </w:tcPr>
          <w:p w14:paraId="73349A0C" w14:textId="77777777" w:rsidR="007179EA" w:rsidRPr="00D80FBF" w:rsidRDefault="007179EA" w:rsidP="005B24AB">
            <w:pPr>
              <w:spacing w:before="60" w:after="60"/>
              <w:jc w:val="center"/>
              <w:rPr>
                <w:b/>
                <w:sz w:val="18"/>
              </w:rPr>
            </w:pPr>
            <w:r w:rsidRPr="00D80FBF">
              <w:rPr>
                <w:b/>
                <w:sz w:val="18"/>
              </w:rPr>
              <w:t>NCGMs</w:t>
            </w:r>
          </w:p>
        </w:tc>
        <w:tc>
          <w:tcPr>
            <w:tcW w:w="1370" w:type="dxa"/>
            <w:tcBorders>
              <w:top w:val="nil"/>
              <w:bottom w:val="nil"/>
            </w:tcBorders>
            <w:shd w:val="clear" w:color="auto" w:fill="D9D9D9" w:themeFill="background1" w:themeFillShade="D9"/>
            <w:tcMar>
              <w:top w:w="0" w:type="dxa"/>
              <w:left w:w="108" w:type="dxa"/>
              <w:bottom w:w="0" w:type="dxa"/>
              <w:right w:w="108" w:type="dxa"/>
            </w:tcMar>
          </w:tcPr>
          <w:p w14:paraId="4406A5D6" w14:textId="77777777" w:rsidR="007179EA" w:rsidRPr="00D80FBF" w:rsidRDefault="007179EA" w:rsidP="005B24AB">
            <w:pPr>
              <w:spacing w:before="60" w:after="60"/>
              <w:jc w:val="center"/>
              <w:rPr>
                <w:rFonts w:eastAsia="Arial Unicode MS"/>
                <w:b/>
                <w:sz w:val="18"/>
              </w:rPr>
            </w:pPr>
            <w:r w:rsidRPr="00D80FBF">
              <w:rPr>
                <w:b/>
                <w:sz w:val="18"/>
              </w:rPr>
              <w:t>Casinos</w:t>
            </w:r>
          </w:p>
        </w:tc>
        <w:tc>
          <w:tcPr>
            <w:tcW w:w="1370" w:type="dxa"/>
            <w:tcBorders>
              <w:top w:val="nil"/>
              <w:bottom w:val="nil"/>
            </w:tcBorders>
            <w:shd w:val="clear" w:color="auto" w:fill="D9D9D9" w:themeFill="background1" w:themeFillShade="D9"/>
            <w:tcMar>
              <w:top w:w="0" w:type="dxa"/>
              <w:left w:w="108" w:type="dxa"/>
              <w:bottom w:w="0" w:type="dxa"/>
              <w:right w:w="108" w:type="dxa"/>
            </w:tcMar>
          </w:tcPr>
          <w:p w14:paraId="4E14D6BC" w14:textId="77777777" w:rsidR="007179EA" w:rsidRPr="00D80FBF" w:rsidRDefault="007179EA" w:rsidP="005B24AB">
            <w:pPr>
              <w:spacing w:before="60" w:after="60"/>
              <w:jc w:val="center"/>
              <w:rPr>
                <w:rFonts w:eastAsia="Arial Unicode MS"/>
                <w:b/>
                <w:sz w:val="18"/>
              </w:rPr>
            </w:pPr>
            <w:r w:rsidRPr="00D80FBF">
              <w:rPr>
                <w:b/>
                <w:sz w:val="18"/>
              </w:rPr>
              <w:t>TAB NZ</w:t>
            </w:r>
          </w:p>
        </w:tc>
        <w:tc>
          <w:tcPr>
            <w:tcW w:w="1843" w:type="dxa"/>
            <w:tcBorders>
              <w:top w:val="nil"/>
              <w:bottom w:val="nil"/>
            </w:tcBorders>
            <w:shd w:val="clear" w:color="auto" w:fill="D9D9D9" w:themeFill="background1" w:themeFillShade="D9"/>
            <w:tcMar>
              <w:top w:w="0" w:type="dxa"/>
              <w:left w:w="108" w:type="dxa"/>
              <w:bottom w:w="0" w:type="dxa"/>
              <w:right w:w="108" w:type="dxa"/>
            </w:tcMar>
          </w:tcPr>
          <w:p w14:paraId="107EDBE4" w14:textId="77777777" w:rsidR="007179EA" w:rsidRPr="00D80FBF" w:rsidRDefault="007179EA" w:rsidP="005B24AB">
            <w:pPr>
              <w:spacing w:before="60" w:after="60"/>
              <w:jc w:val="center"/>
              <w:rPr>
                <w:rFonts w:eastAsia="Arial Unicode MS"/>
                <w:b/>
                <w:sz w:val="18"/>
              </w:rPr>
            </w:pPr>
            <w:r w:rsidRPr="00D80FBF">
              <w:rPr>
                <w:b/>
                <w:sz w:val="18"/>
              </w:rPr>
              <w:t>Lotto New Zealand</w:t>
            </w:r>
          </w:p>
        </w:tc>
      </w:tr>
      <w:tr w:rsidR="007179EA" w:rsidRPr="00D80FBF" w14:paraId="025430EC" w14:textId="77777777" w:rsidTr="005B24AB">
        <w:trPr>
          <w:cantSplit/>
        </w:trPr>
        <w:tc>
          <w:tcPr>
            <w:tcW w:w="2127" w:type="dxa"/>
            <w:tcBorders>
              <w:top w:val="nil"/>
            </w:tcBorders>
            <w:shd w:val="clear" w:color="auto" w:fill="auto"/>
            <w:noWrap/>
          </w:tcPr>
          <w:p w14:paraId="727882B1" w14:textId="77777777" w:rsidR="007179EA" w:rsidRPr="00D80FBF" w:rsidRDefault="007179EA" w:rsidP="005B24AB">
            <w:pPr>
              <w:spacing w:before="60" w:after="60"/>
              <w:rPr>
                <w:sz w:val="18"/>
              </w:rPr>
            </w:pPr>
            <w:r w:rsidRPr="00D80FBF">
              <w:rPr>
                <w:sz w:val="18"/>
              </w:rPr>
              <w:t>2022/23 ($m)</w:t>
            </w:r>
          </w:p>
        </w:tc>
        <w:tc>
          <w:tcPr>
            <w:tcW w:w="1370" w:type="dxa"/>
            <w:tcBorders>
              <w:top w:val="nil"/>
            </w:tcBorders>
            <w:shd w:val="clear" w:color="auto" w:fill="auto"/>
          </w:tcPr>
          <w:p w14:paraId="143AB8B7" w14:textId="77777777" w:rsidR="007179EA" w:rsidRPr="003D2E77" w:rsidRDefault="007179EA" w:rsidP="005B24AB">
            <w:pPr>
              <w:spacing w:before="60" w:after="60"/>
              <w:jc w:val="center"/>
              <w:rPr>
                <w:sz w:val="18"/>
                <w:szCs w:val="18"/>
              </w:rPr>
            </w:pPr>
            <w:r w:rsidRPr="003D2E77">
              <w:rPr>
                <w:sz w:val="18"/>
                <w:szCs w:val="18"/>
              </w:rPr>
              <w:t>1051.51</w:t>
            </w:r>
          </w:p>
        </w:tc>
        <w:tc>
          <w:tcPr>
            <w:tcW w:w="1370" w:type="dxa"/>
            <w:tcBorders>
              <w:top w:val="nil"/>
            </w:tcBorders>
            <w:shd w:val="clear" w:color="auto" w:fill="auto"/>
            <w:noWrap/>
            <w:tcMar>
              <w:top w:w="0" w:type="dxa"/>
              <w:left w:w="108" w:type="dxa"/>
              <w:bottom w:w="0" w:type="dxa"/>
              <w:right w:w="108" w:type="dxa"/>
            </w:tcMar>
          </w:tcPr>
          <w:p w14:paraId="2BCCF410" w14:textId="77777777" w:rsidR="007179EA" w:rsidRPr="003D2E77" w:rsidRDefault="007179EA" w:rsidP="005B24AB">
            <w:pPr>
              <w:spacing w:before="60" w:after="60"/>
              <w:jc w:val="center"/>
              <w:rPr>
                <w:sz w:val="18"/>
                <w:szCs w:val="18"/>
              </w:rPr>
            </w:pPr>
            <w:r w:rsidRPr="003D2E77">
              <w:rPr>
                <w:sz w:val="18"/>
                <w:szCs w:val="18"/>
              </w:rPr>
              <w:t>618.74</w:t>
            </w:r>
          </w:p>
        </w:tc>
        <w:tc>
          <w:tcPr>
            <w:tcW w:w="1370" w:type="dxa"/>
            <w:tcBorders>
              <w:top w:val="nil"/>
            </w:tcBorders>
            <w:shd w:val="clear" w:color="auto" w:fill="auto"/>
            <w:noWrap/>
            <w:tcMar>
              <w:top w:w="0" w:type="dxa"/>
              <w:left w:w="108" w:type="dxa"/>
              <w:bottom w:w="0" w:type="dxa"/>
              <w:right w:w="108" w:type="dxa"/>
            </w:tcMar>
          </w:tcPr>
          <w:p w14:paraId="70BBCA66" w14:textId="77777777" w:rsidR="007179EA" w:rsidRPr="003D2E77" w:rsidRDefault="007179EA" w:rsidP="005B24AB">
            <w:pPr>
              <w:spacing w:before="60" w:after="60"/>
              <w:jc w:val="center"/>
              <w:rPr>
                <w:sz w:val="18"/>
                <w:szCs w:val="18"/>
              </w:rPr>
            </w:pPr>
            <w:r w:rsidRPr="003D2E77">
              <w:rPr>
                <w:sz w:val="18"/>
                <w:szCs w:val="18"/>
              </w:rPr>
              <w:t>359.98</w:t>
            </w:r>
          </w:p>
        </w:tc>
        <w:tc>
          <w:tcPr>
            <w:tcW w:w="1843" w:type="dxa"/>
            <w:tcBorders>
              <w:top w:val="nil"/>
            </w:tcBorders>
            <w:shd w:val="clear" w:color="auto" w:fill="auto"/>
            <w:noWrap/>
            <w:tcMar>
              <w:top w:w="0" w:type="dxa"/>
              <w:left w:w="108" w:type="dxa"/>
              <w:bottom w:w="0" w:type="dxa"/>
              <w:right w:w="108" w:type="dxa"/>
            </w:tcMar>
          </w:tcPr>
          <w:p w14:paraId="6F509AEC" w14:textId="77777777" w:rsidR="007179EA" w:rsidRPr="003D2E77" w:rsidRDefault="007179EA" w:rsidP="005B24AB">
            <w:pPr>
              <w:spacing w:before="60" w:after="60"/>
              <w:jc w:val="center"/>
              <w:rPr>
                <w:sz w:val="18"/>
                <w:szCs w:val="18"/>
              </w:rPr>
            </w:pPr>
            <w:r w:rsidRPr="003D2E77">
              <w:rPr>
                <w:sz w:val="18"/>
                <w:szCs w:val="18"/>
              </w:rPr>
              <w:t>707.00</w:t>
            </w:r>
          </w:p>
        </w:tc>
      </w:tr>
      <w:tr w:rsidR="007179EA" w:rsidRPr="00D80FBF" w14:paraId="635F97D6" w14:textId="77777777" w:rsidTr="005B24AB">
        <w:trPr>
          <w:cantSplit/>
        </w:trPr>
        <w:tc>
          <w:tcPr>
            <w:tcW w:w="2127" w:type="dxa"/>
            <w:shd w:val="clear" w:color="auto" w:fill="auto"/>
            <w:noWrap/>
          </w:tcPr>
          <w:p w14:paraId="72E57179" w14:textId="77777777" w:rsidR="007179EA" w:rsidRPr="00D80FBF" w:rsidRDefault="007179EA" w:rsidP="005B24AB">
            <w:pPr>
              <w:spacing w:before="60" w:after="60"/>
              <w:rPr>
                <w:sz w:val="18"/>
              </w:rPr>
            </w:pPr>
            <w:r w:rsidRPr="00D80FBF">
              <w:rPr>
                <w:sz w:val="18"/>
              </w:rPr>
              <w:t>2023/24 ($m)</w:t>
            </w:r>
          </w:p>
        </w:tc>
        <w:tc>
          <w:tcPr>
            <w:tcW w:w="1370" w:type="dxa"/>
            <w:shd w:val="clear" w:color="auto" w:fill="auto"/>
          </w:tcPr>
          <w:p w14:paraId="673F2173" w14:textId="77777777" w:rsidR="007179EA" w:rsidRPr="003D2E77" w:rsidRDefault="007179EA" w:rsidP="005B24AB">
            <w:pPr>
              <w:spacing w:before="60" w:after="60"/>
              <w:jc w:val="center"/>
              <w:rPr>
                <w:sz w:val="18"/>
                <w:szCs w:val="18"/>
              </w:rPr>
            </w:pPr>
            <w:r w:rsidRPr="003D2E77">
              <w:rPr>
                <w:sz w:val="18"/>
                <w:szCs w:val="18"/>
              </w:rPr>
              <w:t>1076.44</w:t>
            </w:r>
          </w:p>
        </w:tc>
        <w:tc>
          <w:tcPr>
            <w:tcW w:w="1370" w:type="dxa"/>
            <w:shd w:val="clear" w:color="auto" w:fill="auto"/>
            <w:noWrap/>
            <w:tcMar>
              <w:top w:w="0" w:type="dxa"/>
              <w:left w:w="108" w:type="dxa"/>
              <w:bottom w:w="0" w:type="dxa"/>
              <w:right w:w="108" w:type="dxa"/>
            </w:tcMar>
          </w:tcPr>
          <w:p w14:paraId="7BF3184F" w14:textId="77777777" w:rsidR="007179EA" w:rsidRPr="003D2E77" w:rsidRDefault="007179EA" w:rsidP="005B24AB">
            <w:pPr>
              <w:spacing w:before="60" w:after="60"/>
              <w:jc w:val="center"/>
              <w:rPr>
                <w:sz w:val="18"/>
                <w:szCs w:val="18"/>
              </w:rPr>
            </w:pPr>
            <w:r w:rsidRPr="003D2E77">
              <w:rPr>
                <w:sz w:val="18"/>
                <w:szCs w:val="18"/>
              </w:rPr>
              <w:t>630.30</w:t>
            </w:r>
          </w:p>
        </w:tc>
        <w:tc>
          <w:tcPr>
            <w:tcW w:w="1370" w:type="dxa"/>
            <w:shd w:val="clear" w:color="auto" w:fill="auto"/>
            <w:noWrap/>
            <w:tcMar>
              <w:top w:w="0" w:type="dxa"/>
              <w:left w:w="108" w:type="dxa"/>
              <w:bottom w:w="0" w:type="dxa"/>
              <w:right w:w="108" w:type="dxa"/>
            </w:tcMar>
          </w:tcPr>
          <w:p w14:paraId="37F87F3E" w14:textId="77777777" w:rsidR="007179EA" w:rsidRPr="003D2E77" w:rsidRDefault="007179EA" w:rsidP="005B24AB">
            <w:pPr>
              <w:spacing w:before="60" w:after="60"/>
              <w:jc w:val="center"/>
              <w:rPr>
                <w:sz w:val="18"/>
                <w:szCs w:val="18"/>
              </w:rPr>
            </w:pPr>
            <w:r w:rsidRPr="003D2E77">
              <w:rPr>
                <w:sz w:val="18"/>
                <w:szCs w:val="18"/>
              </w:rPr>
              <w:t>365.54</w:t>
            </w:r>
          </w:p>
        </w:tc>
        <w:tc>
          <w:tcPr>
            <w:tcW w:w="1843" w:type="dxa"/>
            <w:shd w:val="clear" w:color="auto" w:fill="auto"/>
            <w:noWrap/>
            <w:tcMar>
              <w:top w:w="0" w:type="dxa"/>
              <w:left w:w="108" w:type="dxa"/>
              <w:bottom w:w="0" w:type="dxa"/>
              <w:right w:w="108" w:type="dxa"/>
            </w:tcMar>
          </w:tcPr>
          <w:p w14:paraId="533640C5" w14:textId="77777777" w:rsidR="007179EA" w:rsidRPr="003D2E77" w:rsidRDefault="007179EA" w:rsidP="005B24AB">
            <w:pPr>
              <w:spacing w:before="60" w:after="60"/>
              <w:jc w:val="center"/>
              <w:rPr>
                <w:sz w:val="18"/>
                <w:szCs w:val="18"/>
              </w:rPr>
            </w:pPr>
            <w:r w:rsidRPr="003D2E77">
              <w:rPr>
                <w:sz w:val="18"/>
                <w:szCs w:val="18"/>
              </w:rPr>
              <w:t>742.00</w:t>
            </w:r>
          </w:p>
        </w:tc>
      </w:tr>
      <w:tr w:rsidR="007179EA" w:rsidRPr="00D80FBF" w14:paraId="338C099E" w14:textId="77777777" w:rsidTr="005B24AB">
        <w:trPr>
          <w:cantSplit/>
        </w:trPr>
        <w:tc>
          <w:tcPr>
            <w:tcW w:w="2127" w:type="dxa"/>
            <w:shd w:val="clear" w:color="auto" w:fill="auto"/>
            <w:noWrap/>
          </w:tcPr>
          <w:p w14:paraId="6550D783" w14:textId="77777777" w:rsidR="007179EA" w:rsidRPr="00D80FBF" w:rsidRDefault="007179EA" w:rsidP="005B24AB">
            <w:pPr>
              <w:spacing w:before="60" w:after="60"/>
              <w:rPr>
                <w:sz w:val="18"/>
              </w:rPr>
            </w:pPr>
            <w:r w:rsidRPr="00D80FBF">
              <w:rPr>
                <w:sz w:val="18"/>
              </w:rPr>
              <w:t>2024/25 ($m)</w:t>
            </w:r>
          </w:p>
        </w:tc>
        <w:tc>
          <w:tcPr>
            <w:tcW w:w="1370" w:type="dxa"/>
            <w:shd w:val="clear" w:color="auto" w:fill="auto"/>
          </w:tcPr>
          <w:p w14:paraId="6968B692" w14:textId="77777777" w:rsidR="007179EA" w:rsidRPr="003D2E77" w:rsidRDefault="007179EA" w:rsidP="005B24AB">
            <w:pPr>
              <w:spacing w:before="60" w:after="60"/>
              <w:jc w:val="center"/>
              <w:rPr>
                <w:bCs/>
                <w:sz w:val="18"/>
                <w:szCs w:val="18"/>
              </w:rPr>
            </w:pPr>
            <w:r w:rsidRPr="003D2E77">
              <w:rPr>
                <w:sz w:val="18"/>
                <w:szCs w:val="18"/>
              </w:rPr>
              <w:t>1105.91</w:t>
            </w:r>
          </w:p>
        </w:tc>
        <w:tc>
          <w:tcPr>
            <w:tcW w:w="1370" w:type="dxa"/>
            <w:shd w:val="clear" w:color="auto" w:fill="auto"/>
            <w:noWrap/>
            <w:tcMar>
              <w:top w:w="0" w:type="dxa"/>
              <w:left w:w="108" w:type="dxa"/>
              <w:bottom w:w="0" w:type="dxa"/>
              <w:right w:w="108" w:type="dxa"/>
            </w:tcMar>
          </w:tcPr>
          <w:p w14:paraId="7130F426" w14:textId="77777777" w:rsidR="007179EA" w:rsidRPr="003D2E77" w:rsidRDefault="007179EA" w:rsidP="005B24AB">
            <w:pPr>
              <w:spacing w:before="60" w:after="60"/>
              <w:jc w:val="center"/>
              <w:rPr>
                <w:bCs/>
                <w:sz w:val="18"/>
                <w:szCs w:val="18"/>
              </w:rPr>
            </w:pPr>
            <w:r w:rsidRPr="003D2E77">
              <w:rPr>
                <w:sz w:val="18"/>
                <w:szCs w:val="18"/>
              </w:rPr>
              <w:t>641.87</w:t>
            </w:r>
          </w:p>
        </w:tc>
        <w:tc>
          <w:tcPr>
            <w:tcW w:w="1370" w:type="dxa"/>
            <w:shd w:val="clear" w:color="auto" w:fill="auto"/>
            <w:noWrap/>
            <w:tcMar>
              <w:top w:w="0" w:type="dxa"/>
              <w:left w:w="108" w:type="dxa"/>
              <w:bottom w:w="0" w:type="dxa"/>
              <w:right w:w="108" w:type="dxa"/>
            </w:tcMar>
          </w:tcPr>
          <w:p w14:paraId="7E135255" w14:textId="77777777" w:rsidR="007179EA" w:rsidRPr="003D2E77" w:rsidRDefault="007179EA" w:rsidP="005B24AB">
            <w:pPr>
              <w:spacing w:before="60" w:after="60"/>
              <w:jc w:val="center"/>
              <w:rPr>
                <w:bCs/>
                <w:sz w:val="18"/>
                <w:szCs w:val="18"/>
              </w:rPr>
            </w:pPr>
            <w:r w:rsidRPr="003D2E77">
              <w:rPr>
                <w:sz w:val="18"/>
                <w:szCs w:val="18"/>
              </w:rPr>
              <w:t>371.11</w:t>
            </w:r>
          </w:p>
        </w:tc>
        <w:tc>
          <w:tcPr>
            <w:tcW w:w="1843" w:type="dxa"/>
            <w:shd w:val="clear" w:color="auto" w:fill="auto"/>
            <w:noWrap/>
            <w:tcMar>
              <w:top w:w="0" w:type="dxa"/>
              <w:left w:w="108" w:type="dxa"/>
              <w:bottom w:w="0" w:type="dxa"/>
              <w:right w:w="108" w:type="dxa"/>
            </w:tcMar>
          </w:tcPr>
          <w:p w14:paraId="464A82E3" w14:textId="77777777" w:rsidR="007179EA" w:rsidRPr="003D2E77" w:rsidRDefault="007179EA" w:rsidP="005B24AB">
            <w:pPr>
              <w:spacing w:before="60" w:after="60"/>
              <w:jc w:val="center"/>
              <w:rPr>
                <w:bCs/>
                <w:sz w:val="18"/>
                <w:szCs w:val="18"/>
              </w:rPr>
            </w:pPr>
            <w:r w:rsidRPr="003D2E77">
              <w:rPr>
                <w:sz w:val="18"/>
                <w:szCs w:val="18"/>
              </w:rPr>
              <w:t>762.00</w:t>
            </w:r>
          </w:p>
        </w:tc>
      </w:tr>
    </w:tbl>
    <w:p w14:paraId="1E59D35C" w14:textId="77777777" w:rsidR="007179EA" w:rsidRDefault="007179EA" w:rsidP="008B7780">
      <w:pPr>
        <w:pStyle w:val="Note"/>
      </w:pPr>
      <w:r w:rsidRPr="00D80FBF">
        <w:t xml:space="preserve">Note: These forecasts are for the next levy period. They are based on best estimates at this time; but were made before the actuals for 2020/21 (expected in early 2022) were available. The further we forecast out, the less reliable that forecast can be. Therefore, we advise that while these </w:t>
      </w:r>
      <w:r w:rsidR="00BC6B27">
        <w:t>‘</w:t>
      </w:r>
      <w:r w:rsidRPr="00D80FBF">
        <w:t>out</w:t>
      </w:r>
      <w:r w:rsidR="0018228E">
        <w:t> years</w:t>
      </w:r>
      <w:r w:rsidR="00BC6B27">
        <w:t>’</w:t>
      </w:r>
      <w:r w:rsidRPr="00D80FBF">
        <w:t xml:space="preserve"> follow a general trend, they are not as reliable as a yearly forecast, for the next year ahead.</w:t>
      </w:r>
    </w:p>
    <w:p w14:paraId="770E258B" w14:textId="77777777" w:rsidR="008B7780" w:rsidRPr="008B7780" w:rsidRDefault="008B7780" w:rsidP="008B7780"/>
    <w:p w14:paraId="74C33D61" w14:textId="77777777" w:rsidR="007179EA" w:rsidRPr="00D80FBF" w:rsidRDefault="007179EA" w:rsidP="008B7780">
      <w:pPr>
        <w:pStyle w:val="Heading3"/>
      </w:pPr>
      <w:bookmarkStart w:id="310" w:name="_Toc71102185"/>
      <w:bookmarkStart w:id="311" w:name="_Toc78882322"/>
      <w:r w:rsidRPr="00D80FBF">
        <w:t>Estimated levy under- or over-recovery, by sector (R)</w:t>
      </w:r>
      <w:bookmarkEnd w:id="310"/>
      <w:bookmarkEnd w:id="311"/>
    </w:p>
    <w:p w14:paraId="0116A40F" w14:textId="77777777" w:rsidR="007179EA" w:rsidRPr="00D80FBF" w:rsidRDefault="007179EA" w:rsidP="008B7780">
      <w:r w:rsidRPr="00D80FBF">
        <w:t>Section 107 of the Gambling Amendment Act 2015 came into effect on 2 March 2015. It requires the calculation of each sector</w:t>
      </w:r>
      <w:r w:rsidR="00BC6B27">
        <w:t>’</w:t>
      </w:r>
      <w:r w:rsidRPr="00D80FBF">
        <w:t>s levy rate to take into account any underpayment or overpayment from that sector in previous levy periods. This change ended the previous system, which had been deemed unfair, whereby all four gambling sectors were required to meet any net underpayment or overpayment of the levy amount across all sectors from the previous levy period.</w:t>
      </w:r>
    </w:p>
    <w:p w14:paraId="5CA083A0" w14:textId="77777777" w:rsidR="007179EA" w:rsidRPr="00D80FBF" w:rsidRDefault="007179EA" w:rsidP="008B7780"/>
    <w:p w14:paraId="14E68977" w14:textId="77777777" w:rsidR="007179EA" w:rsidRPr="00D80FBF" w:rsidRDefault="007179EA" w:rsidP="008B7780">
      <w:pPr>
        <w:keepNext/>
        <w:keepLines/>
      </w:pPr>
      <w:r w:rsidRPr="00D80FBF">
        <w:lastRenderedPageBreak/>
        <w:t>In its 2019 report to the responsible Ministers, the Gambling Commission commented that R should be calculated by hindsight adjustment of earlier estimates of both C</w:t>
      </w:r>
      <w:r w:rsidR="008B7780">
        <w:t> </w:t>
      </w:r>
      <w:r w:rsidRPr="00D80FBF">
        <w:t xml:space="preserve">and D to produce (amend) the previously expected relative contribution from each sector to a corrected calculation of the </w:t>
      </w:r>
      <w:r w:rsidRPr="00D80FBF">
        <w:rPr>
          <w:u w:val="single"/>
        </w:rPr>
        <w:t>actual</w:t>
      </w:r>
      <w:r w:rsidRPr="00D80FBF">
        <w:t xml:space="preserve"> cost of the strategy to the end of the previous levy period.</w:t>
      </w:r>
      <w:r w:rsidRPr="008B7780">
        <w:rPr>
          <w:rStyle w:val="FootnoteReference"/>
          <w:rFonts w:eastAsia="MS Gothic"/>
        </w:rPr>
        <w:footnoteReference w:id="71"/>
      </w:r>
      <w:r w:rsidRPr="00D80FBF">
        <w:t xml:space="preserve"> </w:t>
      </w:r>
      <w:r w:rsidRPr="008B7780">
        <w:rPr>
          <w:rStyle w:val="FootnoteReference"/>
        </w:rPr>
        <w:footnoteReference w:id="72"/>
      </w:r>
      <w:r w:rsidRPr="00D80FBF">
        <w:t xml:space="preserve"> The Commission considered this approach to be consistent with the objective intent of the 2015 amendments to the Act and to provide a fairer allocation of any underpayment or overpayment, as adjustments to each sector would be made in the same proportions as received.</w:t>
      </w:r>
    </w:p>
    <w:p w14:paraId="6B344E3A" w14:textId="77777777" w:rsidR="007179EA" w:rsidRPr="00D80FBF" w:rsidRDefault="007179EA" w:rsidP="008B7780">
      <w:bookmarkStart w:id="312" w:name="_Toc517091247"/>
      <w:bookmarkStart w:id="313" w:name="_Toc530487446"/>
    </w:p>
    <w:p w14:paraId="50AA0985" w14:textId="77777777" w:rsidR="007179EA" w:rsidRPr="00D80FBF" w:rsidRDefault="007179EA" w:rsidP="008B7780">
      <w:r w:rsidRPr="00D80FBF">
        <w:t>Accordingly, the Ministry has calculated R by calculating its projected total spending for the period 2004 to 2022 by:</w:t>
      </w:r>
    </w:p>
    <w:p w14:paraId="263C164C" w14:textId="77777777" w:rsidR="007179EA" w:rsidRPr="00D80FBF" w:rsidRDefault="007179EA" w:rsidP="008B7780">
      <w:pPr>
        <w:pStyle w:val="Bullet"/>
      </w:pPr>
      <w:r w:rsidRPr="00D80FBF">
        <w:t xml:space="preserve">using the actual spending </w:t>
      </w:r>
      <w:r>
        <w:t>for the</w:t>
      </w:r>
      <w:r w:rsidRPr="00D80FBF">
        <w:t xml:space="preserve"> 2015/16 to 2020/21</w:t>
      </w:r>
      <w:r>
        <w:t xml:space="preserve"> period</w:t>
      </w:r>
    </w:p>
    <w:p w14:paraId="6A30396C" w14:textId="77777777" w:rsidR="007179EA" w:rsidRPr="00D80FBF" w:rsidRDefault="007179EA" w:rsidP="008B7780">
      <w:pPr>
        <w:pStyle w:val="Bullet"/>
      </w:pPr>
      <w:r w:rsidRPr="00D80FBF">
        <w:t xml:space="preserve">using estimated expenditure </w:t>
      </w:r>
      <w:r>
        <w:t xml:space="preserve">for </w:t>
      </w:r>
      <w:r w:rsidRPr="00D80FBF">
        <w:t>2021/22</w:t>
      </w:r>
    </w:p>
    <w:p w14:paraId="5717DFF1" w14:textId="77777777" w:rsidR="007179EA" w:rsidRPr="00D80FBF" w:rsidRDefault="007179EA" w:rsidP="008B7780">
      <w:pPr>
        <w:pStyle w:val="Bullet"/>
      </w:pPr>
      <w:r w:rsidRPr="00D80FBF">
        <w:t>adding these sums to the actual spending recorded for the levy period for each previous year between 2004/05 and 2014/2015.</w:t>
      </w:r>
    </w:p>
    <w:p w14:paraId="49F6F61E" w14:textId="77777777" w:rsidR="008B7780" w:rsidRDefault="008B7780" w:rsidP="008B7780"/>
    <w:p w14:paraId="224CC760" w14:textId="77777777" w:rsidR="007179EA" w:rsidRPr="00D80FBF" w:rsidRDefault="007179EA" w:rsidP="008B7780">
      <w:r w:rsidRPr="00D80FBF">
        <w:t>This totals to $31</w:t>
      </w:r>
      <w:r>
        <w:t>4.789</w:t>
      </w:r>
      <w:r w:rsidR="00046A83">
        <w:t> million</w:t>
      </w:r>
      <w:r w:rsidRPr="00D80FBF">
        <w:t>, which becomes the target recovery amount from the four levy-paying gambling sectors. We estimate the levy payments received by IRD will total $319.</w:t>
      </w:r>
      <w:r>
        <w:t>991</w:t>
      </w:r>
      <w:r w:rsidR="00046A83">
        <w:t> million</w:t>
      </w:r>
      <w:r w:rsidRPr="00D80FBF">
        <w:t xml:space="preserve"> by 30 June 2022. We calculated this by totalling actual payments from each sector made to IRD up to 30 June 202</w:t>
      </w:r>
      <w:r>
        <w:t>1</w:t>
      </w:r>
      <w:r w:rsidRPr="00D80FBF">
        <w:t>, together with the estimates of sector payments up to 30 June 2022. We then calculated the amount of levy that each sector was expected to pay by:</w:t>
      </w:r>
    </w:p>
    <w:p w14:paraId="7689659E" w14:textId="77777777" w:rsidR="007179EA" w:rsidRPr="00D80FBF" w:rsidRDefault="007179EA" w:rsidP="008B7780">
      <w:pPr>
        <w:pStyle w:val="Bullet"/>
      </w:pPr>
      <w:r w:rsidRPr="00D80FBF">
        <w:t>referring to the relevant Cabinet-approved strategy before the start of each levy period to identify each sector</w:t>
      </w:r>
      <w:r w:rsidR="00BC6B27">
        <w:t>’</w:t>
      </w:r>
      <w:r w:rsidRPr="00D80FBF">
        <w:t>s expected share of the levy requirement for each three-year period</w:t>
      </w:r>
    </w:p>
    <w:p w14:paraId="100C6400" w14:textId="77777777" w:rsidR="007179EA" w:rsidRPr="00D80FBF" w:rsidRDefault="007179EA" w:rsidP="008B7780">
      <w:pPr>
        <w:pStyle w:val="Bullet"/>
      </w:pPr>
      <w:r w:rsidRPr="00D80FBF">
        <w:t>using those shares to calculate the amount each sector was expected to pay as its contribution to the Ministry</w:t>
      </w:r>
      <w:r w:rsidR="00BC6B27">
        <w:t>’</w:t>
      </w:r>
      <w:r w:rsidRPr="00D80FBF">
        <w:t>s spending in each levy period</w:t>
      </w:r>
    </w:p>
    <w:p w14:paraId="46650261" w14:textId="77777777" w:rsidR="007179EA" w:rsidRPr="00D80FBF" w:rsidRDefault="007179EA" w:rsidP="008B7780">
      <w:pPr>
        <w:pStyle w:val="Bullet"/>
      </w:pPr>
      <w:r w:rsidRPr="00D80FBF">
        <w:t>totalling these amounts across all levy periods to arrive at the amount each sector was expected to pay up to 30 June 2022.</w:t>
      </w:r>
    </w:p>
    <w:p w14:paraId="2C192DCA" w14:textId="77777777" w:rsidR="007179EA" w:rsidRPr="00D80FBF" w:rsidRDefault="007179EA" w:rsidP="008B7780"/>
    <w:p w14:paraId="5CFE5D19" w14:textId="1E6086AD" w:rsidR="007179EA" w:rsidRPr="00D80FBF" w:rsidRDefault="007179EA" w:rsidP="008B7780">
      <w:r w:rsidRPr="00D80FBF">
        <w:t xml:space="preserve">R is the difference between the expected levy payments for each sector and the actual amount received in payments. </w:t>
      </w:r>
      <w:r w:rsidRPr="00D80FBF">
        <w:fldChar w:fldCharType="begin"/>
      </w:r>
      <w:r w:rsidRPr="00D80FBF">
        <w:instrText xml:space="preserve"> REF _Ref80796239 \h </w:instrText>
      </w:r>
      <w:r w:rsidRPr="00D80FBF">
        <w:fldChar w:fldCharType="separate"/>
      </w:r>
      <w:r w:rsidR="00451900">
        <w:t>Table </w:t>
      </w:r>
      <w:r w:rsidR="00451900">
        <w:rPr>
          <w:noProof/>
        </w:rPr>
        <w:t>14</w:t>
      </w:r>
      <w:r w:rsidRPr="00D80FBF">
        <w:fldChar w:fldCharType="end"/>
      </w:r>
      <w:r w:rsidRPr="00D80FBF">
        <w:t xml:space="preserve"> shows the values of R obtained. Overpayment amounts are deducted from (credited to) the next levy period amounts required from each sector, while any underpayments are added to those amounts.</w:t>
      </w:r>
    </w:p>
    <w:p w14:paraId="25466332" w14:textId="77777777" w:rsidR="007179EA" w:rsidRPr="00D80FBF" w:rsidRDefault="007179EA" w:rsidP="007179EA"/>
    <w:p w14:paraId="18584A36" w14:textId="7122118C" w:rsidR="007179EA" w:rsidRPr="00375B98" w:rsidRDefault="008B7780" w:rsidP="008B7780">
      <w:pPr>
        <w:pStyle w:val="Table"/>
      </w:pPr>
      <w:bookmarkStart w:id="314" w:name="_Ref80796239"/>
      <w:bookmarkStart w:id="315" w:name="_Toc4156640"/>
      <w:bookmarkStart w:id="316" w:name="_Toc8398940"/>
      <w:bookmarkStart w:id="317" w:name="_Toc522089451"/>
      <w:bookmarkStart w:id="318" w:name="_Toc89335330"/>
      <w:bookmarkStart w:id="319" w:name="_Toc90626964"/>
      <w:r>
        <w:lastRenderedPageBreak/>
        <w:t>Table </w:t>
      </w:r>
      <w:fldSimple w:instr=" SEQ Table \* ARABIC ">
        <w:r w:rsidR="00451900">
          <w:rPr>
            <w:noProof/>
          </w:rPr>
          <w:t>14</w:t>
        </w:r>
      </w:fldSimple>
      <w:bookmarkEnd w:id="314"/>
      <w:r w:rsidR="007179EA" w:rsidRPr="00375B98">
        <w:t>: Estimated underpayment or overpayment of problem gambling levy, 2004/05 to 2021/22, by sector</w:t>
      </w:r>
      <w:bookmarkEnd w:id="315"/>
      <w:bookmarkEnd w:id="316"/>
      <w:bookmarkEnd w:id="317"/>
      <w:bookmarkEnd w:id="318"/>
      <w:bookmarkEnd w:id="319"/>
    </w:p>
    <w:tbl>
      <w:tblPr>
        <w:tblW w:w="2667"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410"/>
        <w:gridCol w:w="1960"/>
      </w:tblGrid>
      <w:tr w:rsidR="007179EA" w:rsidRPr="00D80FBF" w14:paraId="245E81A5" w14:textId="77777777" w:rsidTr="005B24AB">
        <w:trPr>
          <w:cantSplit/>
        </w:trPr>
        <w:tc>
          <w:tcPr>
            <w:tcW w:w="2758" w:type="pct"/>
            <w:tcBorders>
              <w:top w:val="nil"/>
              <w:bottom w:val="nil"/>
            </w:tcBorders>
            <w:shd w:val="clear" w:color="auto" w:fill="D9D9D9" w:themeFill="background1" w:themeFillShade="D9"/>
            <w:noWrap/>
          </w:tcPr>
          <w:p w14:paraId="0E23B351" w14:textId="77777777" w:rsidR="007179EA" w:rsidRPr="00D80FBF" w:rsidRDefault="007179EA" w:rsidP="008B7780">
            <w:pPr>
              <w:keepNext/>
              <w:spacing w:before="60" w:after="60"/>
              <w:rPr>
                <w:b/>
                <w:sz w:val="18"/>
                <w:lang w:eastAsia="en-US"/>
              </w:rPr>
            </w:pPr>
            <w:r w:rsidRPr="00D80FBF">
              <w:rPr>
                <w:b/>
                <w:sz w:val="18"/>
                <w:lang w:eastAsia="en-US"/>
              </w:rPr>
              <w:t>Sector</w:t>
            </w:r>
          </w:p>
        </w:tc>
        <w:tc>
          <w:tcPr>
            <w:tcW w:w="2242" w:type="pct"/>
            <w:tcBorders>
              <w:top w:val="nil"/>
              <w:bottom w:val="nil"/>
            </w:tcBorders>
            <w:shd w:val="clear" w:color="auto" w:fill="D9D9D9" w:themeFill="background1" w:themeFillShade="D9"/>
          </w:tcPr>
          <w:p w14:paraId="0AA2D8A9" w14:textId="77777777" w:rsidR="007179EA" w:rsidRPr="00D80FBF" w:rsidRDefault="007179EA" w:rsidP="005B24AB">
            <w:pPr>
              <w:spacing w:before="60" w:after="60"/>
              <w:jc w:val="center"/>
              <w:rPr>
                <w:b/>
                <w:sz w:val="18"/>
                <w:lang w:eastAsia="en-US"/>
              </w:rPr>
            </w:pPr>
            <w:r w:rsidRPr="00D80FBF">
              <w:rPr>
                <w:b/>
                <w:sz w:val="18"/>
                <w:lang w:eastAsia="en-US"/>
              </w:rPr>
              <w:t>$m (GST exclusive)</w:t>
            </w:r>
          </w:p>
        </w:tc>
      </w:tr>
      <w:tr w:rsidR="007179EA" w:rsidRPr="00D80FBF" w14:paraId="5EF88575" w14:textId="77777777" w:rsidTr="005B24AB">
        <w:trPr>
          <w:cantSplit/>
        </w:trPr>
        <w:tc>
          <w:tcPr>
            <w:tcW w:w="2758" w:type="pct"/>
            <w:tcBorders>
              <w:top w:val="nil"/>
            </w:tcBorders>
            <w:shd w:val="clear" w:color="auto" w:fill="auto"/>
            <w:noWrap/>
          </w:tcPr>
          <w:p w14:paraId="58A05DE6" w14:textId="77777777" w:rsidR="007179EA" w:rsidRPr="00D80FBF" w:rsidRDefault="007179EA" w:rsidP="008B7780">
            <w:pPr>
              <w:keepNext/>
              <w:spacing w:before="60" w:after="60"/>
              <w:rPr>
                <w:sz w:val="18"/>
                <w:lang w:eastAsia="en-US"/>
              </w:rPr>
            </w:pPr>
            <w:r w:rsidRPr="00D80FBF">
              <w:rPr>
                <w:sz w:val="18"/>
                <w:lang w:eastAsia="en-US"/>
              </w:rPr>
              <w:t>NCGMs</w:t>
            </w:r>
          </w:p>
        </w:tc>
        <w:tc>
          <w:tcPr>
            <w:tcW w:w="2242" w:type="pct"/>
            <w:tcBorders>
              <w:top w:val="nil"/>
            </w:tcBorders>
          </w:tcPr>
          <w:p w14:paraId="1B3F1AEC" w14:textId="77777777" w:rsidR="007179EA" w:rsidRPr="003D2E77" w:rsidRDefault="007179EA" w:rsidP="005B24AB">
            <w:pPr>
              <w:tabs>
                <w:tab w:val="decimal" w:pos="794"/>
              </w:tabs>
              <w:spacing w:before="60" w:after="60"/>
              <w:rPr>
                <w:rFonts w:eastAsia="Arial Unicode MS"/>
                <w:sz w:val="18"/>
              </w:rPr>
            </w:pPr>
            <w:r w:rsidRPr="003D2E77">
              <w:rPr>
                <w:rFonts w:eastAsia="Arial Unicode MS"/>
                <w:sz w:val="18"/>
              </w:rPr>
              <w:t>–3.758</w:t>
            </w:r>
          </w:p>
        </w:tc>
      </w:tr>
      <w:tr w:rsidR="007179EA" w:rsidRPr="00D80FBF" w14:paraId="67FD61D0" w14:textId="77777777" w:rsidTr="005B24AB">
        <w:trPr>
          <w:cantSplit/>
        </w:trPr>
        <w:tc>
          <w:tcPr>
            <w:tcW w:w="2758" w:type="pct"/>
            <w:shd w:val="clear" w:color="auto" w:fill="auto"/>
            <w:noWrap/>
          </w:tcPr>
          <w:p w14:paraId="7F24BC68" w14:textId="77777777" w:rsidR="007179EA" w:rsidRPr="00D80FBF" w:rsidRDefault="007179EA" w:rsidP="008B7780">
            <w:pPr>
              <w:keepNext/>
              <w:spacing w:before="60" w:after="60"/>
              <w:rPr>
                <w:sz w:val="18"/>
                <w:lang w:eastAsia="en-US"/>
              </w:rPr>
            </w:pPr>
            <w:r w:rsidRPr="00D80FBF">
              <w:rPr>
                <w:sz w:val="18"/>
                <w:lang w:eastAsia="en-US"/>
              </w:rPr>
              <w:t>Casinos</w:t>
            </w:r>
          </w:p>
        </w:tc>
        <w:tc>
          <w:tcPr>
            <w:tcW w:w="2242" w:type="pct"/>
          </w:tcPr>
          <w:p w14:paraId="3F5CD8FE" w14:textId="77777777" w:rsidR="007179EA" w:rsidRPr="003D2E77" w:rsidRDefault="007179EA" w:rsidP="005B24AB">
            <w:pPr>
              <w:tabs>
                <w:tab w:val="decimal" w:pos="794"/>
              </w:tabs>
              <w:spacing w:before="60" w:after="60"/>
              <w:rPr>
                <w:rFonts w:eastAsia="Arial Unicode MS"/>
                <w:sz w:val="18"/>
              </w:rPr>
            </w:pPr>
            <w:r w:rsidRPr="003D2E77">
              <w:rPr>
                <w:rFonts w:eastAsia="Arial Unicode MS"/>
                <w:sz w:val="18"/>
              </w:rPr>
              <w:t>0.128</w:t>
            </w:r>
          </w:p>
        </w:tc>
      </w:tr>
      <w:tr w:rsidR="007179EA" w:rsidRPr="00D80FBF" w14:paraId="7F7C8D6D" w14:textId="77777777" w:rsidTr="005B24AB">
        <w:trPr>
          <w:cantSplit/>
        </w:trPr>
        <w:tc>
          <w:tcPr>
            <w:tcW w:w="2758" w:type="pct"/>
            <w:shd w:val="clear" w:color="auto" w:fill="auto"/>
            <w:noWrap/>
          </w:tcPr>
          <w:p w14:paraId="7E9E44B9" w14:textId="77777777" w:rsidR="007179EA" w:rsidRPr="00D80FBF" w:rsidRDefault="007179EA" w:rsidP="008B7780">
            <w:pPr>
              <w:keepNext/>
              <w:spacing w:before="60" w:after="60"/>
              <w:rPr>
                <w:sz w:val="18"/>
                <w:lang w:eastAsia="en-US"/>
              </w:rPr>
            </w:pPr>
            <w:r w:rsidRPr="00D80FBF">
              <w:rPr>
                <w:sz w:val="18"/>
                <w:lang w:eastAsia="en-US"/>
              </w:rPr>
              <w:t>TAB NZ</w:t>
            </w:r>
          </w:p>
        </w:tc>
        <w:tc>
          <w:tcPr>
            <w:tcW w:w="2242" w:type="pct"/>
          </w:tcPr>
          <w:p w14:paraId="18BF5715" w14:textId="77777777" w:rsidR="007179EA" w:rsidRPr="003D2E77" w:rsidRDefault="007179EA" w:rsidP="005B24AB">
            <w:pPr>
              <w:tabs>
                <w:tab w:val="decimal" w:pos="794"/>
              </w:tabs>
              <w:spacing w:before="60" w:after="60"/>
              <w:rPr>
                <w:rFonts w:eastAsia="Arial Unicode MS"/>
                <w:sz w:val="18"/>
              </w:rPr>
            </w:pPr>
            <w:r w:rsidRPr="003D2E77">
              <w:rPr>
                <w:rFonts w:eastAsia="Arial Unicode MS"/>
                <w:sz w:val="18"/>
              </w:rPr>
              <w:t>0.060</w:t>
            </w:r>
          </w:p>
        </w:tc>
      </w:tr>
      <w:tr w:rsidR="007179EA" w:rsidRPr="00D80FBF" w14:paraId="5F537CA9" w14:textId="77777777" w:rsidTr="005B24AB">
        <w:trPr>
          <w:cantSplit/>
        </w:trPr>
        <w:tc>
          <w:tcPr>
            <w:tcW w:w="2758" w:type="pct"/>
            <w:shd w:val="clear" w:color="auto" w:fill="auto"/>
            <w:noWrap/>
          </w:tcPr>
          <w:p w14:paraId="684A95C4" w14:textId="77777777" w:rsidR="007179EA" w:rsidRPr="00D80FBF" w:rsidRDefault="007179EA" w:rsidP="008B7780">
            <w:pPr>
              <w:keepNext/>
              <w:spacing w:before="60" w:after="60"/>
              <w:rPr>
                <w:sz w:val="18"/>
                <w:lang w:eastAsia="en-US"/>
              </w:rPr>
            </w:pPr>
            <w:r w:rsidRPr="00D80FBF">
              <w:rPr>
                <w:sz w:val="18"/>
                <w:lang w:eastAsia="en-US"/>
              </w:rPr>
              <w:t>Lotto New Zealand</w:t>
            </w:r>
          </w:p>
        </w:tc>
        <w:tc>
          <w:tcPr>
            <w:tcW w:w="2242" w:type="pct"/>
          </w:tcPr>
          <w:p w14:paraId="1060741F" w14:textId="77777777" w:rsidR="007179EA" w:rsidRPr="003D2E77" w:rsidRDefault="007179EA" w:rsidP="005B24AB">
            <w:pPr>
              <w:tabs>
                <w:tab w:val="decimal" w:pos="794"/>
              </w:tabs>
              <w:spacing w:before="60" w:after="60"/>
              <w:rPr>
                <w:rFonts w:eastAsia="Arial Unicode MS"/>
                <w:sz w:val="18"/>
              </w:rPr>
            </w:pPr>
            <w:r w:rsidRPr="003D2E77">
              <w:rPr>
                <w:rFonts w:eastAsia="Arial Unicode MS"/>
                <w:sz w:val="18"/>
              </w:rPr>
              <w:t>–1.632</w:t>
            </w:r>
          </w:p>
        </w:tc>
      </w:tr>
      <w:tr w:rsidR="007179EA" w:rsidRPr="00D80FBF" w14:paraId="14BD0317" w14:textId="77777777" w:rsidTr="005B24AB">
        <w:trPr>
          <w:cantSplit/>
        </w:trPr>
        <w:tc>
          <w:tcPr>
            <w:tcW w:w="2758" w:type="pct"/>
            <w:shd w:val="clear" w:color="auto" w:fill="auto"/>
            <w:noWrap/>
          </w:tcPr>
          <w:p w14:paraId="20E25077" w14:textId="77777777" w:rsidR="007179EA" w:rsidRPr="00D80FBF" w:rsidRDefault="007179EA" w:rsidP="008B7780">
            <w:pPr>
              <w:keepNext/>
              <w:spacing w:before="60" w:after="60"/>
              <w:rPr>
                <w:sz w:val="18"/>
                <w:lang w:eastAsia="en-US"/>
              </w:rPr>
            </w:pPr>
            <w:r w:rsidRPr="00D80FBF">
              <w:rPr>
                <w:sz w:val="18"/>
                <w:lang w:eastAsia="en-US"/>
              </w:rPr>
              <w:t>Net difference (total)</w:t>
            </w:r>
          </w:p>
        </w:tc>
        <w:tc>
          <w:tcPr>
            <w:tcW w:w="2242" w:type="pct"/>
          </w:tcPr>
          <w:p w14:paraId="25359C61" w14:textId="77777777" w:rsidR="007179EA" w:rsidRPr="003D2E77" w:rsidRDefault="007179EA" w:rsidP="005B24AB">
            <w:pPr>
              <w:tabs>
                <w:tab w:val="decimal" w:pos="794"/>
              </w:tabs>
              <w:spacing w:before="60" w:after="60"/>
              <w:rPr>
                <w:rFonts w:eastAsia="Arial Unicode MS"/>
                <w:sz w:val="18"/>
              </w:rPr>
            </w:pPr>
            <w:r w:rsidRPr="003D2E77">
              <w:rPr>
                <w:rFonts w:eastAsia="Arial Unicode MS"/>
                <w:sz w:val="18"/>
              </w:rPr>
              <w:t>–5.202</w:t>
            </w:r>
          </w:p>
        </w:tc>
      </w:tr>
    </w:tbl>
    <w:p w14:paraId="322C58A1" w14:textId="77777777" w:rsidR="007179EA" w:rsidRPr="00D80FBF" w:rsidRDefault="007179EA" w:rsidP="008B7780">
      <w:pPr>
        <w:pStyle w:val="Note"/>
      </w:pPr>
      <w:r w:rsidRPr="00D80FBF">
        <w:t>Note: A negative figure indicates an expected overpayment for the levy periods to 30 June 2022.</w:t>
      </w:r>
    </w:p>
    <w:p w14:paraId="6A50F912" w14:textId="77777777" w:rsidR="007179EA" w:rsidRPr="00D80FBF" w:rsidRDefault="007179EA" w:rsidP="008B7780"/>
    <w:p w14:paraId="3F70068C" w14:textId="77777777" w:rsidR="007179EA" w:rsidRPr="00D80FBF" w:rsidRDefault="007179EA" w:rsidP="008B7780">
      <w:pPr>
        <w:pStyle w:val="Heading3"/>
      </w:pPr>
      <w:bookmarkStart w:id="320" w:name="_Toc71102186"/>
      <w:bookmarkStart w:id="321" w:name="_Toc78882323"/>
      <w:bookmarkEnd w:id="312"/>
      <w:bookmarkEnd w:id="313"/>
      <w:r w:rsidRPr="00D80FBF">
        <w:t>The weightings (W1 and W2)</w:t>
      </w:r>
      <w:bookmarkEnd w:id="320"/>
      <w:bookmarkEnd w:id="321"/>
    </w:p>
    <w:p w14:paraId="47B80EFD" w14:textId="77777777" w:rsidR="007179EA" w:rsidRPr="00D80FBF" w:rsidRDefault="007179EA" w:rsidP="008B7780">
      <w:r w:rsidRPr="00D80FBF">
        <w:t>The Act requires the Ministry to apply a weighting between current player expenditure (</w:t>
      </w:r>
      <w:r w:rsidRPr="00D80FBF">
        <w:rPr>
          <w:b/>
        </w:rPr>
        <w:t>W1</w:t>
      </w:r>
      <w:r w:rsidRPr="00D80FBF">
        <w:t>) and presentations (</w:t>
      </w:r>
      <w:r w:rsidRPr="00D80FBF">
        <w:rPr>
          <w:b/>
        </w:rPr>
        <w:t>W2</w:t>
      </w:r>
      <w:r w:rsidRPr="00D80FBF">
        <w:t>) to help determine the cost (</w:t>
      </w:r>
      <w:r w:rsidRPr="00D80FBF">
        <w:rPr>
          <w:b/>
        </w:rPr>
        <w:t>C</w:t>
      </w:r>
      <w:r w:rsidRPr="00D80FBF">
        <w:t>) that each sector is required to pay in levy.</w:t>
      </w:r>
    </w:p>
    <w:p w14:paraId="7B23C97D" w14:textId="77777777" w:rsidR="007179EA" w:rsidRPr="00D80FBF" w:rsidRDefault="007179EA" w:rsidP="008B7780"/>
    <w:p w14:paraId="26F5A87D" w14:textId="77777777" w:rsidR="007179EA" w:rsidRPr="00D80FBF" w:rsidRDefault="007179EA" w:rsidP="008B7780">
      <w:r w:rsidRPr="00D80FBF">
        <w:t xml:space="preserve">The levy is intended to recover the cost of developing and implementing a strategy to prevent and minimise gambling harm. The definition of </w:t>
      </w:r>
      <w:r w:rsidR="00BC6B27">
        <w:t>‘</w:t>
      </w:r>
      <w:r w:rsidRPr="00D80FBF">
        <w:t>harm</w:t>
      </w:r>
      <w:r w:rsidR="00BC6B27">
        <w:t>’</w:t>
      </w:r>
      <w:r w:rsidRPr="00D80FBF">
        <w:t xml:space="preserve"> in the Act is very broad. Presentations represent only a small subset of gambling harm, and one that tends to be at the acute end of the continuum. Those who seek help represent only a small proportion of those who experience harm. There can be no assurance that gambling sectors are associated with harm across the continuum of harm in precisely the same proportions as they are associated with presentations to intervention services.</w:t>
      </w:r>
    </w:p>
    <w:p w14:paraId="394D826D" w14:textId="77777777" w:rsidR="007179EA" w:rsidRPr="00D80FBF" w:rsidRDefault="007179EA" w:rsidP="008B7780"/>
    <w:p w14:paraId="6D916038" w14:textId="77777777" w:rsidR="007179EA" w:rsidRPr="00D80FBF" w:rsidRDefault="007179EA" w:rsidP="008B7780">
      <w:r w:rsidRPr="00D80FBF">
        <w:t>The Act specifies that, in addition to intervention services, the strategy must include measures to promote public health by preventing and minimising the harm from problem gambling. It must also encourage gambling research (not just problem gambling research) and evaluation. The proportion of presentations to intervention services attributable to a particular gambling sector is not necessarily an appropriate indicator for determining the share that sector should bear of public health, research and evaluation costs.</w:t>
      </w:r>
    </w:p>
    <w:p w14:paraId="7D252F43" w14:textId="77777777" w:rsidR="007179EA" w:rsidRPr="00D80FBF" w:rsidRDefault="007179EA" w:rsidP="008B7780"/>
    <w:p w14:paraId="16932556" w14:textId="77777777" w:rsidR="007179EA" w:rsidRPr="00D80FBF" w:rsidRDefault="007179EA" w:rsidP="008B7780">
      <w:r>
        <w:t>The t</w:t>
      </w:r>
      <w:r w:rsidRPr="00D80FBF">
        <w:t xml:space="preserve">able </w:t>
      </w:r>
      <w:r>
        <w:t xml:space="preserve">below </w:t>
      </w:r>
      <w:r w:rsidRPr="00D80FBF">
        <w:t>shows the proportion of expenditure (</w:t>
      </w:r>
      <w:r w:rsidRPr="00D80FBF">
        <w:rPr>
          <w:b/>
        </w:rPr>
        <w:t>A</w:t>
      </w:r>
      <w:r w:rsidRPr="00D80FBF">
        <w:t>) for the 1 July 2019 to 30 June 2020 financial year (to be updated when 2020/21 data become available) and presentations (</w:t>
      </w:r>
      <w:r w:rsidRPr="00D80FBF">
        <w:rPr>
          <w:b/>
        </w:rPr>
        <w:t>B</w:t>
      </w:r>
      <w:r w:rsidRPr="00D80FBF">
        <w:t>) attributed to each levy-paying sector for the 1 July 2020 to 30 June 2021 financial year.</w:t>
      </w:r>
    </w:p>
    <w:p w14:paraId="260C21CB" w14:textId="77777777" w:rsidR="007179EA" w:rsidRPr="00D80FBF" w:rsidRDefault="007179EA" w:rsidP="008B7780"/>
    <w:p w14:paraId="3A794283" w14:textId="6EC33173" w:rsidR="007179EA" w:rsidRPr="00375B98" w:rsidRDefault="008B7780" w:rsidP="008B7780">
      <w:pPr>
        <w:pStyle w:val="Table"/>
      </w:pPr>
      <w:bookmarkStart w:id="322" w:name="_Ref80796283"/>
      <w:bookmarkStart w:id="323" w:name="_Toc517091248"/>
      <w:bookmarkStart w:id="324" w:name="_Toc522089452"/>
      <w:bookmarkStart w:id="325" w:name="_Toc530487447"/>
      <w:bookmarkStart w:id="326" w:name="_Toc4156641"/>
      <w:bookmarkStart w:id="327" w:name="_Toc8398941"/>
      <w:bookmarkStart w:id="328" w:name="_Toc89335331"/>
      <w:bookmarkStart w:id="329" w:name="_Toc90626965"/>
      <w:r>
        <w:t>Table </w:t>
      </w:r>
      <w:fldSimple w:instr=" SEQ Table \* ARABIC ">
        <w:r w:rsidR="00451900">
          <w:rPr>
            <w:noProof/>
          </w:rPr>
          <w:t>15</w:t>
        </w:r>
      </w:fldSimple>
      <w:bookmarkEnd w:id="322"/>
      <w:r w:rsidR="007179EA" w:rsidRPr="00375B98">
        <w:t>: Share of expenditure and presentations by sector, 2020</w:t>
      </w:r>
      <w:bookmarkEnd w:id="323"/>
      <w:bookmarkEnd w:id="324"/>
      <w:bookmarkEnd w:id="325"/>
      <w:bookmarkEnd w:id="326"/>
      <w:bookmarkEnd w:id="327"/>
      <w:r w:rsidR="007179EA" w:rsidRPr="00375B98">
        <w:t>/21</w:t>
      </w:r>
      <w:bookmarkEnd w:id="328"/>
      <w:bookmarkEnd w:id="329"/>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007"/>
        <w:gridCol w:w="1007"/>
        <w:gridCol w:w="1007"/>
        <w:gridCol w:w="1006"/>
        <w:gridCol w:w="1006"/>
        <w:gridCol w:w="1006"/>
        <w:gridCol w:w="1006"/>
        <w:gridCol w:w="1006"/>
      </w:tblGrid>
      <w:tr w:rsidR="007179EA" w:rsidRPr="00D80FBF" w14:paraId="1C155ED7" w14:textId="77777777" w:rsidTr="005B24AB">
        <w:trPr>
          <w:cantSplit/>
        </w:trPr>
        <w:tc>
          <w:tcPr>
            <w:tcW w:w="1250" w:type="pct"/>
            <w:gridSpan w:val="2"/>
            <w:tcBorders>
              <w:top w:val="nil"/>
              <w:bottom w:val="nil"/>
              <w:right w:val="single" w:sz="4" w:space="0" w:color="A6A6A6" w:themeColor="background1" w:themeShade="A6"/>
            </w:tcBorders>
            <w:shd w:val="clear" w:color="auto" w:fill="D9D9D9" w:themeFill="background1" w:themeFillShade="D9"/>
            <w:tcMar>
              <w:top w:w="0" w:type="dxa"/>
              <w:left w:w="28" w:type="dxa"/>
              <w:bottom w:w="0" w:type="dxa"/>
              <w:right w:w="28" w:type="dxa"/>
            </w:tcMar>
          </w:tcPr>
          <w:p w14:paraId="58F9664B" w14:textId="77777777" w:rsidR="007179EA" w:rsidRPr="00D80FBF" w:rsidRDefault="007179EA" w:rsidP="005B24AB">
            <w:pPr>
              <w:keepNext/>
              <w:spacing w:before="60"/>
              <w:jc w:val="center"/>
              <w:rPr>
                <w:rFonts w:eastAsia="Arial Unicode MS"/>
                <w:b/>
                <w:sz w:val="18"/>
              </w:rPr>
            </w:pPr>
            <w:r w:rsidRPr="00D80FBF">
              <w:rPr>
                <w:b/>
                <w:sz w:val="18"/>
              </w:rPr>
              <w:t>NCGMs</w:t>
            </w:r>
          </w:p>
        </w:tc>
        <w:tc>
          <w:tcPr>
            <w:tcW w:w="1250"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Mar>
              <w:top w:w="0" w:type="dxa"/>
              <w:left w:w="28" w:type="dxa"/>
              <w:bottom w:w="0" w:type="dxa"/>
              <w:right w:w="28" w:type="dxa"/>
            </w:tcMar>
          </w:tcPr>
          <w:p w14:paraId="72D628C1" w14:textId="77777777" w:rsidR="007179EA" w:rsidRPr="00D80FBF" w:rsidRDefault="007179EA" w:rsidP="005B24AB">
            <w:pPr>
              <w:spacing w:before="60"/>
              <w:jc w:val="center"/>
              <w:rPr>
                <w:rFonts w:eastAsia="Arial Unicode MS"/>
                <w:b/>
                <w:sz w:val="18"/>
              </w:rPr>
            </w:pPr>
            <w:r w:rsidRPr="00D80FBF">
              <w:rPr>
                <w:b/>
                <w:sz w:val="18"/>
              </w:rPr>
              <w:t>Casinos</w:t>
            </w:r>
          </w:p>
        </w:tc>
        <w:tc>
          <w:tcPr>
            <w:tcW w:w="1250"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Mar>
              <w:top w:w="0" w:type="dxa"/>
              <w:left w:w="28" w:type="dxa"/>
              <w:bottom w:w="0" w:type="dxa"/>
              <w:right w:w="28" w:type="dxa"/>
            </w:tcMar>
          </w:tcPr>
          <w:p w14:paraId="1CE66854" w14:textId="77777777" w:rsidR="007179EA" w:rsidRPr="00D80FBF" w:rsidRDefault="007179EA" w:rsidP="005B24AB">
            <w:pPr>
              <w:spacing w:before="60"/>
              <w:jc w:val="center"/>
              <w:rPr>
                <w:rFonts w:eastAsia="Arial Unicode MS"/>
                <w:b/>
                <w:sz w:val="18"/>
              </w:rPr>
            </w:pPr>
            <w:r w:rsidRPr="00D80FBF">
              <w:rPr>
                <w:b/>
                <w:sz w:val="18"/>
              </w:rPr>
              <w:t>TAB NZ</w:t>
            </w:r>
          </w:p>
        </w:tc>
        <w:tc>
          <w:tcPr>
            <w:tcW w:w="1250" w:type="pct"/>
            <w:gridSpan w:val="2"/>
            <w:tcBorders>
              <w:top w:val="nil"/>
              <w:left w:val="single" w:sz="4" w:space="0" w:color="A6A6A6" w:themeColor="background1" w:themeShade="A6"/>
              <w:bottom w:val="nil"/>
            </w:tcBorders>
            <w:shd w:val="clear" w:color="auto" w:fill="D9D9D9" w:themeFill="background1" w:themeFillShade="D9"/>
          </w:tcPr>
          <w:p w14:paraId="4E3D2DDD" w14:textId="77777777" w:rsidR="007179EA" w:rsidRPr="00D80FBF" w:rsidRDefault="007179EA" w:rsidP="005B24AB">
            <w:pPr>
              <w:spacing w:before="60"/>
              <w:jc w:val="center"/>
              <w:rPr>
                <w:b/>
                <w:sz w:val="18"/>
              </w:rPr>
            </w:pPr>
            <w:r w:rsidRPr="00D80FBF">
              <w:rPr>
                <w:b/>
                <w:sz w:val="18"/>
              </w:rPr>
              <w:t>Lotto New Zealand</w:t>
            </w:r>
          </w:p>
        </w:tc>
      </w:tr>
      <w:tr w:rsidR="007179EA" w:rsidRPr="00D80FBF" w14:paraId="23311C4E" w14:textId="77777777" w:rsidTr="005B24AB">
        <w:trPr>
          <w:cantSplit/>
        </w:trPr>
        <w:tc>
          <w:tcPr>
            <w:tcW w:w="625" w:type="pct"/>
            <w:tcBorders>
              <w:top w:val="nil"/>
              <w:bottom w:val="nil"/>
            </w:tcBorders>
            <w:shd w:val="clear" w:color="auto" w:fill="D9D9D9" w:themeFill="background1" w:themeFillShade="D9"/>
            <w:tcMar>
              <w:top w:w="0" w:type="dxa"/>
              <w:left w:w="28" w:type="dxa"/>
              <w:bottom w:w="0" w:type="dxa"/>
              <w:right w:w="28" w:type="dxa"/>
            </w:tcMar>
          </w:tcPr>
          <w:p w14:paraId="7AE412A0" w14:textId="77777777" w:rsidR="007179EA" w:rsidRPr="00D80FBF" w:rsidRDefault="007179EA" w:rsidP="005B24AB">
            <w:pPr>
              <w:keepNext/>
              <w:spacing w:after="60"/>
              <w:jc w:val="center"/>
              <w:rPr>
                <w:sz w:val="15"/>
                <w:szCs w:val="15"/>
              </w:rPr>
            </w:pPr>
            <w:r w:rsidRPr="00D80FBF">
              <w:rPr>
                <w:sz w:val="15"/>
                <w:szCs w:val="15"/>
              </w:rPr>
              <w:t>Expenditure</w:t>
            </w:r>
          </w:p>
        </w:tc>
        <w:tc>
          <w:tcPr>
            <w:tcW w:w="625" w:type="pct"/>
            <w:tcBorders>
              <w:top w:val="nil"/>
              <w:bottom w:val="nil"/>
              <w:right w:val="single" w:sz="4" w:space="0" w:color="A6A6A6" w:themeColor="background1" w:themeShade="A6"/>
            </w:tcBorders>
            <w:shd w:val="clear" w:color="auto" w:fill="D9D9D9" w:themeFill="background1" w:themeFillShade="D9"/>
          </w:tcPr>
          <w:p w14:paraId="1AAB90FE" w14:textId="77777777" w:rsidR="007179EA" w:rsidRPr="00D80FBF" w:rsidRDefault="007179EA" w:rsidP="005B24AB">
            <w:pPr>
              <w:spacing w:after="60"/>
              <w:jc w:val="center"/>
              <w:rPr>
                <w:sz w:val="15"/>
                <w:szCs w:val="15"/>
              </w:rPr>
            </w:pPr>
            <w:r w:rsidRPr="00D80FBF">
              <w:rPr>
                <w:sz w:val="15"/>
                <w:szCs w:val="15"/>
              </w:rPr>
              <w:t>Presentations</w:t>
            </w:r>
          </w:p>
        </w:tc>
        <w:tc>
          <w:tcPr>
            <w:tcW w:w="625" w:type="pct"/>
            <w:tcBorders>
              <w:top w:val="nil"/>
              <w:left w:val="single" w:sz="4" w:space="0" w:color="A6A6A6" w:themeColor="background1" w:themeShade="A6"/>
              <w:bottom w:val="nil"/>
            </w:tcBorders>
            <w:shd w:val="clear" w:color="auto" w:fill="D9D9D9" w:themeFill="background1" w:themeFillShade="D9"/>
            <w:tcMar>
              <w:top w:w="0" w:type="dxa"/>
              <w:left w:w="28" w:type="dxa"/>
              <w:bottom w:w="0" w:type="dxa"/>
              <w:right w:w="28" w:type="dxa"/>
            </w:tcMar>
          </w:tcPr>
          <w:p w14:paraId="42E62655" w14:textId="77777777" w:rsidR="007179EA" w:rsidRPr="00D80FBF" w:rsidRDefault="007179EA" w:rsidP="005B24AB">
            <w:pPr>
              <w:spacing w:after="60"/>
              <w:jc w:val="center"/>
              <w:rPr>
                <w:sz w:val="15"/>
                <w:szCs w:val="15"/>
              </w:rPr>
            </w:pPr>
            <w:r w:rsidRPr="00D80FBF">
              <w:rPr>
                <w:sz w:val="15"/>
                <w:szCs w:val="15"/>
              </w:rPr>
              <w:t>Expenditure</w:t>
            </w:r>
          </w:p>
        </w:tc>
        <w:tc>
          <w:tcPr>
            <w:tcW w:w="625" w:type="pct"/>
            <w:tcBorders>
              <w:top w:val="nil"/>
              <w:bottom w:val="nil"/>
              <w:right w:val="single" w:sz="4" w:space="0" w:color="A6A6A6" w:themeColor="background1" w:themeShade="A6"/>
            </w:tcBorders>
            <w:shd w:val="clear" w:color="auto" w:fill="D9D9D9" w:themeFill="background1" w:themeFillShade="D9"/>
          </w:tcPr>
          <w:p w14:paraId="12595E5A" w14:textId="77777777" w:rsidR="007179EA" w:rsidRPr="00D80FBF" w:rsidRDefault="007179EA" w:rsidP="005B24AB">
            <w:pPr>
              <w:spacing w:after="60"/>
              <w:jc w:val="center"/>
              <w:rPr>
                <w:spacing w:val="-2"/>
                <w:sz w:val="15"/>
                <w:szCs w:val="15"/>
              </w:rPr>
            </w:pPr>
            <w:r w:rsidRPr="00D80FBF">
              <w:rPr>
                <w:spacing w:val="-2"/>
                <w:sz w:val="15"/>
                <w:szCs w:val="15"/>
              </w:rPr>
              <w:t>Presentations</w:t>
            </w:r>
          </w:p>
        </w:tc>
        <w:tc>
          <w:tcPr>
            <w:tcW w:w="625" w:type="pct"/>
            <w:tcBorders>
              <w:top w:val="nil"/>
              <w:left w:val="single" w:sz="4" w:space="0" w:color="A6A6A6" w:themeColor="background1" w:themeShade="A6"/>
              <w:bottom w:val="nil"/>
            </w:tcBorders>
            <w:shd w:val="clear" w:color="auto" w:fill="D9D9D9" w:themeFill="background1" w:themeFillShade="D9"/>
            <w:tcMar>
              <w:top w:w="0" w:type="dxa"/>
              <w:left w:w="28" w:type="dxa"/>
              <w:bottom w:w="0" w:type="dxa"/>
              <w:right w:w="28" w:type="dxa"/>
            </w:tcMar>
          </w:tcPr>
          <w:p w14:paraId="09856383" w14:textId="77777777" w:rsidR="007179EA" w:rsidRPr="00D80FBF" w:rsidRDefault="007179EA" w:rsidP="005B24AB">
            <w:pPr>
              <w:spacing w:after="60"/>
              <w:jc w:val="center"/>
              <w:rPr>
                <w:sz w:val="15"/>
                <w:szCs w:val="15"/>
              </w:rPr>
            </w:pPr>
            <w:r w:rsidRPr="00D80FBF">
              <w:rPr>
                <w:sz w:val="15"/>
                <w:szCs w:val="15"/>
              </w:rPr>
              <w:t>Expenditure</w:t>
            </w:r>
          </w:p>
        </w:tc>
        <w:tc>
          <w:tcPr>
            <w:tcW w:w="625" w:type="pct"/>
            <w:tcBorders>
              <w:top w:val="nil"/>
              <w:bottom w:val="nil"/>
              <w:right w:val="single" w:sz="4" w:space="0" w:color="A6A6A6" w:themeColor="background1" w:themeShade="A6"/>
            </w:tcBorders>
            <w:shd w:val="clear" w:color="auto" w:fill="D9D9D9" w:themeFill="background1" w:themeFillShade="D9"/>
          </w:tcPr>
          <w:p w14:paraId="5D4750A2" w14:textId="77777777" w:rsidR="007179EA" w:rsidRPr="00D80FBF" w:rsidRDefault="007179EA" w:rsidP="005B24AB">
            <w:pPr>
              <w:spacing w:after="60"/>
              <w:jc w:val="center"/>
              <w:rPr>
                <w:spacing w:val="-2"/>
                <w:sz w:val="15"/>
                <w:szCs w:val="15"/>
              </w:rPr>
            </w:pPr>
            <w:r w:rsidRPr="00D80FBF">
              <w:rPr>
                <w:spacing w:val="-2"/>
                <w:sz w:val="15"/>
                <w:szCs w:val="15"/>
              </w:rPr>
              <w:t>Presentations</w:t>
            </w:r>
          </w:p>
        </w:tc>
        <w:tc>
          <w:tcPr>
            <w:tcW w:w="625" w:type="pct"/>
            <w:tcBorders>
              <w:top w:val="nil"/>
              <w:left w:val="single" w:sz="4" w:space="0" w:color="A6A6A6" w:themeColor="background1" w:themeShade="A6"/>
              <w:bottom w:val="nil"/>
            </w:tcBorders>
            <w:shd w:val="clear" w:color="auto" w:fill="D9D9D9" w:themeFill="background1" w:themeFillShade="D9"/>
          </w:tcPr>
          <w:p w14:paraId="13ED51F6" w14:textId="77777777" w:rsidR="007179EA" w:rsidRPr="00D80FBF" w:rsidRDefault="007179EA" w:rsidP="005B24AB">
            <w:pPr>
              <w:spacing w:after="60"/>
              <w:jc w:val="center"/>
              <w:rPr>
                <w:sz w:val="15"/>
                <w:szCs w:val="15"/>
              </w:rPr>
            </w:pPr>
            <w:r w:rsidRPr="00D80FBF">
              <w:rPr>
                <w:sz w:val="15"/>
                <w:szCs w:val="15"/>
              </w:rPr>
              <w:t>Expenditure</w:t>
            </w:r>
          </w:p>
        </w:tc>
        <w:tc>
          <w:tcPr>
            <w:tcW w:w="625" w:type="pct"/>
            <w:tcBorders>
              <w:top w:val="nil"/>
              <w:bottom w:val="nil"/>
            </w:tcBorders>
            <w:shd w:val="clear" w:color="auto" w:fill="D9D9D9" w:themeFill="background1" w:themeFillShade="D9"/>
          </w:tcPr>
          <w:p w14:paraId="126E0E8E" w14:textId="77777777" w:rsidR="007179EA" w:rsidRPr="00D80FBF" w:rsidRDefault="007179EA" w:rsidP="005B24AB">
            <w:pPr>
              <w:spacing w:after="60"/>
              <w:jc w:val="center"/>
              <w:rPr>
                <w:spacing w:val="-2"/>
                <w:sz w:val="15"/>
                <w:szCs w:val="15"/>
              </w:rPr>
            </w:pPr>
            <w:r w:rsidRPr="00D80FBF">
              <w:rPr>
                <w:spacing w:val="-2"/>
                <w:sz w:val="15"/>
                <w:szCs w:val="15"/>
              </w:rPr>
              <w:t>Presentations</w:t>
            </w:r>
          </w:p>
        </w:tc>
      </w:tr>
      <w:tr w:rsidR="007179EA" w:rsidRPr="00D80FBF" w14:paraId="19AEF8E1" w14:textId="77777777" w:rsidTr="005B24AB">
        <w:trPr>
          <w:cantSplit/>
        </w:trPr>
        <w:tc>
          <w:tcPr>
            <w:tcW w:w="625" w:type="pct"/>
            <w:tcBorders>
              <w:top w:val="nil"/>
            </w:tcBorders>
            <w:shd w:val="clear" w:color="auto" w:fill="auto"/>
            <w:noWrap/>
            <w:tcMar>
              <w:top w:w="0" w:type="dxa"/>
              <w:left w:w="28" w:type="dxa"/>
              <w:bottom w:w="0" w:type="dxa"/>
              <w:right w:w="28" w:type="dxa"/>
            </w:tcMar>
          </w:tcPr>
          <w:p w14:paraId="2E179116" w14:textId="77777777" w:rsidR="007179EA" w:rsidRPr="00D80FBF" w:rsidRDefault="007179EA" w:rsidP="005B24AB">
            <w:pPr>
              <w:keepNext/>
              <w:spacing w:before="60" w:after="60"/>
              <w:jc w:val="center"/>
              <w:rPr>
                <w:rFonts w:eastAsia="Arial Unicode MS"/>
                <w:sz w:val="18"/>
              </w:rPr>
            </w:pPr>
            <w:bookmarkStart w:id="330" w:name="_Toc516835903"/>
            <w:bookmarkStart w:id="331" w:name="_Toc516836151"/>
            <w:r w:rsidRPr="00D80FBF">
              <w:rPr>
                <w:rFonts w:eastAsia="Arial Unicode MS"/>
                <w:sz w:val="18"/>
              </w:rPr>
              <w:t>0.356</w:t>
            </w:r>
            <w:bookmarkEnd w:id="330"/>
            <w:bookmarkEnd w:id="331"/>
          </w:p>
        </w:tc>
        <w:tc>
          <w:tcPr>
            <w:tcW w:w="625" w:type="pct"/>
            <w:tcBorders>
              <w:top w:val="nil"/>
              <w:right w:val="single" w:sz="4" w:space="0" w:color="A6A6A6" w:themeColor="background1" w:themeShade="A6"/>
            </w:tcBorders>
            <w:shd w:val="clear" w:color="auto" w:fill="auto"/>
          </w:tcPr>
          <w:p w14:paraId="5925CE09" w14:textId="77777777" w:rsidR="007179EA" w:rsidRPr="00D80FBF" w:rsidRDefault="007179EA" w:rsidP="005B24AB">
            <w:pPr>
              <w:spacing w:before="60" w:after="60"/>
              <w:jc w:val="center"/>
              <w:rPr>
                <w:rFonts w:eastAsia="Arial Unicode MS"/>
                <w:sz w:val="18"/>
              </w:rPr>
            </w:pPr>
            <w:r w:rsidRPr="00D80FBF">
              <w:rPr>
                <w:rFonts w:eastAsia="Arial Unicode MS"/>
                <w:sz w:val="18"/>
              </w:rPr>
              <w:t>0.5</w:t>
            </w:r>
            <w:r>
              <w:rPr>
                <w:rFonts w:eastAsia="Arial Unicode MS"/>
                <w:sz w:val="18"/>
              </w:rPr>
              <w:t>67</w:t>
            </w:r>
          </w:p>
        </w:tc>
        <w:tc>
          <w:tcPr>
            <w:tcW w:w="625" w:type="pct"/>
            <w:tcBorders>
              <w:top w:val="nil"/>
              <w:left w:val="single" w:sz="4" w:space="0" w:color="A6A6A6" w:themeColor="background1" w:themeShade="A6"/>
            </w:tcBorders>
            <w:shd w:val="clear" w:color="auto" w:fill="auto"/>
            <w:noWrap/>
            <w:tcMar>
              <w:top w:w="0" w:type="dxa"/>
              <w:left w:w="28" w:type="dxa"/>
              <w:bottom w:w="0" w:type="dxa"/>
              <w:right w:w="28" w:type="dxa"/>
            </w:tcMar>
          </w:tcPr>
          <w:p w14:paraId="1A5E0F55" w14:textId="77777777" w:rsidR="007179EA" w:rsidRPr="00D80FBF" w:rsidRDefault="007179EA" w:rsidP="005B24AB">
            <w:pPr>
              <w:spacing w:before="60" w:after="60"/>
              <w:jc w:val="center"/>
              <w:rPr>
                <w:rFonts w:eastAsia="Arial Unicode MS"/>
                <w:sz w:val="18"/>
              </w:rPr>
            </w:pPr>
            <w:r w:rsidRPr="00D80FBF">
              <w:rPr>
                <w:rFonts w:eastAsia="Arial Unicode MS"/>
                <w:sz w:val="18"/>
              </w:rPr>
              <w:t>0.224</w:t>
            </w:r>
          </w:p>
        </w:tc>
        <w:tc>
          <w:tcPr>
            <w:tcW w:w="625" w:type="pct"/>
            <w:tcBorders>
              <w:top w:val="nil"/>
              <w:right w:val="single" w:sz="4" w:space="0" w:color="A6A6A6" w:themeColor="background1" w:themeShade="A6"/>
            </w:tcBorders>
            <w:shd w:val="clear" w:color="auto" w:fill="auto"/>
          </w:tcPr>
          <w:p w14:paraId="257EDE1D" w14:textId="77777777" w:rsidR="007179EA" w:rsidRPr="00D80FBF" w:rsidRDefault="007179EA" w:rsidP="005B24AB">
            <w:pPr>
              <w:spacing w:before="60" w:after="60"/>
              <w:jc w:val="center"/>
              <w:rPr>
                <w:rFonts w:eastAsia="Arial Unicode MS"/>
                <w:sz w:val="18"/>
              </w:rPr>
            </w:pPr>
            <w:r w:rsidRPr="00D80FBF">
              <w:rPr>
                <w:rFonts w:eastAsia="Arial Unicode MS"/>
                <w:sz w:val="18"/>
              </w:rPr>
              <w:t>0.20</w:t>
            </w:r>
            <w:r>
              <w:rPr>
                <w:rFonts w:eastAsia="Arial Unicode MS"/>
                <w:sz w:val="18"/>
              </w:rPr>
              <w:t>6</w:t>
            </w:r>
          </w:p>
        </w:tc>
        <w:tc>
          <w:tcPr>
            <w:tcW w:w="625" w:type="pct"/>
            <w:tcBorders>
              <w:top w:val="nil"/>
              <w:left w:val="single" w:sz="4" w:space="0" w:color="A6A6A6" w:themeColor="background1" w:themeShade="A6"/>
            </w:tcBorders>
            <w:shd w:val="clear" w:color="auto" w:fill="auto"/>
            <w:noWrap/>
            <w:tcMar>
              <w:top w:w="0" w:type="dxa"/>
              <w:left w:w="28" w:type="dxa"/>
              <w:bottom w:w="0" w:type="dxa"/>
              <w:right w:w="28" w:type="dxa"/>
            </w:tcMar>
          </w:tcPr>
          <w:p w14:paraId="0F1BB4C9" w14:textId="77777777" w:rsidR="007179EA" w:rsidRPr="00D80FBF" w:rsidRDefault="007179EA" w:rsidP="005B24AB">
            <w:pPr>
              <w:spacing w:before="60" w:after="60"/>
              <w:jc w:val="center"/>
              <w:rPr>
                <w:rFonts w:eastAsia="Arial Unicode MS"/>
                <w:sz w:val="18"/>
              </w:rPr>
            </w:pPr>
            <w:r w:rsidRPr="00D80FBF">
              <w:rPr>
                <w:rFonts w:eastAsia="Arial Unicode MS"/>
                <w:sz w:val="18"/>
              </w:rPr>
              <w:t>0.140</w:t>
            </w:r>
          </w:p>
        </w:tc>
        <w:tc>
          <w:tcPr>
            <w:tcW w:w="625" w:type="pct"/>
            <w:tcBorders>
              <w:top w:val="nil"/>
              <w:right w:val="single" w:sz="4" w:space="0" w:color="A6A6A6" w:themeColor="background1" w:themeShade="A6"/>
            </w:tcBorders>
            <w:shd w:val="clear" w:color="auto" w:fill="auto"/>
          </w:tcPr>
          <w:p w14:paraId="34F349FA" w14:textId="77777777" w:rsidR="007179EA" w:rsidRPr="00D80FBF" w:rsidRDefault="007179EA" w:rsidP="005B24AB">
            <w:pPr>
              <w:spacing w:before="60" w:after="60"/>
              <w:jc w:val="center"/>
              <w:rPr>
                <w:rFonts w:eastAsia="Arial Unicode MS"/>
                <w:sz w:val="18"/>
              </w:rPr>
            </w:pPr>
            <w:r w:rsidRPr="00D80FBF">
              <w:rPr>
                <w:rFonts w:eastAsia="Arial Unicode MS"/>
                <w:sz w:val="18"/>
              </w:rPr>
              <w:t>0.10</w:t>
            </w:r>
            <w:r>
              <w:rPr>
                <w:rFonts w:eastAsia="Arial Unicode MS"/>
                <w:sz w:val="18"/>
              </w:rPr>
              <w:t>3</w:t>
            </w:r>
          </w:p>
        </w:tc>
        <w:tc>
          <w:tcPr>
            <w:tcW w:w="625" w:type="pct"/>
            <w:tcBorders>
              <w:top w:val="nil"/>
              <w:left w:val="single" w:sz="4" w:space="0" w:color="A6A6A6" w:themeColor="background1" w:themeShade="A6"/>
            </w:tcBorders>
            <w:shd w:val="clear" w:color="auto" w:fill="auto"/>
          </w:tcPr>
          <w:p w14:paraId="7469D62E" w14:textId="77777777" w:rsidR="007179EA" w:rsidRPr="00D80FBF" w:rsidRDefault="007179EA" w:rsidP="005B24AB">
            <w:pPr>
              <w:spacing w:before="60" w:after="60"/>
              <w:jc w:val="center"/>
              <w:rPr>
                <w:rFonts w:eastAsia="Arial Unicode MS"/>
                <w:sz w:val="18"/>
              </w:rPr>
            </w:pPr>
            <w:r w:rsidRPr="00D80FBF">
              <w:rPr>
                <w:rFonts w:eastAsia="Arial Unicode MS"/>
                <w:sz w:val="18"/>
              </w:rPr>
              <w:t>0.280</w:t>
            </w:r>
          </w:p>
        </w:tc>
        <w:tc>
          <w:tcPr>
            <w:tcW w:w="625" w:type="pct"/>
            <w:tcBorders>
              <w:top w:val="nil"/>
            </w:tcBorders>
            <w:shd w:val="clear" w:color="auto" w:fill="auto"/>
          </w:tcPr>
          <w:p w14:paraId="1B4AA52A" w14:textId="77777777" w:rsidR="007179EA" w:rsidRPr="00D80FBF" w:rsidRDefault="007179EA" w:rsidP="005B24AB">
            <w:pPr>
              <w:spacing w:before="60" w:after="60"/>
              <w:jc w:val="center"/>
              <w:rPr>
                <w:rFonts w:eastAsia="Arial Unicode MS"/>
                <w:sz w:val="18"/>
              </w:rPr>
            </w:pPr>
            <w:r w:rsidRPr="00D80FBF">
              <w:rPr>
                <w:rFonts w:eastAsia="Arial Unicode MS"/>
                <w:sz w:val="18"/>
              </w:rPr>
              <w:t>0.125</w:t>
            </w:r>
          </w:p>
        </w:tc>
      </w:tr>
    </w:tbl>
    <w:p w14:paraId="688E8130" w14:textId="77777777" w:rsidR="007179EA" w:rsidRPr="00D80FBF" w:rsidRDefault="007179EA" w:rsidP="008B7780"/>
    <w:p w14:paraId="3DFF0A25" w14:textId="77777777" w:rsidR="007179EA" w:rsidRPr="00D80FBF" w:rsidRDefault="007179EA" w:rsidP="008B7780">
      <w:pPr>
        <w:keepNext/>
        <w:keepLines/>
      </w:pPr>
      <w:r w:rsidRPr="00D80FBF">
        <w:lastRenderedPageBreak/>
        <w:t>The top line of the levy formula determines the amount each sector shall pay. When a sector</w:t>
      </w:r>
      <w:r w:rsidR="00BC6B27">
        <w:t>’</w:t>
      </w:r>
      <w:r w:rsidRPr="00D80FBF">
        <w:t>s proportion of expenditure is substantially different from its proportion of presentations (W1 and W2 respectively), the weighting between expenditure and presentations is critical to determine how much each sector will be required to pay.</w:t>
      </w:r>
    </w:p>
    <w:p w14:paraId="7C350302" w14:textId="77777777" w:rsidR="007179EA" w:rsidRPr="00D80FBF" w:rsidRDefault="007179EA" w:rsidP="008B7780"/>
    <w:p w14:paraId="18C14E34" w14:textId="77777777" w:rsidR="00BC6B27" w:rsidRDefault="007179EA" w:rsidP="008B7780">
      <w:r w:rsidRPr="00D80FBF">
        <w:t xml:space="preserve">The strategy is intended to prevent and minimise gambling </w:t>
      </w:r>
      <w:r w:rsidRPr="00D80FBF">
        <w:rPr>
          <w:i/>
        </w:rPr>
        <w:t>harm</w:t>
      </w:r>
      <w:r w:rsidRPr="00D80FBF">
        <w:t xml:space="preserve">; it is not intended to address the amount spent by </w:t>
      </w:r>
      <w:r>
        <w:t>people who gamble</w:t>
      </w:r>
      <w:r w:rsidRPr="00D80FBF">
        <w:t xml:space="preserve"> per se.</w:t>
      </w:r>
    </w:p>
    <w:p w14:paraId="4AE1D8B6" w14:textId="77777777" w:rsidR="007179EA" w:rsidRDefault="007179EA" w:rsidP="008B7780"/>
    <w:p w14:paraId="5543A452" w14:textId="77777777" w:rsidR="00BC6B27" w:rsidRDefault="007179EA" w:rsidP="008B7780">
      <w:r>
        <w:t>In the 2018 proposals document t</w:t>
      </w:r>
      <w:r w:rsidRPr="00D80FBF">
        <w:t xml:space="preserve">he Ministry </w:t>
      </w:r>
      <w:r>
        <w:t xml:space="preserve">indicated it </w:t>
      </w:r>
      <w:r w:rsidRPr="00D80FBF">
        <w:t>consider</w:t>
      </w:r>
      <w:r>
        <w:t xml:space="preserve">ed </w:t>
      </w:r>
      <w:r w:rsidRPr="00D80FBF">
        <w:t>any weighting of more than 30</w:t>
      </w:r>
      <w:r w:rsidR="001461C6">
        <w:t> percent</w:t>
      </w:r>
      <w:r w:rsidRPr="00D80FBF">
        <w:t xml:space="preserve"> on expenditure</w:t>
      </w:r>
      <w:r w:rsidRPr="00D80FBF">
        <w:rPr>
          <w:i/>
        </w:rPr>
        <w:t xml:space="preserve"> </w:t>
      </w:r>
      <w:r w:rsidRPr="00D80FBF">
        <w:t>would be inappropriate, because it would unfairly penalise operators of relatively benign forms of gambling with high expenditure. A weighting of 30</w:t>
      </w:r>
      <w:r w:rsidR="001461C6">
        <w:t> percent</w:t>
      </w:r>
      <w:r w:rsidRPr="00D80FBF">
        <w:t xml:space="preserve"> or less on expenditure necessarily implies a weighting of 70</w:t>
      </w:r>
      <w:r w:rsidR="001461C6">
        <w:t> percent</w:t>
      </w:r>
      <w:r w:rsidRPr="00D80FBF">
        <w:t xml:space="preserve"> or more on presentations.</w:t>
      </w:r>
    </w:p>
    <w:p w14:paraId="1F03AE57" w14:textId="77777777" w:rsidR="007179EA" w:rsidRPr="00D80FBF" w:rsidRDefault="007179EA" w:rsidP="008B7780"/>
    <w:p w14:paraId="6B43FD32" w14:textId="77777777" w:rsidR="007179EA" w:rsidRPr="00D80FBF" w:rsidRDefault="007179EA" w:rsidP="008B7780">
      <w:r w:rsidRPr="00D80FBF">
        <w:t xml:space="preserve">Each </w:t>
      </w:r>
      <w:r w:rsidR="00BC6B27">
        <w:t>‘</w:t>
      </w:r>
      <w:r w:rsidRPr="00D80FBF">
        <w:rPr>
          <w:szCs w:val="24"/>
        </w:rPr>
        <w:t>presentation</w:t>
      </w:r>
      <w:r w:rsidR="00BC6B27">
        <w:rPr>
          <w:szCs w:val="24"/>
        </w:rPr>
        <w:t>’</w:t>
      </w:r>
      <w:r w:rsidRPr="00D80FBF">
        <w:t xml:space="preserve"> represents a person who is seeking help because they have been harmed, either by their own or by someone else</w:t>
      </w:r>
      <w:r w:rsidR="00BC6B27">
        <w:t>’</w:t>
      </w:r>
      <w:r w:rsidRPr="00D80FBF">
        <w:t xml:space="preserve">s gambling. Each presentation is attributed across the PPGMs for that client. Therefore, the Ministry </w:t>
      </w:r>
      <w:r>
        <w:t xml:space="preserve">has </w:t>
      </w:r>
      <w:r w:rsidRPr="00D80FBF">
        <w:t>consider</w:t>
      </w:r>
      <w:r>
        <w:t>ed</w:t>
      </w:r>
      <w:r w:rsidRPr="00D80FBF">
        <w:t xml:space="preserve"> that presentations, as one indicator of harm, albeit harm at the acute end of the continuum, should be allocated a substantially heavier weighting than expenditure. This also tends to support a weighting of at least 70</w:t>
      </w:r>
      <w:r w:rsidR="001461C6">
        <w:t> percent</w:t>
      </w:r>
      <w:r w:rsidRPr="00D80FBF">
        <w:t xml:space="preserve"> on presentations and no more than 30</w:t>
      </w:r>
      <w:r w:rsidR="001461C6">
        <w:t> percent</w:t>
      </w:r>
      <w:r w:rsidRPr="00D80FBF">
        <w:t xml:space="preserve"> on expenditure.</w:t>
      </w:r>
    </w:p>
    <w:p w14:paraId="2A554CD8" w14:textId="77777777" w:rsidR="007179EA" w:rsidRPr="00D80FBF" w:rsidRDefault="007179EA" w:rsidP="008B7780"/>
    <w:p w14:paraId="2571C0AE" w14:textId="77777777" w:rsidR="007179EA" w:rsidRPr="00D80FBF" w:rsidRDefault="007179EA" w:rsidP="008B7780">
      <w:r w:rsidRPr="00D80FBF">
        <w:t xml:space="preserve">That said, the Ministry </w:t>
      </w:r>
      <w:r>
        <w:t xml:space="preserve">also </w:t>
      </w:r>
      <w:r w:rsidRPr="00D80FBF">
        <w:t>recognises that too high a weighting on presentations alone does not adequately attribute to each sector its fair share of costs for low to moderate harm, or of strategy activities such as public health not covered by presentations to intervention services.</w:t>
      </w:r>
    </w:p>
    <w:p w14:paraId="17F98E42" w14:textId="77777777" w:rsidR="007179EA" w:rsidRPr="00D80FBF" w:rsidRDefault="007179EA" w:rsidP="008B7780"/>
    <w:p w14:paraId="5BD3328C" w14:textId="77777777" w:rsidR="007179EA" w:rsidRPr="00D80FBF" w:rsidRDefault="007179EA" w:rsidP="008B7780">
      <w:r>
        <w:t>T</w:t>
      </w:r>
      <w:r w:rsidRPr="00D80FBF">
        <w:t>he Gambling Commissions 2019 report</w:t>
      </w:r>
      <w:r w:rsidRPr="008B7780">
        <w:rPr>
          <w:rStyle w:val="FootnoteReference"/>
        </w:rPr>
        <w:footnoteReference w:id="73"/>
      </w:r>
      <w:r>
        <w:t xml:space="preserve"> </w:t>
      </w:r>
      <w:r w:rsidRPr="00D80FBF">
        <w:t xml:space="preserve">recommended a 30/70 weighting for the reasons summarised above. </w:t>
      </w:r>
      <w:r>
        <w:t>Consequently, a</w:t>
      </w:r>
      <w:r w:rsidRPr="00D80FBF">
        <w:t xml:space="preserve"> 30/70 weighting was chosen for the 2019/20 to 2021/22 period</w:t>
      </w:r>
      <w:r>
        <w:t>,</w:t>
      </w:r>
      <w:r w:rsidRPr="00D80FBF">
        <w:t xml:space="preserve"> which was a change from all previous levy periods that have used the 10/90 weighting.</w:t>
      </w:r>
    </w:p>
    <w:p w14:paraId="50470405" w14:textId="77777777" w:rsidR="008B7780" w:rsidRDefault="008B7780" w:rsidP="008B7780"/>
    <w:p w14:paraId="4F720184" w14:textId="77777777" w:rsidR="007179EA" w:rsidRDefault="007179EA" w:rsidP="008B7780">
      <w:r w:rsidRPr="00D80FBF">
        <w:t xml:space="preserve">The Ministry </w:t>
      </w:r>
      <w:r>
        <w:t xml:space="preserve">notes </w:t>
      </w:r>
      <w:r w:rsidRPr="00D80FBF">
        <w:t xml:space="preserve">that any weighting from 30/70 to 5/95 would </w:t>
      </w:r>
      <w:r>
        <w:t>comply with the provisions in the Act.</w:t>
      </w:r>
      <w:r w:rsidR="00BC6B27">
        <w:t xml:space="preserve"> </w:t>
      </w:r>
      <w:r w:rsidRPr="00D80FBF">
        <w:t>We have previously recommended a 30/70 weighting</w:t>
      </w:r>
      <w:r>
        <w:t xml:space="preserve"> but</w:t>
      </w:r>
      <w:r w:rsidRPr="00D80FBF">
        <w:t xml:space="preserve"> have not yet concluded whether we will make a similar recommendation this time to inform Ministers</w:t>
      </w:r>
      <w:r w:rsidR="00BC6B27">
        <w:t>’</w:t>
      </w:r>
      <w:r w:rsidRPr="00D80FBF">
        <w:t xml:space="preserve"> decision-making.</w:t>
      </w:r>
      <w:r w:rsidR="00BC6B27">
        <w:t xml:space="preserve"> </w:t>
      </w:r>
      <w:r>
        <w:t>We are not aware of any factors that might suggest an alternative weighting should be considered this time but would be interested in the Gambling Commission</w:t>
      </w:r>
      <w:r w:rsidR="00BC6B27">
        <w:t>’</w:t>
      </w:r>
      <w:r>
        <w:t>s views on the appropriate levy weighting that should apply for the next levy period.</w:t>
      </w:r>
    </w:p>
    <w:p w14:paraId="63B10CA7" w14:textId="77777777" w:rsidR="008B7780" w:rsidRPr="00D80FBF" w:rsidRDefault="008B7780" w:rsidP="008B7780"/>
    <w:p w14:paraId="1A3F4B7F" w14:textId="77777777" w:rsidR="007179EA" w:rsidRPr="00BD3B6F" w:rsidRDefault="007179EA" w:rsidP="008B7780">
      <w:pPr>
        <w:pStyle w:val="Heading2"/>
      </w:pPr>
      <w:bookmarkStart w:id="332" w:name="_Toc71102187"/>
      <w:bookmarkStart w:id="333" w:name="_Toc78882324"/>
      <w:bookmarkStart w:id="334" w:name="_Toc80965862"/>
      <w:bookmarkStart w:id="335" w:name="_Toc89684407"/>
      <w:bookmarkStart w:id="336" w:name="_Toc90885063"/>
      <w:r w:rsidRPr="00BD3B6F">
        <w:lastRenderedPageBreak/>
        <w:t>Options</w:t>
      </w:r>
      <w:bookmarkEnd w:id="332"/>
      <w:bookmarkEnd w:id="333"/>
      <w:bookmarkEnd w:id="334"/>
      <w:bookmarkEnd w:id="335"/>
      <w:bookmarkEnd w:id="336"/>
    </w:p>
    <w:p w14:paraId="093FFF09" w14:textId="77777777" w:rsidR="007179EA" w:rsidRPr="00831C77" w:rsidRDefault="007179EA" w:rsidP="008B7780">
      <w:pPr>
        <w:pStyle w:val="Heading3"/>
      </w:pPr>
      <w:bookmarkStart w:id="337" w:name="_Toc65389480"/>
      <w:bookmarkStart w:id="338" w:name="_Toc230066537"/>
      <w:bookmarkStart w:id="339" w:name="_Toc329860065"/>
      <w:bookmarkStart w:id="340" w:name="_Toc421026480"/>
      <w:bookmarkStart w:id="341" w:name="_Toc517090914"/>
      <w:bookmarkStart w:id="342" w:name="_Toc522089416"/>
      <w:bookmarkStart w:id="343" w:name="_Toc61962075"/>
      <w:bookmarkStart w:id="344" w:name="_Toc71102188"/>
      <w:bookmarkStart w:id="345" w:name="_Toc78882325"/>
      <w:bookmarkEnd w:id="295"/>
      <w:r w:rsidRPr="00831C77">
        <w:t>Levy calculations</w:t>
      </w:r>
      <w:bookmarkEnd w:id="337"/>
      <w:bookmarkEnd w:id="338"/>
      <w:bookmarkEnd w:id="339"/>
      <w:bookmarkEnd w:id="340"/>
      <w:bookmarkEnd w:id="341"/>
      <w:bookmarkEnd w:id="342"/>
      <w:bookmarkEnd w:id="343"/>
      <w:r w:rsidRPr="00831C77">
        <w:t xml:space="preserve"> for each option</w:t>
      </w:r>
      <w:bookmarkEnd w:id="344"/>
      <w:bookmarkEnd w:id="345"/>
    </w:p>
    <w:p w14:paraId="7727C313" w14:textId="77777777" w:rsidR="007179EA" w:rsidRPr="00D80FBF" w:rsidRDefault="007D2472" w:rsidP="008B7780">
      <w:hyperlink w:anchor="Table16" w:history="1">
        <w:r w:rsidR="00D01979" w:rsidRPr="00D01979">
          <w:rPr>
            <w:rStyle w:val="Hyperlink"/>
          </w:rPr>
          <w:t>Tables 16</w:t>
        </w:r>
      </w:hyperlink>
      <w:r w:rsidR="007179EA" w:rsidRPr="002D134E">
        <w:t>–</w:t>
      </w:r>
      <w:hyperlink w:anchor="Table19" w:history="1">
        <w:r w:rsidR="00D01979" w:rsidRPr="00D01979">
          <w:rPr>
            <w:rStyle w:val="Hyperlink"/>
          </w:rPr>
          <w:t>19</w:t>
        </w:r>
      </w:hyperlink>
      <w:r w:rsidR="007179EA" w:rsidRPr="002D134E">
        <w:t xml:space="preserve"> set out the implications for each of the four alternative levy weightings 5/95, 10/90, 20/80 and 30/70 respectively, based on an appropriation of </w:t>
      </w:r>
      <w:r w:rsidR="007179EA" w:rsidRPr="003D2E77">
        <w:t>$</w:t>
      </w:r>
      <w:r w:rsidR="007179EA" w:rsidRPr="002D134E">
        <w:t>76.</w:t>
      </w:r>
      <w:r w:rsidR="007179EA">
        <w:t>123</w:t>
      </w:r>
      <w:r w:rsidR="00046A83">
        <w:t> million</w:t>
      </w:r>
      <w:r w:rsidR="007179EA" w:rsidRPr="002D134E">
        <w:t xml:space="preserve"> to the Ministry for problem gambling activities for 2022/23 to 2024/25. Each table shows</w:t>
      </w:r>
      <w:r w:rsidR="007179EA" w:rsidRPr="00D80FBF">
        <w:t xml:space="preserve"> the levy rate per sector and the expected amount of levy payments over the three-year period and compares these with each sector</w:t>
      </w:r>
      <w:r w:rsidR="00BC6B27">
        <w:t>’</w:t>
      </w:r>
      <w:r w:rsidR="007179EA" w:rsidRPr="00D80FBF">
        <w:t>s levy payments for the current levy period. A positive figure indicates that the sector is expected to pay more in the next levy period, and a negative figure indicates that the sector is expected to pay less.</w:t>
      </w:r>
    </w:p>
    <w:p w14:paraId="4B73A2B1" w14:textId="77777777" w:rsidR="007179EA" w:rsidRPr="00D80FBF" w:rsidRDefault="007179EA" w:rsidP="008B7780"/>
    <w:p w14:paraId="2E3544A2" w14:textId="1BC409A5" w:rsidR="007179EA" w:rsidRPr="00375B98" w:rsidRDefault="008B7780" w:rsidP="008B7780">
      <w:pPr>
        <w:pStyle w:val="Table"/>
      </w:pPr>
      <w:bookmarkStart w:id="346" w:name="Table16"/>
      <w:bookmarkStart w:id="347" w:name="_Toc517091249"/>
      <w:bookmarkStart w:id="348" w:name="_Toc522089453"/>
      <w:bookmarkStart w:id="349" w:name="_Toc89335332"/>
      <w:bookmarkStart w:id="350" w:name="_Toc90626966"/>
      <w:bookmarkStart w:id="351" w:name="_Toc130198439"/>
      <w:bookmarkStart w:id="352" w:name="_Toc230066538"/>
      <w:bookmarkEnd w:id="346"/>
      <w:r>
        <w:t>Table </w:t>
      </w:r>
      <w:fldSimple w:instr=" SEQ Table \* ARABIC ">
        <w:r w:rsidR="00451900">
          <w:rPr>
            <w:noProof/>
          </w:rPr>
          <w:t>16</w:t>
        </w:r>
      </w:fldSimple>
      <w:r w:rsidR="007179EA" w:rsidRPr="00375B98">
        <w:t>: Estimated levy rates and payments ($m) per sector, 5/95 weighting</w:t>
      </w:r>
      <w:bookmarkEnd w:id="347"/>
      <w:bookmarkEnd w:id="348"/>
      <w:bookmarkEnd w:id="349"/>
      <w:bookmarkEnd w:id="350"/>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263"/>
        <w:gridCol w:w="991"/>
        <w:gridCol w:w="991"/>
        <w:gridCol w:w="991"/>
        <w:gridCol w:w="1859"/>
      </w:tblGrid>
      <w:tr w:rsidR="007179EA" w:rsidRPr="00D80FBF" w14:paraId="22500B63" w14:textId="77777777" w:rsidTr="005B24AB">
        <w:trPr>
          <w:cantSplit/>
        </w:trPr>
        <w:tc>
          <w:tcPr>
            <w:tcW w:w="2016" w:type="pct"/>
            <w:tcBorders>
              <w:top w:val="nil"/>
              <w:bottom w:val="nil"/>
            </w:tcBorders>
            <w:shd w:val="clear" w:color="auto" w:fill="D9D9D9" w:themeFill="background1" w:themeFillShade="D9"/>
            <w:tcMar>
              <w:top w:w="0" w:type="dxa"/>
              <w:left w:w="57" w:type="dxa"/>
              <w:bottom w:w="0" w:type="dxa"/>
              <w:right w:w="57" w:type="dxa"/>
            </w:tcMar>
          </w:tcPr>
          <w:p w14:paraId="4C96B6A5" w14:textId="77777777" w:rsidR="007179EA" w:rsidRPr="00D80FBF" w:rsidRDefault="007179EA" w:rsidP="005B24AB">
            <w:pPr>
              <w:spacing w:before="60" w:after="60"/>
              <w:rPr>
                <w:rFonts w:eastAsia="Arial Unicode MS"/>
                <w:b/>
                <w:sz w:val="18"/>
              </w:rPr>
            </w:pPr>
            <w:r w:rsidRPr="00D80FBF">
              <w:rPr>
                <w:rFonts w:eastAsia="Arial Unicode MS"/>
                <w:b/>
                <w:sz w:val="18"/>
              </w:rPr>
              <w:t>Collection period starts 1 July 2022 (all GST exclusive)</w:t>
            </w:r>
          </w:p>
        </w:tc>
        <w:tc>
          <w:tcPr>
            <w:tcW w:w="612" w:type="pct"/>
            <w:tcBorders>
              <w:top w:val="nil"/>
              <w:bottom w:val="nil"/>
            </w:tcBorders>
            <w:shd w:val="clear" w:color="auto" w:fill="D9D9D9" w:themeFill="background1" w:themeFillShade="D9"/>
            <w:tcMar>
              <w:top w:w="0" w:type="dxa"/>
              <w:left w:w="108" w:type="dxa"/>
              <w:bottom w:w="0" w:type="dxa"/>
              <w:right w:w="108" w:type="dxa"/>
            </w:tcMar>
          </w:tcPr>
          <w:p w14:paraId="4CE9AFD5" w14:textId="77777777" w:rsidR="007179EA" w:rsidRPr="00D80FBF" w:rsidRDefault="007179EA" w:rsidP="005B24AB">
            <w:pPr>
              <w:spacing w:before="60" w:after="60"/>
              <w:jc w:val="center"/>
              <w:rPr>
                <w:rFonts w:eastAsia="Arial Unicode MS"/>
                <w:b/>
                <w:sz w:val="18"/>
              </w:rPr>
            </w:pPr>
            <w:r w:rsidRPr="00D80FBF">
              <w:rPr>
                <w:rFonts w:eastAsia="Arial Unicode MS"/>
                <w:b/>
                <w:sz w:val="18"/>
              </w:rPr>
              <w:t>NCGMs</w:t>
            </w:r>
          </w:p>
        </w:tc>
        <w:tc>
          <w:tcPr>
            <w:tcW w:w="612" w:type="pct"/>
            <w:tcBorders>
              <w:top w:val="nil"/>
              <w:bottom w:val="nil"/>
            </w:tcBorders>
            <w:shd w:val="clear" w:color="auto" w:fill="D9D9D9" w:themeFill="background1" w:themeFillShade="D9"/>
            <w:tcMar>
              <w:top w:w="0" w:type="dxa"/>
              <w:left w:w="108" w:type="dxa"/>
              <w:bottom w:w="0" w:type="dxa"/>
              <w:right w:w="108" w:type="dxa"/>
            </w:tcMar>
          </w:tcPr>
          <w:p w14:paraId="3C0B5AB1" w14:textId="77777777" w:rsidR="007179EA" w:rsidRPr="00D80FBF" w:rsidRDefault="007179EA" w:rsidP="005B24AB">
            <w:pPr>
              <w:spacing w:before="60" w:after="60"/>
              <w:jc w:val="center"/>
              <w:rPr>
                <w:rFonts w:eastAsia="Arial Unicode MS"/>
                <w:b/>
                <w:sz w:val="18"/>
              </w:rPr>
            </w:pPr>
            <w:r w:rsidRPr="00D80FBF">
              <w:rPr>
                <w:rFonts w:eastAsia="Arial Unicode MS"/>
                <w:b/>
                <w:sz w:val="18"/>
              </w:rPr>
              <w:t>Casinos</w:t>
            </w:r>
          </w:p>
        </w:tc>
        <w:tc>
          <w:tcPr>
            <w:tcW w:w="612" w:type="pct"/>
            <w:tcBorders>
              <w:top w:val="nil"/>
              <w:bottom w:val="nil"/>
            </w:tcBorders>
            <w:shd w:val="clear" w:color="auto" w:fill="D9D9D9" w:themeFill="background1" w:themeFillShade="D9"/>
            <w:tcMar>
              <w:top w:w="0" w:type="dxa"/>
              <w:left w:w="108" w:type="dxa"/>
              <w:bottom w:w="0" w:type="dxa"/>
              <w:right w:w="108" w:type="dxa"/>
            </w:tcMar>
          </w:tcPr>
          <w:p w14:paraId="1AA309C0" w14:textId="77777777" w:rsidR="007179EA" w:rsidRPr="00D80FBF" w:rsidRDefault="007179EA" w:rsidP="005B24AB">
            <w:pPr>
              <w:spacing w:before="60" w:after="60"/>
              <w:jc w:val="center"/>
              <w:rPr>
                <w:rFonts w:eastAsia="Arial Unicode MS"/>
                <w:b/>
                <w:sz w:val="18"/>
              </w:rPr>
            </w:pPr>
            <w:r w:rsidRPr="00D80FBF">
              <w:rPr>
                <w:rFonts w:eastAsia="Arial Unicode MS"/>
                <w:b/>
                <w:sz w:val="18"/>
              </w:rPr>
              <w:t>TAB NZ</w:t>
            </w:r>
          </w:p>
        </w:tc>
        <w:tc>
          <w:tcPr>
            <w:tcW w:w="1148" w:type="pct"/>
            <w:tcBorders>
              <w:top w:val="nil"/>
              <w:bottom w:val="nil"/>
            </w:tcBorders>
            <w:shd w:val="clear" w:color="auto" w:fill="D9D9D9" w:themeFill="background1" w:themeFillShade="D9"/>
          </w:tcPr>
          <w:p w14:paraId="7BB9CF3B" w14:textId="77777777" w:rsidR="007179EA" w:rsidRPr="00D80FBF" w:rsidRDefault="007179EA" w:rsidP="005B24AB">
            <w:pPr>
              <w:spacing w:before="60" w:after="60"/>
              <w:jc w:val="center"/>
              <w:rPr>
                <w:rFonts w:eastAsia="Arial Unicode MS"/>
                <w:b/>
                <w:sz w:val="18"/>
              </w:rPr>
            </w:pPr>
            <w:r w:rsidRPr="00D80FBF">
              <w:rPr>
                <w:rFonts w:eastAsia="Arial Unicode MS"/>
                <w:b/>
                <w:sz w:val="18"/>
              </w:rPr>
              <w:t>Lotto New Zealand</w:t>
            </w:r>
          </w:p>
        </w:tc>
      </w:tr>
      <w:tr w:rsidR="007179EA" w:rsidRPr="00D80FBF" w14:paraId="102D521F" w14:textId="77777777" w:rsidTr="005B24AB">
        <w:trPr>
          <w:cantSplit/>
        </w:trPr>
        <w:tc>
          <w:tcPr>
            <w:tcW w:w="2016" w:type="pct"/>
            <w:tcBorders>
              <w:top w:val="nil"/>
              <w:bottom w:val="single" w:sz="4" w:space="0" w:color="BFBFBF" w:themeColor="background1" w:themeShade="BF"/>
            </w:tcBorders>
            <w:shd w:val="clear" w:color="auto" w:fill="auto"/>
            <w:noWrap/>
            <w:tcMar>
              <w:top w:w="0" w:type="dxa"/>
              <w:left w:w="57" w:type="dxa"/>
              <w:bottom w:w="0" w:type="dxa"/>
              <w:right w:w="57" w:type="dxa"/>
            </w:tcMar>
          </w:tcPr>
          <w:p w14:paraId="73D19FAA" w14:textId="77777777" w:rsidR="007179EA" w:rsidRPr="00D80FBF" w:rsidRDefault="007179EA" w:rsidP="005B24AB">
            <w:pPr>
              <w:spacing w:before="60" w:after="60"/>
              <w:rPr>
                <w:rFonts w:eastAsia="Arial Unicode MS"/>
                <w:sz w:val="18"/>
              </w:rPr>
            </w:pPr>
            <w:r w:rsidRPr="00D80FBF">
              <w:rPr>
                <w:rFonts w:eastAsia="Arial Unicode MS"/>
                <w:sz w:val="18"/>
              </w:rPr>
              <w:t>Sector levy rates (%)</w:t>
            </w:r>
          </w:p>
        </w:tc>
        <w:tc>
          <w:tcPr>
            <w:tcW w:w="612"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BE740A2"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1.</w:t>
            </w:r>
            <w:r>
              <w:rPr>
                <w:sz w:val="18"/>
                <w:szCs w:val="18"/>
              </w:rPr>
              <w:t>19</w:t>
            </w:r>
          </w:p>
        </w:tc>
        <w:tc>
          <w:tcPr>
            <w:tcW w:w="612"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01A754B5"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0.84</w:t>
            </w:r>
          </w:p>
        </w:tc>
        <w:tc>
          <w:tcPr>
            <w:tcW w:w="612"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0B694CAB"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0.73</w:t>
            </w:r>
          </w:p>
        </w:tc>
        <w:tc>
          <w:tcPr>
            <w:tcW w:w="1148" w:type="pct"/>
            <w:tcBorders>
              <w:top w:val="nil"/>
              <w:left w:val="nil"/>
              <w:bottom w:val="single" w:sz="4" w:space="0" w:color="A6A6A6" w:themeColor="background1" w:themeShade="A6"/>
              <w:right w:val="nil"/>
            </w:tcBorders>
            <w:shd w:val="clear" w:color="auto" w:fill="auto"/>
          </w:tcPr>
          <w:p w14:paraId="61AEF657"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0.38</w:t>
            </w:r>
          </w:p>
        </w:tc>
      </w:tr>
      <w:tr w:rsidR="007179EA" w:rsidRPr="00D80FBF" w14:paraId="32FAED4B" w14:textId="77777777" w:rsidTr="005B24AB">
        <w:trPr>
          <w:cantSplit/>
        </w:trPr>
        <w:tc>
          <w:tcPr>
            <w:tcW w:w="2016" w:type="pct"/>
            <w:tcBorders>
              <w:top w:val="single" w:sz="4" w:space="0" w:color="BFBFBF" w:themeColor="background1" w:themeShade="BF"/>
              <w:bottom w:val="single" w:sz="4" w:space="0" w:color="BFBFBF" w:themeColor="background1" w:themeShade="BF"/>
            </w:tcBorders>
            <w:shd w:val="clear" w:color="auto" w:fill="auto"/>
            <w:noWrap/>
            <w:tcMar>
              <w:top w:w="0" w:type="dxa"/>
              <w:left w:w="57" w:type="dxa"/>
              <w:bottom w:w="0" w:type="dxa"/>
              <w:right w:w="57" w:type="dxa"/>
            </w:tcMar>
          </w:tcPr>
          <w:p w14:paraId="35B41746" w14:textId="77777777" w:rsidR="007179EA" w:rsidRPr="00D80FBF" w:rsidRDefault="007179EA" w:rsidP="005B24AB">
            <w:pPr>
              <w:spacing w:before="60" w:after="60"/>
              <w:rPr>
                <w:rFonts w:eastAsia="Arial Unicode MS"/>
                <w:sz w:val="18"/>
              </w:rPr>
            </w:pPr>
            <w:r w:rsidRPr="00D80FBF">
              <w:rPr>
                <w:rFonts w:eastAsia="Arial Unicode MS"/>
                <w:sz w:val="18"/>
              </w:rPr>
              <w:t>Expected levy payment ($m)</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58EDB21E" w14:textId="77777777" w:rsidR="007179EA" w:rsidRPr="003D2E77" w:rsidRDefault="007179EA" w:rsidP="005B24AB">
            <w:pPr>
              <w:spacing w:before="60" w:after="60"/>
              <w:jc w:val="center"/>
              <w:rPr>
                <w:rFonts w:eastAsia="Arial Unicode MS"/>
                <w:sz w:val="18"/>
                <w:szCs w:val="18"/>
                <w:highlight w:val="yellow"/>
              </w:rPr>
            </w:pPr>
            <w:r w:rsidRPr="00570499">
              <w:rPr>
                <w:sz w:val="18"/>
                <w:szCs w:val="18"/>
              </w:rPr>
              <w:t>38.483</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31D71300"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15.884</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2300A245"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8.005</w:t>
            </w:r>
          </w:p>
        </w:tc>
        <w:tc>
          <w:tcPr>
            <w:tcW w:w="1148" w:type="pct"/>
            <w:tcBorders>
              <w:top w:val="single" w:sz="4" w:space="0" w:color="A6A6A6" w:themeColor="background1" w:themeShade="A6"/>
              <w:left w:val="nil"/>
              <w:bottom w:val="single" w:sz="4" w:space="0" w:color="A6A6A6" w:themeColor="background1" w:themeShade="A6"/>
              <w:right w:val="nil"/>
            </w:tcBorders>
            <w:shd w:val="clear" w:color="auto" w:fill="auto"/>
          </w:tcPr>
          <w:p w14:paraId="6A5DFE8A"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8.402</w:t>
            </w:r>
          </w:p>
        </w:tc>
      </w:tr>
      <w:tr w:rsidR="007179EA" w:rsidRPr="00D80FBF" w14:paraId="53EA3620" w14:textId="77777777" w:rsidTr="005B24AB">
        <w:trPr>
          <w:cantSplit/>
        </w:trPr>
        <w:tc>
          <w:tcPr>
            <w:tcW w:w="2016" w:type="pct"/>
            <w:tcBorders>
              <w:top w:val="single" w:sz="4" w:space="0" w:color="BFBFBF" w:themeColor="background1" w:themeShade="BF"/>
              <w:bottom w:val="single" w:sz="4" w:space="0" w:color="A6A6A6" w:themeColor="background1" w:themeShade="A6"/>
            </w:tcBorders>
            <w:shd w:val="clear" w:color="auto" w:fill="auto"/>
            <w:noWrap/>
            <w:tcMar>
              <w:top w:w="0" w:type="dxa"/>
              <w:left w:w="57" w:type="dxa"/>
              <w:bottom w:w="0" w:type="dxa"/>
              <w:right w:w="57" w:type="dxa"/>
            </w:tcMar>
          </w:tcPr>
          <w:p w14:paraId="5F6E2512" w14:textId="77777777" w:rsidR="007179EA" w:rsidRPr="00D80FBF" w:rsidRDefault="007179EA" w:rsidP="005B24AB">
            <w:pPr>
              <w:spacing w:before="60" w:after="60"/>
              <w:rPr>
                <w:rFonts w:eastAsia="Arial Unicode MS"/>
                <w:sz w:val="18"/>
              </w:rPr>
            </w:pPr>
            <w:r w:rsidRPr="00D80FBF">
              <w:rPr>
                <w:rFonts w:eastAsia="Arial Unicode MS"/>
                <w:sz w:val="18"/>
              </w:rPr>
              <w:t>($m) Comparison with current levy payments (negative = less)</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1F9100AD" w14:textId="77777777" w:rsidR="007179EA" w:rsidRPr="003D2E77" w:rsidRDefault="007179EA" w:rsidP="005B24AB">
            <w:pPr>
              <w:spacing w:before="60" w:after="60"/>
              <w:jc w:val="center"/>
              <w:rPr>
                <w:rFonts w:eastAsia="Arial Unicode MS"/>
                <w:sz w:val="18"/>
                <w:szCs w:val="18"/>
                <w:highlight w:val="yellow"/>
              </w:rPr>
            </w:pPr>
            <w:r w:rsidRPr="00570499">
              <w:rPr>
                <w:sz w:val="18"/>
                <w:szCs w:val="18"/>
              </w:rPr>
              <w:t>15.516</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18D3BE39"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4.671</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0E354E3A"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1.831</w:t>
            </w:r>
          </w:p>
        </w:tc>
        <w:tc>
          <w:tcPr>
            <w:tcW w:w="1148" w:type="pct"/>
            <w:tcBorders>
              <w:top w:val="single" w:sz="4" w:space="0" w:color="A6A6A6" w:themeColor="background1" w:themeShade="A6"/>
              <w:left w:val="nil"/>
              <w:bottom w:val="single" w:sz="4" w:space="0" w:color="A6A6A6" w:themeColor="background1" w:themeShade="A6"/>
              <w:right w:val="nil"/>
            </w:tcBorders>
            <w:shd w:val="clear" w:color="auto" w:fill="auto"/>
          </w:tcPr>
          <w:p w14:paraId="2E06BF6B" w14:textId="77777777" w:rsidR="007179EA" w:rsidRPr="003D2E77" w:rsidRDefault="007179EA" w:rsidP="005B24AB">
            <w:pPr>
              <w:spacing w:before="60" w:after="60"/>
              <w:jc w:val="center"/>
              <w:rPr>
                <w:rFonts w:eastAsia="Arial Unicode MS"/>
                <w:sz w:val="18"/>
                <w:szCs w:val="18"/>
                <w:highlight w:val="yellow"/>
              </w:rPr>
            </w:pPr>
            <w:r w:rsidRPr="003D2E77">
              <w:rPr>
                <w:sz w:val="18"/>
                <w:szCs w:val="18"/>
              </w:rPr>
              <w:t>0.496</w:t>
            </w:r>
          </w:p>
        </w:tc>
      </w:tr>
    </w:tbl>
    <w:p w14:paraId="5B2B43B0" w14:textId="77777777" w:rsidR="007179EA" w:rsidRPr="00D80FBF" w:rsidRDefault="007179EA" w:rsidP="007179EA">
      <w:bookmarkStart w:id="353" w:name="_Toc517091250"/>
      <w:bookmarkStart w:id="354" w:name="_Toc522089454"/>
    </w:p>
    <w:p w14:paraId="25D09D84" w14:textId="45BABC43" w:rsidR="007179EA" w:rsidRPr="00375B98" w:rsidRDefault="008B7780" w:rsidP="008B7780">
      <w:pPr>
        <w:pStyle w:val="Table"/>
      </w:pPr>
      <w:bookmarkStart w:id="355" w:name="_Toc89335333"/>
      <w:bookmarkStart w:id="356" w:name="_Toc90626967"/>
      <w:r>
        <w:t>Table </w:t>
      </w:r>
      <w:fldSimple w:instr=" SEQ Table \* ARABIC ">
        <w:r w:rsidR="00451900">
          <w:rPr>
            <w:noProof/>
          </w:rPr>
          <w:t>17</w:t>
        </w:r>
      </w:fldSimple>
      <w:r w:rsidR="007179EA" w:rsidRPr="00375B98">
        <w:t>: Estimated levy rates and payments ($m) per sector, 10/90 weighting</w:t>
      </w:r>
      <w:bookmarkEnd w:id="353"/>
      <w:bookmarkEnd w:id="354"/>
      <w:bookmarkEnd w:id="355"/>
      <w:bookmarkEnd w:id="356"/>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260"/>
        <w:gridCol w:w="992"/>
        <w:gridCol w:w="992"/>
        <w:gridCol w:w="992"/>
        <w:gridCol w:w="1859"/>
      </w:tblGrid>
      <w:tr w:rsidR="007179EA" w:rsidRPr="00D80FBF" w14:paraId="59FD75F0" w14:textId="77777777" w:rsidTr="005B24AB">
        <w:trPr>
          <w:cantSplit/>
        </w:trPr>
        <w:tc>
          <w:tcPr>
            <w:tcW w:w="2013" w:type="pct"/>
            <w:tcBorders>
              <w:top w:val="nil"/>
              <w:bottom w:val="nil"/>
            </w:tcBorders>
            <w:shd w:val="clear" w:color="auto" w:fill="D9D9D9" w:themeFill="background1" w:themeFillShade="D9"/>
            <w:tcMar>
              <w:top w:w="0" w:type="dxa"/>
              <w:left w:w="57" w:type="dxa"/>
              <w:bottom w:w="0" w:type="dxa"/>
              <w:right w:w="57" w:type="dxa"/>
            </w:tcMar>
          </w:tcPr>
          <w:p w14:paraId="4F379DFB" w14:textId="77777777" w:rsidR="007179EA" w:rsidRPr="00D80FBF" w:rsidRDefault="007179EA" w:rsidP="005B24AB">
            <w:pPr>
              <w:spacing w:before="60" w:after="60"/>
              <w:rPr>
                <w:rFonts w:eastAsia="Arial Unicode MS"/>
                <w:b/>
                <w:sz w:val="18"/>
              </w:rPr>
            </w:pPr>
            <w:r w:rsidRPr="00D80FBF">
              <w:rPr>
                <w:rFonts w:eastAsia="Arial Unicode MS"/>
                <w:b/>
                <w:sz w:val="18"/>
              </w:rPr>
              <w:t>Collection period starts 1 July 2022 (all GST exclusive)</w:t>
            </w:r>
          </w:p>
        </w:tc>
        <w:tc>
          <w:tcPr>
            <w:tcW w:w="612" w:type="pct"/>
            <w:tcBorders>
              <w:top w:val="nil"/>
              <w:bottom w:val="nil"/>
            </w:tcBorders>
            <w:shd w:val="clear" w:color="auto" w:fill="D9D9D9" w:themeFill="background1" w:themeFillShade="D9"/>
            <w:tcMar>
              <w:top w:w="0" w:type="dxa"/>
              <w:left w:w="108" w:type="dxa"/>
              <w:bottom w:w="0" w:type="dxa"/>
              <w:right w:w="108" w:type="dxa"/>
            </w:tcMar>
          </w:tcPr>
          <w:p w14:paraId="23B47589" w14:textId="77777777" w:rsidR="007179EA" w:rsidRPr="00D80FBF" w:rsidRDefault="007179EA" w:rsidP="005B24AB">
            <w:pPr>
              <w:spacing w:before="60" w:after="60"/>
              <w:jc w:val="center"/>
              <w:rPr>
                <w:rFonts w:eastAsia="Arial Unicode MS"/>
                <w:b/>
                <w:sz w:val="18"/>
              </w:rPr>
            </w:pPr>
            <w:r w:rsidRPr="00D80FBF">
              <w:rPr>
                <w:rFonts w:eastAsia="Arial Unicode MS"/>
                <w:b/>
                <w:sz w:val="18"/>
              </w:rPr>
              <w:t>NCGMs</w:t>
            </w:r>
          </w:p>
        </w:tc>
        <w:tc>
          <w:tcPr>
            <w:tcW w:w="613" w:type="pct"/>
            <w:tcBorders>
              <w:top w:val="nil"/>
              <w:bottom w:val="nil"/>
            </w:tcBorders>
            <w:shd w:val="clear" w:color="auto" w:fill="D9D9D9" w:themeFill="background1" w:themeFillShade="D9"/>
            <w:tcMar>
              <w:top w:w="0" w:type="dxa"/>
              <w:left w:w="108" w:type="dxa"/>
              <w:bottom w:w="0" w:type="dxa"/>
              <w:right w:w="108" w:type="dxa"/>
            </w:tcMar>
          </w:tcPr>
          <w:p w14:paraId="5D0DC9F5" w14:textId="77777777" w:rsidR="007179EA" w:rsidRPr="00D80FBF" w:rsidRDefault="007179EA" w:rsidP="005B24AB">
            <w:pPr>
              <w:spacing w:before="60" w:after="60"/>
              <w:jc w:val="center"/>
              <w:rPr>
                <w:rFonts w:eastAsia="Arial Unicode MS"/>
                <w:b/>
                <w:sz w:val="18"/>
              </w:rPr>
            </w:pPr>
            <w:r w:rsidRPr="00D80FBF">
              <w:rPr>
                <w:rFonts w:eastAsia="Arial Unicode MS"/>
                <w:b/>
                <w:sz w:val="18"/>
              </w:rPr>
              <w:t>Casinos</w:t>
            </w:r>
          </w:p>
        </w:tc>
        <w:tc>
          <w:tcPr>
            <w:tcW w:w="613" w:type="pct"/>
            <w:tcBorders>
              <w:top w:val="nil"/>
              <w:bottom w:val="nil"/>
            </w:tcBorders>
            <w:shd w:val="clear" w:color="auto" w:fill="D9D9D9" w:themeFill="background1" w:themeFillShade="D9"/>
            <w:tcMar>
              <w:top w:w="0" w:type="dxa"/>
              <w:left w:w="108" w:type="dxa"/>
              <w:bottom w:w="0" w:type="dxa"/>
              <w:right w:w="108" w:type="dxa"/>
            </w:tcMar>
          </w:tcPr>
          <w:p w14:paraId="750996E4" w14:textId="77777777" w:rsidR="007179EA" w:rsidRPr="00D80FBF" w:rsidRDefault="007179EA" w:rsidP="005B24AB">
            <w:pPr>
              <w:spacing w:before="60" w:after="60"/>
              <w:jc w:val="center"/>
              <w:rPr>
                <w:rFonts w:eastAsia="Arial Unicode MS"/>
                <w:b/>
                <w:sz w:val="18"/>
              </w:rPr>
            </w:pPr>
            <w:r w:rsidRPr="00D80FBF">
              <w:rPr>
                <w:rFonts w:eastAsia="Arial Unicode MS"/>
                <w:b/>
                <w:sz w:val="18"/>
              </w:rPr>
              <w:t>TAB NZ</w:t>
            </w:r>
          </w:p>
        </w:tc>
        <w:tc>
          <w:tcPr>
            <w:tcW w:w="1148" w:type="pct"/>
            <w:tcBorders>
              <w:top w:val="nil"/>
              <w:bottom w:val="nil"/>
            </w:tcBorders>
            <w:shd w:val="clear" w:color="auto" w:fill="D9D9D9" w:themeFill="background1" w:themeFillShade="D9"/>
          </w:tcPr>
          <w:p w14:paraId="0BEE8F55" w14:textId="77777777" w:rsidR="007179EA" w:rsidRPr="00D80FBF" w:rsidRDefault="007179EA" w:rsidP="005B24AB">
            <w:pPr>
              <w:spacing w:before="60" w:after="60"/>
              <w:jc w:val="center"/>
              <w:rPr>
                <w:rFonts w:eastAsia="Arial Unicode MS"/>
                <w:b/>
                <w:sz w:val="18"/>
              </w:rPr>
            </w:pPr>
            <w:r w:rsidRPr="00D80FBF">
              <w:rPr>
                <w:rFonts w:eastAsia="Arial Unicode MS"/>
                <w:b/>
                <w:sz w:val="18"/>
              </w:rPr>
              <w:t>Lotto New Zealand</w:t>
            </w:r>
          </w:p>
        </w:tc>
      </w:tr>
      <w:tr w:rsidR="007179EA" w:rsidRPr="00D80FBF" w14:paraId="37F922A4" w14:textId="77777777" w:rsidTr="005B24AB">
        <w:trPr>
          <w:cantSplit/>
        </w:trPr>
        <w:tc>
          <w:tcPr>
            <w:tcW w:w="2013" w:type="pct"/>
            <w:tcBorders>
              <w:top w:val="nil"/>
              <w:bottom w:val="single" w:sz="4" w:space="0" w:color="BFBFBF" w:themeColor="background1" w:themeShade="BF"/>
            </w:tcBorders>
            <w:shd w:val="clear" w:color="auto" w:fill="auto"/>
            <w:noWrap/>
            <w:tcMar>
              <w:top w:w="0" w:type="dxa"/>
              <w:left w:w="57" w:type="dxa"/>
              <w:bottom w:w="0" w:type="dxa"/>
              <w:right w:w="57" w:type="dxa"/>
            </w:tcMar>
          </w:tcPr>
          <w:p w14:paraId="6BA24BA8" w14:textId="77777777" w:rsidR="007179EA" w:rsidRPr="00D80FBF" w:rsidRDefault="007179EA" w:rsidP="005B24AB">
            <w:pPr>
              <w:spacing w:before="60" w:after="60"/>
              <w:rPr>
                <w:rFonts w:eastAsia="Arial Unicode MS"/>
                <w:sz w:val="18"/>
              </w:rPr>
            </w:pPr>
            <w:r w:rsidRPr="00D80FBF">
              <w:rPr>
                <w:rFonts w:eastAsia="Arial Unicode MS"/>
                <w:sz w:val="18"/>
              </w:rPr>
              <w:t>Sector levy rates (%)</w:t>
            </w:r>
          </w:p>
        </w:tc>
        <w:tc>
          <w:tcPr>
            <w:tcW w:w="612"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C3D5335" w14:textId="77777777" w:rsidR="007179EA" w:rsidRPr="003D2E77" w:rsidRDefault="007179EA" w:rsidP="005B24AB">
            <w:pPr>
              <w:spacing w:before="60" w:after="60"/>
              <w:jc w:val="center"/>
              <w:rPr>
                <w:rFonts w:eastAsia="Arial Unicode MS"/>
                <w:sz w:val="18"/>
                <w:szCs w:val="18"/>
              </w:rPr>
            </w:pPr>
            <w:r w:rsidRPr="003D2E77">
              <w:rPr>
                <w:sz w:val="18"/>
                <w:szCs w:val="18"/>
              </w:rPr>
              <w:t>1.17</w:t>
            </w:r>
          </w:p>
        </w:tc>
        <w:tc>
          <w:tcPr>
            <w:tcW w:w="613"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67ADF6BD" w14:textId="77777777" w:rsidR="007179EA" w:rsidRPr="003D2E77" w:rsidRDefault="007179EA" w:rsidP="005B24AB">
            <w:pPr>
              <w:spacing w:before="60" w:after="60"/>
              <w:jc w:val="center"/>
              <w:rPr>
                <w:rFonts w:eastAsia="Arial Unicode MS"/>
                <w:sz w:val="18"/>
                <w:szCs w:val="18"/>
              </w:rPr>
            </w:pPr>
            <w:r w:rsidRPr="003D2E77">
              <w:rPr>
                <w:sz w:val="18"/>
                <w:szCs w:val="18"/>
              </w:rPr>
              <w:t>0.84</w:t>
            </w:r>
          </w:p>
        </w:tc>
        <w:tc>
          <w:tcPr>
            <w:tcW w:w="613"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17DF8C60" w14:textId="77777777" w:rsidR="007179EA" w:rsidRPr="003D2E77" w:rsidRDefault="007179EA" w:rsidP="005B24AB">
            <w:pPr>
              <w:spacing w:before="60" w:after="60"/>
              <w:jc w:val="center"/>
              <w:rPr>
                <w:rFonts w:eastAsia="Arial Unicode MS"/>
                <w:sz w:val="18"/>
                <w:szCs w:val="18"/>
              </w:rPr>
            </w:pPr>
            <w:r w:rsidRPr="00570499">
              <w:rPr>
                <w:sz w:val="18"/>
                <w:szCs w:val="18"/>
              </w:rPr>
              <w:t>0.74</w:t>
            </w:r>
          </w:p>
        </w:tc>
        <w:tc>
          <w:tcPr>
            <w:tcW w:w="1148" w:type="pct"/>
            <w:tcBorders>
              <w:top w:val="nil"/>
              <w:left w:val="nil"/>
              <w:bottom w:val="single" w:sz="4" w:space="0" w:color="A6A6A6" w:themeColor="background1" w:themeShade="A6"/>
              <w:right w:val="nil"/>
            </w:tcBorders>
            <w:shd w:val="clear" w:color="auto" w:fill="auto"/>
          </w:tcPr>
          <w:p w14:paraId="7618FEF0" w14:textId="77777777" w:rsidR="007179EA" w:rsidRPr="003D2E77" w:rsidRDefault="007179EA" w:rsidP="005B24AB">
            <w:pPr>
              <w:spacing w:before="60" w:after="60"/>
              <w:jc w:val="center"/>
              <w:rPr>
                <w:rFonts w:eastAsia="Arial Unicode MS"/>
                <w:sz w:val="18"/>
                <w:szCs w:val="18"/>
              </w:rPr>
            </w:pPr>
            <w:r w:rsidRPr="003D2E77">
              <w:rPr>
                <w:sz w:val="18"/>
                <w:szCs w:val="18"/>
              </w:rPr>
              <w:t>0.41</w:t>
            </w:r>
          </w:p>
        </w:tc>
      </w:tr>
      <w:tr w:rsidR="007179EA" w:rsidRPr="00D80FBF" w14:paraId="2D747617" w14:textId="77777777" w:rsidTr="005B24AB">
        <w:trPr>
          <w:cantSplit/>
        </w:trPr>
        <w:tc>
          <w:tcPr>
            <w:tcW w:w="2013" w:type="pct"/>
            <w:tcBorders>
              <w:top w:val="single" w:sz="4" w:space="0" w:color="BFBFBF" w:themeColor="background1" w:themeShade="BF"/>
              <w:bottom w:val="single" w:sz="4" w:space="0" w:color="BFBFBF" w:themeColor="background1" w:themeShade="BF"/>
            </w:tcBorders>
            <w:shd w:val="clear" w:color="auto" w:fill="auto"/>
            <w:noWrap/>
            <w:tcMar>
              <w:top w:w="0" w:type="dxa"/>
              <w:left w:w="57" w:type="dxa"/>
              <w:bottom w:w="0" w:type="dxa"/>
              <w:right w:w="57" w:type="dxa"/>
            </w:tcMar>
          </w:tcPr>
          <w:p w14:paraId="6BB2C551" w14:textId="77777777" w:rsidR="007179EA" w:rsidRPr="00D80FBF" w:rsidRDefault="007179EA" w:rsidP="005B24AB">
            <w:pPr>
              <w:spacing w:before="60" w:after="60"/>
              <w:rPr>
                <w:rFonts w:eastAsia="Arial Unicode MS"/>
                <w:sz w:val="18"/>
              </w:rPr>
            </w:pPr>
            <w:r w:rsidRPr="00D80FBF">
              <w:rPr>
                <w:rFonts w:eastAsia="Arial Unicode MS"/>
                <w:sz w:val="18"/>
              </w:rPr>
              <w:t>Expected levy payment ($m)</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448A92A" w14:textId="77777777" w:rsidR="007179EA" w:rsidRPr="003D2E77" w:rsidRDefault="007179EA" w:rsidP="005B24AB">
            <w:pPr>
              <w:spacing w:before="60" w:after="60"/>
              <w:jc w:val="center"/>
              <w:rPr>
                <w:rFonts w:eastAsia="Arial Unicode MS"/>
                <w:sz w:val="18"/>
                <w:szCs w:val="18"/>
              </w:rPr>
            </w:pPr>
            <w:r w:rsidRPr="003D2E77">
              <w:rPr>
                <w:sz w:val="18"/>
                <w:szCs w:val="18"/>
              </w:rPr>
              <w:t>37.836</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328E8A19" w14:textId="77777777" w:rsidR="007179EA" w:rsidRPr="003D2E77" w:rsidRDefault="007179EA" w:rsidP="005B24AB">
            <w:pPr>
              <w:spacing w:before="60" w:after="60"/>
              <w:jc w:val="center"/>
              <w:rPr>
                <w:rFonts w:eastAsia="Arial Unicode MS"/>
                <w:sz w:val="18"/>
                <w:szCs w:val="18"/>
              </w:rPr>
            </w:pPr>
            <w:r w:rsidRPr="003D2E77">
              <w:rPr>
                <w:sz w:val="18"/>
                <w:szCs w:val="18"/>
              </w:rPr>
              <w:t>15.884</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2154B2C2" w14:textId="77777777" w:rsidR="007179EA" w:rsidRPr="003D2E77" w:rsidRDefault="007179EA" w:rsidP="005B24AB">
            <w:pPr>
              <w:spacing w:before="60" w:after="60"/>
              <w:jc w:val="center"/>
              <w:rPr>
                <w:rFonts w:eastAsia="Arial Unicode MS"/>
                <w:sz w:val="18"/>
                <w:szCs w:val="18"/>
              </w:rPr>
            </w:pPr>
            <w:r w:rsidRPr="00570499">
              <w:rPr>
                <w:sz w:val="18"/>
                <w:szCs w:val="18"/>
              </w:rPr>
              <w:t>8.115</w:t>
            </w:r>
          </w:p>
        </w:tc>
        <w:tc>
          <w:tcPr>
            <w:tcW w:w="1148" w:type="pct"/>
            <w:tcBorders>
              <w:top w:val="single" w:sz="4" w:space="0" w:color="A6A6A6" w:themeColor="background1" w:themeShade="A6"/>
              <w:left w:val="nil"/>
              <w:bottom w:val="single" w:sz="4" w:space="0" w:color="A6A6A6" w:themeColor="background1" w:themeShade="A6"/>
              <w:right w:val="nil"/>
            </w:tcBorders>
            <w:shd w:val="clear" w:color="auto" w:fill="auto"/>
          </w:tcPr>
          <w:p w14:paraId="495A6F81" w14:textId="77777777" w:rsidR="007179EA" w:rsidRPr="003D2E77" w:rsidRDefault="007179EA" w:rsidP="005B24AB">
            <w:pPr>
              <w:spacing w:before="60" w:after="60"/>
              <w:jc w:val="center"/>
              <w:rPr>
                <w:rFonts w:eastAsia="Arial Unicode MS"/>
                <w:sz w:val="18"/>
                <w:szCs w:val="18"/>
              </w:rPr>
            </w:pPr>
            <w:r w:rsidRPr="003D2E77">
              <w:rPr>
                <w:sz w:val="18"/>
                <w:szCs w:val="18"/>
              </w:rPr>
              <w:t>9.065</w:t>
            </w:r>
          </w:p>
        </w:tc>
      </w:tr>
      <w:tr w:rsidR="007179EA" w:rsidRPr="00D80FBF" w14:paraId="12899AE3" w14:textId="77777777" w:rsidTr="005B24AB">
        <w:trPr>
          <w:cantSplit/>
        </w:trPr>
        <w:tc>
          <w:tcPr>
            <w:tcW w:w="2013" w:type="pct"/>
            <w:tcBorders>
              <w:top w:val="single" w:sz="4" w:space="0" w:color="BFBFBF" w:themeColor="background1" w:themeShade="BF"/>
              <w:bottom w:val="single" w:sz="4" w:space="0" w:color="A6A6A6" w:themeColor="background1" w:themeShade="A6"/>
            </w:tcBorders>
            <w:shd w:val="clear" w:color="auto" w:fill="auto"/>
            <w:noWrap/>
            <w:tcMar>
              <w:top w:w="0" w:type="dxa"/>
              <w:left w:w="57" w:type="dxa"/>
              <w:bottom w:w="0" w:type="dxa"/>
              <w:right w:w="57" w:type="dxa"/>
            </w:tcMar>
          </w:tcPr>
          <w:p w14:paraId="67E31C1B" w14:textId="77777777" w:rsidR="007179EA" w:rsidRPr="00D80FBF" w:rsidRDefault="007179EA" w:rsidP="005B24AB">
            <w:pPr>
              <w:spacing w:before="60" w:after="60"/>
              <w:rPr>
                <w:rFonts w:eastAsia="Arial Unicode MS"/>
                <w:sz w:val="18"/>
              </w:rPr>
            </w:pPr>
            <w:r w:rsidRPr="00D80FBF">
              <w:rPr>
                <w:rFonts w:eastAsia="Arial Unicode MS"/>
                <w:sz w:val="18"/>
              </w:rPr>
              <w:t>($m) Comparison with current levy payments (negative = less)</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0EBA2A27" w14:textId="77777777" w:rsidR="007179EA" w:rsidRPr="003D2E77" w:rsidRDefault="007179EA" w:rsidP="005B24AB">
            <w:pPr>
              <w:spacing w:before="60" w:after="60"/>
              <w:jc w:val="center"/>
              <w:rPr>
                <w:rFonts w:eastAsia="Arial Unicode MS"/>
                <w:sz w:val="18"/>
                <w:szCs w:val="18"/>
              </w:rPr>
            </w:pPr>
            <w:r w:rsidRPr="003D2E77">
              <w:rPr>
                <w:sz w:val="18"/>
                <w:szCs w:val="18"/>
              </w:rPr>
              <w:t>14.869</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16EFD4B1" w14:textId="77777777" w:rsidR="007179EA" w:rsidRPr="003D2E77" w:rsidRDefault="007179EA" w:rsidP="005B24AB">
            <w:pPr>
              <w:spacing w:before="60" w:after="60"/>
              <w:jc w:val="center"/>
              <w:rPr>
                <w:rFonts w:eastAsia="Arial Unicode MS"/>
                <w:sz w:val="18"/>
                <w:szCs w:val="18"/>
              </w:rPr>
            </w:pPr>
            <w:r w:rsidRPr="003D2E77">
              <w:rPr>
                <w:sz w:val="18"/>
                <w:szCs w:val="18"/>
              </w:rPr>
              <w:t>4.671</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09BF3876" w14:textId="77777777" w:rsidR="007179EA" w:rsidRPr="003D2E77" w:rsidRDefault="007179EA" w:rsidP="005B24AB">
            <w:pPr>
              <w:spacing w:before="60" w:after="60"/>
              <w:jc w:val="center"/>
              <w:rPr>
                <w:rFonts w:eastAsia="Arial Unicode MS"/>
                <w:sz w:val="18"/>
                <w:szCs w:val="18"/>
              </w:rPr>
            </w:pPr>
            <w:r w:rsidRPr="00570499">
              <w:rPr>
                <w:sz w:val="18"/>
                <w:szCs w:val="18"/>
              </w:rPr>
              <w:t>1.941</w:t>
            </w:r>
          </w:p>
        </w:tc>
        <w:tc>
          <w:tcPr>
            <w:tcW w:w="1148" w:type="pct"/>
            <w:tcBorders>
              <w:top w:val="single" w:sz="4" w:space="0" w:color="A6A6A6" w:themeColor="background1" w:themeShade="A6"/>
              <w:left w:val="nil"/>
              <w:bottom w:val="single" w:sz="4" w:space="0" w:color="A6A6A6" w:themeColor="background1" w:themeShade="A6"/>
              <w:right w:val="nil"/>
            </w:tcBorders>
            <w:shd w:val="clear" w:color="auto" w:fill="auto"/>
          </w:tcPr>
          <w:p w14:paraId="07E5B627" w14:textId="77777777" w:rsidR="007179EA" w:rsidRPr="003D2E77" w:rsidRDefault="007179EA" w:rsidP="005B24AB">
            <w:pPr>
              <w:spacing w:before="60" w:after="60"/>
              <w:jc w:val="center"/>
              <w:rPr>
                <w:rFonts w:eastAsia="Arial Unicode MS"/>
                <w:sz w:val="18"/>
                <w:szCs w:val="18"/>
              </w:rPr>
            </w:pPr>
            <w:r w:rsidRPr="003D2E77">
              <w:rPr>
                <w:sz w:val="18"/>
                <w:szCs w:val="18"/>
              </w:rPr>
              <w:t>1.159</w:t>
            </w:r>
          </w:p>
        </w:tc>
      </w:tr>
    </w:tbl>
    <w:p w14:paraId="4407AA17" w14:textId="77777777" w:rsidR="007179EA" w:rsidRPr="00D80FBF" w:rsidRDefault="007179EA" w:rsidP="008B7780">
      <w:bookmarkStart w:id="357" w:name="_Toc517091251"/>
      <w:bookmarkStart w:id="358" w:name="_Toc522089455"/>
    </w:p>
    <w:p w14:paraId="751513F6" w14:textId="25F3B66B" w:rsidR="007179EA" w:rsidRPr="00375B98" w:rsidRDefault="008B7780" w:rsidP="008B7780">
      <w:pPr>
        <w:pStyle w:val="Table"/>
      </w:pPr>
      <w:bookmarkStart w:id="359" w:name="_Toc89335334"/>
      <w:bookmarkStart w:id="360" w:name="_Toc90626968"/>
      <w:r>
        <w:t>Table </w:t>
      </w:r>
      <w:fldSimple w:instr=" SEQ Table \* ARABIC ">
        <w:r w:rsidR="00451900">
          <w:rPr>
            <w:noProof/>
          </w:rPr>
          <w:t>18</w:t>
        </w:r>
      </w:fldSimple>
      <w:r w:rsidR="007179EA" w:rsidRPr="00375B98">
        <w:t>: Estimated levy rates and payments ($m) per sector, 20/80 weighting</w:t>
      </w:r>
      <w:bookmarkEnd w:id="357"/>
      <w:bookmarkEnd w:id="358"/>
      <w:bookmarkEnd w:id="359"/>
      <w:bookmarkEnd w:id="360"/>
    </w:p>
    <w:tbl>
      <w:tblPr>
        <w:tblW w:w="4931"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264"/>
        <w:gridCol w:w="991"/>
        <w:gridCol w:w="991"/>
        <w:gridCol w:w="992"/>
        <w:gridCol w:w="1842"/>
      </w:tblGrid>
      <w:tr w:rsidR="007179EA" w:rsidRPr="00D80FBF" w14:paraId="7A42AE63" w14:textId="77777777" w:rsidTr="005B24AB">
        <w:trPr>
          <w:cantSplit/>
        </w:trPr>
        <w:tc>
          <w:tcPr>
            <w:tcW w:w="2020" w:type="pct"/>
            <w:tcBorders>
              <w:top w:val="nil"/>
              <w:bottom w:val="nil"/>
            </w:tcBorders>
            <w:shd w:val="clear" w:color="auto" w:fill="D9D9D9" w:themeFill="background1" w:themeFillShade="D9"/>
            <w:tcMar>
              <w:top w:w="0" w:type="dxa"/>
              <w:left w:w="57" w:type="dxa"/>
              <w:bottom w:w="0" w:type="dxa"/>
              <w:right w:w="57" w:type="dxa"/>
            </w:tcMar>
          </w:tcPr>
          <w:p w14:paraId="44ABBBE1" w14:textId="77777777" w:rsidR="007179EA" w:rsidRPr="00D80FBF" w:rsidRDefault="007179EA" w:rsidP="008B7780">
            <w:pPr>
              <w:spacing w:before="60" w:after="60"/>
              <w:rPr>
                <w:rFonts w:eastAsia="Arial Unicode MS"/>
                <w:b/>
                <w:sz w:val="18"/>
              </w:rPr>
            </w:pPr>
            <w:r w:rsidRPr="00D80FBF">
              <w:rPr>
                <w:rFonts w:eastAsia="Arial Unicode MS"/>
                <w:b/>
                <w:sz w:val="18"/>
              </w:rPr>
              <w:t>Collection period starts 1 July 2022 (all GST exclusive)</w:t>
            </w:r>
          </w:p>
        </w:tc>
        <w:tc>
          <w:tcPr>
            <w:tcW w:w="613" w:type="pct"/>
            <w:tcBorders>
              <w:top w:val="nil"/>
              <w:bottom w:val="nil"/>
            </w:tcBorders>
            <w:shd w:val="clear" w:color="auto" w:fill="D9D9D9" w:themeFill="background1" w:themeFillShade="D9"/>
            <w:tcMar>
              <w:top w:w="0" w:type="dxa"/>
              <w:left w:w="108" w:type="dxa"/>
              <w:bottom w:w="0" w:type="dxa"/>
              <w:right w:w="108" w:type="dxa"/>
            </w:tcMar>
          </w:tcPr>
          <w:p w14:paraId="0B5375CB" w14:textId="77777777" w:rsidR="007179EA" w:rsidRPr="00D80FBF" w:rsidRDefault="007179EA" w:rsidP="008B7780">
            <w:pPr>
              <w:spacing w:before="60" w:after="60"/>
              <w:jc w:val="center"/>
              <w:rPr>
                <w:rFonts w:eastAsia="Arial Unicode MS"/>
                <w:b/>
                <w:sz w:val="18"/>
              </w:rPr>
            </w:pPr>
            <w:r w:rsidRPr="00D80FBF">
              <w:rPr>
                <w:rFonts w:eastAsia="Arial Unicode MS"/>
                <w:b/>
                <w:sz w:val="18"/>
              </w:rPr>
              <w:t>NCGMs</w:t>
            </w:r>
          </w:p>
        </w:tc>
        <w:tc>
          <w:tcPr>
            <w:tcW w:w="613" w:type="pct"/>
            <w:tcBorders>
              <w:top w:val="nil"/>
              <w:bottom w:val="nil"/>
            </w:tcBorders>
            <w:shd w:val="clear" w:color="auto" w:fill="D9D9D9" w:themeFill="background1" w:themeFillShade="D9"/>
            <w:tcMar>
              <w:top w:w="0" w:type="dxa"/>
              <w:left w:w="108" w:type="dxa"/>
              <w:bottom w:w="0" w:type="dxa"/>
              <w:right w:w="108" w:type="dxa"/>
            </w:tcMar>
          </w:tcPr>
          <w:p w14:paraId="1BDA9210" w14:textId="77777777" w:rsidR="007179EA" w:rsidRPr="00D80FBF" w:rsidRDefault="007179EA" w:rsidP="008B7780">
            <w:pPr>
              <w:spacing w:before="60" w:after="60"/>
              <w:jc w:val="center"/>
              <w:rPr>
                <w:rFonts w:eastAsia="Arial Unicode MS"/>
                <w:b/>
                <w:sz w:val="18"/>
              </w:rPr>
            </w:pPr>
            <w:r w:rsidRPr="00D80FBF">
              <w:rPr>
                <w:rFonts w:eastAsia="Arial Unicode MS"/>
                <w:b/>
                <w:sz w:val="18"/>
              </w:rPr>
              <w:t>Casinos</w:t>
            </w:r>
          </w:p>
        </w:tc>
        <w:tc>
          <w:tcPr>
            <w:tcW w:w="614" w:type="pct"/>
            <w:tcBorders>
              <w:top w:val="nil"/>
              <w:bottom w:val="nil"/>
            </w:tcBorders>
            <w:shd w:val="clear" w:color="auto" w:fill="D9D9D9" w:themeFill="background1" w:themeFillShade="D9"/>
            <w:tcMar>
              <w:top w:w="0" w:type="dxa"/>
              <w:left w:w="108" w:type="dxa"/>
              <w:bottom w:w="0" w:type="dxa"/>
              <w:right w:w="108" w:type="dxa"/>
            </w:tcMar>
          </w:tcPr>
          <w:p w14:paraId="2B2234D3" w14:textId="77777777" w:rsidR="007179EA" w:rsidRPr="00D80FBF" w:rsidRDefault="007179EA" w:rsidP="008B7780">
            <w:pPr>
              <w:spacing w:before="60" w:after="60"/>
              <w:jc w:val="center"/>
              <w:rPr>
                <w:rFonts w:eastAsia="Arial Unicode MS"/>
                <w:b/>
                <w:sz w:val="18"/>
              </w:rPr>
            </w:pPr>
            <w:r w:rsidRPr="00D80FBF">
              <w:rPr>
                <w:rFonts w:eastAsia="Arial Unicode MS"/>
                <w:b/>
                <w:sz w:val="18"/>
              </w:rPr>
              <w:t>TAB NZ</w:t>
            </w:r>
          </w:p>
        </w:tc>
        <w:tc>
          <w:tcPr>
            <w:tcW w:w="1140" w:type="pct"/>
            <w:tcBorders>
              <w:top w:val="nil"/>
              <w:bottom w:val="nil"/>
            </w:tcBorders>
            <w:shd w:val="clear" w:color="auto" w:fill="D9D9D9" w:themeFill="background1" w:themeFillShade="D9"/>
          </w:tcPr>
          <w:p w14:paraId="5A51414B" w14:textId="77777777" w:rsidR="007179EA" w:rsidRPr="00D80FBF" w:rsidRDefault="007179EA" w:rsidP="008B7780">
            <w:pPr>
              <w:spacing w:before="60" w:after="60"/>
              <w:jc w:val="center"/>
              <w:rPr>
                <w:rFonts w:eastAsia="Arial Unicode MS"/>
                <w:b/>
                <w:sz w:val="18"/>
              </w:rPr>
            </w:pPr>
            <w:r w:rsidRPr="00D80FBF">
              <w:rPr>
                <w:rFonts w:eastAsia="Arial Unicode MS"/>
                <w:b/>
                <w:sz w:val="18"/>
              </w:rPr>
              <w:t>Lotto New Zealand</w:t>
            </w:r>
          </w:p>
        </w:tc>
      </w:tr>
      <w:tr w:rsidR="007179EA" w:rsidRPr="00D80FBF" w14:paraId="6C7B7198" w14:textId="77777777" w:rsidTr="005B24AB">
        <w:trPr>
          <w:cantSplit/>
        </w:trPr>
        <w:tc>
          <w:tcPr>
            <w:tcW w:w="2020" w:type="pct"/>
            <w:tcBorders>
              <w:top w:val="nil"/>
              <w:bottom w:val="single" w:sz="4" w:space="0" w:color="BFBFBF" w:themeColor="background1" w:themeShade="BF"/>
            </w:tcBorders>
            <w:shd w:val="clear" w:color="auto" w:fill="auto"/>
            <w:tcMar>
              <w:top w:w="0" w:type="dxa"/>
              <w:left w:w="57" w:type="dxa"/>
              <w:bottom w:w="0" w:type="dxa"/>
              <w:right w:w="57" w:type="dxa"/>
            </w:tcMar>
          </w:tcPr>
          <w:p w14:paraId="6B290B7E" w14:textId="77777777" w:rsidR="007179EA" w:rsidRPr="00D80FBF" w:rsidRDefault="007179EA" w:rsidP="008B7780">
            <w:pPr>
              <w:spacing w:before="60" w:after="60"/>
              <w:rPr>
                <w:rFonts w:eastAsia="Arial Unicode MS"/>
                <w:sz w:val="18"/>
              </w:rPr>
            </w:pPr>
            <w:r w:rsidRPr="00D80FBF">
              <w:rPr>
                <w:rFonts w:eastAsia="Arial Unicode MS"/>
                <w:sz w:val="18"/>
              </w:rPr>
              <w:t>Sector levy rates (%)</w:t>
            </w:r>
          </w:p>
        </w:tc>
        <w:tc>
          <w:tcPr>
            <w:tcW w:w="613"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20AAC09C" w14:textId="77777777" w:rsidR="007179EA" w:rsidRPr="003D2E77" w:rsidRDefault="007179EA" w:rsidP="008B7780">
            <w:pPr>
              <w:spacing w:before="60" w:after="60"/>
              <w:jc w:val="center"/>
              <w:rPr>
                <w:rFonts w:eastAsia="Arial Unicode MS"/>
                <w:sz w:val="18"/>
                <w:szCs w:val="18"/>
              </w:rPr>
            </w:pPr>
            <w:r w:rsidRPr="003D2E77">
              <w:rPr>
                <w:sz w:val="18"/>
                <w:szCs w:val="18"/>
              </w:rPr>
              <w:t>1.12</w:t>
            </w:r>
          </w:p>
        </w:tc>
        <w:tc>
          <w:tcPr>
            <w:tcW w:w="613"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51ABE06F" w14:textId="77777777" w:rsidR="007179EA" w:rsidRPr="003D2E77" w:rsidRDefault="007179EA" w:rsidP="008B7780">
            <w:pPr>
              <w:spacing w:before="60" w:after="60"/>
              <w:jc w:val="center"/>
              <w:rPr>
                <w:rFonts w:eastAsia="Arial Unicode MS"/>
                <w:sz w:val="18"/>
                <w:szCs w:val="18"/>
              </w:rPr>
            </w:pPr>
            <w:r w:rsidRPr="003D2E77">
              <w:rPr>
                <w:sz w:val="18"/>
                <w:szCs w:val="18"/>
              </w:rPr>
              <w:t>0.85</w:t>
            </w:r>
          </w:p>
        </w:tc>
        <w:tc>
          <w:tcPr>
            <w:tcW w:w="614"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9CDF244" w14:textId="77777777" w:rsidR="007179EA" w:rsidRPr="003D2E77" w:rsidRDefault="007179EA" w:rsidP="008B7780">
            <w:pPr>
              <w:spacing w:before="60" w:after="60"/>
              <w:jc w:val="center"/>
              <w:rPr>
                <w:rFonts w:eastAsia="Arial Unicode MS"/>
                <w:sz w:val="18"/>
                <w:szCs w:val="18"/>
              </w:rPr>
            </w:pPr>
            <w:r w:rsidRPr="003D2E77">
              <w:rPr>
                <w:sz w:val="18"/>
                <w:szCs w:val="18"/>
              </w:rPr>
              <w:t>0.77</w:t>
            </w:r>
          </w:p>
        </w:tc>
        <w:tc>
          <w:tcPr>
            <w:tcW w:w="1140" w:type="pct"/>
            <w:tcBorders>
              <w:top w:val="nil"/>
              <w:left w:val="nil"/>
              <w:bottom w:val="single" w:sz="4" w:space="0" w:color="A6A6A6" w:themeColor="background1" w:themeShade="A6"/>
              <w:right w:val="nil"/>
            </w:tcBorders>
            <w:shd w:val="clear" w:color="auto" w:fill="auto"/>
          </w:tcPr>
          <w:p w14:paraId="7CD402C6" w14:textId="77777777" w:rsidR="007179EA" w:rsidRPr="003D2E77" w:rsidRDefault="007179EA" w:rsidP="008B7780">
            <w:pPr>
              <w:spacing w:before="60" w:after="60"/>
              <w:jc w:val="center"/>
              <w:rPr>
                <w:rFonts w:eastAsia="Arial Unicode MS"/>
                <w:sz w:val="18"/>
                <w:szCs w:val="18"/>
              </w:rPr>
            </w:pPr>
            <w:r w:rsidRPr="003D2E77">
              <w:rPr>
                <w:sz w:val="18"/>
                <w:szCs w:val="18"/>
              </w:rPr>
              <w:t>0.46</w:t>
            </w:r>
          </w:p>
        </w:tc>
      </w:tr>
      <w:tr w:rsidR="007179EA" w:rsidRPr="00D80FBF" w14:paraId="448D5091" w14:textId="77777777" w:rsidTr="005B24AB">
        <w:trPr>
          <w:cantSplit/>
        </w:trPr>
        <w:tc>
          <w:tcPr>
            <w:tcW w:w="2020" w:type="pct"/>
            <w:tcBorders>
              <w:top w:val="single" w:sz="4" w:space="0" w:color="BFBFBF" w:themeColor="background1" w:themeShade="BF"/>
              <w:bottom w:val="single" w:sz="4" w:space="0" w:color="BFBFBF" w:themeColor="background1" w:themeShade="BF"/>
            </w:tcBorders>
            <w:shd w:val="clear" w:color="auto" w:fill="auto"/>
            <w:tcMar>
              <w:top w:w="0" w:type="dxa"/>
              <w:left w:w="57" w:type="dxa"/>
              <w:bottom w:w="0" w:type="dxa"/>
              <w:right w:w="57" w:type="dxa"/>
            </w:tcMar>
          </w:tcPr>
          <w:p w14:paraId="56C1C43C" w14:textId="77777777" w:rsidR="007179EA" w:rsidRPr="00D80FBF" w:rsidRDefault="007179EA" w:rsidP="008B7780">
            <w:pPr>
              <w:spacing w:before="60" w:after="60"/>
              <w:rPr>
                <w:rFonts w:eastAsia="Arial Unicode MS"/>
                <w:sz w:val="18"/>
              </w:rPr>
            </w:pPr>
            <w:r w:rsidRPr="00D80FBF">
              <w:rPr>
                <w:rFonts w:eastAsia="Arial Unicode MS"/>
                <w:sz w:val="18"/>
              </w:rPr>
              <w:t>Expected levy payment ($m)</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629220EA" w14:textId="77777777" w:rsidR="007179EA" w:rsidRPr="003D2E77" w:rsidRDefault="007179EA" w:rsidP="008B7780">
            <w:pPr>
              <w:spacing w:before="60" w:after="60"/>
              <w:jc w:val="center"/>
              <w:rPr>
                <w:rFonts w:eastAsia="Arial Unicode MS"/>
                <w:sz w:val="18"/>
                <w:szCs w:val="18"/>
              </w:rPr>
            </w:pPr>
            <w:r w:rsidRPr="003D2E77">
              <w:rPr>
                <w:sz w:val="18"/>
                <w:szCs w:val="18"/>
              </w:rPr>
              <w:t>36.219</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1B059929" w14:textId="77777777" w:rsidR="007179EA" w:rsidRPr="003D2E77" w:rsidRDefault="007179EA" w:rsidP="008B7780">
            <w:pPr>
              <w:spacing w:before="60" w:after="60"/>
              <w:jc w:val="center"/>
              <w:rPr>
                <w:rFonts w:eastAsia="Arial Unicode MS"/>
                <w:sz w:val="18"/>
                <w:szCs w:val="18"/>
              </w:rPr>
            </w:pPr>
            <w:r w:rsidRPr="003D2E77">
              <w:rPr>
                <w:sz w:val="18"/>
                <w:szCs w:val="18"/>
              </w:rPr>
              <w:t>16.073</w:t>
            </w:r>
          </w:p>
        </w:tc>
        <w:tc>
          <w:tcPr>
            <w:tcW w:w="614"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0D17FCE" w14:textId="77777777" w:rsidR="007179EA" w:rsidRPr="003D2E77" w:rsidRDefault="007179EA" w:rsidP="008B7780">
            <w:pPr>
              <w:spacing w:before="60" w:after="60"/>
              <w:jc w:val="center"/>
              <w:rPr>
                <w:rFonts w:eastAsia="Arial Unicode MS"/>
                <w:sz w:val="18"/>
                <w:szCs w:val="18"/>
              </w:rPr>
            </w:pPr>
            <w:r w:rsidRPr="003D2E77">
              <w:rPr>
                <w:sz w:val="18"/>
                <w:szCs w:val="18"/>
              </w:rPr>
              <w:t>8.444</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4020C75F" w14:textId="77777777" w:rsidR="007179EA" w:rsidRPr="003D2E77" w:rsidRDefault="007179EA" w:rsidP="008B7780">
            <w:pPr>
              <w:spacing w:before="60" w:after="60"/>
              <w:jc w:val="center"/>
              <w:rPr>
                <w:rFonts w:eastAsia="Arial Unicode MS"/>
                <w:sz w:val="18"/>
                <w:szCs w:val="18"/>
              </w:rPr>
            </w:pPr>
            <w:r w:rsidRPr="003D2E77">
              <w:rPr>
                <w:sz w:val="18"/>
                <w:szCs w:val="18"/>
              </w:rPr>
              <w:t>10.171</w:t>
            </w:r>
          </w:p>
        </w:tc>
      </w:tr>
      <w:tr w:rsidR="007179EA" w:rsidRPr="00D80FBF" w14:paraId="47E74188" w14:textId="77777777" w:rsidTr="005B24AB">
        <w:trPr>
          <w:cantSplit/>
        </w:trPr>
        <w:tc>
          <w:tcPr>
            <w:tcW w:w="2020" w:type="pct"/>
            <w:tcBorders>
              <w:top w:val="single" w:sz="4" w:space="0" w:color="BFBFBF" w:themeColor="background1" w:themeShade="BF"/>
              <w:bottom w:val="single" w:sz="4" w:space="0" w:color="A6A6A6" w:themeColor="background1" w:themeShade="A6"/>
            </w:tcBorders>
            <w:shd w:val="clear" w:color="auto" w:fill="auto"/>
            <w:tcMar>
              <w:top w:w="0" w:type="dxa"/>
              <w:left w:w="57" w:type="dxa"/>
              <w:bottom w:w="0" w:type="dxa"/>
              <w:right w:w="57" w:type="dxa"/>
            </w:tcMar>
          </w:tcPr>
          <w:p w14:paraId="7C58A855" w14:textId="77777777" w:rsidR="007179EA" w:rsidRPr="00D80FBF" w:rsidRDefault="007179EA" w:rsidP="008B7780">
            <w:pPr>
              <w:spacing w:before="60" w:after="60"/>
              <w:rPr>
                <w:rFonts w:eastAsia="Arial Unicode MS"/>
                <w:sz w:val="18"/>
              </w:rPr>
            </w:pPr>
            <w:r w:rsidRPr="00D80FBF">
              <w:rPr>
                <w:rFonts w:eastAsia="Arial Unicode MS"/>
                <w:sz w:val="18"/>
              </w:rPr>
              <w:t>($m) Comparison with current levy payments (negative = less)</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703EC707" w14:textId="77777777" w:rsidR="007179EA" w:rsidRPr="003D2E77" w:rsidRDefault="007179EA" w:rsidP="008B7780">
            <w:pPr>
              <w:spacing w:before="60" w:after="60"/>
              <w:jc w:val="center"/>
              <w:rPr>
                <w:rFonts w:eastAsia="Arial Unicode MS"/>
                <w:sz w:val="18"/>
                <w:szCs w:val="18"/>
              </w:rPr>
            </w:pPr>
            <w:r w:rsidRPr="003D2E77">
              <w:rPr>
                <w:sz w:val="18"/>
                <w:szCs w:val="18"/>
              </w:rPr>
              <w:t>13.252</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33664504" w14:textId="77777777" w:rsidR="007179EA" w:rsidRPr="003D2E77" w:rsidRDefault="007179EA" w:rsidP="008B7780">
            <w:pPr>
              <w:spacing w:before="60" w:after="60"/>
              <w:jc w:val="center"/>
              <w:rPr>
                <w:rFonts w:eastAsia="Arial Unicode MS"/>
                <w:sz w:val="18"/>
                <w:szCs w:val="18"/>
              </w:rPr>
            </w:pPr>
            <w:r w:rsidRPr="003D2E77">
              <w:rPr>
                <w:sz w:val="18"/>
                <w:szCs w:val="18"/>
              </w:rPr>
              <w:t>4.860</w:t>
            </w:r>
          </w:p>
        </w:tc>
        <w:tc>
          <w:tcPr>
            <w:tcW w:w="614"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75726C76" w14:textId="77777777" w:rsidR="007179EA" w:rsidRPr="003D2E77" w:rsidRDefault="007179EA" w:rsidP="008B7780">
            <w:pPr>
              <w:spacing w:before="60" w:after="60"/>
              <w:jc w:val="center"/>
              <w:rPr>
                <w:rFonts w:eastAsia="Arial Unicode MS"/>
                <w:sz w:val="18"/>
                <w:szCs w:val="18"/>
              </w:rPr>
            </w:pPr>
            <w:r w:rsidRPr="003D2E77">
              <w:rPr>
                <w:sz w:val="18"/>
                <w:szCs w:val="18"/>
              </w:rPr>
              <w:t>2.270</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41B7EC0B" w14:textId="77777777" w:rsidR="007179EA" w:rsidRPr="003D2E77" w:rsidRDefault="007179EA" w:rsidP="008B7780">
            <w:pPr>
              <w:spacing w:before="60" w:after="60"/>
              <w:jc w:val="center"/>
              <w:rPr>
                <w:rFonts w:eastAsia="Arial Unicode MS"/>
                <w:sz w:val="18"/>
                <w:szCs w:val="18"/>
              </w:rPr>
            </w:pPr>
            <w:r w:rsidRPr="003D2E77">
              <w:rPr>
                <w:sz w:val="18"/>
                <w:szCs w:val="18"/>
              </w:rPr>
              <w:t>2.265</w:t>
            </w:r>
          </w:p>
        </w:tc>
      </w:tr>
    </w:tbl>
    <w:p w14:paraId="0DC9C897" w14:textId="77777777" w:rsidR="007179EA" w:rsidRDefault="007179EA" w:rsidP="008B7780">
      <w:bookmarkStart w:id="361" w:name="_Toc517091252"/>
      <w:bookmarkStart w:id="362" w:name="_Toc522089456"/>
    </w:p>
    <w:p w14:paraId="1120F597" w14:textId="180DAFE5" w:rsidR="007179EA" w:rsidRPr="00375B98" w:rsidRDefault="008B7780" w:rsidP="008B7780">
      <w:pPr>
        <w:pStyle w:val="Table"/>
      </w:pPr>
      <w:bookmarkStart w:id="363" w:name="Table19"/>
      <w:bookmarkStart w:id="364" w:name="_Toc89335335"/>
      <w:bookmarkStart w:id="365" w:name="_Toc90626969"/>
      <w:bookmarkEnd w:id="363"/>
      <w:r>
        <w:lastRenderedPageBreak/>
        <w:t>Table </w:t>
      </w:r>
      <w:fldSimple w:instr=" SEQ Table \* ARABIC ">
        <w:r w:rsidR="00451900">
          <w:rPr>
            <w:noProof/>
          </w:rPr>
          <w:t>19</w:t>
        </w:r>
      </w:fldSimple>
      <w:r w:rsidR="007179EA" w:rsidRPr="00375B98">
        <w:t>: Estimated levy rates and payments ($m) per sector, 30/70 weighting</w:t>
      </w:r>
      <w:bookmarkEnd w:id="361"/>
      <w:bookmarkEnd w:id="362"/>
      <w:bookmarkEnd w:id="364"/>
      <w:bookmarkEnd w:id="365"/>
    </w:p>
    <w:tbl>
      <w:tblPr>
        <w:tblW w:w="4971"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259"/>
        <w:gridCol w:w="992"/>
        <w:gridCol w:w="992"/>
        <w:gridCol w:w="994"/>
        <w:gridCol w:w="1908"/>
      </w:tblGrid>
      <w:tr w:rsidR="007179EA" w:rsidRPr="00D80FBF" w14:paraId="33EE2EA5" w14:textId="77777777" w:rsidTr="005B24AB">
        <w:trPr>
          <w:cantSplit/>
        </w:trPr>
        <w:tc>
          <w:tcPr>
            <w:tcW w:w="2001" w:type="pct"/>
            <w:tcBorders>
              <w:top w:val="nil"/>
              <w:bottom w:val="nil"/>
            </w:tcBorders>
            <w:shd w:val="clear" w:color="auto" w:fill="D9D9D9" w:themeFill="background1" w:themeFillShade="D9"/>
            <w:tcMar>
              <w:top w:w="0" w:type="dxa"/>
              <w:left w:w="57" w:type="dxa"/>
              <w:bottom w:w="0" w:type="dxa"/>
              <w:right w:w="57" w:type="dxa"/>
            </w:tcMar>
          </w:tcPr>
          <w:p w14:paraId="387A6631" w14:textId="77777777" w:rsidR="007179EA" w:rsidRPr="00D80FBF" w:rsidRDefault="007179EA" w:rsidP="008B7780">
            <w:pPr>
              <w:keepNext/>
              <w:spacing w:before="60" w:after="60"/>
              <w:rPr>
                <w:rFonts w:eastAsia="Arial Unicode MS"/>
                <w:b/>
                <w:sz w:val="18"/>
              </w:rPr>
            </w:pPr>
            <w:r w:rsidRPr="00D80FBF">
              <w:rPr>
                <w:rFonts w:eastAsia="Arial Unicode MS"/>
                <w:b/>
                <w:sz w:val="18"/>
              </w:rPr>
              <w:t>Collection period starts 1 July 2022 (all GST exclusive)</w:t>
            </w:r>
          </w:p>
        </w:tc>
        <w:tc>
          <w:tcPr>
            <w:tcW w:w="609" w:type="pct"/>
            <w:tcBorders>
              <w:top w:val="nil"/>
              <w:bottom w:val="nil"/>
            </w:tcBorders>
            <w:shd w:val="clear" w:color="auto" w:fill="D9D9D9" w:themeFill="background1" w:themeFillShade="D9"/>
            <w:tcMar>
              <w:top w:w="0" w:type="dxa"/>
              <w:left w:w="108" w:type="dxa"/>
              <w:bottom w:w="0" w:type="dxa"/>
              <w:right w:w="108" w:type="dxa"/>
            </w:tcMar>
          </w:tcPr>
          <w:p w14:paraId="4AAF3274" w14:textId="77777777" w:rsidR="007179EA" w:rsidRPr="00D80FBF" w:rsidRDefault="007179EA" w:rsidP="008B7780">
            <w:pPr>
              <w:keepNext/>
              <w:spacing w:before="60" w:after="60"/>
              <w:jc w:val="center"/>
              <w:rPr>
                <w:rFonts w:eastAsia="Arial Unicode MS"/>
                <w:b/>
                <w:sz w:val="18"/>
              </w:rPr>
            </w:pPr>
            <w:r w:rsidRPr="00D80FBF">
              <w:rPr>
                <w:rFonts w:eastAsia="Arial Unicode MS"/>
                <w:b/>
                <w:sz w:val="18"/>
              </w:rPr>
              <w:t>NCGMs</w:t>
            </w:r>
          </w:p>
        </w:tc>
        <w:tc>
          <w:tcPr>
            <w:tcW w:w="609" w:type="pct"/>
            <w:tcBorders>
              <w:top w:val="nil"/>
              <w:bottom w:val="nil"/>
            </w:tcBorders>
            <w:shd w:val="clear" w:color="auto" w:fill="D9D9D9" w:themeFill="background1" w:themeFillShade="D9"/>
            <w:tcMar>
              <w:top w:w="0" w:type="dxa"/>
              <w:left w:w="108" w:type="dxa"/>
              <w:bottom w:w="0" w:type="dxa"/>
              <w:right w:w="108" w:type="dxa"/>
            </w:tcMar>
          </w:tcPr>
          <w:p w14:paraId="3E2F5F03" w14:textId="77777777" w:rsidR="007179EA" w:rsidRPr="00D80FBF" w:rsidRDefault="007179EA" w:rsidP="008B7780">
            <w:pPr>
              <w:keepNext/>
              <w:spacing w:before="60" w:after="60"/>
              <w:jc w:val="center"/>
              <w:rPr>
                <w:rFonts w:eastAsia="Arial Unicode MS"/>
                <w:b/>
                <w:sz w:val="18"/>
              </w:rPr>
            </w:pPr>
            <w:r w:rsidRPr="00D80FBF">
              <w:rPr>
                <w:rFonts w:eastAsia="Arial Unicode MS"/>
                <w:b/>
                <w:sz w:val="18"/>
              </w:rPr>
              <w:t>Casinos</w:t>
            </w:r>
          </w:p>
        </w:tc>
        <w:tc>
          <w:tcPr>
            <w:tcW w:w="610" w:type="pct"/>
            <w:tcBorders>
              <w:top w:val="nil"/>
              <w:bottom w:val="nil"/>
            </w:tcBorders>
            <w:shd w:val="clear" w:color="auto" w:fill="D9D9D9" w:themeFill="background1" w:themeFillShade="D9"/>
            <w:tcMar>
              <w:top w:w="0" w:type="dxa"/>
              <w:left w:w="108" w:type="dxa"/>
              <w:bottom w:w="0" w:type="dxa"/>
              <w:right w:w="108" w:type="dxa"/>
            </w:tcMar>
          </w:tcPr>
          <w:p w14:paraId="3A5CCBE2" w14:textId="77777777" w:rsidR="007179EA" w:rsidRPr="00D80FBF" w:rsidRDefault="007179EA" w:rsidP="008B7780">
            <w:pPr>
              <w:keepNext/>
              <w:spacing w:before="60" w:after="60"/>
              <w:jc w:val="center"/>
              <w:rPr>
                <w:rFonts w:eastAsia="Arial Unicode MS"/>
                <w:b/>
                <w:sz w:val="18"/>
              </w:rPr>
            </w:pPr>
            <w:r w:rsidRPr="00D80FBF">
              <w:rPr>
                <w:rFonts w:eastAsia="Arial Unicode MS"/>
                <w:b/>
                <w:sz w:val="18"/>
              </w:rPr>
              <w:t>TAB NZ</w:t>
            </w:r>
          </w:p>
        </w:tc>
        <w:tc>
          <w:tcPr>
            <w:tcW w:w="1171" w:type="pct"/>
            <w:tcBorders>
              <w:top w:val="nil"/>
              <w:bottom w:val="nil"/>
            </w:tcBorders>
            <w:shd w:val="clear" w:color="auto" w:fill="D9D9D9" w:themeFill="background1" w:themeFillShade="D9"/>
          </w:tcPr>
          <w:p w14:paraId="1506761F" w14:textId="77777777" w:rsidR="007179EA" w:rsidRPr="00D80FBF" w:rsidRDefault="007179EA" w:rsidP="008B7780">
            <w:pPr>
              <w:keepNext/>
              <w:spacing w:before="60" w:after="60"/>
              <w:jc w:val="center"/>
              <w:rPr>
                <w:rFonts w:eastAsia="Arial Unicode MS"/>
                <w:b/>
                <w:sz w:val="18"/>
              </w:rPr>
            </w:pPr>
            <w:r w:rsidRPr="00D80FBF">
              <w:rPr>
                <w:rFonts w:eastAsia="Arial Unicode MS"/>
                <w:b/>
                <w:sz w:val="18"/>
              </w:rPr>
              <w:t>Lotto New Zealand</w:t>
            </w:r>
          </w:p>
        </w:tc>
      </w:tr>
      <w:tr w:rsidR="007179EA" w:rsidRPr="00D80FBF" w14:paraId="69FFE005" w14:textId="77777777" w:rsidTr="005B24AB">
        <w:trPr>
          <w:cantSplit/>
        </w:trPr>
        <w:tc>
          <w:tcPr>
            <w:tcW w:w="2001" w:type="pct"/>
            <w:tcBorders>
              <w:top w:val="nil"/>
              <w:bottom w:val="single" w:sz="4" w:space="0" w:color="BFBFBF" w:themeColor="background1" w:themeShade="BF"/>
              <w:right w:val="nil"/>
            </w:tcBorders>
            <w:shd w:val="clear" w:color="auto" w:fill="auto"/>
            <w:tcMar>
              <w:top w:w="0" w:type="dxa"/>
              <w:left w:w="57" w:type="dxa"/>
              <w:bottom w:w="0" w:type="dxa"/>
              <w:right w:w="57" w:type="dxa"/>
            </w:tcMar>
          </w:tcPr>
          <w:p w14:paraId="5380504C" w14:textId="77777777" w:rsidR="007179EA" w:rsidRPr="00D80FBF" w:rsidRDefault="007179EA" w:rsidP="008B7780">
            <w:pPr>
              <w:keepNext/>
              <w:spacing w:before="60" w:after="60"/>
              <w:rPr>
                <w:rFonts w:eastAsia="Arial Unicode MS"/>
                <w:sz w:val="18"/>
              </w:rPr>
            </w:pPr>
            <w:r w:rsidRPr="00D80FBF">
              <w:rPr>
                <w:rFonts w:eastAsia="Arial Unicode MS"/>
                <w:sz w:val="18"/>
              </w:rPr>
              <w:t>Sector levy rates (%)</w:t>
            </w:r>
          </w:p>
        </w:tc>
        <w:tc>
          <w:tcPr>
            <w:tcW w:w="609" w:type="pct"/>
            <w:tcBorders>
              <w:top w:val="nil"/>
              <w:left w:val="nil"/>
              <w:bottom w:val="single" w:sz="4" w:space="0" w:color="A6A6A6" w:themeColor="background1" w:themeShade="A6"/>
              <w:right w:val="nil"/>
            </w:tcBorders>
            <w:shd w:val="clear" w:color="000000" w:fill="FFFFFF"/>
            <w:noWrap/>
            <w:tcMar>
              <w:top w:w="0" w:type="dxa"/>
              <w:left w:w="108" w:type="dxa"/>
              <w:bottom w:w="0" w:type="dxa"/>
              <w:right w:w="108" w:type="dxa"/>
            </w:tcMar>
          </w:tcPr>
          <w:p w14:paraId="7C956413" w14:textId="77777777" w:rsidR="007179EA" w:rsidRPr="002D134E" w:rsidRDefault="007179EA" w:rsidP="008B7780">
            <w:pPr>
              <w:keepNext/>
              <w:spacing w:before="60" w:after="60"/>
              <w:jc w:val="center"/>
              <w:rPr>
                <w:rFonts w:eastAsia="Arial Unicode MS"/>
                <w:sz w:val="18"/>
                <w:szCs w:val="18"/>
              </w:rPr>
            </w:pPr>
            <w:r w:rsidRPr="003D2E77">
              <w:rPr>
                <w:sz w:val="18"/>
                <w:szCs w:val="18"/>
              </w:rPr>
              <w:t>1.07</w:t>
            </w:r>
          </w:p>
        </w:tc>
        <w:tc>
          <w:tcPr>
            <w:tcW w:w="609" w:type="pct"/>
            <w:tcBorders>
              <w:top w:val="nil"/>
              <w:left w:val="nil"/>
              <w:bottom w:val="single" w:sz="4" w:space="0" w:color="A6A6A6" w:themeColor="background1" w:themeShade="A6"/>
              <w:right w:val="nil"/>
            </w:tcBorders>
            <w:shd w:val="clear" w:color="000000" w:fill="FFFFFF"/>
            <w:noWrap/>
            <w:tcMar>
              <w:top w:w="0" w:type="dxa"/>
              <w:left w:w="108" w:type="dxa"/>
              <w:bottom w:w="0" w:type="dxa"/>
              <w:right w:w="108" w:type="dxa"/>
            </w:tcMar>
          </w:tcPr>
          <w:p w14:paraId="0A2D1F65" w14:textId="77777777" w:rsidR="007179EA" w:rsidRPr="002D134E" w:rsidRDefault="007179EA" w:rsidP="008B7780">
            <w:pPr>
              <w:keepNext/>
              <w:spacing w:before="60" w:after="60"/>
              <w:jc w:val="center"/>
              <w:rPr>
                <w:rFonts w:eastAsia="Arial Unicode MS"/>
                <w:sz w:val="18"/>
                <w:szCs w:val="18"/>
              </w:rPr>
            </w:pPr>
            <w:r w:rsidRPr="003D2E77">
              <w:rPr>
                <w:sz w:val="18"/>
                <w:szCs w:val="18"/>
              </w:rPr>
              <w:t>0.86</w:t>
            </w:r>
          </w:p>
        </w:tc>
        <w:tc>
          <w:tcPr>
            <w:tcW w:w="610" w:type="pct"/>
            <w:tcBorders>
              <w:top w:val="nil"/>
              <w:left w:val="nil"/>
              <w:bottom w:val="single" w:sz="4" w:space="0" w:color="A6A6A6" w:themeColor="background1" w:themeShade="A6"/>
              <w:right w:val="nil"/>
            </w:tcBorders>
            <w:shd w:val="clear" w:color="000000" w:fill="FFFFFF"/>
            <w:noWrap/>
            <w:tcMar>
              <w:top w:w="0" w:type="dxa"/>
              <w:left w:w="108" w:type="dxa"/>
              <w:bottom w:w="0" w:type="dxa"/>
              <w:right w:w="108" w:type="dxa"/>
            </w:tcMar>
          </w:tcPr>
          <w:p w14:paraId="001A2E27" w14:textId="77777777" w:rsidR="007179EA" w:rsidRPr="002D134E" w:rsidRDefault="007179EA" w:rsidP="008B7780">
            <w:pPr>
              <w:keepNext/>
              <w:spacing w:before="60" w:after="60"/>
              <w:jc w:val="center"/>
              <w:rPr>
                <w:rFonts w:eastAsia="Arial Unicode MS"/>
                <w:sz w:val="18"/>
                <w:szCs w:val="18"/>
              </w:rPr>
            </w:pPr>
            <w:r w:rsidRPr="003D2E77">
              <w:rPr>
                <w:sz w:val="18"/>
                <w:szCs w:val="18"/>
              </w:rPr>
              <w:t>0.80</w:t>
            </w:r>
          </w:p>
        </w:tc>
        <w:tc>
          <w:tcPr>
            <w:tcW w:w="1171" w:type="pct"/>
            <w:tcBorders>
              <w:top w:val="nil"/>
              <w:left w:val="nil"/>
              <w:bottom w:val="single" w:sz="4" w:space="0" w:color="A6A6A6" w:themeColor="background1" w:themeShade="A6"/>
              <w:right w:val="nil"/>
            </w:tcBorders>
            <w:shd w:val="clear" w:color="000000" w:fill="FFFFFF"/>
          </w:tcPr>
          <w:p w14:paraId="07693416" w14:textId="77777777" w:rsidR="007179EA" w:rsidRPr="002D134E" w:rsidRDefault="007179EA" w:rsidP="008B7780">
            <w:pPr>
              <w:keepNext/>
              <w:spacing w:before="60" w:after="60"/>
              <w:jc w:val="center"/>
              <w:rPr>
                <w:sz w:val="18"/>
                <w:szCs w:val="18"/>
              </w:rPr>
            </w:pPr>
            <w:r w:rsidRPr="003D2E77">
              <w:rPr>
                <w:sz w:val="18"/>
                <w:szCs w:val="18"/>
              </w:rPr>
              <w:t>0.52</w:t>
            </w:r>
          </w:p>
        </w:tc>
      </w:tr>
      <w:tr w:rsidR="007179EA" w:rsidRPr="00D80FBF" w14:paraId="1F6B2CA4" w14:textId="77777777" w:rsidTr="005B24AB">
        <w:trPr>
          <w:cantSplit/>
        </w:trPr>
        <w:tc>
          <w:tcPr>
            <w:tcW w:w="2001" w:type="pct"/>
            <w:tcBorders>
              <w:top w:val="single" w:sz="4" w:space="0" w:color="BFBFBF" w:themeColor="background1" w:themeShade="BF"/>
              <w:bottom w:val="single" w:sz="4" w:space="0" w:color="BFBFBF" w:themeColor="background1" w:themeShade="BF"/>
            </w:tcBorders>
            <w:shd w:val="clear" w:color="auto" w:fill="auto"/>
            <w:tcMar>
              <w:top w:w="0" w:type="dxa"/>
              <w:left w:w="57" w:type="dxa"/>
              <w:bottom w:w="0" w:type="dxa"/>
              <w:right w:w="57" w:type="dxa"/>
            </w:tcMar>
          </w:tcPr>
          <w:p w14:paraId="18421898" w14:textId="77777777" w:rsidR="007179EA" w:rsidRPr="00D80FBF" w:rsidRDefault="007179EA" w:rsidP="008B7780">
            <w:pPr>
              <w:keepNext/>
              <w:spacing w:before="60" w:after="60"/>
              <w:rPr>
                <w:rFonts w:eastAsia="Arial Unicode MS"/>
                <w:sz w:val="18"/>
              </w:rPr>
            </w:pPr>
            <w:r w:rsidRPr="00D80FBF">
              <w:rPr>
                <w:rFonts w:eastAsia="Arial Unicode MS"/>
                <w:sz w:val="18"/>
              </w:rPr>
              <w:t>Expected levy payment ($m)</w:t>
            </w:r>
          </w:p>
        </w:tc>
        <w:tc>
          <w:tcPr>
            <w:tcW w:w="609"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3AB64248" w14:textId="77777777" w:rsidR="007179EA" w:rsidRPr="002D134E" w:rsidRDefault="007179EA" w:rsidP="008B7780">
            <w:pPr>
              <w:keepNext/>
              <w:spacing w:before="60" w:after="60"/>
              <w:jc w:val="center"/>
              <w:rPr>
                <w:rFonts w:eastAsia="Arial Unicode MS"/>
                <w:sz w:val="18"/>
                <w:szCs w:val="18"/>
              </w:rPr>
            </w:pPr>
            <w:r w:rsidRPr="003D2E77">
              <w:rPr>
                <w:sz w:val="18"/>
                <w:szCs w:val="18"/>
              </w:rPr>
              <w:t>34.602</w:t>
            </w:r>
          </w:p>
        </w:tc>
        <w:tc>
          <w:tcPr>
            <w:tcW w:w="609"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7D198D6F" w14:textId="77777777" w:rsidR="007179EA" w:rsidRPr="002D134E" w:rsidRDefault="007179EA" w:rsidP="008B7780">
            <w:pPr>
              <w:keepNext/>
              <w:spacing w:before="60" w:after="60"/>
              <w:jc w:val="center"/>
              <w:rPr>
                <w:rFonts w:eastAsia="Arial Unicode MS"/>
                <w:sz w:val="18"/>
                <w:szCs w:val="18"/>
              </w:rPr>
            </w:pPr>
            <w:r w:rsidRPr="003D2E77">
              <w:rPr>
                <w:sz w:val="18"/>
                <w:szCs w:val="18"/>
              </w:rPr>
              <w:t>16.262</w:t>
            </w:r>
          </w:p>
        </w:tc>
        <w:tc>
          <w:tcPr>
            <w:tcW w:w="610"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5853CDE3" w14:textId="77777777" w:rsidR="007179EA" w:rsidRPr="002D134E" w:rsidRDefault="007179EA" w:rsidP="008B7780">
            <w:pPr>
              <w:keepNext/>
              <w:spacing w:before="60" w:after="60"/>
              <w:jc w:val="center"/>
              <w:rPr>
                <w:rFonts w:eastAsia="Arial Unicode MS"/>
                <w:sz w:val="18"/>
                <w:szCs w:val="18"/>
              </w:rPr>
            </w:pPr>
            <w:r w:rsidRPr="003D2E77">
              <w:rPr>
                <w:sz w:val="18"/>
                <w:szCs w:val="18"/>
              </w:rPr>
              <w:t>8.773</w:t>
            </w:r>
          </w:p>
        </w:tc>
        <w:tc>
          <w:tcPr>
            <w:tcW w:w="1171" w:type="pct"/>
            <w:tcBorders>
              <w:top w:val="single" w:sz="4" w:space="0" w:color="A6A6A6" w:themeColor="background1" w:themeShade="A6"/>
              <w:left w:val="nil"/>
              <w:bottom w:val="single" w:sz="4" w:space="0" w:color="A6A6A6" w:themeColor="background1" w:themeShade="A6"/>
              <w:right w:val="nil"/>
            </w:tcBorders>
            <w:shd w:val="clear" w:color="auto" w:fill="auto"/>
          </w:tcPr>
          <w:p w14:paraId="220E7354" w14:textId="77777777" w:rsidR="007179EA" w:rsidRPr="002D134E" w:rsidRDefault="007179EA" w:rsidP="008B7780">
            <w:pPr>
              <w:keepNext/>
              <w:spacing w:before="60" w:after="60"/>
              <w:jc w:val="center"/>
              <w:rPr>
                <w:sz w:val="18"/>
                <w:szCs w:val="18"/>
              </w:rPr>
            </w:pPr>
            <w:r w:rsidRPr="003D2E77">
              <w:rPr>
                <w:sz w:val="18"/>
                <w:szCs w:val="18"/>
              </w:rPr>
              <w:t>11.497</w:t>
            </w:r>
          </w:p>
        </w:tc>
      </w:tr>
      <w:tr w:rsidR="007179EA" w:rsidRPr="00D80FBF" w14:paraId="668DAA73" w14:textId="77777777" w:rsidTr="005B24AB">
        <w:trPr>
          <w:cantSplit/>
        </w:trPr>
        <w:tc>
          <w:tcPr>
            <w:tcW w:w="2001" w:type="pct"/>
            <w:tcBorders>
              <w:top w:val="single" w:sz="4" w:space="0" w:color="BFBFBF" w:themeColor="background1" w:themeShade="BF"/>
              <w:bottom w:val="single" w:sz="4" w:space="0" w:color="A6A6A6" w:themeColor="background1" w:themeShade="A6"/>
            </w:tcBorders>
            <w:shd w:val="clear" w:color="auto" w:fill="auto"/>
            <w:tcMar>
              <w:top w:w="0" w:type="dxa"/>
              <w:left w:w="57" w:type="dxa"/>
              <w:bottom w:w="0" w:type="dxa"/>
              <w:right w:w="57" w:type="dxa"/>
            </w:tcMar>
          </w:tcPr>
          <w:p w14:paraId="6D9C6239" w14:textId="77777777" w:rsidR="007179EA" w:rsidRPr="00D80FBF" w:rsidRDefault="007179EA" w:rsidP="005B24AB">
            <w:pPr>
              <w:spacing w:before="60" w:after="60"/>
              <w:rPr>
                <w:rFonts w:eastAsia="Arial Unicode MS"/>
                <w:sz w:val="18"/>
              </w:rPr>
            </w:pPr>
            <w:r w:rsidRPr="00D80FBF">
              <w:rPr>
                <w:rFonts w:eastAsia="Arial Unicode MS"/>
                <w:sz w:val="18"/>
              </w:rPr>
              <w:t>($m) Comparison with current levy payments (negative = less)</w:t>
            </w:r>
          </w:p>
        </w:tc>
        <w:tc>
          <w:tcPr>
            <w:tcW w:w="609"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23710BF6" w14:textId="77777777" w:rsidR="007179EA" w:rsidRPr="002D134E" w:rsidRDefault="007179EA" w:rsidP="005B24AB">
            <w:pPr>
              <w:spacing w:before="60" w:after="60"/>
              <w:jc w:val="center"/>
              <w:rPr>
                <w:rFonts w:eastAsia="Arial Unicode MS"/>
                <w:sz w:val="18"/>
                <w:szCs w:val="18"/>
              </w:rPr>
            </w:pPr>
            <w:r w:rsidRPr="003D2E77">
              <w:rPr>
                <w:sz w:val="18"/>
                <w:szCs w:val="18"/>
              </w:rPr>
              <w:t>11.635</w:t>
            </w:r>
          </w:p>
        </w:tc>
        <w:tc>
          <w:tcPr>
            <w:tcW w:w="609"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2E49B88" w14:textId="77777777" w:rsidR="007179EA" w:rsidRPr="002D134E" w:rsidRDefault="007179EA" w:rsidP="005B24AB">
            <w:pPr>
              <w:spacing w:before="60" w:after="60"/>
              <w:jc w:val="center"/>
              <w:rPr>
                <w:rFonts w:eastAsia="Arial Unicode MS"/>
                <w:sz w:val="18"/>
                <w:szCs w:val="18"/>
              </w:rPr>
            </w:pPr>
            <w:r w:rsidRPr="003D2E77">
              <w:rPr>
                <w:sz w:val="18"/>
                <w:szCs w:val="18"/>
              </w:rPr>
              <w:t>5.049</w:t>
            </w:r>
          </w:p>
        </w:tc>
        <w:tc>
          <w:tcPr>
            <w:tcW w:w="610"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572F8EF7" w14:textId="77777777" w:rsidR="007179EA" w:rsidRPr="002D134E" w:rsidRDefault="007179EA" w:rsidP="005B24AB">
            <w:pPr>
              <w:spacing w:before="60" w:after="60"/>
              <w:jc w:val="center"/>
              <w:rPr>
                <w:rFonts w:eastAsia="Arial Unicode MS"/>
                <w:sz w:val="18"/>
                <w:szCs w:val="18"/>
              </w:rPr>
            </w:pPr>
            <w:r w:rsidRPr="003D2E77">
              <w:rPr>
                <w:sz w:val="18"/>
                <w:szCs w:val="18"/>
              </w:rPr>
              <w:t>2.599</w:t>
            </w:r>
          </w:p>
        </w:tc>
        <w:tc>
          <w:tcPr>
            <w:tcW w:w="1171" w:type="pct"/>
            <w:tcBorders>
              <w:top w:val="single" w:sz="4" w:space="0" w:color="A6A6A6" w:themeColor="background1" w:themeShade="A6"/>
              <w:left w:val="nil"/>
              <w:bottom w:val="single" w:sz="4" w:space="0" w:color="A6A6A6" w:themeColor="background1" w:themeShade="A6"/>
              <w:right w:val="nil"/>
            </w:tcBorders>
            <w:shd w:val="clear" w:color="auto" w:fill="auto"/>
          </w:tcPr>
          <w:p w14:paraId="568C7C69" w14:textId="77777777" w:rsidR="007179EA" w:rsidRPr="002D134E" w:rsidRDefault="007179EA" w:rsidP="005B24AB">
            <w:pPr>
              <w:spacing w:before="60" w:after="60"/>
              <w:jc w:val="center"/>
              <w:rPr>
                <w:sz w:val="18"/>
                <w:szCs w:val="18"/>
              </w:rPr>
            </w:pPr>
            <w:r w:rsidRPr="003D2E77">
              <w:rPr>
                <w:sz w:val="18"/>
                <w:szCs w:val="18"/>
              </w:rPr>
              <w:t>3.591</w:t>
            </w:r>
          </w:p>
        </w:tc>
      </w:tr>
    </w:tbl>
    <w:p w14:paraId="63D0E39A" w14:textId="77777777" w:rsidR="008B7780" w:rsidRDefault="008B7780" w:rsidP="008B7780">
      <w:bookmarkStart w:id="366" w:name="_Toc517090915"/>
      <w:bookmarkStart w:id="367" w:name="_Toc522089417"/>
      <w:bookmarkStart w:id="368" w:name="_Toc61962076"/>
      <w:bookmarkStart w:id="369" w:name="_Toc71102189"/>
      <w:bookmarkStart w:id="370" w:name="_Toc78882326"/>
    </w:p>
    <w:p w14:paraId="5FB88560" w14:textId="77777777" w:rsidR="007179EA" w:rsidRPr="00D80FBF" w:rsidRDefault="007179EA" w:rsidP="008B7780">
      <w:pPr>
        <w:pStyle w:val="Heading3"/>
      </w:pPr>
      <w:r w:rsidRPr="00D80FBF">
        <w:t>Comment on weighting options</w:t>
      </w:r>
      <w:bookmarkEnd w:id="366"/>
      <w:bookmarkEnd w:id="367"/>
      <w:bookmarkEnd w:id="368"/>
      <w:bookmarkEnd w:id="369"/>
      <w:bookmarkEnd w:id="370"/>
    </w:p>
    <w:p w14:paraId="44E1AC6F" w14:textId="77777777" w:rsidR="007179EA" w:rsidRPr="00D80FBF" w:rsidRDefault="007179EA" w:rsidP="008B7780">
      <w:r>
        <w:t>The above t</w:t>
      </w:r>
      <w:r w:rsidRPr="00D80FBF">
        <w:t>ables show that, under each scenario:</w:t>
      </w:r>
    </w:p>
    <w:p w14:paraId="20A10222" w14:textId="77777777" w:rsidR="007179EA" w:rsidRPr="00D80FBF" w:rsidRDefault="007179EA" w:rsidP="008B7780">
      <w:pPr>
        <w:pStyle w:val="Bullet"/>
      </w:pPr>
      <w:bookmarkStart w:id="371" w:name="_Hlk87360860"/>
      <w:r w:rsidRPr="00D80FBF">
        <w:t>the higher the weighting on expenditure:</w:t>
      </w:r>
    </w:p>
    <w:p w14:paraId="5BDB83BA" w14:textId="77777777" w:rsidR="007179EA" w:rsidRPr="00D80FBF" w:rsidRDefault="007179EA" w:rsidP="008B7780">
      <w:pPr>
        <w:pStyle w:val="Dash"/>
      </w:pPr>
      <w:r w:rsidRPr="00D80FBF">
        <w:t>the higher the share of the levy to be paid by Lotto New Zealand because that sector</w:t>
      </w:r>
      <w:r w:rsidR="00BC6B27">
        <w:t>’</w:t>
      </w:r>
      <w:r w:rsidRPr="00D80FBF">
        <w:t>s proportion of gambling expenditure is much higher than its proportion of presentations</w:t>
      </w:r>
    </w:p>
    <w:p w14:paraId="0F596B50" w14:textId="77777777" w:rsidR="007179EA" w:rsidRPr="00D80FBF" w:rsidRDefault="007179EA" w:rsidP="008B7780">
      <w:pPr>
        <w:pStyle w:val="Dash"/>
      </w:pPr>
      <w:r w:rsidRPr="00D80FBF">
        <w:t>the higher the share to be paid by the TAB NZ</w:t>
      </w:r>
    </w:p>
    <w:p w14:paraId="74768F63" w14:textId="77777777" w:rsidR="007179EA" w:rsidRPr="00D80FBF" w:rsidRDefault="007179EA" w:rsidP="008B7780">
      <w:pPr>
        <w:pStyle w:val="Bullet"/>
      </w:pPr>
      <w:r w:rsidRPr="00D80FBF">
        <w:t>the higher the weighting on presentations:</w:t>
      </w:r>
    </w:p>
    <w:p w14:paraId="0367B311" w14:textId="77777777" w:rsidR="007179EA" w:rsidRPr="00D80FBF" w:rsidRDefault="007179EA" w:rsidP="008B7780">
      <w:pPr>
        <w:pStyle w:val="Dash"/>
      </w:pPr>
      <w:r w:rsidRPr="00D80FBF">
        <w:t xml:space="preserve">the higher the share to be paid by the NCGM sector (because </w:t>
      </w:r>
      <w:r>
        <w:t>a higher</w:t>
      </w:r>
      <w:r w:rsidR="001461C6">
        <w:t> percent</w:t>
      </w:r>
      <w:r w:rsidRPr="00D80FBF">
        <w:t xml:space="preserve"> of presentations are attributed to that sector, but its proportion of expenditure is much lower)</w:t>
      </w:r>
    </w:p>
    <w:p w14:paraId="3C4D4E72" w14:textId="77777777" w:rsidR="007179EA" w:rsidRPr="00D80FBF" w:rsidRDefault="007179EA" w:rsidP="008B7780">
      <w:pPr>
        <w:pStyle w:val="Dash"/>
      </w:pPr>
      <w:r w:rsidRPr="00D80FBF">
        <w:t>the lower the share to be paid by Lotto New Zealand and the TAB NZ</w:t>
      </w:r>
    </w:p>
    <w:bookmarkEnd w:id="371"/>
    <w:p w14:paraId="7CC738E3" w14:textId="77777777" w:rsidR="007179EA" w:rsidRPr="00D80FBF" w:rsidRDefault="007179EA" w:rsidP="008B7780">
      <w:pPr>
        <w:pStyle w:val="Bullet"/>
      </w:pPr>
      <w:r w:rsidRPr="00D80FBF">
        <w:t>the share of the levy to be paid by casinos is not very sensitive to any weighting changes because that sector</w:t>
      </w:r>
      <w:r w:rsidR="00BC6B27">
        <w:t>’</w:t>
      </w:r>
      <w:r w:rsidRPr="00D80FBF">
        <w:t>s proportion of expenditure is relatively close to its proportion of presentations.</w:t>
      </w:r>
    </w:p>
    <w:p w14:paraId="01DE55A1" w14:textId="77777777" w:rsidR="007179EA" w:rsidRPr="00D80FBF" w:rsidRDefault="007179EA" w:rsidP="008B7780"/>
    <w:p w14:paraId="4987AA06" w14:textId="77777777" w:rsidR="00BC6B27" w:rsidRDefault="007179EA" w:rsidP="008B7780">
      <w:r w:rsidRPr="00D80FBF">
        <w:t>The proposed levy rates for each gambling sector, would be higher under any weighting option for 2022/23 to 2024/25 than they are for the current levy period; based on levy payments received, forecast expenditure for the remaining three-year period to 30 June 2022 and the proposed budget appropriations. Sector payments would also increase compared with what they pay now</w:t>
      </w:r>
      <w:r>
        <w:t>.</w:t>
      </w:r>
    </w:p>
    <w:p w14:paraId="74928C49" w14:textId="77777777" w:rsidR="007179EA" w:rsidRPr="00D80FBF" w:rsidRDefault="007179EA" w:rsidP="008B7780"/>
    <w:p w14:paraId="351CB0C6" w14:textId="77777777" w:rsidR="007179EA" w:rsidRDefault="007179EA" w:rsidP="008B7780">
      <w:r w:rsidRPr="00D80FBF">
        <w:t>While overpayments are predicted for the levy periods to 30 June 2022, the overpayment amount is much smaller than it was at 30 June 2019. Because the overpayments are lower and the Ministry</w:t>
      </w:r>
      <w:r w:rsidR="00BC6B27">
        <w:t>’</w:t>
      </w:r>
      <w:r w:rsidRPr="00D80FBF">
        <w:t>s proposed appropriation is higher, the proposed levy rates and expected levy payments are higher.</w:t>
      </w:r>
      <w:bookmarkStart w:id="372" w:name="_Toc230066554"/>
      <w:r>
        <w:rPr>
          <w:rFonts w:cstheme="minorHAnsi"/>
        </w:rPr>
        <w:t xml:space="preserve"> </w:t>
      </w:r>
      <w:r w:rsidRPr="00D80FBF">
        <w:t>The levy formula adjusts for these factors in generating levy rates for the next levy period.</w:t>
      </w:r>
      <w:bookmarkEnd w:id="351"/>
      <w:bookmarkEnd w:id="352"/>
      <w:bookmarkEnd w:id="372"/>
    </w:p>
    <w:p w14:paraId="28B67745" w14:textId="77777777" w:rsidR="008B7780" w:rsidRPr="00EE7DF1" w:rsidRDefault="008B7780" w:rsidP="008B7780">
      <w:pPr>
        <w:rPr>
          <w:rFonts w:cstheme="minorHAnsi"/>
        </w:rPr>
      </w:pPr>
    </w:p>
    <w:p w14:paraId="7B0A55A6" w14:textId="77777777" w:rsidR="007179EA" w:rsidRDefault="007179EA" w:rsidP="008B7780">
      <w:pPr>
        <w:pStyle w:val="Heading1"/>
        <w:numPr>
          <w:ilvl w:val="0"/>
          <w:numId w:val="0"/>
        </w:numPr>
      </w:pPr>
      <w:bookmarkStart w:id="373" w:name="_Toc80965864"/>
      <w:bookmarkStart w:id="374" w:name="_Toc89684408"/>
      <w:bookmarkStart w:id="375" w:name="_Toc78882328"/>
      <w:bookmarkStart w:id="376" w:name="_Toc90885064"/>
      <w:r>
        <w:lastRenderedPageBreak/>
        <w:t>Appendices</w:t>
      </w:r>
      <w:bookmarkEnd w:id="373"/>
      <w:bookmarkEnd w:id="374"/>
      <w:bookmarkEnd w:id="376"/>
    </w:p>
    <w:p w14:paraId="5684BB5D" w14:textId="77777777" w:rsidR="007179EA" w:rsidRPr="00484E1B" w:rsidRDefault="007179EA" w:rsidP="00166266">
      <w:pPr>
        <w:pStyle w:val="Heading2"/>
      </w:pPr>
      <w:bookmarkStart w:id="377" w:name="_Toc80965865"/>
      <w:bookmarkStart w:id="378" w:name="_Toc89684409"/>
      <w:bookmarkStart w:id="379" w:name="_Toc90885065"/>
      <w:r w:rsidRPr="00484E1B">
        <w:t>Appendix 1: Aligning with other strategic documents</w:t>
      </w:r>
      <w:bookmarkEnd w:id="375"/>
      <w:bookmarkEnd w:id="377"/>
      <w:bookmarkEnd w:id="378"/>
      <w:bookmarkEnd w:id="379"/>
    </w:p>
    <w:p w14:paraId="3D14B494" w14:textId="77777777" w:rsidR="007179EA" w:rsidRDefault="007179EA" w:rsidP="00166266">
      <w:r w:rsidRPr="00C10A99">
        <w:t>Th</w:t>
      </w:r>
      <w:r>
        <w:t>is</w:t>
      </w:r>
      <w:r w:rsidRPr="00C10A99">
        <w:t xml:space="preserve"> </w:t>
      </w:r>
      <w:r>
        <w:t>draft</w:t>
      </w:r>
      <w:r w:rsidRPr="00C10A99">
        <w:t xml:space="preserve"> </w:t>
      </w:r>
      <w:r>
        <w:t>s</w:t>
      </w:r>
      <w:r w:rsidRPr="00C10A99">
        <w:t xml:space="preserve">trategic </w:t>
      </w:r>
      <w:r>
        <w:t>p</w:t>
      </w:r>
      <w:r w:rsidRPr="00C10A99">
        <w:t>lan align</w:t>
      </w:r>
      <w:r>
        <w:t>s</w:t>
      </w:r>
      <w:r w:rsidRPr="00C10A99">
        <w:t xml:space="preserve"> with and complement</w:t>
      </w:r>
      <w:r>
        <w:t>s</w:t>
      </w:r>
      <w:r w:rsidRPr="00C10A99">
        <w:t xml:space="preserve"> a range of other strategic documents</w:t>
      </w:r>
      <w:r>
        <w:t>, as discussed below.</w:t>
      </w:r>
    </w:p>
    <w:p w14:paraId="5E606AC7" w14:textId="77777777" w:rsidR="00166266" w:rsidRDefault="00166266" w:rsidP="00166266"/>
    <w:p w14:paraId="33ED4C67" w14:textId="77777777" w:rsidR="007179EA" w:rsidRPr="00484E1B" w:rsidRDefault="007179EA" w:rsidP="00166266">
      <w:pPr>
        <w:pStyle w:val="Heading3"/>
      </w:pPr>
      <w:bookmarkStart w:id="380" w:name="_Toc78882329"/>
      <w:r w:rsidRPr="00484E1B">
        <w:t>Whakamaua: Māori Health Action Plan 2020–2025 (Whakamaua)</w:t>
      </w:r>
      <w:bookmarkEnd w:id="380"/>
    </w:p>
    <w:p w14:paraId="3198EBC7" w14:textId="77777777" w:rsidR="007179EA" w:rsidRPr="00951443" w:rsidRDefault="007179EA" w:rsidP="00166266">
      <w:r w:rsidRPr="00951443">
        <w:rPr>
          <w:i/>
          <w:iCs/>
        </w:rPr>
        <w:t>Whakamaua</w:t>
      </w:r>
      <w:r w:rsidRPr="00951443">
        <w:t xml:space="preserve"> sets out a pathway for the health and disability system to achieve </w:t>
      </w:r>
      <w:r w:rsidR="00046A83">
        <w:t>pae ora</w:t>
      </w:r>
      <w:r w:rsidRPr="00951443">
        <w:t xml:space="preserve"> – healthy futures for Māori. Its framework includes four objectives to: accelerate the spread of kaupapa Māori and services centred around whānau, shift social and cultural norms; strengthen system leadership; and reduce health inequities and health loss for Māori.</w:t>
      </w:r>
    </w:p>
    <w:p w14:paraId="5299FB65" w14:textId="77777777" w:rsidR="007179EA" w:rsidRDefault="007179EA" w:rsidP="00166266"/>
    <w:p w14:paraId="784E442E" w14:textId="77777777" w:rsidR="007179EA" w:rsidRDefault="007179EA" w:rsidP="00166266">
      <w:r>
        <w:t xml:space="preserve">We have adopted the latter three as </w:t>
      </w:r>
      <w:r w:rsidRPr="00E701F9">
        <w:t>objectives</w:t>
      </w:r>
      <w:r>
        <w:t xml:space="preserve"> in the draft strategic framework, expanding the </w:t>
      </w:r>
      <w:r w:rsidR="00BC6B27">
        <w:t>‘</w:t>
      </w:r>
      <w:r w:rsidRPr="0003777A">
        <w:t>reduce</w:t>
      </w:r>
      <w:r>
        <w:t xml:space="preserve"> </w:t>
      </w:r>
      <w:r w:rsidRPr="0003777A">
        <w:t>health inequities and health loss for Māori</w:t>
      </w:r>
      <w:r w:rsidR="00BC6B27">
        <w:t>’</w:t>
      </w:r>
      <w:r>
        <w:t xml:space="preserve"> objective to include Pacific peoples, Asian peoples and young people / rangatahi.</w:t>
      </w:r>
    </w:p>
    <w:p w14:paraId="6D9A8787" w14:textId="77777777" w:rsidR="007179EA" w:rsidRDefault="007179EA" w:rsidP="00166266"/>
    <w:p w14:paraId="5C4E38C2" w14:textId="77777777" w:rsidR="007179EA" w:rsidRDefault="007179EA" w:rsidP="00166266">
      <w:r>
        <w:t xml:space="preserve">We have incorporated the </w:t>
      </w:r>
      <w:r w:rsidR="00BC6B27">
        <w:t>‘</w:t>
      </w:r>
      <w:r w:rsidRPr="0003777A">
        <w:t xml:space="preserve">accelerate the spread of </w:t>
      </w:r>
      <w:r>
        <w:t>k</w:t>
      </w:r>
      <w:r w:rsidRPr="0003777A">
        <w:t xml:space="preserve">aupapa Māori and </w:t>
      </w:r>
      <w:r>
        <w:t xml:space="preserve">services centred around </w:t>
      </w:r>
      <w:r w:rsidRPr="0003777A">
        <w:t>whānau</w:t>
      </w:r>
      <w:r w:rsidR="00BC6B27">
        <w:t>’</w:t>
      </w:r>
      <w:r w:rsidRPr="0003777A">
        <w:t xml:space="preserve"> </w:t>
      </w:r>
      <w:r>
        <w:t xml:space="preserve">objective as a priority action area under a new objective: </w:t>
      </w:r>
      <w:r w:rsidR="00BC6B27">
        <w:t>‘</w:t>
      </w:r>
      <w:r w:rsidRPr="0003777A">
        <w:t>strengthen the health and health equity of Māori, Pacific</w:t>
      </w:r>
      <w:r>
        <w:t xml:space="preserve"> peoples</w:t>
      </w:r>
      <w:r w:rsidRPr="0003777A">
        <w:t xml:space="preserve">, Asian </w:t>
      </w:r>
      <w:r>
        <w:t xml:space="preserve">peoples </w:t>
      </w:r>
      <w:r w:rsidRPr="0003777A">
        <w:t>and young people</w:t>
      </w:r>
      <w:r>
        <w:t xml:space="preserve"> </w:t>
      </w:r>
      <w:r w:rsidRPr="0003777A">
        <w:t>/</w:t>
      </w:r>
      <w:r>
        <w:t xml:space="preserve"> </w:t>
      </w:r>
      <w:r w:rsidRPr="0003777A">
        <w:t>rangatahi</w:t>
      </w:r>
      <w:r w:rsidR="00BC6B27">
        <w:t>’</w:t>
      </w:r>
      <w:r w:rsidRPr="0003777A">
        <w:t>.</w:t>
      </w:r>
    </w:p>
    <w:p w14:paraId="3FE447EA" w14:textId="77777777" w:rsidR="00166266" w:rsidRDefault="00166266" w:rsidP="00166266"/>
    <w:p w14:paraId="33A7A2E4" w14:textId="77777777" w:rsidR="007179EA" w:rsidRPr="00484E1B" w:rsidRDefault="007179EA" w:rsidP="00166266">
      <w:pPr>
        <w:pStyle w:val="Heading3"/>
      </w:pPr>
      <w:bookmarkStart w:id="381" w:name="_Toc78882331"/>
      <w:r w:rsidRPr="00484E1B">
        <w:t>Ola Manuia: Pacific Health and Wellbeing Action Plan 2020–2025 (Ola Manuia)</w:t>
      </w:r>
      <w:bookmarkEnd w:id="381"/>
    </w:p>
    <w:p w14:paraId="4120D839" w14:textId="77777777" w:rsidR="007179EA" w:rsidRDefault="007179EA" w:rsidP="00166266">
      <w:r w:rsidRPr="00050166">
        <w:rPr>
          <w:i/>
          <w:iCs/>
        </w:rPr>
        <w:t>Ola Manuia</w:t>
      </w:r>
      <w:r w:rsidRPr="0003777A">
        <w:t xml:space="preserve"> </w:t>
      </w:r>
      <w:r w:rsidRPr="00050166">
        <w:t>is the key overarching document for improving health outcomes for Pacific peoples in Aotearoa. Developed in 2019/20</w:t>
      </w:r>
      <w:r>
        <w:t>, with input from</w:t>
      </w:r>
      <w:r w:rsidRPr="00050166">
        <w:t xml:space="preserve"> Pacific communities</w:t>
      </w:r>
      <w:r w:rsidRPr="0003777A">
        <w:t xml:space="preserve">, </w:t>
      </w:r>
      <w:r w:rsidRPr="00050166">
        <w:rPr>
          <w:i/>
          <w:iCs/>
        </w:rPr>
        <w:t>Ola</w:t>
      </w:r>
      <w:r w:rsidR="002555FC">
        <w:rPr>
          <w:i/>
          <w:iCs/>
        </w:rPr>
        <w:t> </w:t>
      </w:r>
      <w:r w:rsidRPr="00050166">
        <w:rPr>
          <w:i/>
          <w:iCs/>
        </w:rPr>
        <w:t>Manuia</w:t>
      </w:r>
      <w:r w:rsidRPr="00050166">
        <w:t xml:space="preserve"> is designed as a high-level guide for reflecting the needs and aspirations of </w:t>
      </w:r>
      <w:r>
        <w:t xml:space="preserve">the </w:t>
      </w:r>
      <w:r w:rsidRPr="00050166">
        <w:t xml:space="preserve">Pacific peoples </w:t>
      </w:r>
      <w:r>
        <w:t xml:space="preserve">of </w:t>
      </w:r>
      <w:r w:rsidRPr="00050166">
        <w:t>Aotearoa</w:t>
      </w:r>
      <w:r>
        <w:t xml:space="preserve"> </w:t>
      </w:r>
      <w:r w:rsidRPr="00050166">
        <w:t>across the health and disability system.</w:t>
      </w:r>
      <w:r w:rsidRPr="00F2657B">
        <w:t xml:space="preserve"> </w:t>
      </w:r>
      <w:r w:rsidRPr="00F818AD">
        <w:t xml:space="preserve">Focus </w:t>
      </w:r>
      <w:r>
        <w:t>a</w:t>
      </w:r>
      <w:r w:rsidRPr="00F818AD">
        <w:t xml:space="preserve">rea </w:t>
      </w:r>
      <w:r>
        <w:t>6</w:t>
      </w:r>
      <w:r w:rsidRPr="00B84108">
        <w:t xml:space="preserve"> of </w:t>
      </w:r>
      <w:r w:rsidRPr="0003777A">
        <w:rPr>
          <w:i/>
          <w:iCs/>
        </w:rPr>
        <w:t>Ola Manuia</w:t>
      </w:r>
      <w:r w:rsidRPr="00050166">
        <w:t xml:space="preserve"> is centred on me</w:t>
      </w:r>
      <w:r>
        <w:t>n</w:t>
      </w:r>
      <w:r w:rsidRPr="00050166">
        <w:t xml:space="preserve">tal wellbeing, including improving mental wellbeing for Pacific communities. One of the outcomes for this focus area is to </w:t>
      </w:r>
      <w:r w:rsidR="00BC6B27">
        <w:t>‘</w:t>
      </w:r>
      <w:r w:rsidRPr="00F818AD">
        <w:t>strengthen initiatives to prevent and minimise harmful gambling in Pacific communities</w:t>
      </w:r>
      <w:r w:rsidRPr="00B84108">
        <w:t>.</w:t>
      </w:r>
    </w:p>
    <w:p w14:paraId="2413E2EB" w14:textId="77777777" w:rsidR="007179EA" w:rsidRDefault="007179EA" w:rsidP="002555FC"/>
    <w:p w14:paraId="29F50D8A" w14:textId="77777777" w:rsidR="007179EA" w:rsidRPr="00607E96" w:rsidRDefault="007179EA" w:rsidP="002555FC">
      <w:pPr>
        <w:keepNext/>
      </w:pPr>
      <w:r w:rsidRPr="00607E96">
        <w:lastRenderedPageBreak/>
        <w:t xml:space="preserve">Pacific communities believe success </w:t>
      </w:r>
      <w:r>
        <w:t>will have</w:t>
      </w:r>
      <w:r w:rsidRPr="00607E96">
        <w:t xml:space="preserve"> been achieved for this focus area when Pacific peoples have:</w:t>
      </w:r>
    </w:p>
    <w:p w14:paraId="39153B81" w14:textId="77777777" w:rsidR="007179EA" w:rsidRPr="0003777A" w:rsidRDefault="007179EA" w:rsidP="002555FC">
      <w:pPr>
        <w:pStyle w:val="Bullet"/>
        <w:keepNext/>
      </w:pPr>
      <w:r w:rsidRPr="0003777A">
        <w:t>awareness of key mental health issues for Pacific communities</w:t>
      </w:r>
    </w:p>
    <w:p w14:paraId="7E988B91" w14:textId="77777777" w:rsidR="007179EA" w:rsidRPr="0003777A" w:rsidRDefault="007179EA" w:rsidP="002555FC">
      <w:pPr>
        <w:pStyle w:val="Bullet"/>
      </w:pPr>
      <w:r w:rsidRPr="0003777A">
        <w:t>knowledge and skills to improve mental wellbeing and resilience in Pacific youth and young adults</w:t>
      </w:r>
    </w:p>
    <w:p w14:paraId="3D2F335C" w14:textId="77777777" w:rsidR="007179EA" w:rsidRPr="0003777A" w:rsidRDefault="007179EA" w:rsidP="002555FC">
      <w:pPr>
        <w:pStyle w:val="Bullet"/>
      </w:pPr>
      <w:r w:rsidRPr="0003777A">
        <w:t>knowledge of mental health and wellbeing support services</w:t>
      </w:r>
    </w:p>
    <w:p w14:paraId="56D229A9" w14:textId="77777777" w:rsidR="007179EA" w:rsidRPr="0003777A" w:rsidRDefault="007179EA" w:rsidP="002555FC">
      <w:pPr>
        <w:pStyle w:val="Bullet"/>
      </w:pPr>
      <w:r w:rsidRPr="0003777A">
        <w:t>reduced levels of psychological distress</w:t>
      </w:r>
    </w:p>
    <w:p w14:paraId="57951F0C" w14:textId="77777777" w:rsidR="007179EA" w:rsidRPr="0003777A" w:rsidRDefault="007179EA" w:rsidP="002555FC">
      <w:pPr>
        <w:pStyle w:val="Bullet"/>
      </w:pPr>
      <w:r w:rsidRPr="0003777A">
        <w:t>increased access to, and use of, primary and secondary mental health services</w:t>
      </w:r>
    </w:p>
    <w:p w14:paraId="0ED4E35B" w14:textId="77777777" w:rsidR="007179EA" w:rsidRDefault="007179EA" w:rsidP="002555FC">
      <w:pPr>
        <w:pStyle w:val="Bullet"/>
      </w:pPr>
      <w:r w:rsidRPr="0003777A">
        <w:t>decreased rates of attempted and</w:t>
      </w:r>
      <w:r>
        <w:t xml:space="preserve"> achieved</w:t>
      </w:r>
      <w:r w:rsidRPr="0003777A">
        <w:t xml:space="preserve"> suicides in young people.</w:t>
      </w:r>
    </w:p>
    <w:p w14:paraId="1822E54A" w14:textId="77777777" w:rsidR="007179EA" w:rsidRPr="0003777A" w:rsidRDefault="007179EA" w:rsidP="002555FC"/>
    <w:p w14:paraId="0DC30973" w14:textId="77777777" w:rsidR="007179EA" w:rsidRDefault="00BC6B27" w:rsidP="002555FC">
      <w:r>
        <w:t>“</w:t>
      </w:r>
      <w:r w:rsidR="007179EA" w:rsidRPr="00CD4CCF">
        <w:t>Pacific people have equitable health outcomes</w:t>
      </w:r>
      <w:r>
        <w:t>”</w:t>
      </w:r>
      <w:r w:rsidR="007179EA" w:rsidRPr="00CC0109">
        <w:t xml:space="preserve"> </w:t>
      </w:r>
      <w:r w:rsidR="007179EA">
        <w:t xml:space="preserve">is one intended outcome of </w:t>
      </w:r>
      <w:r w:rsidR="007179EA" w:rsidRPr="0003777A">
        <w:rPr>
          <w:i/>
          <w:iCs/>
        </w:rPr>
        <w:t>Ola</w:t>
      </w:r>
      <w:r w:rsidR="002555FC">
        <w:rPr>
          <w:i/>
          <w:iCs/>
        </w:rPr>
        <w:t> </w:t>
      </w:r>
      <w:r w:rsidR="007179EA" w:rsidRPr="0003777A">
        <w:rPr>
          <w:i/>
          <w:iCs/>
        </w:rPr>
        <w:t>Manuia</w:t>
      </w:r>
      <w:r w:rsidR="007179EA">
        <w:t>. W</w:t>
      </w:r>
      <w:r w:rsidR="007179EA" w:rsidRPr="00F818AD">
        <w:t xml:space="preserve">e have incorporated </w:t>
      </w:r>
      <w:r w:rsidR="007179EA">
        <w:t xml:space="preserve">this outcome </w:t>
      </w:r>
      <w:r w:rsidR="007179EA" w:rsidRPr="00F818AD">
        <w:t xml:space="preserve">in the </w:t>
      </w:r>
      <w:r w:rsidR="007179EA">
        <w:t>draft</w:t>
      </w:r>
      <w:r w:rsidR="007179EA" w:rsidRPr="00F818AD">
        <w:t xml:space="preserve"> strategic framework. </w:t>
      </w:r>
      <w:r w:rsidR="007179EA" w:rsidRPr="00B84108">
        <w:rPr>
          <w:i/>
          <w:iCs/>
        </w:rPr>
        <w:t>Ola</w:t>
      </w:r>
      <w:r w:rsidR="002555FC">
        <w:rPr>
          <w:i/>
          <w:iCs/>
        </w:rPr>
        <w:t> </w:t>
      </w:r>
      <w:r w:rsidR="007179EA" w:rsidRPr="00B84108">
        <w:rPr>
          <w:i/>
          <w:iCs/>
        </w:rPr>
        <w:t>Manuia</w:t>
      </w:r>
      <w:r w:rsidR="007179EA" w:rsidRPr="00B84108">
        <w:t xml:space="preserve"> explicitly recognises that strengthening initiatives to prevent and minimise harmful gambling in Pacific communities is a key part of achieving better wellbeing for Pacific people. It also has a strong focus on workforce development across the health and disability sector.</w:t>
      </w:r>
      <w:r w:rsidR="007179EA" w:rsidRPr="00576176">
        <w:t xml:space="preserve"> This draft </w:t>
      </w:r>
      <w:r w:rsidR="007179EA">
        <w:t>s</w:t>
      </w:r>
      <w:r w:rsidR="007179EA" w:rsidRPr="00F44A2A">
        <w:t>trategy</w:t>
      </w:r>
      <w:r w:rsidR="007179EA" w:rsidRPr="003746D8">
        <w:t xml:space="preserve"> includes service and workforce proposals that will help achieve these goals.</w:t>
      </w:r>
    </w:p>
    <w:p w14:paraId="0E4E31C9" w14:textId="77777777" w:rsidR="002555FC" w:rsidRDefault="002555FC" w:rsidP="002555FC"/>
    <w:p w14:paraId="68D8978D" w14:textId="77777777" w:rsidR="007179EA" w:rsidRPr="00484E1B" w:rsidRDefault="007179EA" w:rsidP="002555FC">
      <w:pPr>
        <w:pStyle w:val="Heading3"/>
      </w:pPr>
      <w:bookmarkStart w:id="382" w:name="_Toc78882332"/>
      <w:r w:rsidRPr="00484E1B">
        <w:t>Pacific Aotearoa Lalanga Fou (</w:t>
      </w:r>
      <w:r w:rsidRPr="00484E1B">
        <w:rPr>
          <w:rStyle w:val="Heading3Char"/>
        </w:rPr>
        <w:t>Lalanga Fou</w:t>
      </w:r>
      <w:r w:rsidRPr="00484E1B">
        <w:t>)</w:t>
      </w:r>
      <w:bookmarkEnd w:id="382"/>
    </w:p>
    <w:p w14:paraId="583AEA84" w14:textId="77777777" w:rsidR="007179EA" w:rsidRPr="003A7512" w:rsidRDefault="007179EA" w:rsidP="002555FC">
      <w:r w:rsidRPr="00050166">
        <w:rPr>
          <w:i/>
          <w:iCs/>
        </w:rPr>
        <w:t>Lalanga Fou</w:t>
      </w:r>
      <w:r w:rsidRPr="00050166">
        <w:t xml:space="preserve"> was developed in 2018 and was based on engagements that the Ministry for Pacific Peoples undertook with over 2,500 Pacific people across</w:t>
      </w:r>
      <w:r>
        <w:t xml:space="preserve"> Aotearoa</w:t>
      </w:r>
      <w:r w:rsidRPr="00050166">
        <w:t xml:space="preserve"> New Zealand. </w:t>
      </w:r>
      <w:r w:rsidRPr="00CD4CCF">
        <w:rPr>
          <w:i/>
          <w:iCs/>
        </w:rPr>
        <w:t>Lalanga Fou</w:t>
      </w:r>
      <w:r w:rsidRPr="00F2657B">
        <w:t xml:space="preserve"> contains the needs and aspirations for Pacific peoples to ensure we can achieve the Pacific A</w:t>
      </w:r>
      <w:r w:rsidRPr="00F818AD">
        <w:t>otearoa vision:</w:t>
      </w:r>
      <w:r w:rsidRPr="00B84108">
        <w:t xml:space="preserve"> </w:t>
      </w:r>
      <w:r w:rsidR="00BC6B27">
        <w:t>‘</w:t>
      </w:r>
      <w:r w:rsidRPr="0003777A">
        <w:t>we are confident in our endeavours</w:t>
      </w:r>
      <w:r>
        <w:t>;</w:t>
      </w:r>
      <w:r w:rsidRPr="0003777A">
        <w:t xml:space="preserve"> we are a thriving, resilient and prosperous Pacific Aotearoa</w:t>
      </w:r>
      <w:r w:rsidR="00BC6B27">
        <w:t>’</w:t>
      </w:r>
      <w:r w:rsidRPr="0003777A">
        <w:t xml:space="preserve">. </w:t>
      </w:r>
      <w:r w:rsidRPr="00050166">
        <w:t xml:space="preserve">From these engagements, four goals were developed, the third of which is </w:t>
      </w:r>
      <w:r w:rsidR="00BC6B27">
        <w:t>‘</w:t>
      </w:r>
      <w:r w:rsidRPr="00F2657B">
        <w:t xml:space="preserve">Resilient and </w:t>
      </w:r>
      <w:r>
        <w:t>h</w:t>
      </w:r>
      <w:r w:rsidRPr="00F2657B">
        <w:t>ealth</w:t>
      </w:r>
      <w:r w:rsidRPr="00F818AD">
        <w:t xml:space="preserve">y Pacific </w:t>
      </w:r>
      <w:r w:rsidR="002555FC">
        <w:t>p</w:t>
      </w:r>
      <w:r w:rsidRPr="00F818AD">
        <w:t>eoples</w:t>
      </w:r>
      <w:r w:rsidR="00BC6B27">
        <w:t>’</w:t>
      </w:r>
      <w:r w:rsidRPr="00B84108">
        <w:t>. The sub</w:t>
      </w:r>
      <w:r w:rsidRPr="00D524F3">
        <w:t>-</w:t>
      </w:r>
      <w:r w:rsidRPr="00576176">
        <w:t xml:space="preserve">goals that sit within </w:t>
      </w:r>
      <w:r w:rsidRPr="005B3302">
        <w:t>this third goal</w:t>
      </w:r>
      <w:r w:rsidRPr="003746D8">
        <w:t xml:space="preserve"> </w:t>
      </w:r>
      <w:r>
        <w:t>are as follows.</w:t>
      </w:r>
    </w:p>
    <w:p w14:paraId="6743B22D" w14:textId="77777777" w:rsidR="007179EA" w:rsidRPr="0003777A" w:rsidRDefault="007179EA" w:rsidP="002555FC">
      <w:pPr>
        <w:pStyle w:val="Bullet"/>
      </w:pPr>
      <w:r>
        <w:t>There is a s</w:t>
      </w:r>
      <w:r w:rsidRPr="0003777A">
        <w:t>tronger focus on improving preventative and integrated primary and behavioural health and social services for Pacific families and communities and less reliance on acute care</w:t>
      </w:r>
      <w:r>
        <w:t>.</w:t>
      </w:r>
    </w:p>
    <w:p w14:paraId="2B175B97" w14:textId="77777777" w:rsidR="007179EA" w:rsidRPr="0003777A" w:rsidRDefault="007179EA" w:rsidP="002555FC">
      <w:pPr>
        <w:pStyle w:val="Bullet"/>
      </w:pPr>
      <w:r w:rsidRPr="0003777A">
        <w:t>Pacific peoples</w:t>
      </w:r>
      <w:r w:rsidR="00BC6B27">
        <w:t>’</w:t>
      </w:r>
      <w:r w:rsidRPr="0003777A">
        <w:t xml:space="preserve"> values and experiences lead the design and delivery of health and wellness services</w:t>
      </w:r>
      <w:r>
        <w:t>.</w:t>
      </w:r>
    </w:p>
    <w:p w14:paraId="3A217145" w14:textId="77777777" w:rsidR="007179EA" w:rsidRPr="0003777A" w:rsidRDefault="007179EA" w:rsidP="002555FC">
      <w:pPr>
        <w:pStyle w:val="Bullet"/>
      </w:pPr>
      <w:r>
        <w:t>M</w:t>
      </w:r>
      <w:r w:rsidRPr="0003777A">
        <w:t xml:space="preserve">ental health and wellness are better supported, from both within and outside Pacific communities, with services specifically developed utilising </w:t>
      </w:r>
      <w:r>
        <w:t>P</w:t>
      </w:r>
      <w:r w:rsidRPr="0003777A">
        <w:t>acific cultural frameworks and contexts</w:t>
      </w:r>
      <w:r>
        <w:t>.</w:t>
      </w:r>
    </w:p>
    <w:p w14:paraId="30032D7F" w14:textId="77777777" w:rsidR="007179EA" w:rsidRPr="0003777A" w:rsidRDefault="007179EA" w:rsidP="002555FC">
      <w:pPr>
        <w:pStyle w:val="Bullet"/>
      </w:pPr>
      <w:r w:rsidRPr="0003777A">
        <w:t>Pacific children have a healthy start in life.</w:t>
      </w:r>
    </w:p>
    <w:p w14:paraId="04F53B48" w14:textId="77777777" w:rsidR="007179EA" w:rsidRDefault="007179EA" w:rsidP="002555FC"/>
    <w:p w14:paraId="4EEFD9F9" w14:textId="77777777" w:rsidR="007179EA" w:rsidRDefault="007179EA" w:rsidP="002555FC">
      <w:r w:rsidRPr="0003777A">
        <w:t xml:space="preserve">These sub-goals are reflected in </w:t>
      </w:r>
      <w:r>
        <w:t>our</w:t>
      </w:r>
      <w:r w:rsidRPr="0003777A">
        <w:t xml:space="preserve"> draft </w:t>
      </w:r>
      <w:r>
        <w:t>s</w:t>
      </w:r>
      <w:r w:rsidRPr="0003777A">
        <w:t>trategy.</w:t>
      </w:r>
    </w:p>
    <w:p w14:paraId="628A14B9" w14:textId="77777777" w:rsidR="002555FC" w:rsidRDefault="002555FC" w:rsidP="002555FC"/>
    <w:p w14:paraId="6649F34B" w14:textId="77777777" w:rsidR="007179EA" w:rsidRPr="00484E1B" w:rsidRDefault="007179EA" w:rsidP="002555FC">
      <w:pPr>
        <w:pStyle w:val="Heading3"/>
      </w:pPr>
      <w:bookmarkStart w:id="383" w:name="_Toc78882333"/>
      <w:r w:rsidRPr="00484E1B">
        <w:lastRenderedPageBreak/>
        <w:t>Delivering community wellbeing through reducing gambling-related harms: Gambling Group Strategic Direction 2020–23</w:t>
      </w:r>
      <w:bookmarkEnd w:id="383"/>
    </w:p>
    <w:p w14:paraId="3E076847" w14:textId="77777777" w:rsidR="007179EA" w:rsidRDefault="007179EA" w:rsidP="002555FC">
      <w:r w:rsidRPr="00F2657B">
        <w:t>DIA</w:t>
      </w:r>
      <w:r w:rsidR="00BC6B27">
        <w:t>’</w:t>
      </w:r>
      <w:r w:rsidRPr="00F2657B">
        <w:t xml:space="preserve">s </w:t>
      </w:r>
      <w:r w:rsidRPr="00F818AD">
        <w:t>new strategic direction pivots the regulator</w:t>
      </w:r>
      <w:r w:rsidR="00BC6B27">
        <w:t>’</w:t>
      </w:r>
      <w:r w:rsidRPr="00F818AD">
        <w:t xml:space="preserve">s focus toward </w:t>
      </w:r>
      <w:r>
        <w:t>reducing</w:t>
      </w:r>
      <w:r w:rsidRPr="00F818AD">
        <w:t xml:space="preserve"> gambling</w:t>
      </w:r>
      <w:r>
        <w:t>-</w:t>
      </w:r>
      <w:r w:rsidRPr="00F818AD">
        <w:t>related</w:t>
      </w:r>
      <w:r w:rsidRPr="00B84108">
        <w:t xml:space="preserve"> harms. DIA</w:t>
      </w:r>
      <w:r w:rsidRPr="00D524F3">
        <w:t xml:space="preserve"> is also taking a system leadership approach to regulating gambling in </w:t>
      </w:r>
      <w:r>
        <w:t xml:space="preserve">Aotearoa </w:t>
      </w:r>
      <w:r w:rsidRPr="00D524F3">
        <w:t>New Zealand by understanding the roles of interested parties, driving innovative approaches to addressing gambling harms and preparing for future challenges be</w:t>
      </w:r>
      <w:r w:rsidRPr="00576176">
        <w:t>fore they occur.</w:t>
      </w:r>
    </w:p>
    <w:p w14:paraId="3D383214" w14:textId="77777777" w:rsidR="007179EA" w:rsidRDefault="007179EA" w:rsidP="002555FC"/>
    <w:p w14:paraId="2FE5EB47" w14:textId="77777777" w:rsidR="007179EA" w:rsidRDefault="007179EA" w:rsidP="002555FC">
      <w:r w:rsidRPr="00576176">
        <w:t xml:space="preserve">The strategic direction has committed </w:t>
      </w:r>
      <w:r w:rsidRPr="005B3302">
        <w:t>DIA</w:t>
      </w:r>
      <w:r w:rsidRPr="00F44A2A">
        <w:t xml:space="preserve"> to </w:t>
      </w:r>
      <w:r>
        <w:t>five key</w:t>
      </w:r>
      <w:r w:rsidRPr="00F44A2A">
        <w:t xml:space="preserve"> focus areas</w:t>
      </w:r>
      <w:r>
        <w:t>:</w:t>
      </w:r>
      <w:r w:rsidRPr="00F44A2A">
        <w:t xml:space="preserve"> effective Treaty partner, enabled workforce, regulatory excellence</w:t>
      </w:r>
      <w:r>
        <w:t>,</w:t>
      </w:r>
      <w:r w:rsidRPr="00F44A2A">
        <w:t xml:space="preserve"> evidence</w:t>
      </w:r>
      <w:r>
        <w:t>-</w:t>
      </w:r>
      <w:r w:rsidRPr="00F44A2A">
        <w:t>based and informed</w:t>
      </w:r>
      <w:r>
        <w:t>, and system leadership</w:t>
      </w:r>
      <w:r w:rsidRPr="00F44A2A">
        <w:t>.</w:t>
      </w:r>
      <w:r w:rsidRPr="003746D8">
        <w:t xml:space="preserve"> </w:t>
      </w:r>
      <w:r w:rsidRPr="003A7512">
        <w:t xml:space="preserve">These focus areas will guide </w:t>
      </w:r>
      <w:r w:rsidRPr="00DB6DF7">
        <w:t>DIA</w:t>
      </w:r>
      <w:r w:rsidR="00BC6B27">
        <w:t>’</w:t>
      </w:r>
      <w:r w:rsidRPr="00DB6DF7">
        <w:t>s approach to reducing gambling</w:t>
      </w:r>
      <w:r>
        <w:t>-</w:t>
      </w:r>
      <w:r w:rsidRPr="00DB6DF7">
        <w:t>related harms over the following two</w:t>
      </w:r>
      <w:r w:rsidR="0018228E">
        <w:t> years</w:t>
      </w:r>
      <w:r w:rsidRPr="00DB6DF7">
        <w:t>.</w:t>
      </w:r>
    </w:p>
    <w:p w14:paraId="227FDD9C" w14:textId="77777777" w:rsidR="002555FC" w:rsidRDefault="002555FC" w:rsidP="002555FC"/>
    <w:p w14:paraId="1E6562D8" w14:textId="77777777" w:rsidR="007179EA" w:rsidRPr="00484E1B" w:rsidRDefault="007179EA" w:rsidP="002555FC">
      <w:pPr>
        <w:pStyle w:val="Heading2"/>
        <w:keepNext w:val="0"/>
        <w:pageBreakBefore/>
        <w:spacing w:before="0"/>
      </w:pPr>
      <w:bookmarkStart w:id="384" w:name="_Appendix_2:_Bringing"/>
      <w:bookmarkStart w:id="385" w:name="_Toc78882336"/>
      <w:bookmarkStart w:id="386" w:name="_Toc80965867"/>
      <w:bookmarkStart w:id="387" w:name="_Toc89684410"/>
      <w:bookmarkStart w:id="388" w:name="_Toc90885066"/>
      <w:bookmarkEnd w:id="384"/>
      <w:r w:rsidRPr="00484E1B">
        <w:lastRenderedPageBreak/>
        <w:t>Appendix 2: Bringing our principles to life</w:t>
      </w:r>
      <w:bookmarkEnd w:id="385"/>
      <w:bookmarkEnd w:id="386"/>
      <w:bookmarkEnd w:id="387"/>
      <w:bookmarkEnd w:id="388"/>
    </w:p>
    <w:p w14:paraId="328DC2A6" w14:textId="31E496A9" w:rsidR="007179EA" w:rsidRDefault="007179EA" w:rsidP="007179EA">
      <w:r>
        <w:fldChar w:fldCharType="begin"/>
      </w:r>
      <w:r>
        <w:instrText xml:space="preserve"> REF _Ref80797082 \h </w:instrText>
      </w:r>
      <w:r>
        <w:fldChar w:fldCharType="separate"/>
      </w:r>
      <w:r w:rsidR="00451900">
        <w:t>Table </w:t>
      </w:r>
      <w:r w:rsidR="00451900">
        <w:rPr>
          <w:noProof/>
        </w:rPr>
        <w:t>20</w:t>
      </w:r>
      <w:r>
        <w:fldChar w:fldCharType="end"/>
      </w:r>
      <w:r>
        <w:t xml:space="preserve"> below shows how the proposed principles of this draft strategy have been expressed in the draft strategic framework and service plan.</w:t>
      </w:r>
    </w:p>
    <w:p w14:paraId="03712D67" w14:textId="77777777" w:rsidR="007179EA" w:rsidRDefault="007179EA" w:rsidP="005E71D3"/>
    <w:p w14:paraId="27E78CC1" w14:textId="66234653" w:rsidR="007179EA" w:rsidRPr="00375B98" w:rsidRDefault="005E71D3" w:rsidP="005E71D3">
      <w:pPr>
        <w:pStyle w:val="Table"/>
      </w:pPr>
      <w:bookmarkStart w:id="389" w:name="_Ref80797082"/>
      <w:bookmarkStart w:id="390" w:name="_Toc89335336"/>
      <w:bookmarkStart w:id="391" w:name="_Toc90626970"/>
      <w:r>
        <w:t>Table </w:t>
      </w:r>
      <w:fldSimple w:instr=" SEQ Table \* ARABIC ">
        <w:r w:rsidR="00451900">
          <w:rPr>
            <w:noProof/>
          </w:rPr>
          <w:t>20</w:t>
        </w:r>
      </w:fldSimple>
      <w:bookmarkEnd w:id="389"/>
      <w:r w:rsidR="007179EA" w:rsidRPr="0003777A">
        <w:t>: Expressing the principles through the strategic framework and service plan</w:t>
      </w:r>
      <w:bookmarkEnd w:id="390"/>
      <w:bookmarkEnd w:id="391"/>
    </w:p>
    <w:tbl>
      <w:tblPr>
        <w:tblW w:w="8080" w:type="dxa"/>
        <w:tblInd w:w="57" w:type="dxa"/>
        <w:tblLayout w:type="fixed"/>
        <w:tblCellMar>
          <w:left w:w="57" w:type="dxa"/>
          <w:right w:w="57" w:type="dxa"/>
        </w:tblCellMar>
        <w:tblLook w:val="04A0" w:firstRow="1" w:lastRow="0" w:firstColumn="1" w:lastColumn="0" w:noHBand="0" w:noVBand="1"/>
      </w:tblPr>
      <w:tblGrid>
        <w:gridCol w:w="1843"/>
        <w:gridCol w:w="6237"/>
      </w:tblGrid>
      <w:tr w:rsidR="007179EA" w:rsidRPr="004C1A41" w14:paraId="364F0CD9" w14:textId="77777777" w:rsidTr="005E71D3">
        <w:trPr>
          <w:cantSplit/>
        </w:trPr>
        <w:tc>
          <w:tcPr>
            <w:tcW w:w="1843" w:type="dxa"/>
            <w:shd w:val="clear" w:color="auto" w:fill="D9D9D9" w:themeFill="background1" w:themeFillShade="D9"/>
          </w:tcPr>
          <w:p w14:paraId="790F94C3" w14:textId="77777777" w:rsidR="007179EA" w:rsidRPr="004C1A41" w:rsidRDefault="007179EA" w:rsidP="005B24AB">
            <w:pPr>
              <w:pStyle w:val="TableText"/>
              <w:ind w:right="113"/>
              <w:rPr>
                <w:b/>
              </w:rPr>
            </w:pPr>
            <w:r w:rsidRPr="004C1A41">
              <w:rPr>
                <w:b/>
              </w:rPr>
              <w:t>Principle</w:t>
            </w:r>
          </w:p>
        </w:tc>
        <w:tc>
          <w:tcPr>
            <w:tcW w:w="6237" w:type="dxa"/>
            <w:shd w:val="clear" w:color="auto" w:fill="D9D9D9" w:themeFill="background1" w:themeFillShade="D9"/>
          </w:tcPr>
          <w:p w14:paraId="65CAF612" w14:textId="77777777" w:rsidR="007179EA" w:rsidRPr="004C1A41" w:rsidRDefault="007179EA" w:rsidP="005B24AB">
            <w:pPr>
              <w:pStyle w:val="TableText"/>
              <w:rPr>
                <w:b/>
              </w:rPr>
            </w:pPr>
            <w:r w:rsidRPr="004C1A41">
              <w:rPr>
                <w:b/>
              </w:rPr>
              <w:t>As expressed in the draft strategic framework and service plan</w:t>
            </w:r>
          </w:p>
        </w:tc>
      </w:tr>
      <w:tr w:rsidR="007179EA" w:rsidRPr="00FE2E1A" w14:paraId="33E6B4C5" w14:textId="77777777" w:rsidTr="005E71D3">
        <w:trPr>
          <w:cantSplit/>
        </w:trPr>
        <w:tc>
          <w:tcPr>
            <w:tcW w:w="1843" w:type="dxa"/>
            <w:tcBorders>
              <w:bottom w:val="single" w:sz="4" w:space="0" w:color="A6A6A6" w:themeColor="background1" w:themeShade="A6"/>
            </w:tcBorders>
          </w:tcPr>
          <w:p w14:paraId="11ACA16C" w14:textId="77777777" w:rsidR="007179EA" w:rsidRPr="00FE2E1A" w:rsidRDefault="00046A83" w:rsidP="005B24AB">
            <w:pPr>
              <w:pStyle w:val="TableText"/>
              <w:ind w:right="113"/>
            </w:pPr>
            <w:r>
              <w:t>Te Tiriti</w:t>
            </w:r>
            <w:r w:rsidR="007179EA" w:rsidRPr="00FE2E1A">
              <w:t xml:space="preserve"> o Waitangi</w:t>
            </w:r>
          </w:p>
        </w:tc>
        <w:tc>
          <w:tcPr>
            <w:tcW w:w="6237" w:type="dxa"/>
            <w:tcBorders>
              <w:bottom w:val="single" w:sz="4" w:space="0" w:color="A6A6A6" w:themeColor="background1" w:themeShade="A6"/>
            </w:tcBorders>
          </w:tcPr>
          <w:p w14:paraId="26B975BE" w14:textId="77777777" w:rsidR="007179EA" w:rsidRPr="00FE2E1A" w:rsidRDefault="007179EA" w:rsidP="005B24AB">
            <w:pPr>
              <w:pStyle w:val="TableText"/>
            </w:pPr>
            <w:r w:rsidRPr="00FE2E1A">
              <w:t xml:space="preserve">The strategic framework links to the principles of </w:t>
            </w:r>
            <w:r w:rsidR="00046A83">
              <w:t>Te Tiriti</w:t>
            </w:r>
            <w:r w:rsidRPr="00FE2E1A">
              <w:t xml:space="preserve"> via </w:t>
            </w:r>
            <w:r w:rsidRPr="00FE2E1A">
              <w:rPr>
                <w:i/>
                <w:iCs/>
              </w:rPr>
              <w:t xml:space="preserve">Whakamaua. </w:t>
            </w:r>
            <w:r w:rsidRPr="00FE2E1A">
              <w:t>Actions are proposed that can be mapped to each of the principles</w:t>
            </w:r>
            <w:r>
              <w:t>, and these links are explained in more detail in the body of this draft strategy.</w:t>
            </w:r>
          </w:p>
        </w:tc>
      </w:tr>
      <w:tr w:rsidR="007179EA" w:rsidRPr="00FE2E1A" w14:paraId="51A502C5" w14:textId="77777777" w:rsidTr="005E71D3">
        <w:trPr>
          <w:cantSplit/>
        </w:trPr>
        <w:tc>
          <w:tcPr>
            <w:tcW w:w="1843" w:type="dxa"/>
            <w:tcBorders>
              <w:top w:val="single" w:sz="4" w:space="0" w:color="A6A6A6" w:themeColor="background1" w:themeShade="A6"/>
              <w:bottom w:val="single" w:sz="4" w:space="0" w:color="A6A6A6" w:themeColor="background1" w:themeShade="A6"/>
            </w:tcBorders>
          </w:tcPr>
          <w:p w14:paraId="34B1ACA1" w14:textId="77777777" w:rsidR="007179EA" w:rsidRPr="00FE2E1A" w:rsidRDefault="007179EA" w:rsidP="005B24AB">
            <w:pPr>
              <w:pStyle w:val="TableText"/>
              <w:ind w:right="113"/>
            </w:pPr>
            <w:r w:rsidRPr="00FE2E1A">
              <w:t>Equity</w:t>
            </w:r>
          </w:p>
        </w:tc>
        <w:tc>
          <w:tcPr>
            <w:tcW w:w="6237" w:type="dxa"/>
            <w:tcBorders>
              <w:top w:val="single" w:sz="4" w:space="0" w:color="A6A6A6" w:themeColor="background1" w:themeShade="A6"/>
              <w:bottom w:val="single" w:sz="4" w:space="0" w:color="A6A6A6" w:themeColor="background1" w:themeShade="A6"/>
            </w:tcBorders>
          </w:tcPr>
          <w:p w14:paraId="1F3865C5" w14:textId="77777777" w:rsidR="007179EA" w:rsidRPr="00FE2E1A" w:rsidRDefault="007179EA" w:rsidP="005B24AB">
            <w:pPr>
              <w:pStyle w:val="TableText"/>
            </w:pPr>
            <w:r w:rsidRPr="00FE2E1A">
              <w:t xml:space="preserve">Both the strategic framework and the service plan </w:t>
            </w:r>
            <w:r>
              <w:t>focus</w:t>
            </w:r>
            <w:r w:rsidRPr="00FE2E1A">
              <w:t xml:space="preserve"> strong</w:t>
            </w:r>
            <w:r>
              <w:t xml:space="preserve">ly </w:t>
            </w:r>
            <w:r w:rsidRPr="00FE2E1A">
              <w:t>on equity, as recommended by the needs assessment</w:t>
            </w:r>
            <w:r>
              <w:t>.</w:t>
            </w:r>
          </w:p>
        </w:tc>
      </w:tr>
      <w:tr w:rsidR="007179EA" w:rsidRPr="00FE2E1A" w14:paraId="70AEC8BA" w14:textId="77777777" w:rsidTr="005E71D3">
        <w:trPr>
          <w:cantSplit/>
        </w:trPr>
        <w:tc>
          <w:tcPr>
            <w:tcW w:w="1843" w:type="dxa"/>
            <w:tcBorders>
              <w:top w:val="single" w:sz="4" w:space="0" w:color="A6A6A6" w:themeColor="background1" w:themeShade="A6"/>
              <w:bottom w:val="single" w:sz="4" w:space="0" w:color="A6A6A6" w:themeColor="background1" w:themeShade="A6"/>
            </w:tcBorders>
          </w:tcPr>
          <w:p w14:paraId="42680EFE" w14:textId="77777777" w:rsidR="007179EA" w:rsidRPr="00FE2E1A" w:rsidRDefault="007179EA" w:rsidP="005B24AB">
            <w:pPr>
              <w:pStyle w:val="TableText"/>
              <w:ind w:right="113"/>
            </w:pPr>
            <w:r w:rsidRPr="00FE2E1A">
              <w:t>People and wh</w:t>
            </w:r>
            <w:r w:rsidRPr="00FE2E1A">
              <w:rPr>
                <w:rFonts w:cstheme="minorHAnsi"/>
              </w:rPr>
              <w:t>ā</w:t>
            </w:r>
            <w:r w:rsidRPr="00FE2E1A">
              <w:t>nau at the centre</w:t>
            </w:r>
          </w:p>
        </w:tc>
        <w:tc>
          <w:tcPr>
            <w:tcW w:w="6237" w:type="dxa"/>
            <w:tcBorders>
              <w:top w:val="single" w:sz="4" w:space="0" w:color="A6A6A6" w:themeColor="background1" w:themeShade="A6"/>
              <w:bottom w:val="single" w:sz="4" w:space="0" w:color="A6A6A6" w:themeColor="background1" w:themeShade="A6"/>
            </w:tcBorders>
          </w:tcPr>
          <w:p w14:paraId="2D13EE6E" w14:textId="77777777" w:rsidR="007179EA" w:rsidRPr="00FE2E1A" w:rsidRDefault="007179EA" w:rsidP="005B24AB">
            <w:pPr>
              <w:pStyle w:val="TableText"/>
            </w:pPr>
            <w:r w:rsidRPr="00FE2E1A">
              <w:t xml:space="preserve">The strategic framework puts </w:t>
            </w:r>
            <w:r>
              <w:t>people who gamble</w:t>
            </w:r>
            <w:r w:rsidRPr="00FE2E1A">
              <w:t>, their</w:t>
            </w:r>
            <w:r>
              <w:t xml:space="preserve"> families and</w:t>
            </w:r>
            <w:r w:rsidRPr="00FE2E1A">
              <w:t xml:space="preserve"> wh</w:t>
            </w:r>
            <w:r w:rsidRPr="00FE2E1A">
              <w:rPr>
                <w:rFonts w:cstheme="minorHAnsi"/>
              </w:rPr>
              <w:t>ā</w:t>
            </w:r>
            <w:r w:rsidRPr="00FE2E1A">
              <w:t>nau, and the gambling</w:t>
            </w:r>
            <w:r>
              <w:t>-</w:t>
            </w:r>
            <w:r w:rsidRPr="00FE2E1A">
              <w:t xml:space="preserve">harm prevention and minimisation workforce at the centre of several proposed objectives and approaches. The service plan proposes increased support for the peer workforce and for approaches to bring the voice of lived experience into everything we do under the </w:t>
            </w:r>
            <w:r>
              <w:t>strategy</w:t>
            </w:r>
            <w:r w:rsidRPr="00FE2E1A">
              <w:t>.</w:t>
            </w:r>
          </w:p>
        </w:tc>
      </w:tr>
      <w:tr w:rsidR="007179EA" w:rsidRPr="00FE2E1A" w14:paraId="2790663D" w14:textId="77777777" w:rsidTr="005E71D3">
        <w:trPr>
          <w:cantSplit/>
        </w:trPr>
        <w:tc>
          <w:tcPr>
            <w:tcW w:w="1843" w:type="dxa"/>
            <w:tcBorders>
              <w:top w:val="single" w:sz="4" w:space="0" w:color="A6A6A6" w:themeColor="background1" w:themeShade="A6"/>
              <w:bottom w:val="single" w:sz="4" w:space="0" w:color="A6A6A6" w:themeColor="background1" w:themeShade="A6"/>
            </w:tcBorders>
          </w:tcPr>
          <w:p w14:paraId="7C576E72" w14:textId="77777777" w:rsidR="007179EA" w:rsidRPr="00FE2E1A" w:rsidRDefault="007179EA" w:rsidP="005B24AB">
            <w:pPr>
              <w:pStyle w:val="TableText"/>
              <w:ind w:right="113"/>
            </w:pPr>
            <w:r w:rsidRPr="00FE2E1A">
              <w:t>Community focus</w:t>
            </w:r>
          </w:p>
        </w:tc>
        <w:tc>
          <w:tcPr>
            <w:tcW w:w="6237" w:type="dxa"/>
            <w:tcBorders>
              <w:top w:val="single" w:sz="4" w:space="0" w:color="A6A6A6" w:themeColor="background1" w:themeShade="A6"/>
              <w:bottom w:val="single" w:sz="4" w:space="0" w:color="A6A6A6" w:themeColor="background1" w:themeShade="A6"/>
            </w:tcBorders>
          </w:tcPr>
          <w:p w14:paraId="4134F464" w14:textId="77777777" w:rsidR="007179EA" w:rsidRPr="00FE2E1A" w:rsidRDefault="007179EA" w:rsidP="005B24AB">
            <w:pPr>
              <w:pStyle w:val="TableText"/>
            </w:pPr>
            <w:r w:rsidRPr="00FE2E1A">
              <w:t>Gambling</w:t>
            </w:r>
            <w:r>
              <w:t>-</w:t>
            </w:r>
            <w:r w:rsidRPr="00FE2E1A">
              <w:t xml:space="preserve">harm prevention and minimisation is supported not only by the </w:t>
            </w:r>
            <w:r>
              <w:t>strategy</w:t>
            </w:r>
            <w:r w:rsidRPr="00FE2E1A">
              <w:t xml:space="preserve"> but </w:t>
            </w:r>
            <w:r>
              <w:t xml:space="preserve">also </w:t>
            </w:r>
            <w:r w:rsidRPr="00890DC1">
              <w:t>by requirements under the Gambling Act for each territorial authority to develop and review its own gambling policy, covering how gambling services in its district will be provided.</w:t>
            </w:r>
            <w:r w:rsidR="00BC6B27">
              <w:t xml:space="preserve"> </w:t>
            </w:r>
            <w:r w:rsidRPr="00890DC1">
              <w:t>Councils must make an assessment of the social impacts of gambling within their communities when reviewing their policies every three</w:t>
            </w:r>
            <w:r w:rsidR="0018228E">
              <w:t> years</w:t>
            </w:r>
            <w:r w:rsidRPr="00890DC1">
              <w:t>.</w:t>
            </w:r>
            <w:r w:rsidR="00BC6B27">
              <w:t xml:space="preserve"> </w:t>
            </w:r>
            <w:r w:rsidRPr="00FE2E1A">
              <w:t>Public health service</w:t>
            </w:r>
            <w:r>
              <w:t>s</w:t>
            </w:r>
            <w:r w:rsidRPr="00FE2E1A">
              <w:t xml:space="preserve"> commissioned under the </w:t>
            </w:r>
            <w:r>
              <w:t>strategy</w:t>
            </w:r>
            <w:r w:rsidRPr="00FE2E1A">
              <w:t xml:space="preserve"> support communities to engage in this type of </w:t>
            </w:r>
            <w:r>
              <w:t>proposal</w:t>
            </w:r>
            <w:r w:rsidRPr="00FE2E1A">
              <w:t>. The majority of gambling</w:t>
            </w:r>
            <w:r>
              <w:t>-</w:t>
            </w:r>
            <w:r w:rsidRPr="00FE2E1A">
              <w:t>harm prevention and minimisation services are delivered by non-government</w:t>
            </w:r>
            <w:r>
              <w:t>al</w:t>
            </w:r>
            <w:r w:rsidRPr="00FE2E1A">
              <w:t xml:space="preserve"> organisations </w:t>
            </w:r>
            <w:r>
              <w:t xml:space="preserve">(NGOs) </w:t>
            </w:r>
            <w:r w:rsidRPr="00FE2E1A">
              <w:t xml:space="preserve">with strong community links and supporting these </w:t>
            </w:r>
            <w:r>
              <w:t>NGOs to be successful is essential.</w:t>
            </w:r>
          </w:p>
        </w:tc>
      </w:tr>
      <w:tr w:rsidR="007179EA" w:rsidRPr="00FE2E1A" w14:paraId="4396E081" w14:textId="77777777" w:rsidTr="005E71D3">
        <w:trPr>
          <w:cantSplit/>
        </w:trPr>
        <w:tc>
          <w:tcPr>
            <w:tcW w:w="1843" w:type="dxa"/>
            <w:tcBorders>
              <w:top w:val="single" w:sz="4" w:space="0" w:color="A6A6A6" w:themeColor="background1" w:themeShade="A6"/>
              <w:bottom w:val="single" w:sz="4" w:space="0" w:color="A6A6A6" w:themeColor="background1" w:themeShade="A6"/>
            </w:tcBorders>
          </w:tcPr>
          <w:p w14:paraId="69AEF7B1" w14:textId="77777777" w:rsidR="007179EA" w:rsidRPr="00FE2E1A" w:rsidRDefault="007179EA" w:rsidP="005B24AB">
            <w:pPr>
              <w:pStyle w:val="TableText"/>
              <w:ind w:right="113"/>
            </w:pPr>
            <w:r>
              <w:t>Collaboration</w:t>
            </w:r>
          </w:p>
        </w:tc>
        <w:tc>
          <w:tcPr>
            <w:tcW w:w="6237" w:type="dxa"/>
            <w:tcBorders>
              <w:top w:val="single" w:sz="4" w:space="0" w:color="A6A6A6" w:themeColor="background1" w:themeShade="A6"/>
              <w:bottom w:val="single" w:sz="4" w:space="0" w:color="A6A6A6" w:themeColor="background1" w:themeShade="A6"/>
            </w:tcBorders>
          </w:tcPr>
          <w:p w14:paraId="786130B7" w14:textId="77777777" w:rsidR="007179EA" w:rsidRPr="00FE2E1A" w:rsidRDefault="007179EA" w:rsidP="005B24AB">
            <w:pPr>
              <w:pStyle w:val="TableText"/>
            </w:pPr>
            <w:r w:rsidRPr="00FE2E1A">
              <w:t xml:space="preserve">In this </w:t>
            </w:r>
            <w:r>
              <w:t>strategy,</w:t>
            </w:r>
            <w:r w:rsidRPr="00FE2E1A">
              <w:t xml:space="preserve"> we will look for opportunities to collaborate with other services and supports </w:t>
            </w:r>
            <w:r>
              <w:t>that work</w:t>
            </w:r>
            <w:r w:rsidRPr="00FE2E1A">
              <w:t xml:space="preserve"> with the same communities or in the same location as gambling</w:t>
            </w:r>
            <w:r>
              <w:t>-</w:t>
            </w:r>
            <w:r w:rsidRPr="00FE2E1A">
              <w:t>harm prevention and harm minimisation services</w:t>
            </w:r>
            <w:r>
              <w:t>.</w:t>
            </w:r>
          </w:p>
        </w:tc>
      </w:tr>
      <w:tr w:rsidR="007179EA" w:rsidRPr="00FE2E1A" w14:paraId="21861125" w14:textId="77777777" w:rsidTr="005E71D3">
        <w:trPr>
          <w:cantSplit/>
        </w:trPr>
        <w:tc>
          <w:tcPr>
            <w:tcW w:w="1843" w:type="dxa"/>
            <w:tcBorders>
              <w:top w:val="single" w:sz="4" w:space="0" w:color="A6A6A6" w:themeColor="background1" w:themeShade="A6"/>
              <w:bottom w:val="single" w:sz="4" w:space="0" w:color="A6A6A6" w:themeColor="background1" w:themeShade="A6"/>
            </w:tcBorders>
          </w:tcPr>
          <w:p w14:paraId="0E2F90CE" w14:textId="77777777" w:rsidR="007179EA" w:rsidRPr="00FE2E1A" w:rsidRDefault="007179EA" w:rsidP="005B24AB">
            <w:pPr>
              <w:pStyle w:val="TableText"/>
              <w:ind w:right="113"/>
            </w:pPr>
            <w:r w:rsidRPr="00FE2E1A">
              <w:t>Innovation</w:t>
            </w:r>
          </w:p>
        </w:tc>
        <w:tc>
          <w:tcPr>
            <w:tcW w:w="6237" w:type="dxa"/>
            <w:tcBorders>
              <w:top w:val="single" w:sz="4" w:space="0" w:color="A6A6A6" w:themeColor="background1" w:themeShade="A6"/>
              <w:bottom w:val="single" w:sz="4" w:space="0" w:color="A6A6A6" w:themeColor="background1" w:themeShade="A6"/>
            </w:tcBorders>
          </w:tcPr>
          <w:p w14:paraId="51D2DD71" w14:textId="77777777" w:rsidR="007179EA" w:rsidRPr="00FE2E1A" w:rsidRDefault="007179EA" w:rsidP="005B24AB">
            <w:pPr>
              <w:pStyle w:val="TableText"/>
            </w:pPr>
            <w:r w:rsidRPr="00FE2E1A">
              <w:t>The draft service plan continues the recent focus on innovation and expands it from a focus on technology to a focus on new ways of delivering service (</w:t>
            </w:r>
            <w:r>
              <w:t>that is,</w:t>
            </w:r>
            <w:r w:rsidRPr="00FE2E1A">
              <w:t xml:space="preserve"> service modes such as online</w:t>
            </w:r>
            <w:r>
              <w:t xml:space="preserve"> options</w:t>
            </w:r>
            <w:r w:rsidRPr="00FE2E1A">
              <w:t>) and new ways of commissioning services (</w:t>
            </w:r>
            <w:r>
              <w:t>that is,</w:t>
            </w:r>
            <w:r w:rsidRPr="00FE2E1A">
              <w:t xml:space="preserve"> k</w:t>
            </w:r>
            <w:r>
              <w:rPr>
                <w:rFonts w:cs="Segoe UI"/>
              </w:rPr>
              <w:t>ō</w:t>
            </w:r>
            <w:r w:rsidRPr="00FE2E1A">
              <w:t>rero M</w:t>
            </w:r>
            <w:r w:rsidRPr="00FE2E1A">
              <w:rPr>
                <w:rFonts w:cstheme="minorHAnsi"/>
              </w:rPr>
              <w:t>ā</w:t>
            </w:r>
            <w:r w:rsidRPr="00FE2E1A">
              <w:t>ori commissioning approaches)</w:t>
            </w:r>
            <w:r>
              <w:t>.</w:t>
            </w:r>
          </w:p>
        </w:tc>
      </w:tr>
    </w:tbl>
    <w:p w14:paraId="2F4C6ACB" w14:textId="77777777" w:rsidR="007179EA" w:rsidRDefault="007179EA" w:rsidP="005E71D3"/>
    <w:p w14:paraId="21A9C9FC" w14:textId="77777777" w:rsidR="007179EA" w:rsidRDefault="007179EA" w:rsidP="005E71D3">
      <w:r>
        <w:t xml:space="preserve">The table below works through the practical implications for the Ministry </w:t>
      </w:r>
      <w:r w:rsidRPr="00701624">
        <w:t>and its service providers</w:t>
      </w:r>
      <w:r>
        <w:t xml:space="preserve"> of operating the principles in all work undertaken under the strategy. These behaviours will be incentivised by Ministry support and incorporated into Ministry contracts as opportunities arise.</w:t>
      </w:r>
    </w:p>
    <w:p w14:paraId="09B69307" w14:textId="77777777" w:rsidR="005E71D3" w:rsidRDefault="005E71D3" w:rsidP="005E71D3"/>
    <w:p w14:paraId="3C333C26" w14:textId="21D31711" w:rsidR="007179EA" w:rsidRPr="0003777A" w:rsidRDefault="005E71D3" w:rsidP="005E71D3">
      <w:pPr>
        <w:pStyle w:val="Table"/>
      </w:pPr>
      <w:bookmarkStart w:id="392" w:name="_Ref80797172"/>
      <w:bookmarkStart w:id="393" w:name="_Toc89335337"/>
      <w:bookmarkStart w:id="394" w:name="_Toc90626971"/>
      <w:r>
        <w:lastRenderedPageBreak/>
        <w:t>Table </w:t>
      </w:r>
      <w:fldSimple w:instr=" SEQ Table \* ARABIC ">
        <w:r w:rsidR="00451900">
          <w:rPr>
            <w:noProof/>
          </w:rPr>
          <w:t>21</w:t>
        </w:r>
      </w:fldSimple>
      <w:bookmarkEnd w:id="392"/>
      <w:r w:rsidR="007179EA" w:rsidRPr="0003777A">
        <w:t>: Opera</w:t>
      </w:r>
      <w:r w:rsidR="007179EA">
        <w:t>ting the principles in practice</w:t>
      </w:r>
      <w:bookmarkEnd w:id="393"/>
      <w:bookmarkEnd w:id="394"/>
    </w:p>
    <w:tbl>
      <w:tblPr>
        <w:tblW w:w="8080" w:type="dxa"/>
        <w:tblInd w:w="57" w:type="dxa"/>
        <w:tblLayout w:type="fixed"/>
        <w:tblCellMar>
          <w:left w:w="57" w:type="dxa"/>
          <w:right w:w="57" w:type="dxa"/>
        </w:tblCellMar>
        <w:tblLook w:val="04A0" w:firstRow="1" w:lastRow="0" w:firstColumn="1" w:lastColumn="0" w:noHBand="0" w:noVBand="1"/>
      </w:tblPr>
      <w:tblGrid>
        <w:gridCol w:w="1560"/>
        <w:gridCol w:w="6520"/>
      </w:tblGrid>
      <w:tr w:rsidR="007179EA" w:rsidRPr="004C1A41" w14:paraId="00D83FE2" w14:textId="77777777" w:rsidTr="005E71D3">
        <w:trPr>
          <w:cantSplit/>
        </w:trPr>
        <w:tc>
          <w:tcPr>
            <w:tcW w:w="1560" w:type="dxa"/>
            <w:shd w:val="clear" w:color="auto" w:fill="D9D9D9" w:themeFill="background1" w:themeFillShade="D9"/>
          </w:tcPr>
          <w:p w14:paraId="14975805" w14:textId="77777777" w:rsidR="007179EA" w:rsidRPr="004C1A41" w:rsidRDefault="007179EA" w:rsidP="005B24AB">
            <w:pPr>
              <w:pStyle w:val="TableText"/>
              <w:keepNext/>
              <w:ind w:right="113"/>
              <w:rPr>
                <w:b/>
              </w:rPr>
            </w:pPr>
            <w:r w:rsidRPr="004C1A41">
              <w:rPr>
                <w:b/>
              </w:rPr>
              <w:t>Principle</w:t>
            </w:r>
          </w:p>
        </w:tc>
        <w:tc>
          <w:tcPr>
            <w:tcW w:w="6520" w:type="dxa"/>
            <w:shd w:val="clear" w:color="auto" w:fill="D9D9D9" w:themeFill="background1" w:themeFillShade="D9"/>
          </w:tcPr>
          <w:p w14:paraId="0D1885F8" w14:textId="77777777" w:rsidR="007179EA" w:rsidRPr="004C1A41" w:rsidRDefault="007179EA" w:rsidP="005B24AB">
            <w:pPr>
              <w:pStyle w:val="TableText"/>
              <w:keepNext/>
              <w:rPr>
                <w:b/>
              </w:rPr>
            </w:pPr>
            <w:r w:rsidRPr="004C1A41">
              <w:rPr>
                <w:b/>
              </w:rPr>
              <w:t xml:space="preserve">Examples of upholding behaviours </w:t>
            </w:r>
          </w:p>
        </w:tc>
      </w:tr>
      <w:tr w:rsidR="007179EA" w:rsidRPr="00234E47" w14:paraId="7C2F02AD" w14:textId="77777777" w:rsidTr="005E71D3">
        <w:trPr>
          <w:cantSplit/>
        </w:trPr>
        <w:tc>
          <w:tcPr>
            <w:tcW w:w="1560" w:type="dxa"/>
            <w:tcBorders>
              <w:bottom w:val="single" w:sz="4" w:space="0" w:color="A6A6A6" w:themeColor="background1" w:themeShade="A6"/>
            </w:tcBorders>
          </w:tcPr>
          <w:p w14:paraId="03176AD7" w14:textId="77777777" w:rsidR="007179EA" w:rsidRPr="00234E47" w:rsidRDefault="007179EA" w:rsidP="005B24AB">
            <w:pPr>
              <w:pStyle w:val="TableText"/>
              <w:ind w:right="113"/>
            </w:pPr>
            <w:r w:rsidRPr="00234E47">
              <w:t xml:space="preserve">Upholding </w:t>
            </w:r>
            <w:r w:rsidR="00046A83">
              <w:t>Te Tiriti</w:t>
            </w:r>
            <w:r w:rsidRPr="00234E47">
              <w:t xml:space="preserve"> o Waitangi</w:t>
            </w:r>
          </w:p>
        </w:tc>
        <w:tc>
          <w:tcPr>
            <w:tcW w:w="6520" w:type="dxa"/>
            <w:tcBorders>
              <w:bottom w:val="single" w:sz="4" w:space="0" w:color="A6A6A6" w:themeColor="background1" w:themeShade="A6"/>
            </w:tcBorders>
          </w:tcPr>
          <w:p w14:paraId="346A7441" w14:textId="77777777" w:rsidR="007179EA" w:rsidRPr="008D3CB4" w:rsidRDefault="007179EA" w:rsidP="007179EA">
            <w:pPr>
              <w:pStyle w:val="TableBullet"/>
              <w:spacing w:before="60"/>
            </w:pPr>
            <w:r w:rsidRPr="008D3CB4">
              <w:t>Ensuring mainstream services support mana motuhake (M</w:t>
            </w:r>
            <w:r>
              <w:t>ā</w:t>
            </w:r>
            <w:r w:rsidRPr="008D3CB4">
              <w:t>ori self</w:t>
            </w:r>
            <w:r>
              <w:noBreakHyphen/>
            </w:r>
            <w:r w:rsidRPr="008D3CB4">
              <w:t>determination)</w:t>
            </w:r>
          </w:p>
          <w:p w14:paraId="72FA9EC9" w14:textId="77777777" w:rsidR="007179EA" w:rsidRPr="008D3CB4" w:rsidRDefault="007179EA" w:rsidP="007179EA">
            <w:pPr>
              <w:pStyle w:val="TableBullet"/>
              <w:spacing w:before="60"/>
            </w:pPr>
            <w:r>
              <w:t>Supporting and funding k</w:t>
            </w:r>
            <w:r w:rsidRPr="008D3CB4">
              <w:t>aupapa M</w:t>
            </w:r>
            <w:r w:rsidRPr="008D3CB4">
              <w:rPr>
                <w:rFonts w:cstheme="minorHAnsi"/>
              </w:rPr>
              <w:t>ā</w:t>
            </w:r>
            <w:r w:rsidRPr="008D3CB4">
              <w:t xml:space="preserve">ori services </w:t>
            </w:r>
            <w:r>
              <w:t>to ensure they succeed</w:t>
            </w:r>
          </w:p>
          <w:p w14:paraId="13AA8D48" w14:textId="77777777" w:rsidR="007179EA" w:rsidRPr="008D3CB4" w:rsidRDefault="007179EA" w:rsidP="007179EA">
            <w:pPr>
              <w:pStyle w:val="TableBullet"/>
              <w:spacing w:before="60"/>
            </w:pPr>
            <w:r w:rsidRPr="008D3CB4">
              <w:t>Ensuring all services and approaches actively protect M</w:t>
            </w:r>
            <w:r w:rsidRPr="008D3CB4">
              <w:rPr>
                <w:rFonts w:cstheme="minorHAnsi"/>
              </w:rPr>
              <w:t>ā</w:t>
            </w:r>
            <w:r w:rsidRPr="008D3CB4">
              <w:t xml:space="preserve">ori </w:t>
            </w:r>
            <w:r>
              <w:t xml:space="preserve">who are </w:t>
            </w:r>
            <w:r w:rsidRPr="008D3CB4">
              <w:t>affected by gambling</w:t>
            </w:r>
          </w:p>
          <w:p w14:paraId="10FAAF98" w14:textId="77777777" w:rsidR="007179EA" w:rsidRPr="008D3CB4" w:rsidRDefault="007179EA" w:rsidP="007179EA">
            <w:pPr>
              <w:pStyle w:val="TableBullet"/>
              <w:spacing w:before="60"/>
            </w:pPr>
            <w:r w:rsidRPr="008D3CB4">
              <w:t>Planning and taking opportunities to build partnerships with iwi and other M</w:t>
            </w:r>
            <w:r w:rsidRPr="008D3CB4">
              <w:rPr>
                <w:rFonts w:cstheme="minorHAnsi"/>
              </w:rPr>
              <w:t>ā</w:t>
            </w:r>
            <w:r w:rsidRPr="008D3CB4">
              <w:t>ori groups and organisations at every level (including strategic and service)</w:t>
            </w:r>
          </w:p>
        </w:tc>
      </w:tr>
      <w:tr w:rsidR="007179EA" w:rsidRPr="00234E47" w14:paraId="1F04D2A0" w14:textId="77777777" w:rsidTr="005E71D3">
        <w:trPr>
          <w:cantSplit/>
        </w:trPr>
        <w:tc>
          <w:tcPr>
            <w:tcW w:w="1560" w:type="dxa"/>
            <w:tcBorders>
              <w:top w:val="single" w:sz="4" w:space="0" w:color="A6A6A6" w:themeColor="background1" w:themeShade="A6"/>
              <w:bottom w:val="single" w:sz="4" w:space="0" w:color="A6A6A6" w:themeColor="background1" w:themeShade="A6"/>
            </w:tcBorders>
          </w:tcPr>
          <w:p w14:paraId="3286AA59" w14:textId="77777777" w:rsidR="007179EA" w:rsidRPr="00234E47" w:rsidRDefault="007179EA" w:rsidP="005B24AB">
            <w:pPr>
              <w:pStyle w:val="TableText"/>
              <w:ind w:right="113"/>
            </w:pPr>
            <w:r w:rsidRPr="00234E47">
              <w:t>Promoting equity</w:t>
            </w:r>
          </w:p>
        </w:tc>
        <w:tc>
          <w:tcPr>
            <w:tcW w:w="6520" w:type="dxa"/>
            <w:tcBorders>
              <w:top w:val="single" w:sz="4" w:space="0" w:color="A6A6A6" w:themeColor="background1" w:themeShade="A6"/>
              <w:bottom w:val="single" w:sz="4" w:space="0" w:color="A6A6A6" w:themeColor="background1" w:themeShade="A6"/>
            </w:tcBorders>
          </w:tcPr>
          <w:p w14:paraId="7341E9C7" w14:textId="77777777" w:rsidR="007179EA" w:rsidRDefault="007179EA" w:rsidP="007179EA">
            <w:pPr>
              <w:pStyle w:val="TableBullet"/>
              <w:spacing w:before="60"/>
              <w:rPr>
                <w:rFonts w:cs="Segoe UI"/>
              </w:rPr>
            </w:pPr>
            <w:r w:rsidRPr="00726A61">
              <w:t>Equity recognises different people with different levels of advantage require different approaches and resources t</w:t>
            </w:r>
            <w:r w:rsidR="005E71D3">
              <w:t>o get equitable health outcomes</w:t>
            </w:r>
          </w:p>
          <w:p w14:paraId="42B26224" w14:textId="77777777" w:rsidR="007179EA" w:rsidRPr="001F7E81" w:rsidRDefault="007179EA" w:rsidP="007179EA">
            <w:pPr>
              <w:pStyle w:val="TableBullet"/>
              <w:spacing w:before="60"/>
              <w:rPr>
                <w:rFonts w:cs="Segoe UI"/>
              </w:rPr>
            </w:pPr>
            <w:r w:rsidRPr="00A15C4B">
              <w:rPr>
                <w:rFonts w:cs="Segoe UI"/>
              </w:rPr>
              <w:t>Understanding that a</w:t>
            </w:r>
            <w:r>
              <w:rPr>
                <w:rFonts w:cs="Segoe UI"/>
              </w:rPr>
              <w:t xml:space="preserve"> health </w:t>
            </w:r>
            <w:r w:rsidRPr="00A15C4B">
              <w:rPr>
                <w:rFonts w:cs="Segoe UI"/>
                <w:color w:val="000000"/>
              </w:rPr>
              <w:t xml:space="preserve">inequity is </w:t>
            </w:r>
            <w:r>
              <w:rPr>
                <w:rFonts w:cs="Segoe UI"/>
                <w:color w:val="000000"/>
              </w:rPr>
              <w:t xml:space="preserve">a difference </w:t>
            </w:r>
            <w:r w:rsidRPr="00A15C4B">
              <w:rPr>
                <w:rFonts w:cs="Segoe UI"/>
                <w:color w:val="000000"/>
              </w:rPr>
              <w:t>that we can attribute to social, cultural and economic factors, rather than biomedical ones, and that such i</w:t>
            </w:r>
            <w:r w:rsidRPr="00A15C4B">
              <w:rPr>
                <w:rFonts w:cs="Segoe UI"/>
              </w:rPr>
              <w:t>nequities are not random</w:t>
            </w:r>
          </w:p>
          <w:p w14:paraId="506BD9D1" w14:textId="77777777" w:rsidR="007179EA" w:rsidRPr="00234E47" w:rsidRDefault="007179EA" w:rsidP="007179EA">
            <w:pPr>
              <w:pStyle w:val="TableBullet"/>
              <w:spacing w:before="60"/>
            </w:pPr>
            <w:r>
              <w:t>Being proactive in identifying and addressing inequities</w:t>
            </w:r>
          </w:p>
          <w:p w14:paraId="548FFF7D" w14:textId="77777777" w:rsidR="007179EA" w:rsidRDefault="007179EA" w:rsidP="007179EA">
            <w:pPr>
              <w:pStyle w:val="TableBullet"/>
              <w:spacing w:before="60"/>
            </w:pPr>
            <w:r>
              <w:t>Monitoring service delivery, funding and outcomes by population group</w:t>
            </w:r>
          </w:p>
          <w:p w14:paraId="33495313" w14:textId="77777777" w:rsidR="007179EA" w:rsidRPr="00234E47" w:rsidRDefault="007179EA" w:rsidP="007179EA">
            <w:pPr>
              <w:pStyle w:val="TableBullet"/>
              <w:spacing w:before="60"/>
            </w:pPr>
            <w:r w:rsidRPr="00234E47">
              <w:t>Taking steps to address unfair differences between groups</w:t>
            </w:r>
            <w:r>
              <w:t xml:space="preserve"> in every area (that is, access, suitability/quality of service, outcomes)</w:t>
            </w:r>
          </w:p>
        </w:tc>
      </w:tr>
      <w:tr w:rsidR="007179EA" w:rsidRPr="00234E47" w14:paraId="56B6804C" w14:textId="77777777" w:rsidTr="005E71D3">
        <w:trPr>
          <w:cantSplit/>
        </w:trPr>
        <w:tc>
          <w:tcPr>
            <w:tcW w:w="1560" w:type="dxa"/>
            <w:tcBorders>
              <w:top w:val="single" w:sz="4" w:space="0" w:color="A6A6A6" w:themeColor="background1" w:themeShade="A6"/>
              <w:bottom w:val="single" w:sz="4" w:space="0" w:color="A6A6A6" w:themeColor="background1" w:themeShade="A6"/>
            </w:tcBorders>
          </w:tcPr>
          <w:p w14:paraId="17110BFC" w14:textId="77777777" w:rsidR="007179EA" w:rsidRPr="00234E47" w:rsidRDefault="007179EA" w:rsidP="005B24AB">
            <w:pPr>
              <w:pStyle w:val="TableText"/>
              <w:ind w:right="113"/>
            </w:pPr>
            <w:r w:rsidRPr="00234E47">
              <w:t>Putting people and wh</w:t>
            </w:r>
            <w:r w:rsidRPr="00234E47">
              <w:rPr>
                <w:rFonts w:cstheme="minorHAnsi"/>
              </w:rPr>
              <w:t>ā</w:t>
            </w:r>
            <w:r w:rsidRPr="00234E47">
              <w:t>nau at the centre</w:t>
            </w:r>
          </w:p>
        </w:tc>
        <w:tc>
          <w:tcPr>
            <w:tcW w:w="6520" w:type="dxa"/>
            <w:tcBorders>
              <w:top w:val="single" w:sz="4" w:space="0" w:color="A6A6A6" w:themeColor="background1" w:themeShade="A6"/>
              <w:bottom w:val="single" w:sz="4" w:space="0" w:color="A6A6A6" w:themeColor="background1" w:themeShade="A6"/>
            </w:tcBorders>
          </w:tcPr>
          <w:p w14:paraId="04057D72" w14:textId="77777777" w:rsidR="007179EA" w:rsidRDefault="007179EA" w:rsidP="007179EA">
            <w:pPr>
              <w:pStyle w:val="TableBullet"/>
              <w:spacing w:before="60"/>
            </w:pPr>
            <w:r>
              <w:t>Valuing, including and supporting the voices of lived experience</w:t>
            </w:r>
          </w:p>
          <w:p w14:paraId="61AA290C" w14:textId="77777777" w:rsidR="007179EA" w:rsidRDefault="007179EA" w:rsidP="007179EA">
            <w:pPr>
              <w:pStyle w:val="TableBullet"/>
              <w:spacing w:before="60"/>
            </w:pPr>
            <w:r>
              <w:t>Making sure services are welcoming for people and their families and whānau</w:t>
            </w:r>
          </w:p>
          <w:p w14:paraId="57F598C2" w14:textId="77777777" w:rsidR="007179EA" w:rsidRPr="008D3CB4" w:rsidRDefault="007179EA" w:rsidP="007179EA">
            <w:pPr>
              <w:pStyle w:val="TableBullet"/>
              <w:spacing w:before="60"/>
            </w:pPr>
            <w:r w:rsidRPr="008D3CB4">
              <w:t>Building a sustainable peer workforce</w:t>
            </w:r>
          </w:p>
          <w:p w14:paraId="03F23DCC" w14:textId="77777777" w:rsidR="007179EA" w:rsidRDefault="007179EA" w:rsidP="007179EA">
            <w:pPr>
              <w:pStyle w:val="TableBullet"/>
              <w:spacing w:before="60"/>
            </w:pPr>
            <w:r w:rsidRPr="008D3CB4">
              <w:t xml:space="preserve">Enhancing and supporting </w:t>
            </w:r>
            <w:r>
              <w:t xml:space="preserve">kaupapa Māori, </w:t>
            </w:r>
            <w:r w:rsidRPr="008D3CB4">
              <w:t xml:space="preserve">Pacific </w:t>
            </w:r>
            <w:r>
              <w:t xml:space="preserve">and Asian </w:t>
            </w:r>
            <w:r w:rsidRPr="008D3CB4">
              <w:t>services</w:t>
            </w:r>
          </w:p>
          <w:p w14:paraId="7F395D20" w14:textId="77777777" w:rsidR="007179EA" w:rsidRPr="00234E47" w:rsidRDefault="007179EA" w:rsidP="007179EA">
            <w:pPr>
              <w:pStyle w:val="TableBullet"/>
              <w:spacing w:before="60"/>
            </w:pPr>
            <w:r>
              <w:t>Ensuring processes and requirements are people centred</w:t>
            </w:r>
          </w:p>
        </w:tc>
      </w:tr>
      <w:tr w:rsidR="007179EA" w:rsidRPr="00234E47" w14:paraId="3EF4A846" w14:textId="77777777" w:rsidTr="005E71D3">
        <w:trPr>
          <w:cantSplit/>
        </w:trPr>
        <w:tc>
          <w:tcPr>
            <w:tcW w:w="1560" w:type="dxa"/>
            <w:tcBorders>
              <w:top w:val="single" w:sz="4" w:space="0" w:color="A6A6A6" w:themeColor="background1" w:themeShade="A6"/>
              <w:bottom w:val="single" w:sz="4" w:space="0" w:color="A6A6A6" w:themeColor="background1" w:themeShade="A6"/>
            </w:tcBorders>
          </w:tcPr>
          <w:p w14:paraId="3264BE33" w14:textId="77777777" w:rsidR="007179EA" w:rsidRPr="00234E47" w:rsidRDefault="007179EA" w:rsidP="005B24AB">
            <w:pPr>
              <w:pStyle w:val="TableText"/>
              <w:ind w:right="113"/>
            </w:pPr>
            <w:r>
              <w:t>Taking a community focus</w:t>
            </w:r>
          </w:p>
        </w:tc>
        <w:tc>
          <w:tcPr>
            <w:tcW w:w="6520" w:type="dxa"/>
            <w:tcBorders>
              <w:top w:val="single" w:sz="4" w:space="0" w:color="A6A6A6" w:themeColor="background1" w:themeShade="A6"/>
              <w:bottom w:val="single" w:sz="4" w:space="0" w:color="A6A6A6" w:themeColor="background1" w:themeShade="A6"/>
            </w:tcBorders>
          </w:tcPr>
          <w:p w14:paraId="5DE17528" w14:textId="77777777" w:rsidR="007179EA" w:rsidRPr="00234E47" w:rsidRDefault="007179EA" w:rsidP="007179EA">
            <w:pPr>
              <w:pStyle w:val="TableBullet"/>
              <w:spacing w:before="60"/>
            </w:pPr>
            <w:r>
              <w:t>Maintaining and growing the capability of</w:t>
            </w:r>
            <w:r w:rsidRPr="00234E47">
              <w:t xml:space="preserve"> public health services to work with local communities and territorial authorities</w:t>
            </w:r>
          </w:p>
          <w:p w14:paraId="2D585613" w14:textId="77777777" w:rsidR="007179EA" w:rsidRDefault="007179EA" w:rsidP="007179EA">
            <w:pPr>
              <w:pStyle w:val="TableBullet"/>
              <w:spacing w:before="60"/>
            </w:pPr>
            <w:r>
              <w:t>Working to better i</w:t>
            </w:r>
            <w:r w:rsidRPr="00234E47">
              <w:t>ntegrat</w:t>
            </w:r>
            <w:r>
              <w:t xml:space="preserve">e </w:t>
            </w:r>
            <w:r w:rsidRPr="00234E47">
              <w:t xml:space="preserve">gambling prevention and harm minimisation services with other social and health services </w:t>
            </w:r>
            <w:r>
              <w:t xml:space="preserve">that are </w:t>
            </w:r>
            <w:r w:rsidRPr="00234E47">
              <w:t>serving the same communit</w:t>
            </w:r>
            <w:r>
              <w:t>ies</w:t>
            </w:r>
          </w:p>
          <w:p w14:paraId="30EAE8E0" w14:textId="77777777" w:rsidR="007179EA" w:rsidRPr="00234E47" w:rsidRDefault="007179EA" w:rsidP="007179EA">
            <w:pPr>
              <w:pStyle w:val="TableBullet"/>
              <w:spacing w:before="60"/>
            </w:pPr>
            <w:r>
              <w:t>Understanding communities</w:t>
            </w:r>
            <w:r w:rsidR="00BC6B27">
              <w:t>’</w:t>
            </w:r>
            <w:r>
              <w:t xml:space="preserve"> attitudes to gambling</w:t>
            </w:r>
          </w:p>
        </w:tc>
      </w:tr>
      <w:tr w:rsidR="007179EA" w:rsidRPr="00234E47" w14:paraId="5CDAEBBA" w14:textId="77777777" w:rsidTr="005E71D3">
        <w:trPr>
          <w:cantSplit/>
        </w:trPr>
        <w:tc>
          <w:tcPr>
            <w:tcW w:w="1560" w:type="dxa"/>
            <w:tcBorders>
              <w:top w:val="single" w:sz="4" w:space="0" w:color="A6A6A6" w:themeColor="background1" w:themeShade="A6"/>
              <w:bottom w:val="single" w:sz="4" w:space="0" w:color="A6A6A6" w:themeColor="background1" w:themeShade="A6"/>
            </w:tcBorders>
          </w:tcPr>
          <w:p w14:paraId="4AE86989" w14:textId="77777777" w:rsidR="007179EA" w:rsidRPr="00234E47" w:rsidRDefault="007179EA" w:rsidP="005B24AB">
            <w:pPr>
              <w:pStyle w:val="TableText"/>
              <w:ind w:right="113"/>
            </w:pPr>
            <w:r>
              <w:t>Being collaborative</w:t>
            </w:r>
          </w:p>
        </w:tc>
        <w:tc>
          <w:tcPr>
            <w:tcW w:w="6520" w:type="dxa"/>
            <w:tcBorders>
              <w:top w:val="single" w:sz="4" w:space="0" w:color="A6A6A6" w:themeColor="background1" w:themeShade="A6"/>
              <w:bottom w:val="single" w:sz="4" w:space="0" w:color="A6A6A6" w:themeColor="background1" w:themeShade="A6"/>
            </w:tcBorders>
          </w:tcPr>
          <w:p w14:paraId="51257A05" w14:textId="77777777" w:rsidR="007179EA" w:rsidRPr="00234E47" w:rsidRDefault="007179EA" w:rsidP="007179EA">
            <w:pPr>
              <w:pStyle w:val="TableBullet"/>
              <w:spacing w:before="60"/>
            </w:pPr>
            <w:r w:rsidRPr="00234E47">
              <w:t>Building strong relationship across government, the harm minimisation sector and the gambling industry</w:t>
            </w:r>
          </w:p>
          <w:p w14:paraId="25C6F613" w14:textId="77777777" w:rsidR="007179EA" w:rsidRPr="00234E47" w:rsidRDefault="007179EA" w:rsidP="007179EA">
            <w:pPr>
              <w:pStyle w:val="TableBullet"/>
              <w:spacing w:before="60"/>
            </w:pPr>
            <w:r w:rsidRPr="00234E47">
              <w:t>Being willing to learn from others</w:t>
            </w:r>
          </w:p>
        </w:tc>
      </w:tr>
      <w:tr w:rsidR="007179EA" w:rsidRPr="00234E47" w14:paraId="1E44E120" w14:textId="77777777" w:rsidTr="005E71D3">
        <w:trPr>
          <w:cantSplit/>
        </w:trPr>
        <w:tc>
          <w:tcPr>
            <w:tcW w:w="1560" w:type="dxa"/>
            <w:tcBorders>
              <w:top w:val="single" w:sz="4" w:space="0" w:color="A6A6A6" w:themeColor="background1" w:themeShade="A6"/>
              <w:bottom w:val="single" w:sz="4" w:space="0" w:color="A6A6A6" w:themeColor="background1" w:themeShade="A6"/>
            </w:tcBorders>
          </w:tcPr>
          <w:p w14:paraId="55921A95" w14:textId="77777777" w:rsidR="007179EA" w:rsidRPr="00234E47" w:rsidRDefault="007179EA" w:rsidP="005B24AB">
            <w:pPr>
              <w:pStyle w:val="TableText"/>
              <w:ind w:right="113"/>
            </w:pPr>
            <w:r>
              <w:t>Being innovative</w:t>
            </w:r>
          </w:p>
        </w:tc>
        <w:tc>
          <w:tcPr>
            <w:tcW w:w="6520" w:type="dxa"/>
            <w:tcBorders>
              <w:top w:val="single" w:sz="4" w:space="0" w:color="A6A6A6" w:themeColor="background1" w:themeShade="A6"/>
              <w:bottom w:val="single" w:sz="4" w:space="0" w:color="A6A6A6" w:themeColor="background1" w:themeShade="A6"/>
            </w:tcBorders>
          </w:tcPr>
          <w:p w14:paraId="6112A210" w14:textId="77777777" w:rsidR="007179EA" w:rsidRDefault="007179EA" w:rsidP="007179EA">
            <w:pPr>
              <w:pStyle w:val="TableBullet"/>
              <w:spacing w:before="60"/>
            </w:pPr>
            <w:r w:rsidRPr="00234E47">
              <w:t>Being willing to try new initiatives and ways of doing things</w:t>
            </w:r>
          </w:p>
          <w:p w14:paraId="22E03B26" w14:textId="77777777" w:rsidR="007179EA" w:rsidRPr="008D3CB4" w:rsidRDefault="007179EA" w:rsidP="007179EA">
            <w:pPr>
              <w:pStyle w:val="TableBullet"/>
              <w:spacing w:before="60"/>
            </w:pPr>
            <w:r w:rsidRPr="008D3CB4">
              <w:t xml:space="preserve">Creating spaces where it is safe to </w:t>
            </w:r>
            <w:r>
              <w:t>innovate</w:t>
            </w:r>
          </w:p>
          <w:p w14:paraId="0F49D389" w14:textId="77777777" w:rsidR="007179EA" w:rsidRPr="00234E47" w:rsidRDefault="007179EA" w:rsidP="007179EA">
            <w:pPr>
              <w:pStyle w:val="TableBullet"/>
              <w:spacing w:before="60"/>
            </w:pPr>
            <w:r w:rsidRPr="008D3CB4">
              <w:t>Using evidence and research to make change</w:t>
            </w:r>
          </w:p>
        </w:tc>
      </w:tr>
    </w:tbl>
    <w:p w14:paraId="537D3E7F" w14:textId="77777777" w:rsidR="007179EA" w:rsidRDefault="007179EA" w:rsidP="005E71D3"/>
    <w:p w14:paraId="06D37EFC" w14:textId="77777777" w:rsidR="00A8632D" w:rsidRDefault="00A8632D" w:rsidP="005E71D3">
      <w:pPr>
        <w:pStyle w:val="Heading2"/>
        <w:keepNext w:val="0"/>
        <w:pageBreakBefore/>
        <w:spacing w:before="0"/>
        <w:sectPr w:rsidR="00A8632D" w:rsidSect="00124241">
          <w:footerReference w:type="default" r:id="rId30"/>
          <w:pgSz w:w="11907" w:h="16834" w:code="9"/>
          <w:pgMar w:top="1418" w:right="1701" w:bottom="1134" w:left="1843" w:header="284" w:footer="425" w:gutter="284"/>
          <w:cols w:space="720"/>
          <w:docGrid w:linePitch="286"/>
        </w:sectPr>
      </w:pPr>
      <w:bookmarkStart w:id="395" w:name="_Toc78882337"/>
      <w:bookmarkStart w:id="396" w:name="_Toc80965868"/>
      <w:bookmarkStart w:id="397" w:name="_Toc89684411"/>
    </w:p>
    <w:p w14:paraId="7ABB2BC9" w14:textId="77777777" w:rsidR="007179EA" w:rsidRPr="00484E1B" w:rsidRDefault="007179EA" w:rsidP="005E71D3">
      <w:pPr>
        <w:pStyle w:val="Heading2"/>
        <w:keepNext w:val="0"/>
        <w:pageBreakBefore/>
        <w:spacing w:before="0"/>
      </w:pPr>
      <w:bookmarkStart w:id="398" w:name="_Toc90885067"/>
      <w:r w:rsidRPr="00484E1B">
        <w:lastRenderedPageBreak/>
        <w:t>Appendix 3: Key continuities</w:t>
      </w:r>
      <w:bookmarkEnd w:id="395"/>
      <w:bookmarkEnd w:id="396"/>
      <w:bookmarkEnd w:id="397"/>
      <w:bookmarkEnd w:id="398"/>
    </w:p>
    <w:p w14:paraId="798BBE98" w14:textId="77777777" w:rsidR="007179EA" w:rsidRDefault="007179EA" w:rsidP="005E71D3">
      <w:r>
        <w:t>The new draft strategic framework re-frames and re-structures the previous framework, responding to environmental changes and lessons learnt over recent</w:t>
      </w:r>
      <w:r w:rsidR="00D01979">
        <w:t xml:space="preserve"> </w:t>
      </w:r>
      <w:r w:rsidR="0018228E">
        <w:t>years</w:t>
      </w:r>
      <w:r>
        <w:t>. It is closely related to the previous strategic framework because the prevention and minimisation of gambling-related harm is a long-term activity. Like many areas of health promotion, prevention and early intervention, the activities in this space need to be continuous as there are always new cohorts of people coming through, as well as people having different needs at different</w:t>
      </w:r>
      <w:r w:rsidR="00D01979">
        <w:t xml:space="preserve"> </w:t>
      </w:r>
      <w:r w:rsidR="00046A83">
        <w:t>times</w:t>
      </w:r>
      <w:r>
        <w:t xml:space="preserve"> in their lives. All 11 strategic objectives of the current strategy can be addressed under the four new objectives.</w:t>
      </w:r>
    </w:p>
    <w:p w14:paraId="011BC1BD" w14:textId="621A9722" w:rsidR="007179EA" w:rsidRPr="00167177" w:rsidRDefault="00A8632D" w:rsidP="00A8632D">
      <w:pPr>
        <w:pStyle w:val="Table"/>
        <w:spacing w:before="300"/>
      </w:pPr>
      <w:bookmarkStart w:id="399" w:name="_Toc89335338"/>
      <w:bookmarkStart w:id="400" w:name="_Toc90626972"/>
      <w:r>
        <w:t>Table </w:t>
      </w:r>
      <w:fldSimple w:instr=" SEQ Table \* ARABIC ">
        <w:r w:rsidR="00451900">
          <w:rPr>
            <w:noProof/>
          </w:rPr>
          <w:t>22</w:t>
        </w:r>
      </w:fldSimple>
      <w:r w:rsidR="007179EA">
        <w:t>:</w:t>
      </w:r>
      <w:r w:rsidR="007179EA" w:rsidRPr="00167177">
        <w:t xml:space="preserve"> </w:t>
      </w:r>
      <w:r w:rsidR="007179EA">
        <w:t>R</w:t>
      </w:r>
      <w:r w:rsidR="007179EA" w:rsidRPr="00167177">
        <w:t>elationship of previous strategic objectives to new</w:t>
      </w:r>
      <w:r w:rsidR="007179EA">
        <w:t xml:space="preserve"> objectives</w:t>
      </w:r>
      <w:bookmarkEnd w:id="399"/>
      <w:bookmarkEnd w:id="400"/>
    </w:p>
    <w:tbl>
      <w:tblPr>
        <w:tblW w:w="14601" w:type="dxa"/>
        <w:tblInd w:w="57" w:type="dxa"/>
        <w:tblLayout w:type="fixed"/>
        <w:tblCellMar>
          <w:left w:w="57" w:type="dxa"/>
          <w:right w:w="57" w:type="dxa"/>
        </w:tblCellMar>
        <w:tblLook w:val="04A0" w:firstRow="1" w:lastRow="0" w:firstColumn="1" w:lastColumn="0" w:noHBand="0" w:noVBand="1"/>
      </w:tblPr>
      <w:tblGrid>
        <w:gridCol w:w="1418"/>
        <w:gridCol w:w="3118"/>
        <w:gridCol w:w="3544"/>
        <w:gridCol w:w="3119"/>
        <w:gridCol w:w="3402"/>
      </w:tblGrid>
      <w:tr w:rsidR="00A8632D" w:rsidRPr="00AD245C" w14:paraId="60B44EAC" w14:textId="77777777" w:rsidTr="00A8632D">
        <w:trPr>
          <w:cantSplit/>
          <w:tblHeader/>
        </w:trPr>
        <w:tc>
          <w:tcPr>
            <w:tcW w:w="1418" w:type="dxa"/>
            <w:shd w:val="clear" w:color="auto" w:fill="D9D9D9" w:themeFill="background1" w:themeFillShade="D9"/>
          </w:tcPr>
          <w:p w14:paraId="20E40E28" w14:textId="77777777" w:rsidR="007179EA" w:rsidRPr="00AD245C" w:rsidRDefault="007179EA" w:rsidP="00A8632D">
            <w:pPr>
              <w:pStyle w:val="TableText"/>
              <w:ind w:right="57"/>
              <w:rPr>
                <w:b/>
              </w:rPr>
            </w:pPr>
            <w:r w:rsidRPr="00AD245C">
              <w:rPr>
                <w:b/>
              </w:rPr>
              <w:t>New objectives</w:t>
            </w:r>
          </w:p>
        </w:tc>
        <w:tc>
          <w:tcPr>
            <w:tcW w:w="3118" w:type="dxa"/>
            <w:shd w:val="clear" w:color="auto" w:fill="D9D9D9" w:themeFill="background1" w:themeFillShade="D9"/>
          </w:tcPr>
          <w:p w14:paraId="67FFEB99" w14:textId="77777777" w:rsidR="007179EA" w:rsidRPr="00AD245C" w:rsidRDefault="007179EA" w:rsidP="00A8632D">
            <w:pPr>
              <w:pStyle w:val="TableText"/>
              <w:ind w:right="57"/>
              <w:rPr>
                <w:rFonts w:cs="Segoe UI"/>
                <w:b/>
              </w:rPr>
            </w:pPr>
            <w:r w:rsidRPr="00AD245C">
              <w:rPr>
                <w:rFonts w:cs="Segoe UI"/>
                <w:b/>
                <w:color w:val="000000"/>
                <w:lang w:eastAsia="en-NZ"/>
              </w:rPr>
              <w:t>Create a full spectrum of services and supports</w:t>
            </w:r>
          </w:p>
        </w:tc>
        <w:tc>
          <w:tcPr>
            <w:tcW w:w="3544" w:type="dxa"/>
            <w:shd w:val="clear" w:color="auto" w:fill="D9D9D9" w:themeFill="background1" w:themeFillShade="D9"/>
          </w:tcPr>
          <w:p w14:paraId="5FFE3478" w14:textId="77777777" w:rsidR="007179EA" w:rsidRPr="00AD245C" w:rsidRDefault="007179EA" w:rsidP="00A8632D">
            <w:pPr>
              <w:pStyle w:val="TableText"/>
              <w:ind w:right="57"/>
              <w:rPr>
                <w:b/>
              </w:rPr>
            </w:pPr>
            <w:r w:rsidRPr="00AD245C">
              <w:rPr>
                <w:b/>
              </w:rPr>
              <w:t>Shift cultural and social norms</w:t>
            </w:r>
          </w:p>
        </w:tc>
        <w:tc>
          <w:tcPr>
            <w:tcW w:w="3119" w:type="dxa"/>
            <w:shd w:val="clear" w:color="auto" w:fill="D9D9D9" w:themeFill="background1" w:themeFillShade="D9"/>
          </w:tcPr>
          <w:p w14:paraId="362FC6B2" w14:textId="77777777" w:rsidR="007179EA" w:rsidRPr="00AD245C" w:rsidRDefault="007179EA" w:rsidP="00A8632D">
            <w:pPr>
              <w:pStyle w:val="TableText"/>
              <w:ind w:right="57"/>
              <w:rPr>
                <w:b/>
              </w:rPr>
            </w:pPr>
            <w:r w:rsidRPr="00AD245C">
              <w:rPr>
                <w:b/>
              </w:rPr>
              <w:t>Strengthen system leadership and accountability</w:t>
            </w:r>
          </w:p>
        </w:tc>
        <w:tc>
          <w:tcPr>
            <w:tcW w:w="3402" w:type="dxa"/>
            <w:shd w:val="clear" w:color="auto" w:fill="D9D9D9" w:themeFill="background1" w:themeFillShade="D9"/>
          </w:tcPr>
          <w:p w14:paraId="61E6721B" w14:textId="77777777" w:rsidR="007179EA" w:rsidRPr="00AD245C" w:rsidRDefault="007179EA" w:rsidP="005B24AB">
            <w:pPr>
              <w:pStyle w:val="TableText"/>
              <w:rPr>
                <w:b/>
              </w:rPr>
            </w:pPr>
            <w:r w:rsidRPr="00AD245C">
              <w:rPr>
                <w:b/>
              </w:rPr>
              <w:t>Strengthen the health and healthy equity of Māori, Pacific peoples, Asian peoples and young people / rangatahi</w:t>
            </w:r>
          </w:p>
        </w:tc>
      </w:tr>
      <w:tr w:rsidR="00A8632D" w:rsidRPr="000836A4" w14:paraId="2A6BC259" w14:textId="77777777" w:rsidTr="00A8632D">
        <w:trPr>
          <w:cantSplit/>
        </w:trPr>
        <w:tc>
          <w:tcPr>
            <w:tcW w:w="1418" w:type="dxa"/>
            <w:vMerge w:val="restart"/>
            <w:tcBorders>
              <w:bottom w:val="single" w:sz="4" w:space="0" w:color="A6A6A6" w:themeColor="background1" w:themeShade="A6"/>
            </w:tcBorders>
          </w:tcPr>
          <w:p w14:paraId="003B06A9" w14:textId="77777777" w:rsidR="007179EA" w:rsidRPr="0003777A" w:rsidRDefault="007179EA" w:rsidP="00A8632D">
            <w:pPr>
              <w:pStyle w:val="TableText"/>
              <w:ind w:right="57"/>
            </w:pPr>
            <w:r>
              <w:t>Previous g</w:t>
            </w:r>
            <w:r w:rsidRPr="0003777A">
              <w:t>ambling harm strategic objectives</w:t>
            </w:r>
          </w:p>
        </w:tc>
        <w:tc>
          <w:tcPr>
            <w:tcW w:w="3118" w:type="dxa"/>
            <w:tcBorders>
              <w:bottom w:val="single" w:sz="4" w:space="0" w:color="A6A6A6" w:themeColor="background1" w:themeShade="A6"/>
            </w:tcBorders>
          </w:tcPr>
          <w:p w14:paraId="737B43A1" w14:textId="77777777" w:rsidR="007179EA" w:rsidRPr="0003777A" w:rsidRDefault="007179EA" w:rsidP="00A8632D">
            <w:pPr>
              <w:pStyle w:val="TableText"/>
              <w:ind w:right="57"/>
            </w:pPr>
            <w:r w:rsidRPr="0003777A">
              <w:t>A skilled workforce is developed to deliver effective services to prevent and minimise gambling harm (6)</w:t>
            </w:r>
          </w:p>
        </w:tc>
        <w:tc>
          <w:tcPr>
            <w:tcW w:w="3544" w:type="dxa"/>
            <w:tcBorders>
              <w:bottom w:val="single" w:sz="4" w:space="0" w:color="A6A6A6" w:themeColor="background1" w:themeShade="A6"/>
            </w:tcBorders>
          </w:tcPr>
          <w:p w14:paraId="5ADE6735" w14:textId="77777777" w:rsidR="007179EA" w:rsidRPr="0003777A" w:rsidRDefault="007179EA" w:rsidP="00A8632D">
            <w:pPr>
              <w:pStyle w:val="TableText"/>
              <w:ind w:right="57"/>
            </w:pPr>
            <w:r w:rsidRPr="0003777A">
              <w:t>People participate in decision-making about activities in their communities that prevent and minimise gambling harm (3)</w:t>
            </w:r>
          </w:p>
        </w:tc>
        <w:tc>
          <w:tcPr>
            <w:tcW w:w="3119" w:type="dxa"/>
            <w:tcBorders>
              <w:bottom w:val="single" w:sz="4" w:space="0" w:color="A6A6A6" w:themeColor="background1" w:themeShade="A6"/>
            </w:tcBorders>
          </w:tcPr>
          <w:p w14:paraId="212A3DE3" w14:textId="77777777" w:rsidR="007179EA" w:rsidRPr="0003777A" w:rsidRDefault="007179EA" w:rsidP="00A8632D">
            <w:pPr>
              <w:pStyle w:val="TableText"/>
              <w:ind w:right="57"/>
            </w:pPr>
            <w:r w:rsidRPr="0003777A">
              <w:t>There is a reduction in gambling</w:t>
            </w:r>
            <w:r>
              <w:t>-</w:t>
            </w:r>
            <w:r w:rsidRPr="0003777A">
              <w:t xml:space="preserve">harm inequities between population groups (particularly Māori, Pacific </w:t>
            </w:r>
            <w:r>
              <w:t xml:space="preserve">peoples </w:t>
            </w:r>
            <w:r w:rsidRPr="0003777A">
              <w:t>and Asian peoples, as the populations that are most vulnerable to gambling harm) (1)</w:t>
            </w:r>
          </w:p>
        </w:tc>
        <w:tc>
          <w:tcPr>
            <w:tcW w:w="3402" w:type="dxa"/>
            <w:tcBorders>
              <w:bottom w:val="single" w:sz="4" w:space="0" w:color="A6A6A6" w:themeColor="background1" w:themeShade="A6"/>
            </w:tcBorders>
          </w:tcPr>
          <w:p w14:paraId="6C94FAF0" w14:textId="77777777" w:rsidR="007179EA" w:rsidRPr="0003777A" w:rsidRDefault="007179EA" w:rsidP="005B24AB">
            <w:pPr>
              <w:pStyle w:val="TableText"/>
            </w:pPr>
            <w:r w:rsidRPr="0003777A">
              <w:t>Māori have healthier futures, through the prevention and minimisation of gambling harm (2)</w:t>
            </w:r>
          </w:p>
        </w:tc>
      </w:tr>
      <w:tr w:rsidR="00A8632D" w:rsidRPr="000836A4" w14:paraId="0A27A3D6" w14:textId="77777777" w:rsidTr="00A8632D">
        <w:trPr>
          <w:cantSplit/>
        </w:trPr>
        <w:tc>
          <w:tcPr>
            <w:tcW w:w="1418" w:type="dxa"/>
            <w:vMerge/>
            <w:tcBorders>
              <w:bottom w:val="single" w:sz="4" w:space="0" w:color="A6A6A6" w:themeColor="background1" w:themeShade="A6"/>
            </w:tcBorders>
          </w:tcPr>
          <w:p w14:paraId="030B9F3C" w14:textId="77777777" w:rsidR="007179EA" w:rsidRPr="0003777A" w:rsidRDefault="007179EA" w:rsidP="00A8632D">
            <w:pPr>
              <w:pStyle w:val="TableText"/>
              <w:ind w:right="57"/>
            </w:pPr>
          </w:p>
        </w:tc>
        <w:tc>
          <w:tcPr>
            <w:tcW w:w="3118" w:type="dxa"/>
            <w:tcBorders>
              <w:top w:val="single" w:sz="4" w:space="0" w:color="A6A6A6" w:themeColor="background1" w:themeShade="A6"/>
              <w:bottom w:val="single" w:sz="4" w:space="0" w:color="A6A6A6" w:themeColor="background1" w:themeShade="A6"/>
            </w:tcBorders>
          </w:tcPr>
          <w:p w14:paraId="6FE87E89" w14:textId="77777777" w:rsidR="007179EA" w:rsidRPr="0003777A" w:rsidRDefault="007179EA" w:rsidP="00A8632D">
            <w:pPr>
              <w:pStyle w:val="TableText"/>
              <w:ind w:right="57"/>
            </w:pPr>
            <w:r w:rsidRPr="0003777A">
              <w:t>Services enhance people</w:t>
            </w:r>
            <w:r w:rsidR="00BC6B27">
              <w:t>’</w:t>
            </w:r>
            <w:r w:rsidRPr="0003777A">
              <w:t>s mana and build life skills and resiliency to improve healthy choices that prevent and minimise gambling harm (7)</w:t>
            </w:r>
          </w:p>
        </w:tc>
        <w:tc>
          <w:tcPr>
            <w:tcW w:w="3544" w:type="dxa"/>
            <w:tcBorders>
              <w:top w:val="single" w:sz="4" w:space="0" w:color="A6A6A6" w:themeColor="background1" w:themeShade="A6"/>
              <w:bottom w:val="single" w:sz="4" w:space="0" w:color="A6A6A6" w:themeColor="background1" w:themeShade="A6"/>
            </w:tcBorders>
          </w:tcPr>
          <w:p w14:paraId="454B4163" w14:textId="77777777" w:rsidR="007179EA" w:rsidRPr="0003777A" w:rsidRDefault="007179EA" w:rsidP="00A8632D">
            <w:pPr>
              <w:pStyle w:val="TableText"/>
              <w:ind w:right="57"/>
            </w:pPr>
            <w:r w:rsidRPr="0003777A">
              <w:t>People understand and acknowledge the range of gambling harms that affect individuals, families, whānau and communities (5)</w:t>
            </w:r>
          </w:p>
        </w:tc>
        <w:tc>
          <w:tcPr>
            <w:tcW w:w="3119" w:type="dxa"/>
            <w:tcBorders>
              <w:top w:val="single" w:sz="4" w:space="0" w:color="A6A6A6" w:themeColor="background1" w:themeShade="A6"/>
              <w:bottom w:val="single" w:sz="4" w:space="0" w:color="A6A6A6" w:themeColor="background1" w:themeShade="A6"/>
            </w:tcBorders>
          </w:tcPr>
          <w:p w14:paraId="731847DB" w14:textId="77777777" w:rsidR="007179EA" w:rsidRPr="0003777A" w:rsidRDefault="007179EA" w:rsidP="00A8632D">
            <w:pPr>
              <w:pStyle w:val="TableText"/>
              <w:ind w:right="57"/>
            </w:pPr>
          </w:p>
        </w:tc>
        <w:tc>
          <w:tcPr>
            <w:tcW w:w="3402" w:type="dxa"/>
            <w:tcBorders>
              <w:top w:val="single" w:sz="4" w:space="0" w:color="A6A6A6" w:themeColor="background1" w:themeShade="A6"/>
              <w:bottom w:val="single" w:sz="4" w:space="0" w:color="A6A6A6" w:themeColor="background1" w:themeShade="A6"/>
            </w:tcBorders>
          </w:tcPr>
          <w:p w14:paraId="0589950C" w14:textId="77777777" w:rsidR="007179EA" w:rsidRPr="0003777A" w:rsidRDefault="007179EA" w:rsidP="005B24AB">
            <w:pPr>
              <w:pStyle w:val="TableText"/>
              <w:rPr>
                <w:i/>
                <w:iCs/>
              </w:rPr>
            </w:pPr>
            <w:r w:rsidRPr="0003777A">
              <w:t>Healthy policy at the national, regional and local level prevents and minimises gambling harm (4)</w:t>
            </w:r>
          </w:p>
        </w:tc>
      </w:tr>
      <w:tr w:rsidR="00A8632D" w:rsidRPr="000836A4" w14:paraId="2ECBA379" w14:textId="77777777" w:rsidTr="00A8632D">
        <w:trPr>
          <w:cantSplit/>
        </w:trPr>
        <w:tc>
          <w:tcPr>
            <w:tcW w:w="1418" w:type="dxa"/>
            <w:vMerge/>
            <w:tcBorders>
              <w:bottom w:val="single" w:sz="4" w:space="0" w:color="A6A6A6" w:themeColor="background1" w:themeShade="A6"/>
            </w:tcBorders>
          </w:tcPr>
          <w:p w14:paraId="2DC4FE3E" w14:textId="77777777" w:rsidR="007179EA" w:rsidRPr="0003777A" w:rsidRDefault="007179EA" w:rsidP="00A8632D">
            <w:pPr>
              <w:pStyle w:val="TableText"/>
              <w:ind w:right="57"/>
            </w:pPr>
          </w:p>
        </w:tc>
        <w:tc>
          <w:tcPr>
            <w:tcW w:w="3118" w:type="dxa"/>
            <w:tcBorders>
              <w:top w:val="single" w:sz="4" w:space="0" w:color="A6A6A6" w:themeColor="background1" w:themeShade="A6"/>
              <w:bottom w:val="single" w:sz="4" w:space="0" w:color="A6A6A6" w:themeColor="background1" w:themeShade="A6"/>
            </w:tcBorders>
          </w:tcPr>
          <w:p w14:paraId="795A5E85" w14:textId="77777777" w:rsidR="007179EA" w:rsidRPr="0003777A" w:rsidRDefault="007179EA" w:rsidP="00A8632D">
            <w:pPr>
              <w:pStyle w:val="TableText"/>
              <w:ind w:right="57"/>
            </w:pPr>
            <w:r w:rsidRPr="0003777A">
              <w:t>People access effective treatment and support services at the right time and place (10)</w:t>
            </w:r>
          </w:p>
        </w:tc>
        <w:tc>
          <w:tcPr>
            <w:tcW w:w="3544" w:type="dxa"/>
            <w:tcBorders>
              <w:top w:val="single" w:sz="4" w:space="0" w:color="A6A6A6" w:themeColor="background1" w:themeShade="A6"/>
              <w:bottom w:val="single" w:sz="4" w:space="0" w:color="A6A6A6" w:themeColor="background1" w:themeShade="A6"/>
            </w:tcBorders>
          </w:tcPr>
          <w:p w14:paraId="1AE917E5" w14:textId="77777777" w:rsidR="007179EA" w:rsidRPr="0003777A" w:rsidRDefault="007179EA" w:rsidP="00A8632D">
            <w:pPr>
              <w:pStyle w:val="TableText"/>
              <w:ind w:right="57"/>
            </w:pPr>
            <w:r w:rsidRPr="0003777A">
              <w:t>Gambling environments are designed to prevent and minimise gambling harm (8)</w:t>
            </w:r>
          </w:p>
        </w:tc>
        <w:tc>
          <w:tcPr>
            <w:tcW w:w="3119" w:type="dxa"/>
            <w:tcBorders>
              <w:top w:val="single" w:sz="4" w:space="0" w:color="A6A6A6" w:themeColor="background1" w:themeShade="A6"/>
              <w:bottom w:val="single" w:sz="4" w:space="0" w:color="A6A6A6" w:themeColor="background1" w:themeShade="A6"/>
            </w:tcBorders>
          </w:tcPr>
          <w:p w14:paraId="7B465E2A" w14:textId="77777777" w:rsidR="007179EA" w:rsidRPr="0003777A" w:rsidRDefault="007179EA" w:rsidP="00A8632D">
            <w:pPr>
              <w:pStyle w:val="TableText"/>
              <w:ind w:right="57"/>
            </w:pPr>
          </w:p>
        </w:tc>
        <w:tc>
          <w:tcPr>
            <w:tcW w:w="3402" w:type="dxa"/>
            <w:tcBorders>
              <w:top w:val="single" w:sz="4" w:space="0" w:color="A6A6A6" w:themeColor="background1" w:themeShade="A6"/>
              <w:bottom w:val="single" w:sz="4" w:space="0" w:color="A6A6A6" w:themeColor="background1" w:themeShade="A6"/>
            </w:tcBorders>
          </w:tcPr>
          <w:p w14:paraId="55977761" w14:textId="77777777" w:rsidR="007179EA" w:rsidRPr="0003777A" w:rsidRDefault="007179EA" w:rsidP="005B24AB">
            <w:pPr>
              <w:pStyle w:val="TableText"/>
              <w:rPr>
                <w:i/>
                <w:iCs/>
              </w:rPr>
            </w:pPr>
            <w:r w:rsidRPr="0003777A">
              <w:t xml:space="preserve">A programme of research and evaluation establishes an evidence base that underpins all activities </w:t>
            </w:r>
            <w:r>
              <w:t xml:space="preserve">to prevent and minimise gambling harm </w:t>
            </w:r>
            <w:r w:rsidRPr="0003777A">
              <w:t>(11)</w:t>
            </w:r>
          </w:p>
        </w:tc>
      </w:tr>
      <w:tr w:rsidR="00A8632D" w:rsidRPr="000836A4" w14:paraId="5C62A330" w14:textId="77777777" w:rsidTr="00A8632D">
        <w:trPr>
          <w:cantSplit/>
        </w:trPr>
        <w:tc>
          <w:tcPr>
            <w:tcW w:w="1418" w:type="dxa"/>
            <w:vMerge/>
            <w:tcBorders>
              <w:bottom w:val="single" w:sz="4" w:space="0" w:color="A6A6A6" w:themeColor="background1" w:themeShade="A6"/>
            </w:tcBorders>
          </w:tcPr>
          <w:p w14:paraId="554B2DA0" w14:textId="77777777" w:rsidR="007179EA" w:rsidRPr="0003777A" w:rsidRDefault="007179EA" w:rsidP="00A8632D">
            <w:pPr>
              <w:pStyle w:val="TableText"/>
              <w:ind w:right="57"/>
            </w:pPr>
          </w:p>
        </w:tc>
        <w:tc>
          <w:tcPr>
            <w:tcW w:w="3118" w:type="dxa"/>
            <w:tcBorders>
              <w:top w:val="single" w:sz="4" w:space="0" w:color="A6A6A6" w:themeColor="background1" w:themeShade="A6"/>
              <w:bottom w:val="single" w:sz="4" w:space="0" w:color="A6A6A6" w:themeColor="background1" w:themeShade="A6"/>
            </w:tcBorders>
          </w:tcPr>
          <w:p w14:paraId="402236B4" w14:textId="77777777" w:rsidR="007179EA" w:rsidRPr="0003777A" w:rsidRDefault="007179EA" w:rsidP="00A8632D">
            <w:pPr>
              <w:pStyle w:val="TableText"/>
              <w:ind w:right="57"/>
            </w:pPr>
          </w:p>
        </w:tc>
        <w:tc>
          <w:tcPr>
            <w:tcW w:w="3544" w:type="dxa"/>
            <w:tcBorders>
              <w:top w:val="single" w:sz="4" w:space="0" w:color="A6A6A6" w:themeColor="background1" w:themeShade="A6"/>
              <w:bottom w:val="single" w:sz="4" w:space="0" w:color="A6A6A6" w:themeColor="background1" w:themeShade="A6"/>
            </w:tcBorders>
          </w:tcPr>
          <w:p w14:paraId="7B998096" w14:textId="77777777" w:rsidR="007179EA" w:rsidRPr="0003777A" w:rsidRDefault="007179EA" w:rsidP="00A8632D">
            <w:pPr>
              <w:pStyle w:val="TableText"/>
              <w:ind w:right="57"/>
            </w:pPr>
            <w:r w:rsidRPr="0003777A">
              <w:t>Services raise awareness about the signs and range of gambling harms that affect individuals, families, whānau and communities, and how to respond (9)</w:t>
            </w:r>
          </w:p>
        </w:tc>
        <w:tc>
          <w:tcPr>
            <w:tcW w:w="3119" w:type="dxa"/>
            <w:tcBorders>
              <w:top w:val="single" w:sz="4" w:space="0" w:color="A6A6A6" w:themeColor="background1" w:themeShade="A6"/>
              <w:bottom w:val="single" w:sz="4" w:space="0" w:color="A6A6A6" w:themeColor="background1" w:themeShade="A6"/>
            </w:tcBorders>
          </w:tcPr>
          <w:p w14:paraId="4AE6FB98" w14:textId="77777777" w:rsidR="007179EA" w:rsidRPr="0003777A" w:rsidRDefault="007179EA" w:rsidP="00A8632D">
            <w:pPr>
              <w:pStyle w:val="TableText"/>
              <w:ind w:right="57"/>
            </w:pPr>
          </w:p>
        </w:tc>
        <w:tc>
          <w:tcPr>
            <w:tcW w:w="3402" w:type="dxa"/>
            <w:tcBorders>
              <w:top w:val="single" w:sz="4" w:space="0" w:color="A6A6A6" w:themeColor="background1" w:themeShade="A6"/>
              <w:bottom w:val="single" w:sz="4" w:space="0" w:color="A6A6A6" w:themeColor="background1" w:themeShade="A6"/>
            </w:tcBorders>
          </w:tcPr>
          <w:p w14:paraId="1A4ECEDD" w14:textId="77777777" w:rsidR="007179EA" w:rsidRPr="0003777A" w:rsidRDefault="007179EA" w:rsidP="005B24AB">
            <w:pPr>
              <w:pStyle w:val="TableText"/>
            </w:pPr>
          </w:p>
        </w:tc>
      </w:tr>
    </w:tbl>
    <w:p w14:paraId="4F1B5D66" w14:textId="77777777" w:rsidR="00A8632D" w:rsidRDefault="007179EA" w:rsidP="00A8632D">
      <w:pPr>
        <w:spacing w:before="220"/>
      </w:pPr>
      <w:r w:rsidRPr="008D3CB4">
        <w:t xml:space="preserve">Service and research contracts initiated under the previous strategic framework and its objectives will continue but </w:t>
      </w:r>
      <w:r>
        <w:t xml:space="preserve">will </w:t>
      </w:r>
      <w:r w:rsidRPr="008D3CB4">
        <w:t xml:space="preserve">be gradually shifted to the new framework </w:t>
      </w:r>
      <w:r>
        <w:t>as opportunities occur (for example, through contract renewal or tender processes).</w:t>
      </w:r>
    </w:p>
    <w:p w14:paraId="67DB00A6" w14:textId="77777777" w:rsidR="00A8632D" w:rsidRDefault="00A8632D" w:rsidP="00A8632D">
      <w:pPr>
        <w:pStyle w:val="Heading1"/>
        <w:numPr>
          <w:ilvl w:val="0"/>
          <w:numId w:val="0"/>
        </w:numPr>
        <w:sectPr w:rsidR="00A8632D" w:rsidSect="00A8632D">
          <w:footerReference w:type="default" r:id="rId31"/>
          <w:pgSz w:w="16834" w:h="11907" w:orient="landscape" w:code="9"/>
          <w:pgMar w:top="1134" w:right="1134" w:bottom="1134" w:left="1134" w:header="284" w:footer="425" w:gutter="0"/>
          <w:cols w:space="720"/>
          <w:docGrid w:linePitch="286"/>
        </w:sectPr>
      </w:pPr>
      <w:bookmarkStart w:id="401" w:name="_Toc9239615"/>
      <w:bookmarkStart w:id="402" w:name="_Toc89684412"/>
    </w:p>
    <w:p w14:paraId="57B4BE0A" w14:textId="77777777" w:rsidR="007179EA" w:rsidRPr="00D51F05" w:rsidRDefault="007179EA" w:rsidP="00A8632D">
      <w:pPr>
        <w:pStyle w:val="Heading1"/>
        <w:numPr>
          <w:ilvl w:val="0"/>
          <w:numId w:val="0"/>
        </w:numPr>
      </w:pPr>
      <w:bookmarkStart w:id="403" w:name="_Toc90885068"/>
      <w:r w:rsidRPr="00D51F05">
        <w:lastRenderedPageBreak/>
        <w:t>List of abbreviations</w:t>
      </w:r>
      <w:bookmarkEnd w:id="401"/>
      <w:bookmarkEnd w:id="402"/>
      <w:bookmarkEnd w:id="403"/>
    </w:p>
    <w:tbl>
      <w:tblPr>
        <w:tblW w:w="0" w:type="auto"/>
        <w:tblLook w:val="04A0" w:firstRow="1" w:lastRow="0" w:firstColumn="1" w:lastColumn="0" w:noHBand="0" w:noVBand="1"/>
      </w:tblPr>
      <w:tblGrid>
        <w:gridCol w:w="1494"/>
        <w:gridCol w:w="6694"/>
      </w:tblGrid>
      <w:tr w:rsidR="007179EA" w14:paraId="122110DF" w14:textId="77777777" w:rsidTr="005B24AB">
        <w:tc>
          <w:tcPr>
            <w:tcW w:w="1494" w:type="dxa"/>
            <w:hideMark/>
          </w:tcPr>
          <w:p w14:paraId="4BEB6863" w14:textId="77777777" w:rsidR="007179EA" w:rsidRDefault="007179EA" w:rsidP="005B24AB">
            <w:pPr>
              <w:spacing w:before="120"/>
            </w:pPr>
            <w:r>
              <w:t>AUT</w:t>
            </w:r>
          </w:p>
        </w:tc>
        <w:tc>
          <w:tcPr>
            <w:tcW w:w="6694" w:type="dxa"/>
            <w:hideMark/>
          </w:tcPr>
          <w:p w14:paraId="2110873E" w14:textId="77777777" w:rsidR="007179EA" w:rsidRDefault="007179EA" w:rsidP="005B24AB">
            <w:pPr>
              <w:spacing w:before="120"/>
            </w:pPr>
            <w:r>
              <w:t>Auckland University of Technology</w:t>
            </w:r>
          </w:p>
        </w:tc>
      </w:tr>
      <w:tr w:rsidR="007179EA" w14:paraId="45274DE4" w14:textId="77777777" w:rsidTr="005B24AB">
        <w:tc>
          <w:tcPr>
            <w:tcW w:w="1494" w:type="dxa"/>
            <w:hideMark/>
          </w:tcPr>
          <w:p w14:paraId="1990E918" w14:textId="77777777" w:rsidR="007179EA" w:rsidRDefault="007179EA" w:rsidP="005B24AB">
            <w:pPr>
              <w:spacing w:before="120"/>
            </w:pPr>
            <w:r>
              <w:t>CLIC</w:t>
            </w:r>
          </w:p>
        </w:tc>
        <w:tc>
          <w:tcPr>
            <w:tcW w:w="6694" w:type="dxa"/>
            <w:hideMark/>
          </w:tcPr>
          <w:p w14:paraId="674B0C64" w14:textId="77777777" w:rsidR="007179EA" w:rsidRDefault="007179EA" w:rsidP="005B24AB">
            <w:pPr>
              <w:spacing w:before="120"/>
            </w:pPr>
            <w:r>
              <w:t>Client Information Collection</w:t>
            </w:r>
          </w:p>
        </w:tc>
      </w:tr>
      <w:tr w:rsidR="007179EA" w14:paraId="70DFB976" w14:textId="77777777" w:rsidTr="005B24AB">
        <w:tc>
          <w:tcPr>
            <w:tcW w:w="1494" w:type="dxa"/>
          </w:tcPr>
          <w:p w14:paraId="0FE3FD72" w14:textId="77777777" w:rsidR="007179EA" w:rsidRDefault="007179EA" w:rsidP="005B24AB">
            <w:pPr>
              <w:spacing w:before="120"/>
            </w:pPr>
            <w:r>
              <w:t>CYWS</w:t>
            </w:r>
          </w:p>
        </w:tc>
        <w:tc>
          <w:tcPr>
            <w:tcW w:w="6694" w:type="dxa"/>
          </w:tcPr>
          <w:p w14:paraId="387EBB2F" w14:textId="77777777" w:rsidR="007179EA" w:rsidRDefault="007179EA" w:rsidP="005B24AB">
            <w:pPr>
              <w:spacing w:before="120"/>
            </w:pPr>
            <w:r>
              <w:t>Child and Youth Wellbeing Strategy</w:t>
            </w:r>
          </w:p>
        </w:tc>
      </w:tr>
      <w:tr w:rsidR="007179EA" w14:paraId="7DC17776" w14:textId="77777777" w:rsidTr="005B24AB">
        <w:tc>
          <w:tcPr>
            <w:tcW w:w="1494" w:type="dxa"/>
            <w:hideMark/>
          </w:tcPr>
          <w:p w14:paraId="51DAD755" w14:textId="77777777" w:rsidR="007179EA" w:rsidRDefault="007179EA" w:rsidP="005B24AB">
            <w:pPr>
              <w:spacing w:before="120"/>
            </w:pPr>
            <w:r>
              <w:t>daapanz</w:t>
            </w:r>
          </w:p>
        </w:tc>
        <w:tc>
          <w:tcPr>
            <w:tcW w:w="6694" w:type="dxa"/>
            <w:hideMark/>
          </w:tcPr>
          <w:p w14:paraId="5383AE45" w14:textId="77777777" w:rsidR="007179EA" w:rsidRDefault="007179EA" w:rsidP="005B24AB">
            <w:pPr>
              <w:spacing w:before="120"/>
            </w:pPr>
            <w:r>
              <w:t>Addiction Practitioners</w:t>
            </w:r>
            <w:r w:rsidR="00BC6B27">
              <w:t>’</w:t>
            </w:r>
            <w:r>
              <w:t xml:space="preserve"> Association Aotearoa New Zealand</w:t>
            </w:r>
          </w:p>
        </w:tc>
      </w:tr>
      <w:tr w:rsidR="007179EA" w14:paraId="6D759AD0" w14:textId="77777777" w:rsidTr="005B24AB">
        <w:tc>
          <w:tcPr>
            <w:tcW w:w="1494" w:type="dxa"/>
            <w:hideMark/>
          </w:tcPr>
          <w:p w14:paraId="0210E760" w14:textId="77777777" w:rsidR="007179EA" w:rsidRDefault="007179EA" w:rsidP="005B24AB">
            <w:pPr>
              <w:spacing w:before="120"/>
            </w:pPr>
            <w:r>
              <w:t>DIA</w:t>
            </w:r>
          </w:p>
        </w:tc>
        <w:tc>
          <w:tcPr>
            <w:tcW w:w="6694" w:type="dxa"/>
            <w:hideMark/>
          </w:tcPr>
          <w:p w14:paraId="5D890AF1" w14:textId="77777777" w:rsidR="007179EA" w:rsidRDefault="007179EA" w:rsidP="005B24AB">
            <w:pPr>
              <w:spacing w:before="120"/>
            </w:pPr>
            <w:r>
              <w:t>Department of Internal Affairs</w:t>
            </w:r>
          </w:p>
        </w:tc>
      </w:tr>
      <w:tr w:rsidR="007179EA" w14:paraId="73D64AD6" w14:textId="77777777" w:rsidTr="005B24AB">
        <w:tc>
          <w:tcPr>
            <w:tcW w:w="1494" w:type="dxa"/>
            <w:hideMark/>
          </w:tcPr>
          <w:p w14:paraId="53C1178B" w14:textId="77777777" w:rsidR="007179EA" w:rsidRDefault="007179EA" w:rsidP="005B24AB">
            <w:pPr>
              <w:spacing w:before="120"/>
            </w:pPr>
            <w:r>
              <w:t>EGM</w:t>
            </w:r>
          </w:p>
        </w:tc>
        <w:tc>
          <w:tcPr>
            <w:tcW w:w="6694" w:type="dxa"/>
            <w:hideMark/>
          </w:tcPr>
          <w:p w14:paraId="31B1249C" w14:textId="77777777" w:rsidR="007179EA" w:rsidRDefault="007179EA" w:rsidP="005B24AB">
            <w:pPr>
              <w:spacing w:before="120"/>
            </w:pPr>
            <w:r>
              <w:t>Electronic gaming machine</w:t>
            </w:r>
          </w:p>
        </w:tc>
      </w:tr>
      <w:tr w:rsidR="007179EA" w14:paraId="3F13A22B" w14:textId="77777777" w:rsidTr="005B24AB">
        <w:tc>
          <w:tcPr>
            <w:tcW w:w="1494" w:type="dxa"/>
            <w:hideMark/>
          </w:tcPr>
          <w:p w14:paraId="7F01EF98" w14:textId="77777777" w:rsidR="007179EA" w:rsidRDefault="007179EA" w:rsidP="005B24AB">
            <w:pPr>
              <w:spacing w:before="120"/>
            </w:pPr>
            <w:r>
              <w:t>EMS</w:t>
            </w:r>
          </w:p>
        </w:tc>
        <w:tc>
          <w:tcPr>
            <w:tcW w:w="6694" w:type="dxa"/>
            <w:hideMark/>
          </w:tcPr>
          <w:p w14:paraId="0851A42A" w14:textId="77777777" w:rsidR="007179EA" w:rsidRDefault="007179EA" w:rsidP="005B24AB">
            <w:pPr>
              <w:spacing w:before="120"/>
            </w:pPr>
            <w:r>
              <w:t>Electronic monitoring system</w:t>
            </w:r>
          </w:p>
        </w:tc>
      </w:tr>
      <w:tr w:rsidR="007179EA" w14:paraId="448E831E" w14:textId="77777777" w:rsidTr="005B24AB">
        <w:tc>
          <w:tcPr>
            <w:tcW w:w="1494" w:type="dxa"/>
            <w:hideMark/>
          </w:tcPr>
          <w:p w14:paraId="6F412D53" w14:textId="77777777" w:rsidR="007179EA" w:rsidRDefault="007179EA" w:rsidP="005B24AB">
            <w:pPr>
              <w:spacing w:before="120"/>
            </w:pPr>
            <w:r>
              <w:t>FTE</w:t>
            </w:r>
          </w:p>
        </w:tc>
        <w:tc>
          <w:tcPr>
            <w:tcW w:w="6694" w:type="dxa"/>
            <w:hideMark/>
          </w:tcPr>
          <w:p w14:paraId="3274C3F6" w14:textId="77777777" w:rsidR="007179EA" w:rsidRDefault="007179EA" w:rsidP="005B24AB">
            <w:pPr>
              <w:spacing w:before="120"/>
            </w:pPr>
            <w:r>
              <w:t>Full-time equivalent</w:t>
            </w:r>
          </w:p>
        </w:tc>
      </w:tr>
      <w:tr w:rsidR="007179EA" w14:paraId="55A00CA0" w14:textId="77777777" w:rsidTr="005B24AB">
        <w:tc>
          <w:tcPr>
            <w:tcW w:w="1494" w:type="dxa"/>
          </w:tcPr>
          <w:p w14:paraId="2A48EC11" w14:textId="77777777" w:rsidR="007179EA" w:rsidRDefault="007179EA" w:rsidP="005B24AB">
            <w:pPr>
              <w:spacing w:before="120"/>
            </w:pPr>
            <w:r>
              <w:t>GHAW</w:t>
            </w:r>
          </w:p>
        </w:tc>
        <w:tc>
          <w:tcPr>
            <w:tcW w:w="6694" w:type="dxa"/>
          </w:tcPr>
          <w:p w14:paraId="4A951DAB" w14:textId="77777777" w:rsidR="007179EA" w:rsidRDefault="007179EA" w:rsidP="005B24AB">
            <w:pPr>
              <w:spacing w:before="120"/>
            </w:pPr>
            <w:r>
              <w:t>Gambling Harm Awareness Week</w:t>
            </w:r>
          </w:p>
        </w:tc>
      </w:tr>
      <w:tr w:rsidR="007179EA" w14:paraId="26D3E4B7" w14:textId="77777777" w:rsidTr="005B24AB">
        <w:tc>
          <w:tcPr>
            <w:tcW w:w="1494" w:type="dxa"/>
          </w:tcPr>
          <w:p w14:paraId="7811385A" w14:textId="77777777" w:rsidR="007179EA" w:rsidRDefault="007179EA" w:rsidP="005B24AB">
            <w:pPr>
              <w:spacing w:before="120"/>
            </w:pPr>
            <w:r>
              <w:t>GMP</w:t>
            </w:r>
          </w:p>
        </w:tc>
        <w:tc>
          <w:tcPr>
            <w:tcW w:w="6694" w:type="dxa"/>
          </w:tcPr>
          <w:p w14:paraId="47ABD9EB" w14:textId="77777777" w:rsidR="007179EA" w:rsidRDefault="007179EA" w:rsidP="005B24AB">
            <w:pPr>
              <w:spacing w:before="120"/>
            </w:pPr>
            <w:r>
              <w:t>Gaming Machine Profits</w:t>
            </w:r>
          </w:p>
        </w:tc>
      </w:tr>
      <w:tr w:rsidR="007179EA" w14:paraId="28B6A69A" w14:textId="77777777" w:rsidTr="005B24AB">
        <w:tc>
          <w:tcPr>
            <w:tcW w:w="1494" w:type="dxa"/>
            <w:hideMark/>
          </w:tcPr>
          <w:p w14:paraId="29F9F9E1" w14:textId="77777777" w:rsidR="007179EA" w:rsidRDefault="007179EA" w:rsidP="005B24AB">
            <w:pPr>
              <w:spacing w:before="120"/>
            </w:pPr>
            <w:r>
              <w:t>HLS</w:t>
            </w:r>
          </w:p>
        </w:tc>
        <w:tc>
          <w:tcPr>
            <w:tcW w:w="6694" w:type="dxa"/>
            <w:hideMark/>
          </w:tcPr>
          <w:p w14:paraId="75F3E575" w14:textId="77777777" w:rsidR="007179EA" w:rsidRDefault="007179EA" w:rsidP="005B24AB">
            <w:pPr>
              <w:spacing w:before="120"/>
            </w:pPr>
            <w:r>
              <w:t>Health and Lifestyles Survey</w:t>
            </w:r>
          </w:p>
        </w:tc>
      </w:tr>
      <w:tr w:rsidR="007179EA" w14:paraId="25FF606F" w14:textId="77777777" w:rsidTr="005B24AB">
        <w:tc>
          <w:tcPr>
            <w:tcW w:w="1494" w:type="dxa"/>
          </w:tcPr>
          <w:p w14:paraId="02222768" w14:textId="77777777" w:rsidR="007179EA" w:rsidRDefault="007179EA" w:rsidP="005B24AB">
            <w:pPr>
              <w:spacing w:before="120"/>
            </w:pPr>
            <w:r>
              <w:t>HRP</w:t>
            </w:r>
          </w:p>
        </w:tc>
        <w:tc>
          <w:tcPr>
            <w:tcW w:w="6694" w:type="dxa"/>
          </w:tcPr>
          <w:p w14:paraId="734E82DD" w14:textId="77777777" w:rsidR="007179EA" w:rsidRDefault="007179EA" w:rsidP="005B24AB">
            <w:pPr>
              <w:spacing w:before="120"/>
            </w:pPr>
            <w:r>
              <w:t>Host Responsibility Programme</w:t>
            </w:r>
          </w:p>
        </w:tc>
      </w:tr>
      <w:tr w:rsidR="007179EA" w14:paraId="785CCFF7" w14:textId="77777777" w:rsidTr="005B24AB">
        <w:tc>
          <w:tcPr>
            <w:tcW w:w="1494" w:type="dxa"/>
            <w:hideMark/>
          </w:tcPr>
          <w:p w14:paraId="51234E60" w14:textId="77777777" w:rsidR="007179EA" w:rsidRDefault="007179EA" w:rsidP="005B24AB">
            <w:pPr>
              <w:spacing w:before="120"/>
            </w:pPr>
            <w:r>
              <w:t>IRD</w:t>
            </w:r>
          </w:p>
        </w:tc>
        <w:tc>
          <w:tcPr>
            <w:tcW w:w="6694" w:type="dxa"/>
            <w:hideMark/>
          </w:tcPr>
          <w:p w14:paraId="5282A0BA" w14:textId="77777777" w:rsidR="007179EA" w:rsidRDefault="007179EA" w:rsidP="005B24AB">
            <w:pPr>
              <w:spacing w:before="120"/>
            </w:pPr>
            <w:r>
              <w:t>Inland Revenue Department</w:t>
            </w:r>
          </w:p>
        </w:tc>
      </w:tr>
      <w:tr w:rsidR="007179EA" w14:paraId="37D3091A" w14:textId="77777777" w:rsidTr="005B24AB">
        <w:tc>
          <w:tcPr>
            <w:tcW w:w="1494" w:type="dxa"/>
            <w:hideMark/>
          </w:tcPr>
          <w:p w14:paraId="1BA3331D" w14:textId="77777777" w:rsidR="007179EA" w:rsidRDefault="007179EA" w:rsidP="005B24AB">
            <w:pPr>
              <w:spacing w:before="120"/>
            </w:pPr>
            <w:r>
              <w:t>MVE</w:t>
            </w:r>
          </w:p>
        </w:tc>
        <w:tc>
          <w:tcPr>
            <w:tcW w:w="6694" w:type="dxa"/>
            <w:hideMark/>
          </w:tcPr>
          <w:p w14:paraId="5EECA717" w14:textId="77777777" w:rsidR="007179EA" w:rsidRDefault="007179EA" w:rsidP="005B24AB">
            <w:pPr>
              <w:spacing w:before="120"/>
            </w:pPr>
            <w:r>
              <w:t>Multi-venue exclusion</w:t>
            </w:r>
          </w:p>
        </w:tc>
      </w:tr>
      <w:tr w:rsidR="007179EA" w14:paraId="68E00009" w14:textId="77777777" w:rsidTr="005B24AB">
        <w:tc>
          <w:tcPr>
            <w:tcW w:w="1494" w:type="dxa"/>
            <w:hideMark/>
          </w:tcPr>
          <w:p w14:paraId="36110BEE" w14:textId="77777777" w:rsidR="007179EA" w:rsidRDefault="007179EA" w:rsidP="005B24AB">
            <w:pPr>
              <w:spacing w:before="120"/>
            </w:pPr>
            <w:r>
              <w:t>NCGM</w:t>
            </w:r>
          </w:p>
        </w:tc>
        <w:tc>
          <w:tcPr>
            <w:tcW w:w="6694" w:type="dxa"/>
            <w:hideMark/>
          </w:tcPr>
          <w:p w14:paraId="47036900" w14:textId="77777777" w:rsidR="007179EA" w:rsidRDefault="007179EA" w:rsidP="005B24AB">
            <w:pPr>
              <w:spacing w:before="120"/>
            </w:pPr>
            <w:r>
              <w:t>Non-casino gaming machine</w:t>
            </w:r>
          </w:p>
        </w:tc>
      </w:tr>
      <w:tr w:rsidR="007179EA" w14:paraId="359F311F" w14:textId="77777777" w:rsidTr="005B24AB">
        <w:tc>
          <w:tcPr>
            <w:tcW w:w="1494" w:type="dxa"/>
          </w:tcPr>
          <w:p w14:paraId="746E4DB5" w14:textId="77777777" w:rsidR="007179EA" w:rsidRDefault="007179EA" w:rsidP="005B24AB">
            <w:pPr>
              <w:spacing w:before="120"/>
            </w:pPr>
            <w:r>
              <w:t>NCS</w:t>
            </w:r>
          </w:p>
        </w:tc>
        <w:tc>
          <w:tcPr>
            <w:tcW w:w="6694" w:type="dxa"/>
          </w:tcPr>
          <w:p w14:paraId="46A7FCEF" w14:textId="77777777" w:rsidR="007179EA" w:rsidRDefault="007179EA" w:rsidP="005B24AB">
            <w:pPr>
              <w:spacing w:before="120"/>
            </w:pPr>
            <w:r>
              <w:t>National Coordination Service</w:t>
            </w:r>
          </w:p>
        </w:tc>
      </w:tr>
      <w:tr w:rsidR="007179EA" w14:paraId="570CEDEA" w14:textId="77777777" w:rsidTr="005B24AB">
        <w:tc>
          <w:tcPr>
            <w:tcW w:w="1494" w:type="dxa"/>
            <w:hideMark/>
          </w:tcPr>
          <w:p w14:paraId="372C3300" w14:textId="77777777" w:rsidR="007179EA" w:rsidRDefault="007179EA" w:rsidP="005B24AB">
            <w:pPr>
              <w:spacing w:before="120"/>
            </w:pPr>
            <w:r>
              <w:t>NGO</w:t>
            </w:r>
          </w:p>
        </w:tc>
        <w:tc>
          <w:tcPr>
            <w:tcW w:w="6694" w:type="dxa"/>
            <w:hideMark/>
          </w:tcPr>
          <w:p w14:paraId="35AD5E71" w14:textId="77777777" w:rsidR="007179EA" w:rsidRDefault="007179EA" w:rsidP="005B24AB">
            <w:pPr>
              <w:spacing w:before="120"/>
            </w:pPr>
            <w:r>
              <w:t>Non-governmental organisation</w:t>
            </w:r>
          </w:p>
        </w:tc>
      </w:tr>
      <w:tr w:rsidR="007179EA" w14:paraId="0F1BF36C" w14:textId="77777777" w:rsidTr="005B24AB">
        <w:tc>
          <w:tcPr>
            <w:tcW w:w="1494" w:type="dxa"/>
            <w:hideMark/>
          </w:tcPr>
          <w:p w14:paraId="2610142F" w14:textId="77777777" w:rsidR="007179EA" w:rsidRDefault="007179EA" w:rsidP="005B24AB">
            <w:pPr>
              <w:spacing w:before="120"/>
            </w:pPr>
            <w:r>
              <w:t>NGS</w:t>
            </w:r>
          </w:p>
        </w:tc>
        <w:tc>
          <w:tcPr>
            <w:tcW w:w="6694" w:type="dxa"/>
            <w:hideMark/>
          </w:tcPr>
          <w:p w14:paraId="51E3114F" w14:textId="77777777" w:rsidR="007179EA" w:rsidRDefault="007179EA" w:rsidP="005B24AB">
            <w:pPr>
              <w:spacing w:before="120"/>
            </w:pPr>
            <w:r>
              <w:t>National Gambling Study</w:t>
            </w:r>
          </w:p>
        </w:tc>
      </w:tr>
      <w:tr w:rsidR="007179EA" w14:paraId="3A95DA81" w14:textId="77777777" w:rsidTr="005B24AB">
        <w:tc>
          <w:tcPr>
            <w:tcW w:w="1494" w:type="dxa"/>
          </w:tcPr>
          <w:p w14:paraId="3E56230B" w14:textId="77777777" w:rsidR="007179EA" w:rsidRDefault="007179EA" w:rsidP="005B24AB">
            <w:pPr>
              <w:spacing w:before="120"/>
            </w:pPr>
            <w:r>
              <w:t>NZAC</w:t>
            </w:r>
          </w:p>
        </w:tc>
        <w:tc>
          <w:tcPr>
            <w:tcW w:w="6694" w:type="dxa"/>
          </w:tcPr>
          <w:p w14:paraId="098B284D" w14:textId="77777777" w:rsidR="007179EA" w:rsidRDefault="007179EA" w:rsidP="005B24AB">
            <w:pPr>
              <w:spacing w:before="120"/>
            </w:pPr>
            <w:r w:rsidRPr="00D40B68">
              <w:t>New Zealand Association of Counsellors</w:t>
            </w:r>
          </w:p>
        </w:tc>
      </w:tr>
      <w:tr w:rsidR="007179EA" w14:paraId="3DE8F7D3" w14:textId="77777777" w:rsidTr="005B24AB">
        <w:tc>
          <w:tcPr>
            <w:tcW w:w="1494" w:type="dxa"/>
          </w:tcPr>
          <w:p w14:paraId="21EC5A1C" w14:textId="77777777" w:rsidR="007179EA" w:rsidRDefault="007179EA" w:rsidP="005B24AB">
            <w:pPr>
              <w:spacing w:before="120"/>
            </w:pPr>
            <w:r>
              <w:t>NZQA</w:t>
            </w:r>
          </w:p>
        </w:tc>
        <w:tc>
          <w:tcPr>
            <w:tcW w:w="6694" w:type="dxa"/>
          </w:tcPr>
          <w:p w14:paraId="0349B672" w14:textId="77777777" w:rsidR="007179EA" w:rsidRDefault="007179EA" w:rsidP="005B24AB">
            <w:pPr>
              <w:spacing w:before="120"/>
            </w:pPr>
            <w:r>
              <w:t>New Zealand Qualifications Authority</w:t>
            </w:r>
          </w:p>
        </w:tc>
      </w:tr>
      <w:tr w:rsidR="007179EA" w14:paraId="6AD9242C" w14:textId="77777777" w:rsidTr="005B24AB">
        <w:tc>
          <w:tcPr>
            <w:tcW w:w="1494" w:type="dxa"/>
            <w:hideMark/>
          </w:tcPr>
          <w:p w14:paraId="2D782D47" w14:textId="77777777" w:rsidR="007179EA" w:rsidRDefault="007179EA" w:rsidP="005B24AB">
            <w:pPr>
              <w:spacing w:before="120"/>
            </w:pPr>
            <w:r>
              <w:t>PGF</w:t>
            </w:r>
          </w:p>
        </w:tc>
        <w:tc>
          <w:tcPr>
            <w:tcW w:w="6694" w:type="dxa"/>
            <w:hideMark/>
          </w:tcPr>
          <w:p w14:paraId="766DBC2E" w14:textId="77777777" w:rsidR="007179EA" w:rsidRDefault="007179EA" w:rsidP="005B24AB">
            <w:pPr>
              <w:spacing w:before="120"/>
            </w:pPr>
            <w:r>
              <w:t>Problem Gambling Foundation of New Zealand</w:t>
            </w:r>
          </w:p>
        </w:tc>
      </w:tr>
      <w:tr w:rsidR="007179EA" w14:paraId="211C0777" w14:textId="77777777" w:rsidTr="005B24AB">
        <w:tc>
          <w:tcPr>
            <w:tcW w:w="1494" w:type="dxa"/>
            <w:hideMark/>
          </w:tcPr>
          <w:p w14:paraId="274DA8BE" w14:textId="77777777" w:rsidR="007179EA" w:rsidRDefault="007179EA" w:rsidP="005B24AB">
            <w:pPr>
              <w:spacing w:before="120"/>
            </w:pPr>
            <w:r>
              <w:t>PGSI</w:t>
            </w:r>
          </w:p>
        </w:tc>
        <w:tc>
          <w:tcPr>
            <w:tcW w:w="6694" w:type="dxa"/>
            <w:hideMark/>
          </w:tcPr>
          <w:p w14:paraId="694F4522" w14:textId="77777777" w:rsidR="007179EA" w:rsidRDefault="007179EA" w:rsidP="005B24AB">
            <w:pPr>
              <w:spacing w:before="120"/>
            </w:pPr>
            <w:r>
              <w:t>Problem gambling severity index</w:t>
            </w:r>
          </w:p>
        </w:tc>
      </w:tr>
      <w:tr w:rsidR="007179EA" w14:paraId="07986F1E" w14:textId="77777777" w:rsidTr="005B24AB">
        <w:tc>
          <w:tcPr>
            <w:tcW w:w="1494" w:type="dxa"/>
            <w:hideMark/>
          </w:tcPr>
          <w:p w14:paraId="4B57191A" w14:textId="77777777" w:rsidR="007179EA" w:rsidRDefault="007179EA" w:rsidP="005B24AB">
            <w:pPr>
              <w:spacing w:before="120"/>
            </w:pPr>
            <w:r>
              <w:t>PPGM</w:t>
            </w:r>
          </w:p>
        </w:tc>
        <w:tc>
          <w:tcPr>
            <w:tcW w:w="6694" w:type="dxa"/>
            <w:hideMark/>
          </w:tcPr>
          <w:p w14:paraId="676ACF1D" w14:textId="77777777" w:rsidR="007179EA" w:rsidRDefault="007179EA" w:rsidP="005B24AB">
            <w:pPr>
              <w:spacing w:before="120"/>
            </w:pPr>
            <w:r>
              <w:t>Primary problem gambling mode</w:t>
            </w:r>
          </w:p>
        </w:tc>
      </w:tr>
      <w:tr w:rsidR="007179EA" w14:paraId="463AF0E9" w14:textId="77777777" w:rsidTr="005B24AB">
        <w:tc>
          <w:tcPr>
            <w:tcW w:w="1494" w:type="dxa"/>
          </w:tcPr>
          <w:p w14:paraId="7DEB94BB" w14:textId="77777777" w:rsidR="007179EA" w:rsidRDefault="007179EA" w:rsidP="005B24AB">
            <w:pPr>
              <w:spacing w:before="120"/>
            </w:pPr>
            <w:r>
              <w:t>TAB NZ</w:t>
            </w:r>
          </w:p>
        </w:tc>
        <w:tc>
          <w:tcPr>
            <w:tcW w:w="6694" w:type="dxa"/>
          </w:tcPr>
          <w:p w14:paraId="51B5CB09" w14:textId="77777777" w:rsidR="007179EA" w:rsidRDefault="007179EA" w:rsidP="005B24AB">
            <w:pPr>
              <w:spacing w:before="120"/>
            </w:pPr>
            <w:r w:rsidRPr="00D40B68">
              <w:t>TAB New Zealand</w:t>
            </w:r>
          </w:p>
        </w:tc>
      </w:tr>
      <w:tr w:rsidR="007179EA" w14:paraId="6AC8D2E7" w14:textId="77777777" w:rsidTr="005B24AB">
        <w:tc>
          <w:tcPr>
            <w:tcW w:w="1494" w:type="dxa"/>
            <w:hideMark/>
          </w:tcPr>
          <w:p w14:paraId="5E38EFE9" w14:textId="77777777" w:rsidR="007179EA" w:rsidRDefault="007179EA" w:rsidP="005B24AB">
            <w:pPr>
              <w:spacing w:before="120"/>
            </w:pPr>
            <w:r>
              <w:t>WHO</w:t>
            </w:r>
          </w:p>
        </w:tc>
        <w:tc>
          <w:tcPr>
            <w:tcW w:w="6694" w:type="dxa"/>
            <w:hideMark/>
          </w:tcPr>
          <w:p w14:paraId="4958B29B" w14:textId="77777777" w:rsidR="007179EA" w:rsidRDefault="007179EA" w:rsidP="005B24AB">
            <w:pPr>
              <w:spacing w:before="120"/>
            </w:pPr>
            <w:r>
              <w:t>World Health Organization</w:t>
            </w:r>
          </w:p>
        </w:tc>
      </w:tr>
    </w:tbl>
    <w:p w14:paraId="354FC5A7" w14:textId="77777777" w:rsidR="00872ED9" w:rsidRPr="00466303" w:rsidRDefault="00872ED9" w:rsidP="00466303"/>
    <w:sectPr w:rsidR="00872ED9" w:rsidRPr="00466303" w:rsidSect="00124241">
      <w:footerReference w:type="default" r:id="rId32"/>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67E9" w14:textId="77777777" w:rsidR="007D2472" w:rsidRDefault="007D2472">
      <w:r>
        <w:separator/>
      </w:r>
    </w:p>
    <w:p w14:paraId="20A331CF" w14:textId="77777777" w:rsidR="007D2472" w:rsidRDefault="007D2472"/>
  </w:endnote>
  <w:endnote w:type="continuationSeparator" w:id="0">
    <w:p w14:paraId="240E33D9" w14:textId="77777777" w:rsidR="007D2472" w:rsidRDefault="007D2472">
      <w:r>
        <w:continuationSeparator/>
      </w:r>
    </w:p>
    <w:p w14:paraId="4FE7BF4F" w14:textId="77777777" w:rsidR="007D2472" w:rsidRDefault="007D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D80B" w14:textId="77777777" w:rsidR="0018228E" w:rsidRPr="00581136" w:rsidRDefault="0018228E"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6EF40758" w14:textId="77777777" w:rsidR="0018228E" w:rsidRPr="005A79E5" w:rsidRDefault="0018228E">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8228E" w14:paraId="0935AEAB" w14:textId="77777777" w:rsidTr="006E2886">
      <w:trPr>
        <w:cantSplit/>
      </w:trPr>
      <w:tc>
        <w:tcPr>
          <w:tcW w:w="8080" w:type="dxa"/>
          <w:vAlign w:val="center"/>
        </w:tcPr>
        <w:p w14:paraId="6EBE82A0" w14:textId="77777777" w:rsidR="0018228E" w:rsidRDefault="0018228E" w:rsidP="007179EA">
          <w:pPr>
            <w:pStyle w:val="RectoFooter"/>
          </w:pPr>
          <w:r>
            <w:t>strategy to prevent and minimise gambling harm 2022/23 to 2024/25:</w:t>
          </w:r>
          <w:r>
            <w:br/>
            <w:t>Proposal document</w:t>
          </w:r>
        </w:p>
      </w:tc>
      <w:tc>
        <w:tcPr>
          <w:tcW w:w="709" w:type="dxa"/>
          <w:vAlign w:val="center"/>
        </w:tcPr>
        <w:p w14:paraId="1DA62066" w14:textId="77777777" w:rsidR="0018228E" w:rsidRPr="00931466" w:rsidRDefault="0018228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A5C0C">
            <w:rPr>
              <w:rStyle w:val="PageNumber"/>
              <w:noProof/>
            </w:rPr>
            <w:t>79</w:t>
          </w:r>
          <w:r w:rsidRPr="00931466">
            <w:rPr>
              <w:rStyle w:val="PageNumber"/>
            </w:rPr>
            <w:fldChar w:fldCharType="end"/>
          </w:r>
        </w:p>
      </w:tc>
    </w:tr>
  </w:tbl>
  <w:p w14:paraId="6B7A7FC7" w14:textId="77777777" w:rsidR="0018228E" w:rsidRPr="00581EB8" w:rsidRDefault="0018228E"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68" w:type="dxa"/>
      <w:tblLayout w:type="fixed"/>
      <w:tblCellMar>
        <w:left w:w="0" w:type="dxa"/>
        <w:right w:w="0" w:type="dxa"/>
      </w:tblCellMar>
      <w:tblLook w:val="04A0" w:firstRow="1" w:lastRow="0" w:firstColumn="1" w:lastColumn="0" w:noHBand="0" w:noVBand="1"/>
    </w:tblPr>
    <w:tblGrid>
      <w:gridCol w:w="14601"/>
      <w:gridCol w:w="567"/>
    </w:tblGrid>
    <w:tr w:rsidR="0018228E" w14:paraId="0E53682A" w14:textId="77777777" w:rsidTr="00A8632D">
      <w:trPr>
        <w:cantSplit/>
      </w:trPr>
      <w:tc>
        <w:tcPr>
          <w:tcW w:w="14601" w:type="dxa"/>
          <w:vAlign w:val="center"/>
        </w:tcPr>
        <w:p w14:paraId="68BF5B66" w14:textId="77777777" w:rsidR="0018228E" w:rsidRDefault="0018228E" w:rsidP="007179EA">
          <w:pPr>
            <w:pStyle w:val="RectoFooter"/>
          </w:pPr>
          <w:r>
            <w:t>strategy to prevent and minimise gambling harm 2022/23 to 2024/25:</w:t>
          </w:r>
          <w:r>
            <w:br/>
            <w:t>Proposal document</w:t>
          </w:r>
        </w:p>
      </w:tc>
      <w:tc>
        <w:tcPr>
          <w:tcW w:w="567" w:type="dxa"/>
          <w:vAlign w:val="center"/>
        </w:tcPr>
        <w:p w14:paraId="102248E6" w14:textId="77777777" w:rsidR="0018228E" w:rsidRPr="00931466" w:rsidRDefault="0018228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72ED9">
            <w:rPr>
              <w:rStyle w:val="PageNumber"/>
              <w:noProof/>
            </w:rPr>
            <w:t>87</w:t>
          </w:r>
          <w:r w:rsidRPr="00931466">
            <w:rPr>
              <w:rStyle w:val="PageNumber"/>
            </w:rPr>
            <w:fldChar w:fldCharType="end"/>
          </w:r>
        </w:p>
      </w:tc>
    </w:tr>
  </w:tbl>
  <w:p w14:paraId="30CFC71C" w14:textId="77777777" w:rsidR="0018228E" w:rsidRPr="00581EB8" w:rsidRDefault="0018228E"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8228E" w14:paraId="098F6708" w14:textId="77777777" w:rsidTr="006E2886">
      <w:trPr>
        <w:cantSplit/>
      </w:trPr>
      <w:tc>
        <w:tcPr>
          <w:tcW w:w="8080" w:type="dxa"/>
          <w:vAlign w:val="center"/>
        </w:tcPr>
        <w:p w14:paraId="285473F0" w14:textId="77777777" w:rsidR="0018228E" w:rsidRDefault="0018228E" w:rsidP="007179EA">
          <w:pPr>
            <w:pStyle w:val="RectoFooter"/>
          </w:pPr>
          <w:r>
            <w:t>strategy to prevent and minimise gambling harm 2022/23 to 2024/25:</w:t>
          </w:r>
          <w:r>
            <w:br/>
            <w:t>Proposal document</w:t>
          </w:r>
        </w:p>
      </w:tc>
      <w:tc>
        <w:tcPr>
          <w:tcW w:w="709" w:type="dxa"/>
          <w:vAlign w:val="center"/>
        </w:tcPr>
        <w:p w14:paraId="4AF08E49" w14:textId="77777777" w:rsidR="0018228E" w:rsidRPr="00931466" w:rsidRDefault="0018228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706CF">
            <w:rPr>
              <w:rStyle w:val="PageNumber"/>
              <w:noProof/>
            </w:rPr>
            <w:t>67</w:t>
          </w:r>
          <w:r w:rsidRPr="00931466">
            <w:rPr>
              <w:rStyle w:val="PageNumber"/>
            </w:rPr>
            <w:fldChar w:fldCharType="end"/>
          </w:r>
        </w:p>
      </w:tc>
    </w:tr>
  </w:tbl>
  <w:p w14:paraId="5D704F95" w14:textId="77777777" w:rsidR="0018228E" w:rsidRPr="00581EB8" w:rsidRDefault="0018228E"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C157" w14:textId="77777777" w:rsidR="0018228E" w:rsidRDefault="0018228E"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4DAF" w14:textId="77777777" w:rsidR="0018228E" w:rsidRDefault="001822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8228E" w14:paraId="53008018" w14:textId="77777777" w:rsidTr="00D662F8">
      <w:trPr>
        <w:cantSplit/>
      </w:trPr>
      <w:tc>
        <w:tcPr>
          <w:tcW w:w="709" w:type="dxa"/>
          <w:vAlign w:val="center"/>
        </w:tcPr>
        <w:p w14:paraId="5EE5F1AD" w14:textId="77777777" w:rsidR="0018228E" w:rsidRPr="00931466" w:rsidRDefault="0018228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8494F">
            <w:rPr>
              <w:rStyle w:val="PageNumber"/>
              <w:noProof/>
            </w:rPr>
            <w:t>iv</w:t>
          </w:r>
          <w:r w:rsidRPr="00931466">
            <w:rPr>
              <w:rStyle w:val="PageNumber"/>
            </w:rPr>
            <w:fldChar w:fldCharType="end"/>
          </w:r>
        </w:p>
      </w:tc>
      <w:tc>
        <w:tcPr>
          <w:tcW w:w="8080" w:type="dxa"/>
          <w:vAlign w:val="center"/>
        </w:tcPr>
        <w:p w14:paraId="3675746E" w14:textId="77777777" w:rsidR="0018228E" w:rsidRDefault="0018228E" w:rsidP="00E042FA">
          <w:pPr>
            <w:pStyle w:val="RectoFooter"/>
            <w:jc w:val="left"/>
          </w:pPr>
          <w:r>
            <w:t>strategy to prevent and minimise gambling harm 2022/23 to 2024/25:</w:t>
          </w:r>
          <w:r>
            <w:br/>
            <w:t>Proposal document</w:t>
          </w:r>
        </w:p>
      </w:tc>
    </w:tr>
  </w:tbl>
  <w:p w14:paraId="553EF448" w14:textId="77777777" w:rsidR="0018228E" w:rsidRPr="00571223" w:rsidRDefault="0018228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8228E" w14:paraId="262337EF" w14:textId="77777777" w:rsidTr="006E2886">
      <w:trPr>
        <w:cantSplit/>
      </w:trPr>
      <w:tc>
        <w:tcPr>
          <w:tcW w:w="8080" w:type="dxa"/>
          <w:vAlign w:val="center"/>
        </w:tcPr>
        <w:p w14:paraId="695915A2" w14:textId="77777777" w:rsidR="0018228E" w:rsidRDefault="0018228E" w:rsidP="007179EA">
          <w:pPr>
            <w:pStyle w:val="RectoFooter"/>
          </w:pPr>
          <w:r>
            <w:t>strategy to prevent and minimise gambling harm 2022/23 to 2024/25:</w:t>
          </w:r>
          <w:r>
            <w:br/>
            <w:t>Proposal document</w:t>
          </w:r>
        </w:p>
      </w:tc>
      <w:tc>
        <w:tcPr>
          <w:tcW w:w="709" w:type="dxa"/>
          <w:vAlign w:val="center"/>
        </w:tcPr>
        <w:p w14:paraId="199FE50F" w14:textId="77777777" w:rsidR="0018228E" w:rsidRPr="00931466" w:rsidRDefault="0018228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A5C0C">
            <w:rPr>
              <w:rStyle w:val="PageNumber"/>
              <w:noProof/>
            </w:rPr>
            <w:t>iii</w:t>
          </w:r>
          <w:r w:rsidRPr="00931466">
            <w:rPr>
              <w:rStyle w:val="PageNumber"/>
            </w:rPr>
            <w:fldChar w:fldCharType="end"/>
          </w:r>
        </w:p>
      </w:tc>
    </w:tr>
  </w:tbl>
  <w:p w14:paraId="30258A3E" w14:textId="77777777" w:rsidR="0018228E" w:rsidRPr="00581EB8" w:rsidRDefault="0018228E"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BD5E" w14:textId="77777777" w:rsidR="0018228E" w:rsidRPr="00571223" w:rsidRDefault="0018228E"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8228E" w14:paraId="07C47D31" w14:textId="77777777" w:rsidTr="005B24AB">
      <w:trPr>
        <w:cantSplit/>
      </w:trPr>
      <w:tc>
        <w:tcPr>
          <w:tcW w:w="675" w:type="dxa"/>
          <w:vAlign w:val="center"/>
        </w:tcPr>
        <w:p w14:paraId="15040B70" w14:textId="77777777" w:rsidR="0018228E" w:rsidRPr="00931466" w:rsidRDefault="0018228E" w:rsidP="005B24A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72ED9">
            <w:rPr>
              <w:rStyle w:val="PageNumber"/>
              <w:noProof/>
            </w:rPr>
            <w:t>88</w:t>
          </w:r>
          <w:r w:rsidRPr="00931466">
            <w:rPr>
              <w:rStyle w:val="PageNumber"/>
            </w:rPr>
            <w:fldChar w:fldCharType="end"/>
          </w:r>
        </w:p>
      </w:tc>
      <w:tc>
        <w:tcPr>
          <w:tcW w:w="9072" w:type="dxa"/>
          <w:vAlign w:val="center"/>
        </w:tcPr>
        <w:p w14:paraId="573783B4" w14:textId="77777777" w:rsidR="0018228E" w:rsidRDefault="0018228E" w:rsidP="0085555F">
          <w:pPr>
            <w:pStyle w:val="RectoFooter"/>
            <w:ind w:left="-108"/>
            <w:jc w:val="left"/>
          </w:pPr>
          <w:r>
            <w:t>strategy to prevent and minimise gambling harm 2022/23 to 2024/25:</w:t>
          </w:r>
          <w:r>
            <w:br/>
            <w:t>Proposal document</w:t>
          </w:r>
        </w:p>
      </w:tc>
    </w:tr>
  </w:tbl>
  <w:p w14:paraId="18036A64" w14:textId="77777777" w:rsidR="0018228E" w:rsidRPr="00466303" w:rsidRDefault="0018228E" w:rsidP="00466303">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8228E" w14:paraId="085FC0F5" w14:textId="77777777" w:rsidTr="006E2886">
      <w:trPr>
        <w:cantSplit/>
      </w:trPr>
      <w:tc>
        <w:tcPr>
          <w:tcW w:w="8080" w:type="dxa"/>
          <w:vAlign w:val="center"/>
        </w:tcPr>
        <w:p w14:paraId="050DAA0E" w14:textId="77777777" w:rsidR="0018228E" w:rsidRDefault="0018228E" w:rsidP="007179EA">
          <w:pPr>
            <w:pStyle w:val="RectoFooter"/>
          </w:pPr>
          <w:r>
            <w:t>strategy to prevent and minimise gambling harm 2022/23 to 2024/25:</w:t>
          </w:r>
          <w:r>
            <w:br/>
            <w:t>Proposal document</w:t>
          </w:r>
        </w:p>
      </w:tc>
      <w:tc>
        <w:tcPr>
          <w:tcW w:w="709" w:type="dxa"/>
          <w:vAlign w:val="center"/>
        </w:tcPr>
        <w:p w14:paraId="78419E38" w14:textId="77777777" w:rsidR="0018228E" w:rsidRPr="00931466" w:rsidRDefault="0018228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A5C0C">
            <w:rPr>
              <w:rStyle w:val="PageNumber"/>
              <w:noProof/>
            </w:rPr>
            <w:t>31</w:t>
          </w:r>
          <w:r w:rsidRPr="00931466">
            <w:rPr>
              <w:rStyle w:val="PageNumber"/>
            </w:rPr>
            <w:fldChar w:fldCharType="end"/>
          </w:r>
        </w:p>
      </w:tc>
    </w:tr>
  </w:tbl>
  <w:p w14:paraId="5C7A3F29" w14:textId="77777777" w:rsidR="0018228E" w:rsidRPr="00581EB8" w:rsidRDefault="0018228E"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68" w:type="dxa"/>
      <w:tblLayout w:type="fixed"/>
      <w:tblCellMar>
        <w:left w:w="0" w:type="dxa"/>
        <w:right w:w="0" w:type="dxa"/>
      </w:tblCellMar>
      <w:tblLook w:val="04A0" w:firstRow="1" w:lastRow="0" w:firstColumn="1" w:lastColumn="0" w:noHBand="0" w:noVBand="1"/>
    </w:tblPr>
    <w:tblGrid>
      <w:gridCol w:w="14601"/>
      <w:gridCol w:w="567"/>
    </w:tblGrid>
    <w:tr w:rsidR="0018228E" w14:paraId="0170ABF6" w14:textId="77777777" w:rsidTr="000E2F82">
      <w:trPr>
        <w:cantSplit/>
      </w:trPr>
      <w:tc>
        <w:tcPr>
          <w:tcW w:w="14601" w:type="dxa"/>
          <w:vAlign w:val="center"/>
        </w:tcPr>
        <w:p w14:paraId="1FCBE046" w14:textId="77777777" w:rsidR="0018228E" w:rsidRDefault="0018228E" w:rsidP="007179EA">
          <w:pPr>
            <w:pStyle w:val="RectoFooter"/>
          </w:pPr>
          <w:r>
            <w:t>strategy to prevent and minimise gambling harm 2022/23 to 2024/25:</w:t>
          </w:r>
          <w:r>
            <w:br/>
            <w:t>Proposal document</w:t>
          </w:r>
        </w:p>
      </w:tc>
      <w:tc>
        <w:tcPr>
          <w:tcW w:w="567" w:type="dxa"/>
          <w:vAlign w:val="center"/>
        </w:tcPr>
        <w:p w14:paraId="6B679FF7" w14:textId="77777777" w:rsidR="0018228E" w:rsidRPr="00931466" w:rsidRDefault="0018228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A5C0C">
            <w:rPr>
              <w:rStyle w:val="PageNumber"/>
              <w:noProof/>
            </w:rPr>
            <w:t>39</w:t>
          </w:r>
          <w:r w:rsidRPr="00931466">
            <w:rPr>
              <w:rStyle w:val="PageNumber"/>
            </w:rPr>
            <w:fldChar w:fldCharType="end"/>
          </w:r>
        </w:p>
      </w:tc>
    </w:tr>
  </w:tbl>
  <w:p w14:paraId="5A81BF21" w14:textId="77777777" w:rsidR="0018228E" w:rsidRPr="00581EB8" w:rsidRDefault="0018228E"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653EB" w14:textId="77777777" w:rsidR="007D2472" w:rsidRPr="00A26E6B" w:rsidRDefault="007D2472" w:rsidP="00A26E6B"/>
  </w:footnote>
  <w:footnote w:type="continuationSeparator" w:id="0">
    <w:p w14:paraId="659018F0" w14:textId="77777777" w:rsidR="007D2472" w:rsidRDefault="007D2472">
      <w:r>
        <w:continuationSeparator/>
      </w:r>
    </w:p>
    <w:p w14:paraId="64199B28" w14:textId="77777777" w:rsidR="007D2472" w:rsidRDefault="007D2472"/>
  </w:footnote>
  <w:footnote w:id="1">
    <w:p w14:paraId="06CBE24B" w14:textId="77777777" w:rsidR="0018228E" w:rsidRDefault="0018228E" w:rsidP="005B24AB">
      <w:pPr>
        <w:pStyle w:val="FootnoteText"/>
      </w:pPr>
      <w:r w:rsidRPr="005B24AB">
        <w:rPr>
          <w:rStyle w:val="FootnoteReference"/>
        </w:rPr>
        <w:footnoteRef/>
      </w:r>
      <w:r>
        <w:tab/>
      </w:r>
      <w:r w:rsidRPr="00860240">
        <w:t>Allen</w:t>
      </w:r>
      <w:r>
        <w:t xml:space="preserve"> </w:t>
      </w:r>
      <w:r w:rsidRPr="00860240">
        <w:t>+</w:t>
      </w:r>
      <w:r>
        <w:t xml:space="preserve"> </w:t>
      </w:r>
      <w:r w:rsidRPr="00860240">
        <w:t>Clark</w:t>
      </w:r>
      <w:r>
        <w:t>e. 2021.</w:t>
      </w:r>
      <w:r w:rsidRPr="00860240">
        <w:t xml:space="preserve"> </w:t>
      </w:r>
      <w:r w:rsidRPr="005B24AB">
        <w:rPr>
          <w:i/>
        </w:rPr>
        <w:t>Draft Strategy to prevent and minimise Gambling Harm 2022/23 to 2024/25</w:t>
      </w:r>
      <w:r w:rsidRPr="00712CEF">
        <w:t xml:space="preserve">, </w:t>
      </w:r>
      <w:r w:rsidRPr="005B24AB">
        <w:rPr>
          <w:i/>
        </w:rPr>
        <w:t>Submissions Analysis</w:t>
      </w:r>
      <w:r>
        <w:t>. Wellington: Allen + Clarke.</w:t>
      </w:r>
    </w:p>
  </w:footnote>
  <w:footnote w:id="2">
    <w:p w14:paraId="56B517E8" w14:textId="77777777" w:rsidR="0018228E" w:rsidRDefault="0018228E" w:rsidP="005B24AB">
      <w:pPr>
        <w:pStyle w:val="FootnoteText"/>
      </w:pPr>
      <w:r w:rsidRPr="005B24AB">
        <w:rPr>
          <w:rStyle w:val="FootnoteReference"/>
        </w:rPr>
        <w:footnoteRef/>
      </w:r>
      <w:r>
        <w:tab/>
      </w:r>
      <w:r w:rsidRPr="00B729F8">
        <w:t>Malatest International</w:t>
      </w:r>
      <w:r>
        <w:t>. 2021.</w:t>
      </w:r>
      <w:r w:rsidRPr="00B729F8">
        <w:t xml:space="preserve"> </w:t>
      </w:r>
      <w:r w:rsidRPr="00712CEF">
        <w:rPr>
          <w:i/>
          <w:iCs/>
        </w:rPr>
        <w:t>Gambling Harm Needs Assessment 2021</w:t>
      </w:r>
      <w:r>
        <w:t>. Wellington: Malatest International. The Gambling Act requires the Ministry to obtain a needs assessment as part of the strategy development.</w:t>
      </w:r>
    </w:p>
  </w:footnote>
  <w:footnote w:id="3">
    <w:p w14:paraId="7C63161D" w14:textId="77777777" w:rsidR="0018228E" w:rsidRPr="00BC6B27" w:rsidRDefault="0018228E" w:rsidP="005B24AB">
      <w:pPr>
        <w:pStyle w:val="FootnoteText"/>
      </w:pPr>
      <w:r w:rsidRPr="005B24AB">
        <w:rPr>
          <w:rStyle w:val="FootnoteReference"/>
        </w:rPr>
        <w:footnoteRef/>
      </w:r>
      <w:r>
        <w:tab/>
        <w:t xml:space="preserve">Ministry of Health. 2021. </w:t>
      </w:r>
      <w:r w:rsidRPr="00BC6B27">
        <w:rPr>
          <w:i/>
          <w:iCs/>
        </w:rPr>
        <w:t>Kia Manawanui Aotearoa: Long-term pathway to mental wellbeing</w:t>
      </w:r>
      <w:r w:rsidRPr="00BC6B27">
        <w:t xml:space="preserve">. </w:t>
      </w:r>
      <w:r>
        <w:t>Wellington: Ministry of Health.</w:t>
      </w:r>
    </w:p>
  </w:footnote>
  <w:footnote w:id="4">
    <w:p w14:paraId="005459E3" w14:textId="77777777" w:rsidR="0018228E" w:rsidRDefault="0018228E" w:rsidP="007334D3">
      <w:pPr>
        <w:pStyle w:val="FootnoteText"/>
      </w:pPr>
      <w:r w:rsidRPr="007334D3">
        <w:rPr>
          <w:rStyle w:val="FootnoteReference"/>
        </w:rPr>
        <w:footnoteRef/>
      </w:r>
      <w:r>
        <w:tab/>
      </w:r>
      <w:r w:rsidRPr="00EC156B">
        <w:t xml:space="preserve">Te Hiringa Hauora and Kupe. 2020. Health and Lifestyles Survey Gambling Harm. Retrieved from: </w:t>
      </w:r>
      <w:hyperlink r:id="rId1" w:anchor="!/gambling/gambling-harm" w:history="1">
        <w:r w:rsidRPr="007334D3">
          <w:rPr>
            <w:rStyle w:val="Hyperlink"/>
          </w:rPr>
          <w:t>https://kupe.hpa.org.nz/#!/gambling/gambling-harm</w:t>
        </w:r>
      </w:hyperlink>
      <w:r>
        <w:t>.</w:t>
      </w:r>
    </w:p>
  </w:footnote>
  <w:footnote w:id="5">
    <w:p w14:paraId="3F091CFA" w14:textId="77777777" w:rsidR="0018228E" w:rsidRDefault="0018228E" w:rsidP="007334D3">
      <w:pPr>
        <w:pStyle w:val="FootnoteText"/>
      </w:pPr>
      <w:r w:rsidRPr="007334D3">
        <w:rPr>
          <w:rStyle w:val="FootnoteReference"/>
        </w:rPr>
        <w:footnoteRef/>
      </w:r>
      <w:r>
        <w:tab/>
        <w:t>Correspondence with TABNZ.</w:t>
      </w:r>
    </w:p>
  </w:footnote>
  <w:footnote w:id="6">
    <w:p w14:paraId="5BA96F8C" w14:textId="77777777" w:rsidR="0018228E" w:rsidRDefault="0018228E" w:rsidP="007334D3">
      <w:pPr>
        <w:pStyle w:val="FootnoteText"/>
      </w:pPr>
      <w:r w:rsidRPr="007334D3">
        <w:rPr>
          <w:rStyle w:val="FootnoteReference"/>
        </w:rPr>
        <w:footnoteRef/>
      </w:r>
      <w:r>
        <w:tab/>
      </w:r>
      <w:hyperlink r:id="rId2" w:history="1">
        <w:r w:rsidRPr="007334D3">
          <w:rPr>
            <w:rStyle w:val="Hyperlink"/>
          </w:rPr>
          <w:t>https://www.hpa.org.nz/research-library/research-publications/online-gambling-in-new-zealand-</w:t>
        </w:r>
      </w:hyperlink>
    </w:p>
  </w:footnote>
  <w:footnote w:id="7">
    <w:p w14:paraId="0E293617" w14:textId="77777777" w:rsidR="0018228E" w:rsidRDefault="0018228E" w:rsidP="00C42105">
      <w:pPr>
        <w:pStyle w:val="FootnoteText"/>
      </w:pPr>
      <w:r w:rsidRPr="00C42105">
        <w:rPr>
          <w:rStyle w:val="FootnoteReference"/>
        </w:rPr>
        <w:footnoteRef/>
      </w:r>
      <w:r>
        <w:tab/>
      </w:r>
      <w:r w:rsidRPr="00FD3337">
        <w:t xml:space="preserve">Continuous gambling </w:t>
      </w:r>
      <w:r>
        <w:t xml:space="preserve">refers to gambling </w:t>
      </w:r>
      <w:r w:rsidRPr="00FD3337">
        <w:t xml:space="preserve">where a person can immediately </w:t>
      </w:r>
      <w:r>
        <w:t>‘</w:t>
      </w:r>
      <w:r w:rsidRPr="00FD3337">
        <w:t>reinvest</w:t>
      </w:r>
      <w:r>
        <w:t>’</w:t>
      </w:r>
      <w:r w:rsidRPr="00FD3337">
        <w:t xml:space="preserve"> their winnings in further gambling for example gaming machines (in or out of a casino), casino table games, </w:t>
      </w:r>
      <w:r>
        <w:t>‘</w:t>
      </w:r>
      <w:r w:rsidRPr="00FD3337">
        <w:t>scratchies</w:t>
      </w:r>
      <w:r>
        <w:t>’</w:t>
      </w:r>
      <w:r w:rsidRPr="00FD3337">
        <w:t xml:space="preserve"> (Instant Kiwi), and sports/race betting.</w:t>
      </w:r>
      <w:r>
        <w:t xml:space="preserve"> </w:t>
      </w:r>
      <w:r w:rsidRPr="00FD3337">
        <w:t xml:space="preserve">Non-continuous gambling </w:t>
      </w:r>
      <w:r>
        <w:t xml:space="preserve">is </w:t>
      </w:r>
      <w:r w:rsidRPr="00FD3337">
        <w:t>where there is a delay of many hours or days between placing a stake or buying a ticket and receiving the result of a win or loss (eg</w:t>
      </w:r>
      <w:r>
        <w:t>,</w:t>
      </w:r>
      <w:r w:rsidRPr="00FD3337">
        <w:t xml:space="preserve"> traditional lottery draws and raffles)</w:t>
      </w:r>
      <w:r>
        <w:t>.</w:t>
      </w:r>
    </w:p>
  </w:footnote>
  <w:footnote w:id="8">
    <w:p w14:paraId="5E0CB6DE" w14:textId="77777777" w:rsidR="0018228E" w:rsidRDefault="0018228E" w:rsidP="00C42105">
      <w:pPr>
        <w:pStyle w:val="FootnoteText"/>
      </w:pPr>
      <w:r w:rsidRPr="00C42105">
        <w:rPr>
          <w:rStyle w:val="FootnoteReference"/>
          <w:rFonts w:eastAsia="MS Gothic"/>
        </w:rPr>
        <w:footnoteRef/>
      </w:r>
      <w:r>
        <w:tab/>
        <w:t xml:space="preserve">Abbott M. 2006. Do EGMs and problem gambling go together like a horse and carriage? </w:t>
      </w:r>
      <w:r w:rsidRPr="007315F0">
        <w:rPr>
          <w:i/>
        </w:rPr>
        <w:t>Gambling Research: Journal of the National Association for Gambling Studies (Australia)</w:t>
      </w:r>
      <w:r>
        <w:t xml:space="preserve"> 18(1): 7–38.</w:t>
      </w:r>
    </w:p>
  </w:footnote>
  <w:footnote w:id="9">
    <w:p w14:paraId="28D04A6D" w14:textId="77777777" w:rsidR="0018228E" w:rsidRDefault="0018228E" w:rsidP="00C42105">
      <w:pPr>
        <w:pStyle w:val="FootnoteText"/>
      </w:pPr>
      <w:r w:rsidRPr="00C42105">
        <w:rPr>
          <w:rStyle w:val="FootnoteReference"/>
          <w:rFonts w:eastAsia="MS Gothic"/>
        </w:rPr>
        <w:footnoteRef/>
      </w:r>
      <w:r>
        <w:tab/>
      </w:r>
      <w:r w:rsidRPr="00B729F8">
        <w:t xml:space="preserve">Malatest International, </w:t>
      </w:r>
      <w:r w:rsidRPr="00C42105">
        <w:rPr>
          <w:i/>
        </w:rPr>
        <w:t>Gambling Harm Needs Assessment 2021</w:t>
      </w:r>
      <w:r>
        <w:t>.</w:t>
      </w:r>
    </w:p>
  </w:footnote>
  <w:footnote w:id="10">
    <w:p w14:paraId="59C40107" w14:textId="77777777" w:rsidR="0018228E" w:rsidRDefault="0018228E" w:rsidP="007179EA">
      <w:pPr>
        <w:pStyle w:val="FootnoteText"/>
      </w:pPr>
      <w:r w:rsidRPr="0025116A">
        <w:rPr>
          <w:rStyle w:val="FootnoteReference"/>
          <w:rFonts w:eastAsiaTheme="majorEastAsia"/>
        </w:rPr>
        <w:footnoteRef/>
      </w:r>
      <w:r>
        <w:tab/>
        <w:t xml:space="preserve">See the </w:t>
      </w:r>
      <w:r w:rsidRPr="0000169F">
        <w:t xml:space="preserve">Gambling </w:t>
      </w:r>
      <w:r>
        <w:t>e</w:t>
      </w:r>
      <w:r w:rsidRPr="0000169F">
        <w:t xml:space="preserve">xpenditure </w:t>
      </w:r>
      <w:r>
        <w:t>webpage</w:t>
      </w:r>
      <w:r w:rsidRPr="0000169F">
        <w:t xml:space="preserve"> </w:t>
      </w:r>
      <w:r>
        <w:t>of the Department of Internal Affairs website at</w:t>
      </w:r>
      <w:r w:rsidRPr="0000169F">
        <w:t>:</w:t>
      </w:r>
      <w:r>
        <w:t xml:space="preserve"> </w:t>
      </w:r>
      <w:hyperlink r:id="rId3" w:history="1">
        <w:r w:rsidRPr="0025116A">
          <w:rPr>
            <w:rStyle w:val="Hyperlink"/>
          </w:rPr>
          <w:t>www.dia.govt.nz/gambling-statistics-expenditure</w:t>
        </w:r>
      </w:hyperlink>
      <w:r>
        <w:t xml:space="preserve"> (accessed 12 March 2021).</w:t>
      </w:r>
    </w:p>
  </w:footnote>
  <w:footnote w:id="11">
    <w:p w14:paraId="4F6843AE" w14:textId="77777777" w:rsidR="0018228E" w:rsidRDefault="0018228E" w:rsidP="00D81ABF">
      <w:pPr>
        <w:pStyle w:val="FootnoteText"/>
      </w:pPr>
      <w:r w:rsidRPr="00D81ABF">
        <w:rPr>
          <w:rStyle w:val="FootnoteReference"/>
          <w:rFonts w:eastAsia="MS Gothic"/>
        </w:rPr>
        <w:footnoteRef/>
      </w:r>
      <w:r>
        <w:tab/>
      </w:r>
      <w:r w:rsidRPr="00F8194D">
        <w:t>Ferris JA, Wynne HJ. 2001.</w:t>
      </w:r>
      <w:r>
        <w:t xml:space="preserve"> </w:t>
      </w:r>
      <w:r w:rsidRPr="00F8194D">
        <w:rPr>
          <w:i/>
          <w:iCs/>
        </w:rPr>
        <w:t xml:space="preserve">The Canadian </w:t>
      </w:r>
      <w:r>
        <w:rPr>
          <w:i/>
          <w:iCs/>
        </w:rPr>
        <w:t>P</w:t>
      </w:r>
      <w:r w:rsidRPr="00F8194D">
        <w:rPr>
          <w:i/>
          <w:iCs/>
        </w:rPr>
        <w:t xml:space="preserve">roblem </w:t>
      </w:r>
      <w:r>
        <w:rPr>
          <w:i/>
          <w:iCs/>
        </w:rPr>
        <w:t>G</w:t>
      </w:r>
      <w:r w:rsidRPr="00F8194D">
        <w:rPr>
          <w:i/>
          <w:iCs/>
        </w:rPr>
        <w:t xml:space="preserve">ambling </w:t>
      </w:r>
      <w:r>
        <w:rPr>
          <w:i/>
          <w:iCs/>
        </w:rPr>
        <w:t>I</w:t>
      </w:r>
      <w:r w:rsidRPr="00F8194D">
        <w:rPr>
          <w:i/>
          <w:iCs/>
        </w:rPr>
        <w:t>ndex</w:t>
      </w:r>
      <w:r w:rsidRPr="00F8194D">
        <w:t>. Ottawa, ON: Canadian Centre on Substance Abuse</w:t>
      </w:r>
      <w:r>
        <w:t>, pp. 1–59</w:t>
      </w:r>
      <w:r>
        <w:rPr>
          <w:rFonts w:ascii="Arial" w:hAnsi="Arial" w:cs="Arial"/>
          <w:color w:val="222222"/>
          <w:sz w:val="20"/>
          <w:shd w:val="clear" w:color="auto" w:fill="FFFFFF"/>
        </w:rPr>
        <w:t>.</w:t>
      </w:r>
    </w:p>
  </w:footnote>
  <w:footnote w:id="12">
    <w:p w14:paraId="6DF957C1" w14:textId="77777777" w:rsidR="0018228E" w:rsidRDefault="0018228E" w:rsidP="00D81ABF">
      <w:pPr>
        <w:pStyle w:val="FootnoteText"/>
      </w:pPr>
      <w:r w:rsidRPr="00D81ABF">
        <w:rPr>
          <w:rStyle w:val="FootnoteReference"/>
          <w:rFonts w:eastAsia="MS Gothic"/>
        </w:rPr>
        <w:footnoteRef/>
      </w:r>
      <w:r>
        <w:tab/>
        <w:t xml:space="preserve">Abbott M. 2017. Gambling and gambling harm in New Zealand: a 28-year case study. </w:t>
      </w:r>
      <w:r w:rsidRPr="0025116A">
        <w:rPr>
          <w:i/>
        </w:rPr>
        <w:t>International Journal of Mental Health and Addiction</w:t>
      </w:r>
      <w:r>
        <w:t xml:space="preserve"> 15(1221).</w:t>
      </w:r>
    </w:p>
  </w:footnote>
  <w:footnote w:id="13">
    <w:p w14:paraId="11A87663" w14:textId="77777777" w:rsidR="0018228E" w:rsidRDefault="0018228E" w:rsidP="00D81ABF">
      <w:pPr>
        <w:pStyle w:val="FootnoteText"/>
      </w:pPr>
      <w:r w:rsidRPr="00D81ABF">
        <w:rPr>
          <w:rStyle w:val="FootnoteReference"/>
          <w:rFonts w:eastAsia="MS Gothic"/>
        </w:rPr>
        <w:footnoteRef/>
      </w:r>
      <w:r>
        <w:tab/>
      </w:r>
      <w:r w:rsidRPr="00CA1C62">
        <w:t xml:space="preserve">Te Hiringa Hauora </w:t>
      </w:r>
      <w:r>
        <w:t>and</w:t>
      </w:r>
      <w:r w:rsidRPr="00CA1C62">
        <w:t xml:space="preserve"> Kupe. 20</w:t>
      </w:r>
      <w:r>
        <w:t>20</w:t>
      </w:r>
      <w:r w:rsidRPr="00CA1C62">
        <w:t xml:space="preserve">. </w:t>
      </w:r>
      <w:r w:rsidRPr="0025116A">
        <w:rPr>
          <w:i/>
        </w:rPr>
        <w:t>Health and Lifestyles Survey Gambling Harm</w:t>
      </w:r>
      <w:r w:rsidRPr="00CA1C62">
        <w:t xml:space="preserve">. Retrieved from </w:t>
      </w:r>
      <w:hyperlink r:id="rId4" w:anchor="!/gambling/gambling-harm" w:history="1">
        <w:r w:rsidRPr="0025116A">
          <w:rPr>
            <w:rStyle w:val="Hyperlink"/>
          </w:rPr>
          <w:t>https://kupe.hpa.org.nz/#!/gambling/gambling-harm</w:t>
        </w:r>
      </w:hyperlink>
      <w:r>
        <w:rPr>
          <w:rStyle w:val="Hyperlink"/>
        </w:rPr>
        <w:t>.</w:t>
      </w:r>
    </w:p>
  </w:footnote>
  <w:footnote w:id="14">
    <w:p w14:paraId="06D25D67" w14:textId="77777777" w:rsidR="0018228E" w:rsidRPr="006E237A" w:rsidRDefault="0018228E" w:rsidP="00D81ABF">
      <w:pPr>
        <w:pStyle w:val="FootnoteText"/>
      </w:pPr>
      <w:r w:rsidRPr="00D81ABF">
        <w:rPr>
          <w:rStyle w:val="FootnoteReference"/>
          <w:rFonts w:eastAsiaTheme="majorEastAsia"/>
        </w:rPr>
        <w:footnoteRef/>
      </w:r>
      <w:r>
        <w:tab/>
      </w:r>
      <w:r w:rsidRPr="006E237A">
        <w:t>Te Hiringa Hauora. 2021</w:t>
      </w:r>
      <w:r>
        <w:t>.</w:t>
      </w:r>
      <w:r w:rsidRPr="006E237A">
        <w:t xml:space="preserve"> </w:t>
      </w:r>
      <w:r w:rsidRPr="00D81ABF">
        <w:rPr>
          <w:i/>
        </w:rPr>
        <w:t>Results from the Health and Lifestyles Survey 2020</w:t>
      </w:r>
      <w:r>
        <w:t>.</w:t>
      </w:r>
    </w:p>
  </w:footnote>
  <w:footnote w:id="15">
    <w:p w14:paraId="4F55FD0D" w14:textId="77777777" w:rsidR="0018228E" w:rsidRPr="006E237A" w:rsidRDefault="0018228E" w:rsidP="00D81ABF">
      <w:pPr>
        <w:pStyle w:val="FootnoteText"/>
      </w:pPr>
      <w:r w:rsidRPr="00D81ABF">
        <w:rPr>
          <w:rStyle w:val="FootnoteReference"/>
          <w:rFonts w:eastAsiaTheme="majorEastAsia"/>
        </w:rPr>
        <w:footnoteRef/>
      </w:r>
      <w:r w:rsidRPr="006E237A">
        <w:tab/>
        <w:t>The 2017 study Measuring the Burden of Gambling Harm in New Zealand estimated that, in 2012, there were 161,928</w:t>
      </w:r>
      <w:r>
        <w:t> years</w:t>
      </w:r>
      <w:r w:rsidRPr="006E237A">
        <w:t xml:space="preserve"> of life lost to incapacity as a result of harms from gambling. </w:t>
      </w:r>
      <w:r w:rsidRPr="006E237A">
        <w:rPr>
          <w:i/>
          <w:iCs/>
        </w:rPr>
        <w:t xml:space="preserve">Measuring the Burden of Gambling Harm in New Zealand. </w:t>
      </w:r>
      <w:r w:rsidRPr="006E237A">
        <w:t xml:space="preserve">Wellington: Ministry of Health. URL: </w:t>
      </w:r>
      <w:hyperlink r:id="rId5" w:history="1">
        <w:r w:rsidRPr="00CE3865">
          <w:rPr>
            <w:rStyle w:val="Hyperlink"/>
          </w:rPr>
          <w:t>www.health.govt.nz/publication/measuring-burden-gambling-harm-new-zealand</w:t>
        </w:r>
      </w:hyperlink>
      <w:r w:rsidRPr="006E237A">
        <w:t xml:space="preserve"> (accessed 18 July 2021).</w:t>
      </w:r>
    </w:p>
  </w:footnote>
  <w:footnote w:id="16">
    <w:p w14:paraId="30D9C440" w14:textId="77777777" w:rsidR="0018228E" w:rsidRDefault="0018228E" w:rsidP="00D81ABF">
      <w:pPr>
        <w:pStyle w:val="FootnoteText"/>
      </w:pPr>
      <w:r w:rsidRPr="00D81ABF">
        <w:rPr>
          <w:rStyle w:val="FootnoteReference"/>
          <w:rFonts w:eastAsiaTheme="majorEastAsia"/>
        </w:rPr>
        <w:footnoteRef/>
      </w:r>
      <w:r w:rsidRPr="006E237A">
        <w:tab/>
        <w:t xml:space="preserve">Thimasarn-Anwar T, Squire H, Trowland H, et al. 2017. </w:t>
      </w:r>
      <w:r w:rsidRPr="006E237A">
        <w:rPr>
          <w:i/>
        </w:rPr>
        <w:t>Gambling Report: Results from the 2016 Health and Lifestyles Survey</w:t>
      </w:r>
      <w:r w:rsidRPr="006E237A">
        <w:t xml:space="preserve">. Wellington: Te Hiringa Hauora. URL: </w:t>
      </w:r>
      <w:hyperlink r:id="rId6" w:history="1">
        <w:r w:rsidRPr="00CE3865">
          <w:rPr>
            <w:rStyle w:val="Hyperlink"/>
          </w:rPr>
          <w:t>www.hpa.org.nz/research-library/research-publications/new-zealanders-participation-in-gambling-results-from-the-2016-health-and-lifestyles-survey</w:t>
        </w:r>
      </w:hyperlink>
      <w:r w:rsidRPr="006E237A">
        <w:t xml:space="preserve"> (accessed 18 July 2021).</w:t>
      </w:r>
    </w:p>
  </w:footnote>
  <w:footnote w:id="17">
    <w:p w14:paraId="2D4A8DA3" w14:textId="77777777" w:rsidR="0018228E" w:rsidRDefault="0018228E" w:rsidP="00D81ABF">
      <w:pPr>
        <w:pStyle w:val="FootnoteText"/>
      </w:pPr>
      <w:r w:rsidRPr="00D81ABF">
        <w:rPr>
          <w:rStyle w:val="FootnoteReference"/>
          <w:rFonts w:eastAsiaTheme="majorEastAsia"/>
        </w:rPr>
        <w:footnoteRef/>
      </w:r>
      <w:r>
        <w:tab/>
        <w:t xml:space="preserve">That is, </w:t>
      </w:r>
      <w:r w:rsidRPr="00137CC9">
        <w:t>1</w:t>
      </w:r>
      <w:r>
        <w:t>1 percent of</w:t>
      </w:r>
      <w:r w:rsidRPr="00137CC9">
        <w:t xml:space="preserve"> New Zealand adults</w:t>
      </w:r>
      <w:r>
        <w:t>,</w:t>
      </w:r>
      <w:r w:rsidRPr="00137CC9">
        <w:t xml:space="preserve"> according to</w:t>
      </w:r>
      <w:r>
        <w:t xml:space="preserve"> results from the 2020 HLS.</w:t>
      </w:r>
    </w:p>
  </w:footnote>
  <w:footnote w:id="18">
    <w:p w14:paraId="20287D82" w14:textId="77777777" w:rsidR="0018228E" w:rsidRDefault="0018228E" w:rsidP="006F1411">
      <w:pPr>
        <w:pStyle w:val="FootnoteText"/>
      </w:pPr>
      <w:r w:rsidRPr="006F1411">
        <w:rPr>
          <w:rStyle w:val="FootnoteReference"/>
        </w:rPr>
        <w:footnoteRef/>
      </w:r>
      <w:r>
        <w:tab/>
      </w:r>
      <w:r w:rsidRPr="00CE3865">
        <w:t>Abbott M, Bellringer M</w:t>
      </w:r>
      <w:r>
        <w:t>,</w:t>
      </w:r>
      <w:r w:rsidRPr="00CE3865">
        <w:t xml:space="preserve"> Garrett N. 2018. New Zealand National Gambling Study: Wave 4 (2015). Report number 6. Auckland: Auckland University of Technology, Gambling and Addictions Research Centre.</w:t>
      </w:r>
      <w:r>
        <w:t xml:space="preserve"> </w:t>
      </w:r>
      <w:hyperlink r:id="rId7" w:history="1">
        <w:r w:rsidRPr="006F1411">
          <w:rPr>
            <w:rStyle w:val="Hyperlink"/>
          </w:rPr>
          <w:t>https://www.health.govt.nz/publication/new-zealand-national-gambling-study-wave-4-2015</w:t>
        </w:r>
      </w:hyperlink>
      <w:r>
        <w:t>.</w:t>
      </w:r>
    </w:p>
  </w:footnote>
  <w:footnote w:id="19">
    <w:p w14:paraId="4C63AF28" w14:textId="77777777" w:rsidR="0018228E" w:rsidRDefault="0018228E" w:rsidP="006F1411">
      <w:pPr>
        <w:pStyle w:val="FootnoteText"/>
      </w:pPr>
      <w:r w:rsidRPr="006F1411">
        <w:rPr>
          <w:rStyle w:val="FootnoteReference"/>
          <w:rFonts w:eastAsiaTheme="majorEastAsia"/>
        </w:rPr>
        <w:footnoteRef/>
      </w:r>
      <w:r>
        <w:tab/>
        <w:t xml:space="preserve">Te Hiringa Hauora. 2021. </w:t>
      </w:r>
      <w:r w:rsidRPr="006F1411">
        <w:rPr>
          <w:i/>
        </w:rPr>
        <w:t>Results from the Health and Lifestyles Survey 2020</w:t>
      </w:r>
      <w:r>
        <w:t>.</w:t>
      </w:r>
    </w:p>
  </w:footnote>
  <w:footnote w:id="20">
    <w:p w14:paraId="27435D96" w14:textId="77777777" w:rsidR="0018228E" w:rsidRDefault="0018228E" w:rsidP="006F1411">
      <w:pPr>
        <w:pStyle w:val="FootnoteText"/>
      </w:pPr>
      <w:r w:rsidRPr="006F1411">
        <w:rPr>
          <w:rStyle w:val="FootnoteReference"/>
          <w:rFonts w:eastAsia="MS Gothic"/>
        </w:rPr>
        <w:footnoteRef/>
      </w:r>
      <w:r>
        <w:tab/>
      </w:r>
      <w:r w:rsidRPr="0072090F">
        <w:t xml:space="preserve">Government Inquiry into Mental Health and Addiction. 2018. </w:t>
      </w:r>
      <w:r w:rsidRPr="0072090F">
        <w:rPr>
          <w:i/>
          <w:iCs/>
        </w:rPr>
        <w:t>He Ara Oranga: Report of the Government Inquiry into Mental Health and Addiction</w:t>
      </w:r>
      <w:r w:rsidRPr="0072090F">
        <w:t xml:space="preserve">. Wellington: Government Inquiry into Mental Health and Addiction. URL: </w:t>
      </w:r>
      <w:hyperlink r:id="rId8" w:history="1">
        <w:r w:rsidRPr="00B12F1E">
          <w:rPr>
            <w:rStyle w:val="Hyperlink"/>
          </w:rPr>
          <w:t>www.mentalhealth.inquiry.govt.nz/assets/Summary-reports/He-Ara-Oranga.pdf</w:t>
        </w:r>
      </w:hyperlink>
      <w:r w:rsidRPr="0072090F">
        <w:t xml:space="preserve"> (accessed 15 July 2021)</w:t>
      </w:r>
      <w:r w:rsidRPr="000C6A99">
        <w:t>.</w:t>
      </w:r>
    </w:p>
  </w:footnote>
  <w:footnote w:id="21">
    <w:p w14:paraId="5E6A04FA" w14:textId="77777777" w:rsidR="0018228E" w:rsidRDefault="0018228E" w:rsidP="006F1411">
      <w:pPr>
        <w:pStyle w:val="FootnoteText"/>
      </w:pPr>
      <w:r w:rsidRPr="006F1411">
        <w:rPr>
          <w:rStyle w:val="FootnoteReference"/>
          <w:rFonts w:eastAsia="MS Gothic"/>
        </w:rPr>
        <w:footnoteRef/>
      </w:r>
      <w:r>
        <w:tab/>
      </w:r>
      <w:r w:rsidRPr="006D2BDF">
        <w:t xml:space="preserve">PGF Group. 2020. </w:t>
      </w:r>
      <w:r w:rsidRPr="00B12F1E">
        <w:rPr>
          <w:i/>
        </w:rPr>
        <w:t xml:space="preserve">Report to </w:t>
      </w:r>
      <w:r>
        <w:rPr>
          <w:i/>
        </w:rPr>
        <w:t>S</w:t>
      </w:r>
      <w:r w:rsidRPr="00B12F1E">
        <w:rPr>
          <w:i/>
        </w:rPr>
        <w:t>takeholders 2020</w:t>
      </w:r>
      <w:r w:rsidRPr="006D2BDF">
        <w:t xml:space="preserve">. Te Pūrongo Ā-tau. Auckland: PGF Group. </w:t>
      </w:r>
      <w:hyperlink r:id="rId9" w:history="1">
        <w:r w:rsidRPr="00B12F1E">
          <w:rPr>
            <w:rStyle w:val="Hyperlink"/>
          </w:rPr>
          <w:t>https://www.pgf.nz/downloads/assets/13448/1/pgf0033</w:t>
        </w:r>
      </w:hyperlink>
      <w:r>
        <w:t>.</w:t>
      </w:r>
    </w:p>
  </w:footnote>
  <w:footnote w:id="22">
    <w:p w14:paraId="244DE195" w14:textId="77777777" w:rsidR="0018228E" w:rsidRPr="00BC6B27" w:rsidRDefault="0018228E" w:rsidP="006F1411">
      <w:pPr>
        <w:pStyle w:val="FootnoteText"/>
      </w:pPr>
      <w:r w:rsidRPr="006F1411">
        <w:rPr>
          <w:rStyle w:val="FootnoteReference"/>
          <w:rFonts w:eastAsia="MS Gothic"/>
        </w:rPr>
        <w:footnoteRef/>
      </w:r>
      <w:r w:rsidRPr="00BC6B27">
        <w:tab/>
        <w:t>In video gaming, a loot box is a virtual container that holds a random item that can be used in some games.</w:t>
      </w:r>
    </w:p>
  </w:footnote>
  <w:footnote w:id="23">
    <w:p w14:paraId="5AD3E725" w14:textId="77777777" w:rsidR="0018228E" w:rsidRDefault="0018228E" w:rsidP="006F1411">
      <w:pPr>
        <w:pStyle w:val="FootnoteText"/>
      </w:pPr>
      <w:r w:rsidRPr="006F1411">
        <w:rPr>
          <w:rStyle w:val="FootnoteReference"/>
          <w:rFonts w:eastAsia="MS Gothic"/>
        </w:rPr>
        <w:footnoteRef/>
      </w:r>
      <w:r>
        <w:tab/>
      </w:r>
      <w:r w:rsidRPr="006D2BDF">
        <w:t xml:space="preserve">Mold H, Holmay B, Merkesdal AG, </w:t>
      </w:r>
      <w:r>
        <w:t>et al</w:t>
      </w:r>
      <w:r w:rsidRPr="006D2BDF">
        <w:t xml:space="preserve">. 2019. Are video games a gateway to gambling? A </w:t>
      </w:r>
      <w:r>
        <w:t>l</w:t>
      </w:r>
      <w:r w:rsidRPr="006D2BDF">
        <w:t xml:space="preserve">ongitudinal </w:t>
      </w:r>
      <w:r>
        <w:t>s</w:t>
      </w:r>
      <w:r w:rsidRPr="006D2BDF">
        <w:t xml:space="preserve">tudy </w:t>
      </w:r>
      <w:r>
        <w:t>b</w:t>
      </w:r>
      <w:r w:rsidRPr="006D2BDF">
        <w:t xml:space="preserve">ased on a </w:t>
      </w:r>
      <w:r>
        <w:t>r</w:t>
      </w:r>
      <w:r w:rsidRPr="006D2BDF">
        <w:t xml:space="preserve">epresentative Norwegian </w:t>
      </w:r>
      <w:r>
        <w:t>s</w:t>
      </w:r>
      <w:r w:rsidRPr="006D2BDF">
        <w:t xml:space="preserve">ample. </w:t>
      </w:r>
      <w:r w:rsidRPr="00B12F1E">
        <w:rPr>
          <w:i/>
        </w:rPr>
        <w:t>Journal of Gambling Studies</w:t>
      </w:r>
      <w:r w:rsidRPr="006D2BDF">
        <w:t xml:space="preserve"> 35:</w:t>
      </w:r>
      <w:r>
        <w:t xml:space="preserve"> </w:t>
      </w:r>
      <w:r w:rsidRPr="006D2BDF">
        <w:t>545</w:t>
      </w:r>
      <w:r>
        <w:t>–</w:t>
      </w:r>
      <w:r w:rsidRPr="006D2BDF">
        <w:t xml:space="preserve">57. </w:t>
      </w:r>
      <w:hyperlink r:id="rId10" w:anchor="Abs1" w:history="1">
        <w:r w:rsidRPr="00B12F1E">
          <w:rPr>
            <w:rStyle w:val="Hyperlink"/>
          </w:rPr>
          <w:t>https://link.springer.com/article/10.1007/s10899-018-9781-z#Abs1</w:t>
        </w:r>
      </w:hyperlink>
      <w:r>
        <w:t>.</w:t>
      </w:r>
    </w:p>
  </w:footnote>
  <w:footnote w:id="24">
    <w:p w14:paraId="0E57645D" w14:textId="77777777" w:rsidR="0018228E" w:rsidRPr="009B3493" w:rsidRDefault="0018228E" w:rsidP="006F1411">
      <w:pPr>
        <w:pStyle w:val="FootnoteText"/>
      </w:pPr>
      <w:r w:rsidRPr="006F1411">
        <w:rPr>
          <w:rStyle w:val="FootnoteReference"/>
        </w:rPr>
        <w:footnoteRef/>
      </w:r>
      <w:r>
        <w:tab/>
      </w:r>
      <w:r w:rsidRPr="00CE3865">
        <w:t xml:space="preserve">Archer D, King-Finau T, Kuresa B, </w:t>
      </w:r>
      <w:r>
        <w:t>et al</w:t>
      </w:r>
      <w:r w:rsidRPr="00CE3865">
        <w:t xml:space="preserve">. 2021. </w:t>
      </w:r>
      <w:r w:rsidRPr="006F1411">
        <w:rPr>
          <w:i/>
        </w:rPr>
        <w:t>Youth19 Gambling Brief</w:t>
      </w:r>
      <w:r w:rsidRPr="00CE3865">
        <w:t>. The Youth19 Researchers and The Adolescent Health Research Group, Auckland and Wellington</w:t>
      </w:r>
      <w:r>
        <w:t>.</w:t>
      </w:r>
      <w:r w:rsidRPr="00CE3865">
        <w:t xml:space="preserve"> </w:t>
      </w:r>
      <w:hyperlink r:id="rId11" w:history="1">
        <w:r w:rsidRPr="00CE3865">
          <w:rPr>
            <w:rStyle w:val="Hyperlink"/>
            <w:szCs w:val="17"/>
          </w:rPr>
          <w:t>https://www.youth19.ac.nz/publications/gambling</w:t>
        </w:r>
      </w:hyperlink>
    </w:p>
  </w:footnote>
  <w:footnote w:id="25">
    <w:p w14:paraId="49B2092B" w14:textId="77777777" w:rsidR="0018228E" w:rsidRPr="002B5E56" w:rsidRDefault="0018228E" w:rsidP="007C1DE1">
      <w:pPr>
        <w:pStyle w:val="FootnoteText"/>
      </w:pPr>
      <w:r w:rsidRPr="007C1DE1">
        <w:rPr>
          <w:rStyle w:val="FootnoteReference"/>
          <w:rFonts w:eastAsia="MS Gothic"/>
        </w:rPr>
        <w:footnoteRef/>
      </w:r>
      <w:r>
        <w:tab/>
      </w:r>
      <w:r w:rsidRPr="00E45B23">
        <w:rPr>
          <w:i/>
        </w:rPr>
        <w:t>2013 New Zealand Disability Survey</w:t>
      </w:r>
      <w:r>
        <w:t xml:space="preserve">. </w:t>
      </w:r>
      <w:r w:rsidRPr="002B5E56">
        <w:t xml:space="preserve">Statistics New Zealand. </w:t>
      </w:r>
      <w:hyperlink r:id="rId12" w:history="1">
        <w:r w:rsidRPr="002B5E56">
          <w:rPr>
            <w:rStyle w:val="Hyperlink"/>
          </w:rPr>
          <w:t>https://www.stats.govt.nz/information-releases/disability-survey-2013</w:t>
        </w:r>
      </w:hyperlink>
      <w:r w:rsidRPr="002B5E56">
        <w:t>.</w:t>
      </w:r>
    </w:p>
  </w:footnote>
  <w:footnote w:id="26">
    <w:p w14:paraId="4E16981A" w14:textId="77777777" w:rsidR="0018228E" w:rsidRPr="002B5E56" w:rsidRDefault="0018228E" w:rsidP="00E45B23">
      <w:pPr>
        <w:pStyle w:val="FootnoteText"/>
      </w:pPr>
      <w:r w:rsidRPr="00E45B23">
        <w:rPr>
          <w:rStyle w:val="FootnoteReference"/>
          <w:rFonts w:eastAsia="MS Gothic"/>
        </w:rPr>
        <w:footnoteRef/>
      </w:r>
      <w:r w:rsidRPr="002B5E56">
        <w:tab/>
        <w:t xml:space="preserve">Morasco BJ, vom Eigen KA, Petry NM. 2006. Severity of gambling is associated with physical and emotional health in urban primary care patients. </w:t>
      </w:r>
      <w:r w:rsidRPr="002B5E56">
        <w:rPr>
          <w:i/>
        </w:rPr>
        <w:t>General Hospital Psychiatry</w:t>
      </w:r>
      <w:r w:rsidRPr="002B5E56">
        <w:t xml:space="preserve"> 28: 94–100. doi: 10.1016/j.genhosppsych.2005.09.004.</w:t>
      </w:r>
    </w:p>
  </w:footnote>
  <w:footnote w:id="27">
    <w:p w14:paraId="53D60359" w14:textId="77777777" w:rsidR="0018228E" w:rsidRPr="002B5E56" w:rsidRDefault="0018228E" w:rsidP="00E45B23">
      <w:pPr>
        <w:pStyle w:val="FootnoteText"/>
      </w:pPr>
      <w:r w:rsidRPr="00E45B23">
        <w:rPr>
          <w:rStyle w:val="FootnoteReference"/>
          <w:rFonts w:eastAsia="MS Gothic"/>
        </w:rPr>
        <w:footnoteRef/>
      </w:r>
      <w:r w:rsidRPr="002B5E56">
        <w:tab/>
        <w:t xml:space="preserve">Pitt H, Thomas SL, Watson J, Shuttleworth R, et al. 2021. How do people with intellectual disability engage with and understand gambling? A qualitative study of adults in Victoria, Australia. </w:t>
      </w:r>
      <w:r w:rsidRPr="002B5E56">
        <w:rPr>
          <w:i/>
        </w:rPr>
        <w:t>Front Public Health</w:t>
      </w:r>
      <w:r w:rsidRPr="002B5E56">
        <w:t xml:space="preserve"> 8: 536520, 12 January. doi: 10.3389/fpubh.2020.536520.</w:t>
      </w:r>
    </w:p>
  </w:footnote>
  <w:footnote w:id="28">
    <w:p w14:paraId="544B485E" w14:textId="77777777" w:rsidR="0018228E" w:rsidRPr="002B5E56" w:rsidRDefault="0018228E" w:rsidP="00E45B23">
      <w:pPr>
        <w:pStyle w:val="FootnoteText"/>
      </w:pPr>
      <w:r w:rsidRPr="00E45B23">
        <w:rPr>
          <w:rStyle w:val="FootnoteReference"/>
          <w:rFonts w:eastAsiaTheme="majorEastAsia"/>
        </w:rPr>
        <w:footnoteRef/>
      </w:r>
      <w:r w:rsidRPr="002B5E56">
        <w:tab/>
        <w:t xml:space="preserve">Palmer du Preez K, Mauchline L, Paavonen A, et al. 2019. </w:t>
      </w:r>
      <w:r w:rsidRPr="002B5E56">
        <w:rPr>
          <w:i/>
          <w:iCs/>
        </w:rPr>
        <w:t>A Mixed Methods Analysis of Gambling Harm for Women in New Zealand</w:t>
      </w:r>
      <w:r w:rsidRPr="002B5E56">
        <w:t xml:space="preserve">. Auckland: Auckland University of Technology, Gambling and Addictions Research Centre. Available from the Ministry of Health website at: </w:t>
      </w:r>
      <w:hyperlink r:id="rId13" w:history="1">
        <w:r w:rsidRPr="002B5E56">
          <w:rPr>
            <w:rStyle w:val="Hyperlink"/>
          </w:rPr>
          <w:t>www.health.govt.nz/publication/mixed-methods-analysis-gambling-harm-women-new-zealand</w:t>
        </w:r>
      </w:hyperlink>
      <w:r w:rsidRPr="002B5E56">
        <w:t xml:space="preserve"> (accessed 18 July 2021).</w:t>
      </w:r>
    </w:p>
  </w:footnote>
  <w:footnote w:id="29">
    <w:p w14:paraId="67243296" w14:textId="77777777" w:rsidR="0018228E" w:rsidRPr="002B5E56" w:rsidRDefault="0018228E" w:rsidP="00E45B23">
      <w:pPr>
        <w:pStyle w:val="FootnoteText"/>
        <w:keepNext/>
        <w:keepLines/>
      </w:pPr>
      <w:r w:rsidRPr="00E45B23">
        <w:rPr>
          <w:rStyle w:val="FootnoteReference"/>
          <w:rFonts w:eastAsia="MS Gothic"/>
        </w:rPr>
        <w:footnoteRef/>
      </w:r>
      <w:r w:rsidRPr="002B5E56">
        <w:tab/>
        <w:t xml:space="preserve">Bellringer M, Kolandai-Matchett K, Taylor S, et al. 2016. </w:t>
      </w:r>
      <w:r w:rsidRPr="002B5E56">
        <w:rPr>
          <w:i/>
        </w:rPr>
        <w:t xml:space="preserve">Pacific Islands Families Study 2014: Mother and youth gambling. </w:t>
      </w:r>
      <w:r w:rsidRPr="002B5E56">
        <w:t xml:space="preserve">Auckland: Auckland University of Technology, Gambling and Addictions Research Centre. Available from the Ministry of Health website at: </w:t>
      </w:r>
      <w:hyperlink r:id="rId14" w:history="1">
        <w:r w:rsidRPr="002B5E56">
          <w:rPr>
            <w:rStyle w:val="Hyperlink"/>
            <w:iCs/>
          </w:rPr>
          <w:t>www.health.govt.nz/publication/pacific-islands-families-study-2014-mother-and-youth-gambling-report</w:t>
        </w:r>
      </w:hyperlink>
      <w:r w:rsidRPr="002B5E56">
        <w:t xml:space="preserve"> (accessed 18 July 2021).</w:t>
      </w:r>
    </w:p>
  </w:footnote>
  <w:footnote w:id="30">
    <w:p w14:paraId="72B588AB" w14:textId="77777777" w:rsidR="0018228E" w:rsidRDefault="0018228E" w:rsidP="00E45B23">
      <w:pPr>
        <w:pStyle w:val="FootnoteText"/>
      </w:pPr>
      <w:r w:rsidRPr="00E45B23">
        <w:rPr>
          <w:rStyle w:val="FootnoteReference"/>
          <w:rFonts w:eastAsia="MS Gothic"/>
        </w:rPr>
        <w:footnoteRef/>
      </w:r>
      <w:r>
        <w:rPr>
          <w:rStyle w:val="FootnoteTextChar"/>
          <w:rFonts w:eastAsia="MS Gothic"/>
        </w:rPr>
        <w:tab/>
      </w:r>
      <w:r w:rsidRPr="00BD4665">
        <w:rPr>
          <w:rStyle w:val="FootnoteTextChar"/>
          <w:rFonts w:eastAsia="MS Gothic"/>
        </w:rPr>
        <w:t>Bellringer ME, Janicot S, Ikeda T</w:t>
      </w:r>
      <w:r>
        <w:rPr>
          <w:rStyle w:val="FootnoteTextChar"/>
          <w:rFonts w:eastAsia="MS Gothic"/>
        </w:rPr>
        <w:t>, et al</w:t>
      </w:r>
      <w:r w:rsidRPr="00BD4665">
        <w:rPr>
          <w:rStyle w:val="FootnoteTextChar"/>
          <w:rFonts w:eastAsia="MS Gothic"/>
        </w:rPr>
        <w:t xml:space="preserve">. 2020. </w:t>
      </w:r>
      <w:r w:rsidRPr="00B12F1E">
        <w:rPr>
          <w:rStyle w:val="FootnoteTextChar"/>
          <w:rFonts w:eastAsia="MS Gothic"/>
          <w:i/>
        </w:rPr>
        <w:t>New Zealand National Gambling Study: Correspondence between changes in gambling and gambling risk levels and health, quality of life, and health and social inequities</w:t>
      </w:r>
      <w:r w:rsidRPr="00BD4665">
        <w:rPr>
          <w:rStyle w:val="FootnoteTextChar"/>
          <w:rFonts w:eastAsia="MS Gothic"/>
        </w:rPr>
        <w:t>. NGS Series Report Number 9. Auckland: Auckland University of Technology (AUT), Gambling and Addictions Research Centre.</w:t>
      </w:r>
    </w:p>
  </w:footnote>
  <w:footnote w:id="31">
    <w:p w14:paraId="394902B4" w14:textId="77777777" w:rsidR="0018228E" w:rsidRPr="003F08E6" w:rsidRDefault="0018228E" w:rsidP="00E45B23">
      <w:pPr>
        <w:pStyle w:val="FootnoteText"/>
      </w:pPr>
      <w:r w:rsidRPr="00E45B23">
        <w:rPr>
          <w:rStyle w:val="FootnoteReference"/>
          <w:rFonts w:eastAsia="MS Gothic"/>
        </w:rPr>
        <w:footnoteRef/>
      </w:r>
      <w:r>
        <w:tab/>
      </w:r>
      <w:r w:rsidRPr="003F08E6">
        <w:t>Productivity Commission</w:t>
      </w:r>
      <w:r>
        <w:t>.</w:t>
      </w:r>
      <w:r w:rsidRPr="003F08E6">
        <w:t xml:space="preserve"> 1999</w:t>
      </w:r>
      <w:r>
        <w:t>.</w:t>
      </w:r>
      <w:r w:rsidRPr="003F08E6">
        <w:t xml:space="preserve"> </w:t>
      </w:r>
      <w:r w:rsidRPr="00133192">
        <w:rPr>
          <w:i/>
          <w:iCs/>
        </w:rPr>
        <w:t>Australia</w:t>
      </w:r>
      <w:r>
        <w:rPr>
          <w:i/>
          <w:iCs/>
        </w:rPr>
        <w:t>’</w:t>
      </w:r>
      <w:r w:rsidRPr="00133192">
        <w:rPr>
          <w:i/>
          <w:iCs/>
        </w:rPr>
        <w:t>s Gambling Industries, Final report, Summary, Report No. 10</w:t>
      </w:r>
      <w:r>
        <w:t>.</w:t>
      </w:r>
      <w:r w:rsidRPr="003F08E6">
        <w:t xml:space="preserve"> </w:t>
      </w:r>
      <w:r>
        <w:t xml:space="preserve">Canberra: </w:t>
      </w:r>
      <w:r w:rsidRPr="003F08E6">
        <w:t>AusInfo</w:t>
      </w:r>
      <w:r>
        <w:t xml:space="preserve">. URL: </w:t>
      </w:r>
      <w:hyperlink r:id="rId15" w:history="1">
        <w:r w:rsidRPr="00026171">
          <w:rPr>
            <w:rStyle w:val="Hyperlink"/>
          </w:rPr>
          <w:t>www.pc.gov.au/inquiries/completed/gambling/report/summary.pdf</w:t>
        </w:r>
      </w:hyperlink>
      <w:r>
        <w:t xml:space="preserve"> (accessed 18 July 2021).</w:t>
      </w:r>
    </w:p>
  </w:footnote>
  <w:footnote w:id="32">
    <w:p w14:paraId="40F99386" w14:textId="77777777" w:rsidR="0018228E" w:rsidRDefault="0018228E" w:rsidP="00E45B23">
      <w:pPr>
        <w:pStyle w:val="FootnoteText"/>
      </w:pPr>
      <w:r w:rsidRPr="00E45B23">
        <w:rPr>
          <w:rStyle w:val="FootnoteReference"/>
          <w:rFonts w:eastAsia="MS Gothic"/>
        </w:rPr>
        <w:footnoteRef/>
      </w:r>
      <w:r>
        <w:tab/>
      </w:r>
      <w:r w:rsidRPr="001A7FD6">
        <w:t xml:space="preserve">Auckland University of Technology. 2017. </w:t>
      </w:r>
      <w:r w:rsidRPr="00E45B23">
        <w:rPr>
          <w:i/>
        </w:rPr>
        <w:t>Problem Gambling and Family Violence in Help-seeking Populations: Co-occurrence, impact and coping</w:t>
      </w:r>
      <w:r w:rsidRPr="001A7FD6">
        <w:t>. Wellington: Ministry of Health.</w:t>
      </w:r>
    </w:p>
  </w:footnote>
  <w:footnote w:id="33">
    <w:p w14:paraId="419D573E" w14:textId="77777777" w:rsidR="0018228E" w:rsidRDefault="0018228E" w:rsidP="00E45B23">
      <w:pPr>
        <w:pStyle w:val="FootnoteText"/>
      </w:pPr>
      <w:r w:rsidRPr="00E45B23">
        <w:rPr>
          <w:rStyle w:val="FootnoteReference"/>
          <w:rFonts w:eastAsia="MS Gothic"/>
        </w:rPr>
        <w:footnoteRef/>
      </w:r>
      <w:r>
        <w:tab/>
      </w:r>
      <w:r w:rsidRPr="00A41E8B">
        <w:t>Signal L, Smith M, Barr M, et al. 2017. Kids</w:t>
      </w:r>
      <w:r>
        <w:t>’</w:t>
      </w:r>
      <w:r w:rsidRPr="00A41E8B">
        <w:t xml:space="preserve">Cam: an objective methodology to study the world in which children live. </w:t>
      </w:r>
      <w:r w:rsidRPr="00B12F1E">
        <w:rPr>
          <w:i/>
        </w:rPr>
        <w:t>American Journal of Preventive Medicine</w:t>
      </w:r>
      <w:r w:rsidRPr="00A41E8B">
        <w:t xml:space="preserve"> 53(3): e89–e95.</w:t>
      </w:r>
      <w:r>
        <w:t xml:space="preserve"> </w:t>
      </w:r>
      <w:hyperlink r:id="rId16" w:history="1">
        <w:r w:rsidRPr="00A6157F">
          <w:rPr>
            <w:rStyle w:val="Hyperlink"/>
          </w:rPr>
          <w:t>https://www.ajpmonline.org/article/S0749-3797(17)30163-0/fulltext</w:t>
        </w:r>
      </w:hyperlink>
      <w:r>
        <w:t>.</w:t>
      </w:r>
    </w:p>
  </w:footnote>
  <w:footnote w:id="34">
    <w:p w14:paraId="4C28BE03" w14:textId="77777777" w:rsidR="0018228E" w:rsidRDefault="0018228E" w:rsidP="00E45B23">
      <w:pPr>
        <w:pStyle w:val="FootnoteText"/>
      </w:pPr>
      <w:r w:rsidRPr="00E45B23">
        <w:rPr>
          <w:rStyle w:val="FootnoteReference"/>
          <w:rFonts w:eastAsia="MS Gothic"/>
        </w:rPr>
        <w:footnoteRef/>
      </w:r>
      <w:r>
        <w:tab/>
        <w:t xml:space="preserve">NZIER. 2020. </w:t>
      </w:r>
      <w:r w:rsidRPr="00133192">
        <w:rPr>
          <w:i/>
          <w:iCs/>
        </w:rPr>
        <w:t>The Retail Employment and Tax Costs of Class 4 Gambling in New Zealand: NZIER report to the Problem Gambling Association</w:t>
      </w:r>
      <w:r>
        <w:t xml:space="preserve">. Wellington: New Zealand Institute of Economic Research (NZIER). URL: </w:t>
      </w:r>
      <w:hyperlink r:id="rId17" w:history="1">
        <w:r w:rsidRPr="009613C3">
          <w:rPr>
            <w:rStyle w:val="Hyperlink"/>
          </w:rPr>
          <w:t>https://img.scoop.co.nz/media/pdfs/2008/Final_Report__Diverting_gambling_losses_22_June.pdf</w:t>
        </w:r>
      </w:hyperlink>
      <w:r>
        <w:t xml:space="preserve"> (accessed 18 July 2021).</w:t>
      </w:r>
    </w:p>
  </w:footnote>
  <w:footnote w:id="35">
    <w:p w14:paraId="520E66C9" w14:textId="77777777" w:rsidR="0018228E" w:rsidRDefault="0018228E" w:rsidP="00E45B23">
      <w:pPr>
        <w:pStyle w:val="FootnoteText"/>
      </w:pPr>
      <w:r w:rsidRPr="00E45B23">
        <w:rPr>
          <w:rStyle w:val="FootnoteReference"/>
          <w:rFonts w:eastAsiaTheme="majorEastAsia"/>
        </w:rPr>
        <w:footnoteRef/>
      </w:r>
      <w:r>
        <w:tab/>
        <w:t xml:space="preserve">Based on NZDep 2013 census area units: University of Otago Wellington. </w:t>
      </w:r>
      <w:r w:rsidRPr="00B02B28">
        <w:t>Socioeconomic Deprivation Indexes: NZDep and NZiDep, Department of Public Health</w:t>
      </w:r>
      <w:r>
        <w:t xml:space="preserve">. URL: </w:t>
      </w:r>
      <w:hyperlink r:id="rId18" w:history="1">
        <w:r w:rsidRPr="002D3675">
          <w:rPr>
            <w:rStyle w:val="Hyperlink"/>
            <w:rFonts w:eastAsia="MS Gothic"/>
          </w:rPr>
          <w:t>www.otago.ac.nz/wellington/departments/publichealth/research/hirp/otago020194.html</w:t>
        </w:r>
      </w:hyperlink>
      <w:r>
        <w:t xml:space="preserve"> (accessed 17 November 2018).</w:t>
      </w:r>
    </w:p>
  </w:footnote>
  <w:footnote w:id="36">
    <w:p w14:paraId="0D8A03DD" w14:textId="77777777" w:rsidR="0018228E" w:rsidRDefault="0018228E" w:rsidP="00E45B23">
      <w:pPr>
        <w:pStyle w:val="FootnoteText"/>
      </w:pPr>
      <w:r w:rsidRPr="00E45B23">
        <w:rPr>
          <w:rStyle w:val="FootnoteReference"/>
          <w:rFonts w:eastAsia="MS Gothic"/>
        </w:rPr>
        <w:footnoteRef/>
      </w:r>
      <w:r>
        <w:tab/>
        <w:t xml:space="preserve">Ward AD, McIvor JT, Bracewell P. 2020. The geographic distribution of gaming machine proceeds in New Zealand. </w:t>
      </w:r>
      <w:r w:rsidRPr="00133192">
        <w:rPr>
          <w:i/>
          <w:iCs/>
        </w:rPr>
        <w:t>Kōtuitui: New Zealand Journal of Social Sciences Online 15</w:t>
      </w:r>
      <w:r>
        <w:t xml:space="preserve"> (1): 54–74. DOI: </w:t>
      </w:r>
      <w:hyperlink r:id="rId19" w:history="1">
        <w:r w:rsidRPr="009613C3">
          <w:rPr>
            <w:rStyle w:val="Hyperlink"/>
          </w:rPr>
          <w:t>https://doi.org/10.1080/1177083X.2019.1640752</w:t>
        </w:r>
      </w:hyperlink>
      <w:r>
        <w:t xml:space="preserve"> (accessed 18 July 2021).</w:t>
      </w:r>
    </w:p>
  </w:footnote>
  <w:footnote w:id="37">
    <w:p w14:paraId="02C2FCC5" w14:textId="77777777" w:rsidR="0018228E" w:rsidRDefault="0018228E" w:rsidP="00E45B23">
      <w:pPr>
        <w:pStyle w:val="FootnoteText"/>
      </w:pPr>
      <w:r w:rsidRPr="00E45B23">
        <w:rPr>
          <w:rStyle w:val="FootnoteReference"/>
          <w:rFonts w:eastAsia="MS Gothic"/>
        </w:rPr>
        <w:footnoteRef/>
      </w:r>
      <w:r>
        <w:tab/>
      </w:r>
      <w:r w:rsidRPr="00196A84">
        <w:t xml:space="preserve">Ministry of Health. 2008. </w:t>
      </w:r>
      <w:r w:rsidRPr="00E45B23">
        <w:rPr>
          <w:i/>
        </w:rPr>
        <w:t>Raising the Odds? Gambling behaviour and neighbourhood access to gambling venues in New Zealand</w:t>
      </w:r>
      <w:r w:rsidRPr="00196A84">
        <w:t>. Wellington: Ministry of Health.</w:t>
      </w:r>
    </w:p>
  </w:footnote>
  <w:footnote w:id="38">
    <w:p w14:paraId="0D67CFFC" w14:textId="77777777" w:rsidR="0018228E" w:rsidRDefault="0018228E" w:rsidP="0050352B">
      <w:pPr>
        <w:pStyle w:val="FootnoteText"/>
      </w:pPr>
      <w:r w:rsidRPr="0050352B">
        <w:rPr>
          <w:rStyle w:val="FootnoteReference"/>
          <w:rFonts w:eastAsiaTheme="majorEastAsia"/>
        </w:rPr>
        <w:footnoteRef/>
      </w:r>
      <w:r>
        <w:tab/>
        <w:t xml:space="preserve">Ministry of Health, Intervention </w:t>
      </w:r>
      <w:hyperlink r:id="rId20" w:history="1">
        <w:r w:rsidRPr="0072090F">
          <w:t>client data website</w:t>
        </w:r>
      </w:hyperlink>
      <w:r>
        <w:t xml:space="preserve">: </w:t>
      </w:r>
      <w:hyperlink r:id="rId21" w:history="1">
        <w:r w:rsidRPr="009613C3">
          <w:rPr>
            <w:rStyle w:val="Hyperlink"/>
          </w:rPr>
          <w:t>www.health.govt.nz/our-work/mental-health-and-addictions/gambling/service-user-data/intervention-client-data</w:t>
        </w:r>
      </w:hyperlink>
      <w:r>
        <w:t>.</w:t>
      </w:r>
    </w:p>
  </w:footnote>
  <w:footnote w:id="39">
    <w:p w14:paraId="62A2B5C9" w14:textId="77777777" w:rsidR="0018228E" w:rsidRDefault="0018228E" w:rsidP="007865BA">
      <w:pPr>
        <w:pStyle w:val="FootnoteText"/>
      </w:pPr>
      <w:r w:rsidRPr="007865BA">
        <w:rPr>
          <w:rStyle w:val="FootnoteReference"/>
        </w:rPr>
        <w:footnoteRef/>
      </w:r>
      <w:r>
        <w:tab/>
        <w:t>Gambling Act 2003, sections 98 to 103 and Racing Industry Act 2002, sections 96–97.</w:t>
      </w:r>
    </w:p>
  </w:footnote>
  <w:footnote w:id="40">
    <w:p w14:paraId="1724DC8E" w14:textId="77777777" w:rsidR="0018228E" w:rsidRDefault="0018228E" w:rsidP="007865BA">
      <w:pPr>
        <w:pStyle w:val="FootnoteText"/>
      </w:pPr>
      <w:r w:rsidRPr="007865BA">
        <w:rPr>
          <w:rStyle w:val="FootnoteReference"/>
        </w:rPr>
        <w:footnoteRef/>
      </w:r>
      <w:r>
        <w:tab/>
        <w:t xml:space="preserve">The Gambling Commission approves the casino operator’s </w:t>
      </w:r>
      <w:r>
        <w:rPr>
          <w:i/>
          <w:iCs/>
        </w:rPr>
        <w:t>Host Responsibility Programme</w:t>
      </w:r>
      <w:r>
        <w:t xml:space="preserve"> (HRP), which the operator must comply with as part of their licence conditions. Casino operators report to the Gambling Commission annually about the implementation of their HRP. The Department of Internal Affairs may also provide input into the HRP when it is periodically reviewed by the Gambling Commission.</w:t>
      </w:r>
    </w:p>
  </w:footnote>
  <w:footnote w:id="41">
    <w:p w14:paraId="7C2DE2B6" w14:textId="77777777" w:rsidR="0018228E" w:rsidRDefault="0018228E" w:rsidP="007865BA">
      <w:pPr>
        <w:pStyle w:val="FootnoteText"/>
      </w:pPr>
      <w:r w:rsidRPr="007865BA">
        <w:rPr>
          <w:rStyle w:val="FootnoteReference"/>
        </w:rPr>
        <w:footnoteRef/>
      </w:r>
      <w:r>
        <w:tab/>
      </w:r>
      <w:r w:rsidRPr="006F402E">
        <w:t xml:space="preserve">Malatest International </w:t>
      </w:r>
      <w:r w:rsidRPr="00CE3865">
        <w:rPr>
          <w:i/>
          <w:iCs/>
        </w:rPr>
        <w:t>Gambling Harm Needs Assessment 2021</w:t>
      </w:r>
      <w:r w:rsidRPr="006F402E">
        <w:t>.</w:t>
      </w:r>
      <w:r>
        <w:t xml:space="preserve"> </w:t>
      </w:r>
      <w:hyperlink r:id="rId22" w:history="1">
        <w:r w:rsidRPr="006F402E">
          <w:rPr>
            <w:rStyle w:val="Hyperlink"/>
            <w:sz w:val="18"/>
            <w:szCs w:val="18"/>
          </w:rPr>
          <w:t>https://www.health.govt.nz/system/files/documents/publications/gambling-harm-needs-assessment-2021.pdf</w:t>
        </w:r>
      </w:hyperlink>
      <w:r>
        <w:rPr>
          <w:rStyle w:val="Hyperlink"/>
          <w:sz w:val="18"/>
          <w:szCs w:val="18"/>
        </w:rPr>
        <w:t>.</w:t>
      </w:r>
    </w:p>
  </w:footnote>
  <w:footnote w:id="42">
    <w:p w14:paraId="075F69FD" w14:textId="77777777" w:rsidR="0018228E" w:rsidRPr="008303C6" w:rsidRDefault="0018228E" w:rsidP="00160D32">
      <w:pPr>
        <w:pStyle w:val="FootnoteText"/>
      </w:pPr>
      <w:r w:rsidRPr="00160D32">
        <w:rPr>
          <w:rStyle w:val="FootnoteReference"/>
          <w:rFonts w:eastAsia="MS Gothic"/>
        </w:rPr>
        <w:footnoteRef/>
      </w:r>
      <w:r>
        <w:tab/>
      </w:r>
      <w:r w:rsidRPr="008303C6">
        <w:t xml:space="preserve">Korn DA, Shaffer HJ. 1999. Gambling and the health of the public: adopting a public health perspective. </w:t>
      </w:r>
      <w:r w:rsidRPr="008303C6">
        <w:rPr>
          <w:i/>
          <w:iCs/>
        </w:rPr>
        <w:t>Journal of Gambling Studies</w:t>
      </w:r>
      <w:r w:rsidRPr="001A0826">
        <w:rPr>
          <w:iCs/>
        </w:rPr>
        <w:t xml:space="preserve"> 15</w:t>
      </w:r>
      <w:r>
        <w:rPr>
          <w:iCs/>
        </w:rPr>
        <w:t>:</w:t>
      </w:r>
      <w:r w:rsidRPr="008303C6">
        <w:rPr>
          <w:i/>
          <w:iCs/>
        </w:rPr>
        <w:t xml:space="preserve"> </w:t>
      </w:r>
      <w:r w:rsidRPr="008303C6">
        <w:t xml:space="preserve">289–365. DOI: </w:t>
      </w:r>
      <w:r>
        <w:rPr>
          <w:rFonts w:cs="Segoe UI"/>
          <w:color w:val="333333"/>
          <w:shd w:val="clear" w:color="auto" w:fill="FCFCFC"/>
        </w:rPr>
        <w:t>doi.org/10.1023/A:1023005115932 (accessed 15 July 2021).</w:t>
      </w:r>
    </w:p>
  </w:footnote>
  <w:footnote w:id="43">
    <w:p w14:paraId="7271CAC6" w14:textId="77777777" w:rsidR="0018228E" w:rsidRPr="003B5EAD" w:rsidRDefault="0018228E" w:rsidP="00160D32">
      <w:pPr>
        <w:pStyle w:val="FootnoteText"/>
      </w:pPr>
      <w:r w:rsidRPr="00160D32">
        <w:rPr>
          <w:rStyle w:val="FootnoteReference"/>
        </w:rPr>
        <w:footnoteRef/>
      </w:r>
      <w:r>
        <w:tab/>
      </w:r>
      <w:r w:rsidRPr="006E4C1A">
        <w:t xml:space="preserve">See preference to use cultural safety rather than cultural competence (also made in submission from GPS) </w:t>
      </w:r>
      <w:hyperlink r:id="rId23" w:history="1">
        <w:r w:rsidRPr="00CE3865">
          <w:rPr>
            <w:rStyle w:val="Hyperlink"/>
          </w:rPr>
          <w:t>https://equityhealthj.biomedcentral.com/articles/10.1186/s12939-019-1082-3</w:t>
        </w:r>
      </w:hyperlink>
      <w:r>
        <w:rPr>
          <w:rStyle w:val="Hyperlink"/>
          <w:b w:val="0"/>
        </w:rPr>
        <w:t>.</w:t>
      </w:r>
    </w:p>
  </w:footnote>
  <w:footnote w:id="44">
    <w:p w14:paraId="127D1328" w14:textId="77777777" w:rsidR="0018228E" w:rsidRPr="0003777A" w:rsidRDefault="0018228E" w:rsidP="00160D32">
      <w:pPr>
        <w:pStyle w:val="FootnoteText"/>
      </w:pPr>
      <w:r w:rsidRPr="00160D32">
        <w:rPr>
          <w:rStyle w:val="FootnoteReference"/>
          <w:rFonts w:eastAsiaTheme="majorEastAsia"/>
        </w:rPr>
        <w:footnoteRef/>
      </w:r>
      <w:r w:rsidRPr="006E4C1A">
        <w:tab/>
        <w:t>See the Achieving equity webpage of the Ministry</w:t>
      </w:r>
      <w:r>
        <w:t>’</w:t>
      </w:r>
      <w:r w:rsidRPr="006E4C1A">
        <w:t xml:space="preserve">s website at: </w:t>
      </w:r>
      <w:hyperlink r:id="rId24" w:anchor=":~:text=Whakamaua%3A%20Māori%20Health%20Action%20Plan%202020-2025%20is%20the,the%20Ministry’s%20new%20Te%20Tiriti%20o%20Waitangi%20Framework" w:history="1">
        <w:r w:rsidRPr="00CE3865">
          <w:rPr>
            <w:rStyle w:val="Hyperlink"/>
          </w:rPr>
          <w:t>www.hauora.co.nz/new-action-plan-to-boost-maori-health-and-wellbeing/#:~:text=Whakamaua%3A%20Māori%20Health%20Action%20Plan%202020-2025%20is%20the,the%20Ministry</w:t>
        </w:r>
        <w:r>
          <w:rPr>
            <w:rStyle w:val="Hyperlink"/>
          </w:rPr>
          <w:t>’</w:t>
        </w:r>
        <w:r w:rsidRPr="00CE3865">
          <w:rPr>
            <w:rStyle w:val="Hyperlink"/>
          </w:rPr>
          <w:t>s%20new%20Te%20Tiriti%20o%20Waitangi%20Framework</w:t>
        </w:r>
      </w:hyperlink>
      <w:r w:rsidRPr="006E4C1A">
        <w:t xml:space="preserve"> </w:t>
      </w:r>
      <w:hyperlink r:id="rId25" w:history="1">
        <w:r w:rsidRPr="00CE3865">
          <w:rPr>
            <w:rStyle w:val="Hyperlink"/>
          </w:rPr>
          <w:t>www.health.govt.nz/about-ministry/what-we-do/work-programme-2019-20/achieving-equity</w:t>
        </w:r>
      </w:hyperlink>
      <w:r>
        <w:rPr>
          <w:rStyle w:val="Hyperlink"/>
          <w:b w:val="0"/>
        </w:rPr>
        <w:t>.</w:t>
      </w:r>
    </w:p>
  </w:footnote>
  <w:footnote w:id="45">
    <w:p w14:paraId="63549782" w14:textId="77777777" w:rsidR="0018228E" w:rsidRDefault="0018228E" w:rsidP="00160D32">
      <w:pPr>
        <w:pStyle w:val="FootnoteText"/>
      </w:pPr>
      <w:r w:rsidRPr="00160D32">
        <w:rPr>
          <w:rStyle w:val="FootnoteReference"/>
        </w:rPr>
        <w:footnoteRef/>
      </w:r>
      <w:r>
        <w:tab/>
        <w:t>Reference transformation website.</w:t>
      </w:r>
    </w:p>
  </w:footnote>
  <w:footnote w:id="46">
    <w:p w14:paraId="3F4535FC" w14:textId="77777777" w:rsidR="0018228E" w:rsidRPr="002470A9" w:rsidRDefault="0018228E" w:rsidP="00160D32">
      <w:pPr>
        <w:pStyle w:val="FootnoteText"/>
      </w:pPr>
      <w:r w:rsidRPr="00160D32">
        <w:rPr>
          <w:rStyle w:val="FootnoteReference"/>
          <w:rFonts w:eastAsia="MS Gothic"/>
        </w:rPr>
        <w:footnoteRef/>
      </w:r>
      <w:r w:rsidRPr="00160D32">
        <w:rPr>
          <w:rFonts w:eastAsia="MS Gothic"/>
        </w:rPr>
        <w:tab/>
      </w:r>
      <w:r w:rsidRPr="002470A9">
        <w:t>Ministry</w:t>
      </w:r>
      <w:r w:rsidRPr="006F402E">
        <w:t xml:space="preserve"> of Health. 2020. </w:t>
      </w:r>
      <w:r w:rsidRPr="00160D32">
        <w:rPr>
          <w:i/>
        </w:rPr>
        <w:t>Whakamaua: Māori Health Action Plan 2020–2025</w:t>
      </w:r>
      <w:r w:rsidRPr="006F402E">
        <w:t>. Wellington: Ministry of Health.</w:t>
      </w:r>
      <w:r w:rsidRPr="002470A9">
        <w:t xml:space="preserve"> Whakamaua articulates the importance of ensuring equity of outcomes for Māori, and the ability of iwi, hapū, whānau and Māori communities to exercise their authority to improve their health and wellbeing.</w:t>
      </w:r>
      <w:r>
        <w:t xml:space="preserve"> Additional details are provided in Appendix 1.</w:t>
      </w:r>
    </w:p>
  </w:footnote>
  <w:footnote w:id="47">
    <w:p w14:paraId="5D34E3A1" w14:textId="77777777" w:rsidR="0018228E" w:rsidRPr="008303C6" w:rsidRDefault="0018228E" w:rsidP="00160D32">
      <w:pPr>
        <w:pStyle w:val="FootnoteText"/>
      </w:pPr>
      <w:r w:rsidRPr="00160D32">
        <w:rPr>
          <w:rStyle w:val="FootnoteReference"/>
          <w:rFonts w:eastAsia="MS Gothic"/>
        </w:rPr>
        <w:footnoteRef/>
      </w:r>
      <w:r w:rsidRPr="002470A9">
        <w:tab/>
        <w:t xml:space="preserve">See the Gambling webpage on the Department of Internal Affairs website at: </w:t>
      </w:r>
      <w:hyperlink r:id="rId26" w:history="1">
        <w:r w:rsidRPr="001B3484">
          <w:rPr>
            <w:rStyle w:val="Hyperlink"/>
            <w:rFonts w:cs="Segoe UI"/>
          </w:rPr>
          <w:t>www.dia.govt.nz/Gambling</w:t>
        </w:r>
      </w:hyperlink>
      <w:r>
        <w:rPr>
          <w:rStyle w:val="Hyperlink"/>
          <w:rFonts w:cs="Segoe UI"/>
          <w:b w:val="0"/>
        </w:rPr>
        <w:t>.</w:t>
      </w:r>
    </w:p>
  </w:footnote>
  <w:footnote w:id="48">
    <w:p w14:paraId="510D8495" w14:textId="77777777" w:rsidR="0018228E" w:rsidRPr="008303C6" w:rsidRDefault="0018228E" w:rsidP="00160D32">
      <w:pPr>
        <w:pStyle w:val="FootnoteText"/>
      </w:pPr>
      <w:r w:rsidRPr="00160D32">
        <w:rPr>
          <w:rStyle w:val="FootnoteReference"/>
          <w:rFonts w:eastAsia="MS Gothic"/>
        </w:rPr>
        <w:footnoteRef/>
      </w:r>
      <w:r>
        <w:tab/>
      </w:r>
      <w:r w:rsidRPr="008303C6">
        <w:t>Waitangi Tribunal</w:t>
      </w:r>
      <w:r>
        <w:t>.</w:t>
      </w:r>
      <w:r w:rsidRPr="008303C6">
        <w:t xml:space="preserve"> 2019. </w:t>
      </w:r>
      <w:r w:rsidRPr="008303C6">
        <w:rPr>
          <w:i/>
          <w:iCs/>
        </w:rPr>
        <w:t xml:space="preserve">Hauora: Report on stage one of the Health Services and Outcomes Kaupapa Inquiry. </w:t>
      </w:r>
      <w:r w:rsidRPr="008303C6">
        <w:t xml:space="preserve">Wai 2575: Waitangi Report 2019. Lower Hutt: Legislation Direct. URL: </w:t>
      </w:r>
      <w:hyperlink r:id="rId27" w:history="1">
        <w:r w:rsidRPr="008303C6">
          <w:rPr>
            <w:rStyle w:val="Hyperlink"/>
          </w:rPr>
          <w:t>https://forms.justice.govt.nz/search/Documents/WT/wt_DOC_152801817/Hauora%20W.pdf</w:t>
        </w:r>
      </w:hyperlink>
      <w:r w:rsidRPr="008303C6">
        <w:t xml:space="preserve"> (accessed 15 July 2021).</w:t>
      </w:r>
    </w:p>
  </w:footnote>
  <w:footnote w:id="49">
    <w:p w14:paraId="0EA433F4" w14:textId="77777777" w:rsidR="0018228E" w:rsidRDefault="0018228E" w:rsidP="00160D32">
      <w:pPr>
        <w:pStyle w:val="FootnoteText"/>
      </w:pPr>
      <w:r w:rsidRPr="00160D32">
        <w:rPr>
          <w:rStyle w:val="FootnoteReference"/>
        </w:rPr>
        <w:footnoteRef/>
      </w:r>
      <w:r>
        <w:tab/>
      </w:r>
      <w:hyperlink r:id="rId28" w:history="1">
        <w:r w:rsidRPr="00160D32">
          <w:rPr>
            <w:rStyle w:val="Hyperlink"/>
          </w:rPr>
          <w:t>https://www.health.govt.nz/our-work/populations/maori-health/te-tiriti-o-waitangi</w:t>
        </w:r>
      </w:hyperlink>
      <w:r>
        <w:t>.</w:t>
      </w:r>
    </w:p>
  </w:footnote>
  <w:footnote w:id="50">
    <w:p w14:paraId="4C69D9BA" w14:textId="77777777" w:rsidR="0018228E" w:rsidRDefault="0018228E" w:rsidP="00BD7A52">
      <w:pPr>
        <w:pStyle w:val="FootnoteText"/>
      </w:pPr>
      <w:r w:rsidRPr="00BD7A52">
        <w:rPr>
          <w:rStyle w:val="FootnoteReference"/>
        </w:rPr>
        <w:footnoteRef/>
      </w:r>
      <w:r>
        <w:tab/>
        <w:t xml:space="preserve">Pae ora is also the driving outcome for </w:t>
      </w:r>
      <w:r w:rsidRPr="004404EE">
        <w:rPr>
          <w:i/>
          <w:iCs/>
        </w:rPr>
        <w:t>He Korowai Oranga: Māori Health Strategy</w:t>
      </w:r>
      <w:r w:rsidRPr="00992E17">
        <w:t xml:space="preserve"> </w:t>
      </w:r>
      <w:r w:rsidRPr="006B2112">
        <w:t>(</w:t>
      </w:r>
      <w:r w:rsidRPr="008E20F2">
        <w:t>He Korowai Oranga</w:t>
      </w:r>
      <w:r>
        <w:t>)</w:t>
      </w:r>
      <w:r w:rsidRPr="002C2F26">
        <w:rPr>
          <w:rStyle w:val="FootnoteReference"/>
        </w:rPr>
        <w:footnoteRef/>
      </w:r>
      <w:r w:rsidRPr="00BD7A52">
        <w:t xml:space="preserve"> </w:t>
      </w:r>
      <w:r w:rsidRPr="00992E17">
        <w:t>and</w:t>
      </w:r>
      <w:r w:rsidRPr="00886B22">
        <w:t xml:space="preserve"> </w:t>
      </w:r>
      <w:r w:rsidRPr="00774900">
        <w:rPr>
          <w:i/>
          <w:iCs/>
        </w:rPr>
        <w:t>Whakamaua</w:t>
      </w:r>
      <w:r>
        <w:t>, which both precede Kia Manawanui.</w:t>
      </w:r>
    </w:p>
  </w:footnote>
  <w:footnote w:id="51">
    <w:p w14:paraId="13D2965B" w14:textId="77777777" w:rsidR="0018228E" w:rsidRDefault="0018228E" w:rsidP="00BD7A52">
      <w:pPr>
        <w:pStyle w:val="FootnoteText"/>
      </w:pPr>
      <w:r w:rsidRPr="00BD7A52">
        <w:rPr>
          <w:rStyle w:val="FootnoteReference"/>
        </w:rPr>
        <w:footnoteRef/>
      </w:r>
      <w:r>
        <w:rPr>
          <w:rStyle w:val="FootnoteTextChar"/>
        </w:rPr>
        <w:tab/>
      </w:r>
      <w:r w:rsidRPr="006F402E">
        <w:rPr>
          <w:i/>
          <w:iCs/>
        </w:rPr>
        <w:t xml:space="preserve">Kia Manawanui </w:t>
      </w:r>
      <w:r w:rsidRPr="00694423">
        <w:t xml:space="preserve">builds on the direction set out in </w:t>
      </w:r>
      <w:r w:rsidRPr="006F402E">
        <w:t xml:space="preserve">Kia Kaha, Kia Māia, Kia Ora Aotearoa: </w:t>
      </w:r>
      <w:r>
        <w:t>COVID</w:t>
      </w:r>
      <w:r>
        <w:noBreakHyphen/>
        <w:t>19</w:t>
      </w:r>
      <w:r w:rsidRPr="006F402E">
        <w:t xml:space="preserve"> Psychosocial and Mental Wellbeing Plan.</w:t>
      </w:r>
    </w:p>
  </w:footnote>
  <w:footnote w:id="52">
    <w:p w14:paraId="10DED61C" w14:textId="77777777" w:rsidR="0018228E" w:rsidRDefault="0018228E" w:rsidP="00BD7A52">
      <w:pPr>
        <w:pStyle w:val="FootnoteText"/>
      </w:pPr>
      <w:r w:rsidRPr="00BD7A52">
        <w:rPr>
          <w:rStyle w:val="FootnoteReference"/>
        </w:rPr>
        <w:footnoteRef/>
      </w:r>
      <w:r>
        <w:tab/>
      </w:r>
      <w:r>
        <w:rPr>
          <w:i/>
          <w:iCs/>
        </w:rPr>
        <w:t xml:space="preserve">Kia Kaha </w:t>
      </w:r>
      <w:r w:rsidRPr="0003777A">
        <w:t xml:space="preserve">also includes the principle </w:t>
      </w:r>
      <w:r>
        <w:t>of h</w:t>
      </w:r>
      <w:r w:rsidRPr="0003777A">
        <w:t xml:space="preserve">uman </w:t>
      </w:r>
      <w:r>
        <w:t>r</w:t>
      </w:r>
      <w:r w:rsidRPr="0003777A">
        <w:t>ights, largely in relation to compulsory treatment in the mental health system. We have excluded this</w:t>
      </w:r>
      <w:r>
        <w:t xml:space="preserve"> principle in this draft strategy</w:t>
      </w:r>
      <w:r w:rsidRPr="0003777A">
        <w:t xml:space="preserve"> as it has limited relevance to gambling prevention and harm minimisation.</w:t>
      </w:r>
    </w:p>
  </w:footnote>
  <w:footnote w:id="53">
    <w:p w14:paraId="4FC8BABA" w14:textId="77777777" w:rsidR="0018228E" w:rsidRDefault="0018228E" w:rsidP="00BD7A52">
      <w:pPr>
        <w:pStyle w:val="FootnoteText"/>
      </w:pPr>
      <w:r w:rsidRPr="00BD7A52">
        <w:rPr>
          <w:rStyle w:val="FootnoteReference"/>
        </w:rPr>
        <w:footnoteRef/>
      </w:r>
      <w:r>
        <w:tab/>
      </w:r>
      <w:r w:rsidRPr="00F818AD">
        <w:t xml:space="preserve">Focus </w:t>
      </w:r>
      <w:r>
        <w:t>a</w:t>
      </w:r>
      <w:r w:rsidRPr="00F818AD">
        <w:t xml:space="preserve">rea </w:t>
      </w:r>
      <w:r>
        <w:t>6</w:t>
      </w:r>
      <w:r w:rsidRPr="00B84108">
        <w:t xml:space="preserve"> of </w:t>
      </w:r>
      <w:r w:rsidRPr="0003777A">
        <w:rPr>
          <w:i/>
          <w:iCs/>
        </w:rPr>
        <w:t>Ola Manuia</w:t>
      </w:r>
      <w:r w:rsidRPr="00050166">
        <w:t xml:space="preserve"> is centred on me</w:t>
      </w:r>
      <w:r>
        <w:t>n</w:t>
      </w:r>
      <w:r w:rsidRPr="00050166">
        <w:t xml:space="preserve">tal wellbeing, including improving mental wellbeing for Pacific communities. One of the outcomes for this focus area is to </w:t>
      </w:r>
      <w:r>
        <w:t>‘</w:t>
      </w:r>
      <w:r w:rsidRPr="00F818AD">
        <w:t>strengthen initiatives to prevent and minimise harmful gambling in Pacific communities</w:t>
      </w:r>
      <w:r w:rsidRPr="00B84108">
        <w:t>.</w:t>
      </w:r>
    </w:p>
  </w:footnote>
  <w:footnote w:id="54">
    <w:p w14:paraId="62B04124" w14:textId="77777777" w:rsidR="0018228E" w:rsidRDefault="0018228E" w:rsidP="00BD7A52">
      <w:pPr>
        <w:pStyle w:val="FootnoteText"/>
      </w:pPr>
      <w:r w:rsidRPr="00BD7A52">
        <w:rPr>
          <w:rStyle w:val="FootnoteReference"/>
        </w:rPr>
        <w:footnoteRef/>
      </w:r>
      <w:r>
        <w:tab/>
        <w:t>Discussed further below in the ‘Priority Populations’ section.</w:t>
      </w:r>
    </w:p>
  </w:footnote>
  <w:footnote w:id="55">
    <w:p w14:paraId="1EBFFE89" w14:textId="77777777" w:rsidR="0018228E" w:rsidRDefault="0018228E" w:rsidP="00BD7A52">
      <w:pPr>
        <w:pStyle w:val="FootnoteText"/>
      </w:pPr>
      <w:r w:rsidRPr="00BD7A52">
        <w:rPr>
          <w:rStyle w:val="FootnoteReference"/>
        </w:rPr>
        <w:footnoteRef/>
      </w:r>
      <w:r>
        <w:tab/>
        <w:t>For example, through providing information to increase community awareness of gambling harm, grant distribution and related issues.</w:t>
      </w:r>
    </w:p>
  </w:footnote>
  <w:footnote w:id="56">
    <w:p w14:paraId="46949C4B" w14:textId="77777777" w:rsidR="0018228E" w:rsidRPr="0003777A" w:rsidRDefault="0018228E" w:rsidP="00124241">
      <w:pPr>
        <w:pStyle w:val="FootnoteText"/>
      </w:pPr>
      <w:r w:rsidRPr="00124241">
        <w:rPr>
          <w:rStyle w:val="FootnoteReference"/>
          <w:rFonts w:eastAsia="MS Gothic"/>
        </w:rPr>
        <w:footnoteRef/>
      </w:r>
      <w:r>
        <w:tab/>
      </w:r>
      <w:r w:rsidRPr="0003777A">
        <w:t xml:space="preserve">In this </w:t>
      </w:r>
      <w:r>
        <w:t xml:space="preserve">draft </w:t>
      </w:r>
      <w:r w:rsidRPr="0003777A">
        <w:t>strategy, young people</w:t>
      </w:r>
      <w:r>
        <w:t xml:space="preserve"> </w:t>
      </w:r>
      <w:r w:rsidRPr="0003777A">
        <w:t>/</w:t>
      </w:r>
      <w:r>
        <w:t xml:space="preserve"> </w:t>
      </w:r>
      <w:r w:rsidRPr="0003777A">
        <w:t xml:space="preserve">rangatahi </w:t>
      </w:r>
      <w:r>
        <w:t>relates to people</w:t>
      </w:r>
      <w:r w:rsidRPr="0003777A">
        <w:t xml:space="preserve"> aged under 25</w:t>
      </w:r>
      <w:r>
        <w:t> years</w:t>
      </w:r>
      <w:r w:rsidRPr="0003777A">
        <w:t>, as set out in the Child and Youth Wellbeing Strategy</w:t>
      </w:r>
      <w:r>
        <w:t xml:space="preserve"> (see the Child and Youth Wellbeing Strategy website at: </w:t>
      </w:r>
      <w:hyperlink r:id="rId29" w:history="1">
        <w:r w:rsidRPr="00BB1771">
          <w:rPr>
            <w:rStyle w:val="Hyperlink"/>
          </w:rPr>
          <w:t>https://childyouthwellbeing.govt.nz/resources/child-and-youth-wellbeing-strategy</w:t>
        </w:r>
      </w:hyperlink>
      <w:r>
        <w:t>).</w:t>
      </w:r>
    </w:p>
  </w:footnote>
  <w:footnote w:id="57">
    <w:p w14:paraId="4E3CD0DF" w14:textId="77777777" w:rsidR="0018228E" w:rsidRDefault="0018228E" w:rsidP="00C41E85">
      <w:pPr>
        <w:pStyle w:val="FootnoteText"/>
      </w:pPr>
      <w:r w:rsidRPr="00C41E85">
        <w:rPr>
          <w:rStyle w:val="FootnoteReference"/>
        </w:rPr>
        <w:footnoteRef/>
      </w:r>
      <w:r>
        <w:tab/>
      </w:r>
      <w:hyperlink r:id="rId30" w:history="1">
        <w:r w:rsidRPr="003D2E77">
          <w:rPr>
            <w:rStyle w:val="Hyperlink"/>
            <w:bCs/>
          </w:rPr>
          <w:t>www.health.govt.nz/our-work/mental-health-and-addiction/addiction/gambling</w:t>
        </w:r>
      </w:hyperlink>
    </w:p>
  </w:footnote>
  <w:footnote w:id="58">
    <w:p w14:paraId="0E25DCDF" w14:textId="77777777" w:rsidR="0018228E" w:rsidRDefault="0018228E" w:rsidP="00723DC0">
      <w:pPr>
        <w:pStyle w:val="FootnoteText"/>
      </w:pPr>
      <w:r w:rsidRPr="00723DC0">
        <w:rPr>
          <w:rStyle w:val="FootnoteReference"/>
          <w:rFonts w:eastAsia="MS Gothic"/>
        </w:rPr>
        <w:footnoteRef/>
      </w:r>
      <w:r>
        <w:tab/>
      </w:r>
      <w:r w:rsidRPr="00EB74DC">
        <w:t>The forecast underspend is a consequence of $5</w:t>
      </w:r>
      <w:r w:rsidR="00046A83">
        <w:t> million</w:t>
      </w:r>
      <w:r w:rsidRPr="00EB74DC">
        <w:t xml:space="preserve"> underspend being transferred into the current levy period, with some delays in spending because of the response to </w:t>
      </w:r>
      <w:r>
        <w:t>COVID</w:t>
      </w:r>
      <w:r>
        <w:noBreakHyphen/>
        <w:t>19</w:t>
      </w:r>
      <w:r w:rsidRPr="00EB74DC">
        <w:t>.</w:t>
      </w:r>
    </w:p>
  </w:footnote>
  <w:footnote w:id="59">
    <w:p w14:paraId="5D971307" w14:textId="77777777" w:rsidR="0018228E" w:rsidRDefault="0018228E" w:rsidP="00BA2AA8">
      <w:pPr>
        <w:pStyle w:val="FootnoteText"/>
      </w:pPr>
      <w:r w:rsidRPr="00BA2AA8">
        <w:rPr>
          <w:rStyle w:val="FootnoteReference"/>
        </w:rPr>
        <w:footnoteRef/>
      </w:r>
      <w:r>
        <w:tab/>
      </w:r>
      <w:hyperlink r:id="rId31" w:history="1">
        <w:r>
          <w:rPr>
            <w:rStyle w:val="Hyperlink"/>
          </w:rPr>
          <w:t>https://www.hetaumata.co.nz/public-health/pou-toru-core-competencies</w:t>
        </w:r>
      </w:hyperlink>
    </w:p>
  </w:footnote>
  <w:footnote w:id="60">
    <w:p w14:paraId="07C1E058" w14:textId="77777777" w:rsidR="0018228E" w:rsidRDefault="0018228E" w:rsidP="007179EA">
      <w:pPr>
        <w:pStyle w:val="FootnoteText"/>
      </w:pPr>
      <w:r w:rsidRPr="00BA2AA8">
        <w:rPr>
          <w:rStyle w:val="FootnoteReference"/>
        </w:rPr>
        <w:footnoteRef/>
      </w:r>
      <w:r>
        <w:rPr>
          <w:sz w:val="18"/>
          <w:szCs w:val="18"/>
        </w:rPr>
        <w:tab/>
      </w:r>
      <w:r w:rsidRPr="00344239">
        <w:rPr>
          <w:sz w:val="18"/>
          <w:szCs w:val="18"/>
        </w:rPr>
        <w:t>This was previously funded from the primary prevention (public health action) budget. Creating a separate budget line provides for surety of funding and an improved line of sight for this spend</w:t>
      </w:r>
      <w:r>
        <w:rPr>
          <w:sz w:val="18"/>
          <w:szCs w:val="18"/>
        </w:rPr>
        <w:t>.</w:t>
      </w:r>
    </w:p>
  </w:footnote>
  <w:footnote w:id="61">
    <w:p w14:paraId="33C8398E" w14:textId="77777777" w:rsidR="0018228E" w:rsidRDefault="0018228E" w:rsidP="002A2CA5">
      <w:pPr>
        <w:pStyle w:val="FootnoteText"/>
      </w:pPr>
      <w:r w:rsidRPr="002A2CA5">
        <w:rPr>
          <w:rStyle w:val="FootnoteReference"/>
        </w:rPr>
        <w:footnoteRef/>
      </w:r>
      <w:r>
        <w:tab/>
        <w:t>S</w:t>
      </w:r>
      <w:r w:rsidRPr="00483631">
        <w:t>uch as the Pacific Island</w:t>
      </w:r>
      <w:r>
        <w:t>s</w:t>
      </w:r>
      <w:r w:rsidRPr="00483631">
        <w:t xml:space="preserve"> Families Study and Growing Up in New Zealand</w:t>
      </w:r>
      <w:r>
        <w:t>.</w:t>
      </w:r>
    </w:p>
  </w:footnote>
  <w:footnote w:id="62">
    <w:p w14:paraId="2354CF29" w14:textId="77777777" w:rsidR="0018228E" w:rsidRDefault="0018228E" w:rsidP="00372BC9">
      <w:pPr>
        <w:pStyle w:val="FootnoteText"/>
      </w:pPr>
      <w:r w:rsidRPr="00372BC9">
        <w:rPr>
          <w:rStyle w:val="FootnoteReference"/>
        </w:rPr>
        <w:footnoteRef/>
      </w:r>
      <w:r>
        <w:tab/>
        <w:t>P</w:t>
      </w:r>
      <w:r w:rsidRPr="00E43F7D">
        <w:t>rovided by ABACUS Counselling, Training and Supervision Ltd</w:t>
      </w:r>
      <w:r>
        <w:t>.</w:t>
      </w:r>
    </w:p>
  </w:footnote>
  <w:footnote w:id="63">
    <w:p w14:paraId="079C11D1" w14:textId="77777777" w:rsidR="0018228E" w:rsidRPr="008303C6" w:rsidRDefault="0018228E" w:rsidP="00372BC9">
      <w:pPr>
        <w:pStyle w:val="FootnoteText"/>
      </w:pPr>
      <w:r w:rsidRPr="00372BC9">
        <w:rPr>
          <w:rStyle w:val="FootnoteReference"/>
          <w:rFonts w:eastAsia="MS Gothic"/>
        </w:rPr>
        <w:footnoteRef/>
      </w:r>
      <w:r>
        <w:tab/>
      </w:r>
      <w:r w:rsidRPr="00E43F7D">
        <w:t>Te Pou is a national workforce centre for mental health, addiction and disability. For more information, see the website for Te Pou at:</w:t>
      </w:r>
      <w:r w:rsidRPr="008303C6">
        <w:t xml:space="preserve"> </w:t>
      </w:r>
      <w:hyperlink r:id="rId32" w:history="1">
        <w:r w:rsidRPr="008303C6">
          <w:rPr>
            <w:rStyle w:val="Hyperlink"/>
          </w:rPr>
          <w:t>www.tepou.co.nz</w:t>
        </w:r>
      </w:hyperlink>
      <w:r>
        <w:t>.</w:t>
      </w:r>
    </w:p>
  </w:footnote>
  <w:footnote w:id="64">
    <w:p w14:paraId="09644211" w14:textId="77777777" w:rsidR="0018228E" w:rsidRDefault="0018228E" w:rsidP="00372BC9">
      <w:pPr>
        <w:pStyle w:val="FootnoteText"/>
      </w:pPr>
      <w:r w:rsidRPr="00372BC9">
        <w:rPr>
          <w:rStyle w:val="FootnoteReference"/>
        </w:rPr>
        <w:footnoteRef/>
      </w:r>
      <w:r>
        <w:tab/>
      </w:r>
      <w:hyperlink r:id="rId33" w:history="1">
        <w:r w:rsidRPr="00372BC9">
          <w:rPr>
            <w:rStyle w:val="Hyperlink"/>
          </w:rPr>
          <w:t>www.dapaanz.org.nz</w:t>
        </w:r>
      </w:hyperlink>
    </w:p>
  </w:footnote>
  <w:footnote w:id="65">
    <w:p w14:paraId="6647300F" w14:textId="77777777" w:rsidR="0018228E" w:rsidRDefault="0018228E" w:rsidP="003B7C20">
      <w:pPr>
        <w:pStyle w:val="FootnoteText"/>
      </w:pPr>
      <w:r w:rsidRPr="003B7C20">
        <w:rPr>
          <w:rStyle w:val="FootnoteReference"/>
        </w:rPr>
        <w:footnoteRef/>
      </w:r>
      <w:r>
        <w:tab/>
        <w:t>Review of Ministry of Health Strategy to Prevent and Minimise Gambling Harm, Service Plan, and Formula For Levy Calculation – Report for the Gambling Commission – 8 February 2019.</w:t>
      </w:r>
    </w:p>
  </w:footnote>
  <w:footnote w:id="66">
    <w:p w14:paraId="540B9DE5" w14:textId="77777777" w:rsidR="0018228E" w:rsidRPr="0003777A" w:rsidRDefault="0018228E" w:rsidP="003B7C20">
      <w:pPr>
        <w:pStyle w:val="FootnoteText"/>
      </w:pPr>
      <w:r w:rsidRPr="003B7C20">
        <w:rPr>
          <w:rStyle w:val="FootnoteReference"/>
          <w:rFonts w:eastAsiaTheme="majorEastAsia"/>
        </w:rPr>
        <w:footnoteRef/>
      </w:r>
      <w:r w:rsidRPr="0003777A">
        <w:rPr>
          <w:b/>
        </w:rPr>
        <w:tab/>
        <w:t>R</w:t>
      </w:r>
      <w:r w:rsidRPr="0003777A">
        <w:t xml:space="preserve"> was added to the formula by section 107 of the Gambling Amendment Act 2015, which came into effect on 3 March 2015.</w:t>
      </w:r>
    </w:p>
  </w:footnote>
  <w:footnote w:id="67">
    <w:p w14:paraId="5CB529FD" w14:textId="77777777" w:rsidR="0018228E" w:rsidRPr="00125B7B" w:rsidRDefault="0018228E" w:rsidP="003B7C20">
      <w:pPr>
        <w:pStyle w:val="FootnoteText"/>
      </w:pPr>
      <w:r w:rsidRPr="003B7C20">
        <w:rPr>
          <w:rStyle w:val="FootnoteReference"/>
          <w:rFonts w:eastAsiaTheme="majorEastAsia"/>
        </w:rPr>
        <w:footnoteRef/>
      </w:r>
      <w:r w:rsidRPr="0003777A">
        <w:tab/>
        <w:t>The IRD provides gaming duty and problem gambling levy data to the DIA. The Tax Administration Act 1994 requires the IRD to use its best endeavours to protect the integrity of the tax system by (among other things) maintaining the confidentiality of the affairs of taxpayers.</w:t>
      </w:r>
    </w:p>
  </w:footnote>
  <w:footnote w:id="68">
    <w:p w14:paraId="2D18B9E9" w14:textId="77777777" w:rsidR="0018228E" w:rsidRPr="0003777A" w:rsidRDefault="0018228E" w:rsidP="008B7780">
      <w:pPr>
        <w:pStyle w:val="FootnoteText"/>
      </w:pPr>
      <w:r w:rsidRPr="008B7780">
        <w:rPr>
          <w:rStyle w:val="FootnoteReference"/>
          <w:rFonts w:eastAsiaTheme="majorEastAsia"/>
        </w:rPr>
        <w:footnoteRef/>
      </w:r>
      <w:r w:rsidRPr="0003777A">
        <w:tab/>
      </w:r>
      <w:r>
        <w:t>Data taken from the Gaming machine profits (GMP dashboard) webpage on the website for Te Tari Taiwhenua, Department of Internal Affairs at</w:t>
      </w:r>
      <w:r w:rsidRPr="0003777A">
        <w:t xml:space="preserve">: </w:t>
      </w:r>
      <w:hyperlink r:id="rId34" w:history="1">
        <w:r w:rsidRPr="00C25919">
          <w:rPr>
            <w:rStyle w:val="Hyperlink"/>
          </w:rPr>
          <w:t>https://www.dia.govt.nz/gambling-statistics-gmp-dashboard</w:t>
        </w:r>
      </w:hyperlink>
      <w:r w:rsidRPr="0003777A">
        <w:t xml:space="preserve"> (accessed </w:t>
      </w:r>
      <w:r>
        <w:t>9 November</w:t>
      </w:r>
      <w:r w:rsidRPr="0003777A">
        <w:t xml:space="preserve"> 2021).</w:t>
      </w:r>
    </w:p>
  </w:footnote>
  <w:footnote w:id="69">
    <w:p w14:paraId="28A0E1CF" w14:textId="77777777" w:rsidR="0018228E" w:rsidRDefault="0018228E" w:rsidP="008B7780">
      <w:pPr>
        <w:pStyle w:val="FootnoteText"/>
      </w:pPr>
      <w:r w:rsidRPr="008B7780">
        <w:rPr>
          <w:rStyle w:val="FootnoteReference"/>
        </w:rPr>
        <w:footnoteRef/>
      </w:r>
      <w:r>
        <w:tab/>
        <w:t xml:space="preserve">Lotto NZ Statement of Intent 2022-2025 </w:t>
      </w:r>
      <w:hyperlink r:id="rId35" w:history="1">
        <w:r w:rsidRPr="002F2D4C">
          <w:rPr>
            <w:rStyle w:val="Hyperlink"/>
          </w:rPr>
          <w:t>https://assets.mylotto.co.nz/assets/uploads/abf813a2-d920-11eb-bad1-a613caf5faf2.pdf</w:t>
        </w:r>
      </w:hyperlink>
      <w:r>
        <w:t>.</w:t>
      </w:r>
    </w:p>
  </w:footnote>
  <w:footnote w:id="70">
    <w:p w14:paraId="3F038496" w14:textId="77777777" w:rsidR="0018228E" w:rsidRPr="0003777A" w:rsidRDefault="0018228E" w:rsidP="008B7780">
      <w:pPr>
        <w:pStyle w:val="FootnoteText"/>
      </w:pPr>
      <w:r w:rsidRPr="008B7780">
        <w:rPr>
          <w:rStyle w:val="FootnoteReference"/>
          <w:rFonts w:eastAsiaTheme="majorEastAsia"/>
        </w:rPr>
        <w:footnoteRef/>
      </w:r>
      <w:r>
        <w:tab/>
      </w:r>
      <w:hyperlink r:id="rId36" w:history="1">
        <w:r w:rsidRPr="00C25919">
          <w:rPr>
            <w:rStyle w:val="Hyperlink"/>
          </w:rPr>
          <w:t>https://www.gets.govt.nz/NZLC/ExternalTenderDetails.htm?id=23370625</w:t>
        </w:r>
      </w:hyperlink>
    </w:p>
  </w:footnote>
  <w:footnote w:id="71">
    <w:p w14:paraId="050245CA" w14:textId="77777777" w:rsidR="0018228E" w:rsidRDefault="0018228E" w:rsidP="008B7780">
      <w:pPr>
        <w:pStyle w:val="FootnoteText"/>
      </w:pPr>
      <w:r w:rsidRPr="008B7780">
        <w:rPr>
          <w:rStyle w:val="FootnoteReference"/>
          <w:rFonts w:eastAsia="MS Gothic"/>
        </w:rPr>
        <w:footnoteRef/>
      </w:r>
      <w:r>
        <w:tab/>
        <w:t>This takes account of any underspend for the ‘previous levy period’.</w:t>
      </w:r>
    </w:p>
  </w:footnote>
  <w:footnote w:id="72">
    <w:p w14:paraId="433BFAF3" w14:textId="77777777" w:rsidR="0018228E" w:rsidRDefault="0018228E" w:rsidP="008B7780">
      <w:pPr>
        <w:pStyle w:val="FootnoteText"/>
      </w:pPr>
      <w:r w:rsidRPr="008B7780">
        <w:rPr>
          <w:rStyle w:val="FootnoteReference"/>
        </w:rPr>
        <w:footnoteRef/>
      </w:r>
      <w:r>
        <w:tab/>
        <w:t xml:space="preserve">Gambling Commission. </w:t>
      </w:r>
      <w:r w:rsidRPr="008B7780">
        <w:rPr>
          <w:i/>
        </w:rPr>
        <w:t>Report On The Proposed Problem Gambling Levy: 2019</w:t>
      </w:r>
      <w:r>
        <w:rPr>
          <w:i/>
        </w:rPr>
        <w:t>–</w:t>
      </w:r>
      <w:r w:rsidRPr="008B7780">
        <w:rPr>
          <w:i/>
        </w:rPr>
        <w:t>2022</w:t>
      </w:r>
      <w:r>
        <w:t>. 13 February 2019.</w:t>
      </w:r>
    </w:p>
  </w:footnote>
  <w:footnote w:id="73">
    <w:p w14:paraId="6F170854" w14:textId="77777777" w:rsidR="0018228E" w:rsidRDefault="0018228E" w:rsidP="008B7780">
      <w:pPr>
        <w:pStyle w:val="FootnoteText"/>
      </w:pPr>
      <w:r w:rsidRPr="008B7780">
        <w:rPr>
          <w:rStyle w:val="FootnoteReference"/>
        </w:rPr>
        <w:footnoteRef/>
      </w:r>
      <w:r>
        <w:tab/>
        <w:t xml:space="preserve">Gambling Levy </w:t>
      </w:r>
      <w:r w:rsidRPr="00C457BB">
        <w:t>Main Report: Hon Tracey Martin and Hon Jenny Salesa</w:t>
      </w:r>
      <w:r>
        <w:t xml:space="preserve"> – </w:t>
      </w:r>
      <w:r w:rsidRPr="00C457BB">
        <w:t>13 February 2019</w:t>
      </w:r>
      <w:r>
        <w:t xml:space="preserve"> </w:t>
      </w:r>
      <w:hyperlink r:id="rId37" w:history="1">
        <w:r w:rsidRPr="008B7780">
          <w:rPr>
            <w:rStyle w:val="Hyperlink"/>
          </w:rPr>
          <w:t>https://www.gamblingcommission.govt.nz/GCwebsite.nsf/wpg_URL/Reports-Publications-Problem-Gambling-Levy-2019-2022!OpenDocument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8228E" w14:paraId="392F87D1" w14:textId="77777777" w:rsidTr="005A79E5">
      <w:trPr>
        <w:cantSplit/>
      </w:trPr>
      <w:tc>
        <w:tcPr>
          <w:tcW w:w="5210" w:type="dxa"/>
        </w:tcPr>
        <w:p w14:paraId="116CDAA5" w14:textId="77777777" w:rsidR="0018228E" w:rsidRDefault="0018228E" w:rsidP="008814E8">
          <w:pPr>
            <w:pStyle w:val="Header"/>
          </w:pPr>
          <w:r>
            <w:rPr>
              <w:noProof/>
              <w:lang w:eastAsia="en-NZ"/>
            </w:rPr>
            <w:drawing>
              <wp:inline distT="0" distB="0" distL="0" distR="0" wp14:anchorId="4591DDA6" wp14:editId="12E90E88">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80CAC02" w14:textId="77777777" w:rsidR="0018228E" w:rsidRDefault="0018228E" w:rsidP="008814E8">
          <w:pPr>
            <w:pStyle w:val="Header"/>
            <w:jc w:val="right"/>
          </w:pPr>
          <w:r>
            <w:rPr>
              <w:noProof/>
              <w:lang w:eastAsia="en-NZ"/>
            </w:rPr>
            <w:drawing>
              <wp:inline distT="0" distB="0" distL="0" distR="0" wp14:anchorId="4320FEFA" wp14:editId="602936A0">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F7A3484" w14:textId="77777777" w:rsidR="0018228E" w:rsidRDefault="00182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537D" w14:textId="77777777" w:rsidR="0018228E" w:rsidRDefault="0018228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C251" w14:textId="77777777" w:rsidR="0018228E" w:rsidRDefault="0018228E"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6E34A"/>
    <w:lvl w:ilvl="0">
      <w:start w:val="1"/>
      <w:numFmt w:val="bullet"/>
      <w:lvlText w:val=""/>
      <w:lvlJc w:val="left"/>
      <w:pPr>
        <w:tabs>
          <w:tab w:val="num" w:pos="1060"/>
        </w:tabs>
        <w:ind w:left="1060" w:hanging="567"/>
      </w:pPr>
      <w:rPr>
        <w:rFonts w:ascii="Symbol" w:hAnsi="Symbol"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3174597C"/>
    <w:multiLevelType w:val="multilevel"/>
    <w:tmpl w:val="DBFA8C74"/>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35C629E6"/>
    <w:multiLevelType w:val="hybridMultilevel"/>
    <w:tmpl w:val="32DEC352"/>
    <w:lvl w:ilvl="0" w:tplc="14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8DE5A8D"/>
    <w:multiLevelType w:val="hybridMultilevel"/>
    <w:tmpl w:val="7D1C1876"/>
    <w:lvl w:ilvl="0" w:tplc="E2C8BEB8">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E0704"/>
    <w:multiLevelType w:val="hybridMultilevel"/>
    <w:tmpl w:val="AE48AE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46236E67"/>
    <w:multiLevelType w:val="hybridMultilevel"/>
    <w:tmpl w:val="5614C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9EB1103"/>
    <w:multiLevelType w:val="hybridMultilevel"/>
    <w:tmpl w:val="C2B069CC"/>
    <w:lvl w:ilvl="0" w:tplc="634816DE">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B891014"/>
    <w:multiLevelType w:val="hybridMultilevel"/>
    <w:tmpl w:val="1E8E7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FC71164"/>
    <w:multiLevelType w:val="hybridMultilevel"/>
    <w:tmpl w:val="1A58EE92"/>
    <w:lvl w:ilvl="0" w:tplc="FDD6842A">
      <w:start w:val="1"/>
      <w:numFmt w:val="decimal"/>
      <w:lvlText w:val="%1"/>
      <w:lvlJc w:val="left"/>
      <w:pPr>
        <w:ind w:left="990" w:hanging="99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8CB1355"/>
    <w:multiLevelType w:val="hybridMultilevel"/>
    <w:tmpl w:val="57FCC3D8"/>
    <w:lvl w:ilvl="0" w:tplc="64B85C6A">
      <w:start w:val="1"/>
      <w:numFmt w:val="bullet"/>
      <w:lvlText w:val=""/>
      <w:lvlJc w:val="left"/>
      <w:pPr>
        <w:tabs>
          <w:tab w:val="num" w:pos="360"/>
        </w:tabs>
        <w:ind w:left="360" w:hanging="360"/>
      </w:pPr>
      <w:rPr>
        <w:rFonts w:ascii="Symbol" w:hAnsi="Symbol" w:hint="default"/>
      </w:rPr>
    </w:lvl>
    <w:lvl w:ilvl="1" w:tplc="AE1C0368">
      <w:start w:val="1"/>
      <w:numFmt w:val="bullet"/>
      <w:lvlText w:val=""/>
      <w:lvlJc w:val="left"/>
      <w:pPr>
        <w:tabs>
          <w:tab w:val="num" w:pos="1080"/>
        </w:tabs>
        <w:ind w:left="1080" w:hanging="360"/>
      </w:pPr>
      <w:rPr>
        <w:rFonts w:ascii="Symbol" w:hAnsi="Symbol" w:hint="default"/>
      </w:rPr>
    </w:lvl>
    <w:lvl w:ilvl="2" w:tplc="D77C685E">
      <w:numFmt w:val="bullet"/>
      <w:lvlText w:val="·"/>
      <w:lvlJc w:val="left"/>
      <w:pPr>
        <w:ind w:left="1800" w:hanging="360"/>
      </w:pPr>
      <w:rPr>
        <w:rFonts w:ascii="Segoe UI" w:eastAsia="Times New Roman" w:hAnsi="Segoe UI" w:cs="Segoe UI" w:hint="default"/>
      </w:rPr>
    </w:lvl>
    <w:lvl w:ilvl="3" w:tplc="E02A372C" w:tentative="1">
      <w:start w:val="1"/>
      <w:numFmt w:val="bullet"/>
      <w:lvlText w:val=""/>
      <w:lvlJc w:val="left"/>
      <w:pPr>
        <w:tabs>
          <w:tab w:val="num" w:pos="2520"/>
        </w:tabs>
        <w:ind w:left="2520" w:hanging="360"/>
      </w:pPr>
      <w:rPr>
        <w:rFonts w:ascii="Symbol" w:hAnsi="Symbol" w:hint="default"/>
      </w:rPr>
    </w:lvl>
    <w:lvl w:ilvl="4" w:tplc="F5BE0D34" w:tentative="1">
      <w:start w:val="1"/>
      <w:numFmt w:val="bullet"/>
      <w:lvlText w:val=""/>
      <w:lvlJc w:val="left"/>
      <w:pPr>
        <w:tabs>
          <w:tab w:val="num" w:pos="3240"/>
        </w:tabs>
        <w:ind w:left="3240" w:hanging="360"/>
      </w:pPr>
      <w:rPr>
        <w:rFonts w:ascii="Symbol" w:hAnsi="Symbol" w:hint="default"/>
      </w:rPr>
    </w:lvl>
    <w:lvl w:ilvl="5" w:tplc="05281BCA" w:tentative="1">
      <w:start w:val="1"/>
      <w:numFmt w:val="bullet"/>
      <w:lvlText w:val=""/>
      <w:lvlJc w:val="left"/>
      <w:pPr>
        <w:tabs>
          <w:tab w:val="num" w:pos="3960"/>
        </w:tabs>
        <w:ind w:left="3960" w:hanging="360"/>
      </w:pPr>
      <w:rPr>
        <w:rFonts w:ascii="Symbol" w:hAnsi="Symbol" w:hint="default"/>
      </w:rPr>
    </w:lvl>
    <w:lvl w:ilvl="6" w:tplc="62886CE6" w:tentative="1">
      <w:start w:val="1"/>
      <w:numFmt w:val="bullet"/>
      <w:lvlText w:val=""/>
      <w:lvlJc w:val="left"/>
      <w:pPr>
        <w:tabs>
          <w:tab w:val="num" w:pos="4680"/>
        </w:tabs>
        <w:ind w:left="4680" w:hanging="360"/>
      </w:pPr>
      <w:rPr>
        <w:rFonts w:ascii="Symbol" w:hAnsi="Symbol" w:hint="default"/>
      </w:rPr>
    </w:lvl>
    <w:lvl w:ilvl="7" w:tplc="1040D536" w:tentative="1">
      <w:start w:val="1"/>
      <w:numFmt w:val="bullet"/>
      <w:lvlText w:val=""/>
      <w:lvlJc w:val="left"/>
      <w:pPr>
        <w:tabs>
          <w:tab w:val="num" w:pos="5400"/>
        </w:tabs>
        <w:ind w:left="5400" w:hanging="360"/>
      </w:pPr>
      <w:rPr>
        <w:rFonts w:ascii="Symbol" w:hAnsi="Symbol" w:hint="default"/>
      </w:rPr>
    </w:lvl>
    <w:lvl w:ilvl="8" w:tplc="26BA20CA"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6B66056D"/>
    <w:multiLevelType w:val="hybridMultilevel"/>
    <w:tmpl w:val="B6045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9FE4D6A"/>
    <w:multiLevelType w:val="hybridMultilevel"/>
    <w:tmpl w:val="2BACE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1218D3"/>
    <w:multiLevelType w:val="singleLevel"/>
    <w:tmpl w:val="833651E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6"/>
  </w:num>
  <w:num w:numId="2">
    <w:abstractNumId w:val="6"/>
  </w:num>
  <w:num w:numId="3">
    <w:abstractNumId w:val="7"/>
  </w:num>
  <w:num w:numId="4">
    <w:abstractNumId w:val="2"/>
  </w:num>
  <w:num w:numId="5">
    <w:abstractNumId w:val="1"/>
  </w:num>
  <w:num w:numId="6">
    <w:abstractNumId w:val="10"/>
  </w:num>
  <w:num w:numId="7">
    <w:abstractNumId w:val="12"/>
  </w:num>
  <w:num w:numId="8">
    <w:abstractNumId w:val="5"/>
  </w:num>
  <w:num w:numId="9">
    <w:abstractNumId w:val="11"/>
  </w:num>
  <w:num w:numId="10">
    <w:abstractNumId w:val="13"/>
  </w:num>
  <w:num w:numId="11">
    <w:abstractNumId w:val="4"/>
  </w:num>
  <w:num w:numId="12">
    <w:abstractNumId w:val="15"/>
  </w:num>
  <w:num w:numId="13">
    <w:abstractNumId w:val="8"/>
  </w:num>
  <w:num w:numId="14">
    <w:abstractNumId w:val="14"/>
  </w:num>
  <w:num w:numId="15">
    <w:abstractNumId w:val="0"/>
  </w:num>
  <w:num w:numId="16">
    <w:abstractNumId w:val="3"/>
    <w:lvlOverride w:ilvl="0">
      <w:lvl w:ilvl="0">
        <w:start w:val="1"/>
        <w:numFmt w:val="decimal"/>
        <w:lvlText w:val="%1."/>
        <w:lvlJc w:val="left"/>
        <w:pPr>
          <w:ind w:left="851" w:hanging="851"/>
        </w:pPr>
        <w:rPr>
          <w:rFonts w:ascii="Segoe UI" w:hAnsi="Segoe UI" w:cs="Segoe UI" w:hint="default"/>
          <w:b w:val="0"/>
          <w:bCs w:val="0"/>
          <w:i w:val="0"/>
          <w:color w:val="auto"/>
          <w:sz w:val="22"/>
          <w:szCs w:val="22"/>
        </w:rPr>
      </w:lvl>
    </w:lvlOverride>
    <w:lvlOverride w:ilvl="1">
      <w:lvl w:ilvl="1">
        <w:start w:val="1"/>
        <w:numFmt w:val="lowerLetter"/>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C79"/>
    <w:rsid w:val="00030E84"/>
    <w:rsid w:val="00032C0A"/>
    <w:rsid w:val="00035257"/>
    <w:rsid w:val="00035D68"/>
    <w:rsid w:val="00036027"/>
    <w:rsid w:val="000419A9"/>
    <w:rsid w:val="00045613"/>
    <w:rsid w:val="00046A83"/>
    <w:rsid w:val="00047899"/>
    <w:rsid w:val="00053921"/>
    <w:rsid w:val="00054B44"/>
    <w:rsid w:val="0006006B"/>
    <w:rsid w:val="0006228D"/>
    <w:rsid w:val="00072BD6"/>
    <w:rsid w:val="00075B78"/>
    <w:rsid w:val="000763E9"/>
    <w:rsid w:val="00082CD6"/>
    <w:rsid w:val="0008437D"/>
    <w:rsid w:val="00084ABC"/>
    <w:rsid w:val="00085AFE"/>
    <w:rsid w:val="00094800"/>
    <w:rsid w:val="000A0158"/>
    <w:rsid w:val="000A373D"/>
    <w:rsid w:val="000A41ED"/>
    <w:rsid w:val="000B0730"/>
    <w:rsid w:val="000C2D23"/>
    <w:rsid w:val="000C7AB0"/>
    <w:rsid w:val="000D19F4"/>
    <w:rsid w:val="000D58DD"/>
    <w:rsid w:val="000E2F82"/>
    <w:rsid w:val="000F1F42"/>
    <w:rsid w:val="000F2AE2"/>
    <w:rsid w:val="000F2BFF"/>
    <w:rsid w:val="00102063"/>
    <w:rsid w:val="00102DA3"/>
    <w:rsid w:val="0010541C"/>
    <w:rsid w:val="00105770"/>
    <w:rsid w:val="00106F93"/>
    <w:rsid w:val="00111D50"/>
    <w:rsid w:val="00113B8E"/>
    <w:rsid w:val="001164CD"/>
    <w:rsid w:val="00117F59"/>
    <w:rsid w:val="0012053C"/>
    <w:rsid w:val="00122363"/>
    <w:rsid w:val="00124241"/>
    <w:rsid w:val="00125D45"/>
    <w:rsid w:val="001342C7"/>
    <w:rsid w:val="0013585C"/>
    <w:rsid w:val="00142261"/>
    <w:rsid w:val="00142954"/>
    <w:rsid w:val="00143836"/>
    <w:rsid w:val="001460E0"/>
    <w:rsid w:val="001461C6"/>
    <w:rsid w:val="001472F0"/>
    <w:rsid w:val="00147F71"/>
    <w:rsid w:val="00150A6E"/>
    <w:rsid w:val="001528DC"/>
    <w:rsid w:val="00156FB6"/>
    <w:rsid w:val="00160D32"/>
    <w:rsid w:val="0016304B"/>
    <w:rsid w:val="0016318F"/>
    <w:rsid w:val="0016468A"/>
    <w:rsid w:val="001646F9"/>
    <w:rsid w:val="00166266"/>
    <w:rsid w:val="0017070E"/>
    <w:rsid w:val="00174F02"/>
    <w:rsid w:val="0018228E"/>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4811"/>
    <w:rsid w:val="0020754B"/>
    <w:rsid w:val="002104D3"/>
    <w:rsid w:val="00213A33"/>
    <w:rsid w:val="0021763B"/>
    <w:rsid w:val="00232E9F"/>
    <w:rsid w:val="00245748"/>
    <w:rsid w:val="00246DB1"/>
    <w:rsid w:val="002476B5"/>
    <w:rsid w:val="002520CC"/>
    <w:rsid w:val="00253ECF"/>
    <w:rsid w:val="00254044"/>
    <w:rsid w:val="002546A1"/>
    <w:rsid w:val="002555FC"/>
    <w:rsid w:val="002575E8"/>
    <w:rsid w:val="00257EF1"/>
    <w:rsid w:val="002628F4"/>
    <w:rsid w:val="002706CF"/>
    <w:rsid w:val="00275D08"/>
    <w:rsid w:val="002839AF"/>
    <w:rsid w:val="00284B3D"/>
    <w:rsid w:val="002858E3"/>
    <w:rsid w:val="0029190A"/>
    <w:rsid w:val="00292C5A"/>
    <w:rsid w:val="00295241"/>
    <w:rsid w:val="002A2CA5"/>
    <w:rsid w:val="002A4DFC"/>
    <w:rsid w:val="002B047D"/>
    <w:rsid w:val="002B732B"/>
    <w:rsid w:val="002B76A7"/>
    <w:rsid w:val="002B7BEC"/>
    <w:rsid w:val="002C2219"/>
    <w:rsid w:val="002C2552"/>
    <w:rsid w:val="002C380A"/>
    <w:rsid w:val="002C781D"/>
    <w:rsid w:val="002D0DF2"/>
    <w:rsid w:val="002D23BD"/>
    <w:rsid w:val="002E0B47"/>
    <w:rsid w:val="002F3A0D"/>
    <w:rsid w:val="002F4685"/>
    <w:rsid w:val="002F4A4A"/>
    <w:rsid w:val="002F7213"/>
    <w:rsid w:val="0030382F"/>
    <w:rsid w:val="0030408D"/>
    <w:rsid w:val="003060E4"/>
    <w:rsid w:val="003116E7"/>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27BB"/>
    <w:rsid w:val="00353501"/>
    <w:rsid w:val="00353734"/>
    <w:rsid w:val="003538D4"/>
    <w:rsid w:val="003606F8"/>
    <w:rsid w:val="003648EF"/>
    <w:rsid w:val="003673E6"/>
    <w:rsid w:val="00372BC9"/>
    <w:rsid w:val="00377264"/>
    <w:rsid w:val="003779D2"/>
    <w:rsid w:val="0038494F"/>
    <w:rsid w:val="00385E38"/>
    <w:rsid w:val="003A26A5"/>
    <w:rsid w:val="003A3761"/>
    <w:rsid w:val="003A512D"/>
    <w:rsid w:val="003A5FEA"/>
    <w:rsid w:val="003A710B"/>
    <w:rsid w:val="003B1D10"/>
    <w:rsid w:val="003B7C20"/>
    <w:rsid w:val="003C310C"/>
    <w:rsid w:val="003C6055"/>
    <w:rsid w:val="003C76D4"/>
    <w:rsid w:val="003D137D"/>
    <w:rsid w:val="003D2AE4"/>
    <w:rsid w:val="003D2CC5"/>
    <w:rsid w:val="003D3E5C"/>
    <w:rsid w:val="003E04C1"/>
    <w:rsid w:val="003E0887"/>
    <w:rsid w:val="003E74C8"/>
    <w:rsid w:val="003E74E2"/>
    <w:rsid w:val="003E7C46"/>
    <w:rsid w:val="003F2106"/>
    <w:rsid w:val="003F52A7"/>
    <w:rsid w:val="003F7013"/>
    <w:rsid w:val="003F7F6A"/>
    <w:rsid w:val="00401790"/>
    <w:rsid w:val="0040240C"/>
    <w:rsid w:val="004025AC"/>
    <w:rsid w:val="00413021"/>
    <w:rsid w:val="00414C35"/>
    <w:rsid w:val="004171B7"/>
    <w:rsid w:val="004301C6"/>
    <w:rsid w:val="0043478F"/>
    <w:rsid w:val="0043602B"/>
    <w:rsid w:val="004367D2"/>
    <w:rsid w:val="00440BE0"/>
    <w:rsid w:val="00442A06"/>
    <w:rsid w:val="00442C1C"/>
    <w:rsid w:val="0044584B"/>
    <w:rsid w:val="00447CB7"/>
    <w:rsid w:val="00451900"/>
    <w:rsid w:val="00455CC9"/>
    <w:rsid w:val="00460826"/>
    <w:rsid w:val="00460B1E"/>
    <w:rsid w:val="00460EA7"/>
    <w:rsid w:val="0046195B"/>
    <w:rsid w:val="0046362D"/>
    <w:rsid w:val="0046596D"/>
    <w:rsid w:val="00466303"/>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52B"/>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B24AB"/>
    <w:rsid w:val="005D034C"/>
    <w:rsid w:val="005D712B"/>
    <w:rsid w:val="005E1E9E"/>
    <w:rsid w:val="005E226E"/>
    <w:rsid w:val="005E2636"/>
    <w:rsid w:val="005E71D3"/>
    <w:rsid w:val="006015D7"/>
    <w:rsid w:val="00601B21"/>
    <w:rsid w:val="006041F0"/>
    <w:rsid w:val="00605C6D"/>
    <w:rsid w:val="00611C1E"/>
    <w:rsid w:val="006120CA"/>
    <w:rsid w:val="0061443A"/>
    <w:rsid w:val="00624174"/>
    <w:rsid w:val="00626CF8"/>
    <w:rsid w:val="006314AF"/>
    <w:rsid w:val="00634003"/>
    <w:rsid w:val="00634ED8"/>
    <w:rsid w:val="00636D7D"/>
    <w:rsid w:val="00637408"/>
    <w:rsid w:val="00642868"/>
    <w:rsid w:val="00644019"/>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B7CFD"/>
    <w:rsid w:val="006C78EB"/>
    <w:rsid w:val="006D1660"/>
    <w:rsid w:val="006D63E5"/>
    <w:rsid w:val="006E1753"/>
    <w:rsid w:val="006E2886"/>
    <w:rsid w:val="006E3911"/>
    <w:rsid w:val="006E4D43"/>
    <w:rsid w:val="006E69F4"/>
    <w:rsid w:val="006F1411"/>
    <w:rsid w:val="006F1555"/>
    <w:rsid w:val="006F1B67"/>
    <w:rsid w:val="006F1C71"/>
    <w:rsid w:val="006F4D9C"/>
    <w:rsid w:val="0070091D"/>
    <w:rsid w:val="00702854"/>
    <w:rsid w:val="0071741C"/>
    <w:rsid w:val="007179EA"/>
    <w:rsid w:val="00723DC0"/>
    <w:rsid w:val="007334D3"/>
    <w:rsid w:val="00742B90"/>
    <w:rsid w:val="0074434D"/>
    <w:rsid w:val="00752E53"/>
    <w:rsid w:val="007570C4"/>
    <w:rsid w:val="007605B8"/>
    <w:rsid w:val="00771B1E"/>
    <w:rsid w:val="00773C95"/>
    <w:rsid w:val="0078171E"/>
    <w:rsid w:val="0078451A"/>
    <w:rsid w:val="0078658E"/>
    <w:rsid w:val="007865BA"/>
    <w:rsid w:val="007920E2"/>
    <w:rsid w:val="0079566E"/>
    <w:rsid w:val="00795B34"/>
    <w:rsid w:val="007A067F"/>
    <w:rsid w:val="007B1770"/>
    <w:rsid w:val="007B4D3E"/>
    <w:rsid w:val="007B7C70"/>
    <w:rsid w:val="007B7DEB"/>
    <w:rsid w:val="007C0449"/>
    <w:rsid w:val="007C098E"/>
    <w:rsid w:val="007C1DE1"/>
    <w:rsid w:val="007C43B6"/>
    <w:rsid w:val="007D2151"/>
    <w:rsid w:val="007D2472"/>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BD3"/>
    <w:rsid w:val="00823DEE"/>
    <w:rsid w:val="008305E8"/>
    <w:rsid w:val="00836165"/>
    <w:rsid w:val="008365B2"/>
    <w:rsid w:val="0084640C"/>
    <w:rsid w:val="0085555F"/>
    <w:rsid w:val="00856088"/>
    <w:rsid w:val="00860826"/>
    <w:rsid w:val="00860E21"/>
    <w:rsid w:val="00863117"/>
    <w:rsid w:val="0086388B"/>
    <w:rsid w:val="008642E5"/>
    <w:rsid w:val="00864488"/>
    <w:rsid w:val="00870A36"/>
    <w:rsid w:val="00872D93"/>
    <w:rsid w:val="00872ED9"/>
    <w:rsid w:val="00880470"/>
    <w:rsid w:val="00880D94"/>
    <w:rsid w:val="008814E8"/>
    <w:rsid w:val="00886F64"/>
    <w:rsid w:val="008924C7"/>
    <w:rsid w:val="008924DE"/>
    <w:rsid w:val="00895706"/>
    <w:rsid w:val="008A3755"/>
    <w:rsid w:val="008B19DC"/>
    <w:rsid w:val="008B264F"/>
    <w:rsid w:val="008B6F83"/>
    <w:rsid w:val="008B7780"/>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8F5409"/>
    <w:rsid w:val="00900197"/>
    <w:rsid w:val="00902F55"/>
    <w:rsid w:val="0090582B"/>
    <w:rsid w:val="009060C0"/>
    <w:rsid w:val="009133F5"/>
    <w:rsid w:val="0091756F"/>
    <w:rsid w:val="00920A27"/>
    <w:rsid w:val="00921216"/>
    <w:rsid w:val="009216CC"/>
    <w:rsid w:val="00922E41"/>
    <w:rsid w:val="00925892"/>
    <w:rsid w:val="00925C0C"/>
    <w:rsid w:val="00926083"/>
    <w:rsid w:val="00926D08"/>
    <w:rsid w:val="00930D08"/>
    <w:rsid w:val="00931466"/>
    <w:rsid w:val="00932D69"/>
    <w:rsid w:val="009354FD"/>
    <w:rsid w:val="00935589"/>
    <w:rsid w:val="00937408"/>
    <w:rsid w:val="009427FA"/>
    <w:rsid w:val="00944647"/>
    <w:rsid w:val="009469E2"/>
    <w:rsid w:val="0095565C"/>
    <w:rsid w:val="00964AB6"/>
    <w:rsid w:val="009650A0"/>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5307"/>
    <w:rsid w:val="00A05704"/>
    <w:rsid w:val="00A06BE4"/>
    <w:rsid w:val="00A0729C"/>
    <w:rsid w:val="00A073CF"/>
    <w:rsid w:val="00A07779"/>
    <w:rsid w:val="00A1166A"/>
    <w:rsid w:val="00A20B2E"/>
    <w:rsid w:val="00A23285"/>
    <w:rsid w:val="00A24F33"/>
    <w:rsid w:val="00A25069"/>
    <w:rsid w:val="00A26E6B"/>
    <w:rsid w:val="00A3068F"/>
    <w:rsid w:val="00A3145B"/>
    <w:rsid w:val="00A339D0"/>
    <w:rsid w:val="00A3415C"/>
    <w:rsid w:val="00A40ABA"/>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632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2503"/>
    <w:rsid w:val="00B253F6"/>
    <w:rsid w:val="00B26675"/>
    <w:rsid w:val="00B305DB"/>
    <w:rsid w:val="00B332F8"/>
    <w:rsid w:val="00B3492B"/>
    <w:rsid w:val="00B46179"/>
    <w:rsid w:val="00B4646F"/>
    <w:rsid w:val="00B55C7D"/>
    <w:rsid w:val="00B5605C"/>
    <w:rsid w:val="00B63038"/>
    <w:rsid w:val="00B64BD8"/>
    <w:rsid w:val="00B701D1"/>
    <w:rsid w:val="00B73AF2"/>
    <w:rsid w:val="00B73D79"/>
    <w:rsid w:val="00B7551A"/>
    <w:rsid w:val="00B773F1"/>
    <w:rsid w:val="00B86AB1"/>
    <w:rsid w:val="00B87726"/>
    <w:rsid w:val="00B91B22"/>
    <w:rsid w:val="00BA2AA8"/>
    <w:rsid w:val="00BA7EBA"/>
    <w:rsid w:val="00BB2A06"/>
    <w:rsid w:val="00BB2CBB"/>
    <w:rsid w:val="00BB2CC8"/>
    <w:rsid w:val="00BB4198"/>
    <w:rsid w:val="00BC03EE"/>
    <w:rsid w:val="00BC59F1"/>
    <w:rsid w:val="00BC6B27"/>
    <w:rsid w:val="00BD488E"/>
    <w:rsid w:val="00BD7A52"/>
    <w:rsid w:val="00BF3DE1"/>
    <w:rsid w:val="00BF4843"/>
    <w:rsid w:val="00BF5205"/>
    <w:rsid w:val="00C05132"/>
    <w:rsid w:val="00C12508"/>
    <w:rsid w:val="00C23728"/>
    <w:rsid w:val="00C3026C"/>
    <w:rsid w:val="00C313A9"/>
    <w:rsid w:val="00C347C8"/>
    <w:rsid w:val="00C358E4"/>
    <w:rsid w:val="00C418EE"/>
    <w:rsid w:val="00C41E85"/>
    <w:rsid w:val="00C42105"/>
    <w:rsid w:val="00C441CF"/>
    <w:rsid w:val="00C45AA2"/>
    <w:rsid w:val="00C4792C"/>
    <w:rsid w:val="00C55BEF"/>
    <w:rsid w:val="00C55EA2"/>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001"/>
    <w:rsid w:val="00CB6427"/>
    <w:rsid w:val="00CC0FBE"/>
    <w:rsid w:val="00CD077C"/>
    <w:rsid w:val="00CD2119"/>
    <w:rsid w:val="00CD237A"/>
    <w:rsid w:val="00CD36AC"/>
    <w:rsid w:val="00CE13A3"/>
    <w:rsid w:val="00CE36BC"/>
    <w:rsid w:val="00CE721D"/>
    <w:rsid w:val="00CF16AC"/>
    <w:rsid w:val="00CF1747"/>
    <w:rsid w:val="00CF60ED"/>
    <w:rsid w:val="00D01979"/>
    <w:rsid w:val="00D05D74"/>
    <w:rsid w:val="00D114D8"/>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1ABF"/>
    <w:rsid w:val="00D82431"/>
    <w:rsid w:val="00D82F26"/>
    <w:rsid w:val="00D863D0"/>
    <w:rsid w:val="00D8682C"/>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042FA"/>
    <w:rsid w:val="00E06D9F"/>
    <w:rsid w:val="00E10B18"/>
    <w:rsid w:val="00E23271"/>
    <w:rsid w:val="00E24F80"/>
    <w:rsid w:val="00E259F3"/>
    <w:rsid w:val="00E30985"/>
    <w:rsid w:val="00E33238"/>
    <w:rsid w:val="00E33934"/>
    <w:rsid w:val="00E376B7"/>
    <w:rsid w:val="00E42F5D"/>
    <w:rsid w:val="00E4486C"/>
    <w:rsid w:val="00E45B23"/>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01BD"/>
    <w:rsid w:val="00F25970"/>
    <w:rsid w:val="00F311A9"/>
    <w:rsid w:val="00F31343"/>
    <w:rsid w:val="00F37381"/>
    <w:rsid w:val="00F5180D"/>
    <w:rsid w:val="00F54E74"/>
    <w:rsid w:val="00F63781"/>
    <w:rsid w:val="00F67496"/>
    <w:rsid w:val="00F7421E"/>
    <w:rsid w:val="00F801BA"/>
    <w:rsid w:val="00F807AD"/>
    <w:rsid w:val="00F9366A"/>
    <w:rsid w:val="00F946C9"/>
    <w:rsid w:val="00F969BD"/>
    <w:rsid w:val="00FA0EA5"/>
    <w:rsid w:val="00FA5C0C"/>
    <w:rsid w:val="00FA68C7"/>
    <w:rsid w:val="00FA74EE"/>
    <w:rsid w:val="00FB094A"/>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E349E"/>
  <w15:docId w15:val="{D2465A04-17F3-447C-A665-98505FE9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4F"/>
    <w:rPr>
      <w:rFonts w:ascii="Segoe UI" w:hAnsi="Segoe UI"/>
      <w:sz w:val="21"/>
      <w:lang w:eastAsia="en-GB"/>
    </w:rPr>
  </w:style>
  <w:style w:type="paragraph" w:styleId="Heading1">
    <w:name w:val="heading 1"/>
    <w:basedOn w:val="Normal"/>
    <w:next w:val="Normal"/>
    <w:link w:val="Heading1Char"/>
    <w:uiPriority w:val="9"/>
    <w:qFormat/>
    <w:rsid w:val="007179EA"/>
    <w:pPr>
      <w:pageBreakBefore/>
      <w:numPr>
        <w:numId w:val="6"/>
      </w:numPr>
      <w:spacing w:after="360"/>
      <w:ind w:left="992" w:hanging="992"/>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79E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527BB"/>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F16AC"/>
    <w:pPr>
      <w:tabs>
        <w:tab w:val="right" w:pos="8080"/>
      </w:tabs>
      <w:spacing w:before="50"/>
      <w:ind w:left="567" w:right="567"/>
    </w:pPr>
  </w:style>
  <w:style w:type="paragraph" w:styleId="TOC3">
    <w:name w:val="toc 3"/>
    <w:basedOn w:val="Normal"/>
    <w:next w:val="Normal"/>
    <w:uiPriority w:val="39"/>
    <w:rsid w:val="00CF16AC"/>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uiPriority w:val="99"/>
    <w:qFormat/>
    <w:rsid w:val="00925892"/>
    <w:pPr>
      <w:spacing w:before="60" w:after="60"/>
    </w:pPr>
    <w:rPr>
      <w:sz w:val="18"/>
    </w:rPr>
  </w:style>
  <w:style w:type="character" w:customStyle="1" w:styleId="TableTextChar">
    <w:name w:val="TableText Char"/>
    <w:link w:val="TableText"/>
    <w:uiPriority w:val="99"/>
    <w:rsid w:val="007179EA"/>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7179EA"/>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1528DC"/>
    <w:pPr>
      <w:spacing w:after="200"/>
    </w:pPr>
    <w:rPr>
      <w:b/>
      <w:bCs/>
      <w:color w:val="4F81BD" w:themeColor="accent1"/>
      <w:sz w:val="18"/>
      <w:szCs w:val="18"/>
    </w:rPr>
  </w:style>
  <w:style w:type="table" w:styleId="TableGrid">
    <w:name w:val="Table Grid"/>
    <w:basedOn w:val="TableNormal"/>
    <w:uiPriority w:val="39"/>
    <w:rsid w:val="007179EA"/>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7179EA"/>
    <w:pPr>
      <w:spacing w:after="120"/>
    </w:pPr>
    <w:rPr>
      <w:rFonts w:eastAsia="Arial Unicode MS"/>
    </w:rPr>
  </w:style>
  <w:style w:type="paragraph" w:customStyle="1" w:styleId="Shadedboxtext">
    <w:name w:val="Shaded box text"/>
    <w:basedOn w:val="Normal"/>
    <w:qFormat/>
    <w:rsid w:val="007179EA"/>
    <w:pPr>
      <w:spacing w:after="240" w:line="228" w:lineRule="auto"/>
      <w:ind w:right="142"/>
    </w:pPr>
    <w:rPr>
      <w:rFonts w:eastAsia="Arial Unicode MS"/>
    </w:rPr>
  </w:style>
  <w:style w:type="character" w:styleId="FollowedHyperlink">
    <w:name w:val="FollowedHyperlink"/>
    <w:basedOn w:val="DefaultParagraphFont"/>
    <w:uiPriority w:val="99"/>
    <w:semiHidden/>
    <w:unhideWhenUsed/>
    <w:rsid w:val="0038494F"/>
    <w:rPr>
      <w:b/>
      <w:color w:val="595959" w:themeColor="text1" w:themeTint="A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yperlink" Target="http://www.health.govt.nz/our-work/mental-health-and-addictions/problem-gambling/service-user-data/intervention-client-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cid:image001.png@01D762A9.B9BE23C0" TargetMode="External"/><Relationship Id="rId28" Type="http://schemas.openxmlformats.org/officeDocument/2006/relationships/hyperlink" Target="http://www.dia.govt.nz/gambling-statistics-expenditure" TargetMode="External"/><Relationship Id="rId10" Type="http://schemas.openxmlformats.org/officeDocument/2006/relationships/image" Target="media/image3.png"/><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yperlink" Target="http://www.dia.govt.nz" TargetMode="Externa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www.mentalhealth.inquiry.govt.nz/assets/Summary-reports/He-Ara-Oranga.pdf" TargetMode="External"/><Relationship Id="rId13" Type="http://schemas.openxmlformats.org/officeDocument/2006/relationships/hyperlink" Target="http://www.health.govt.nz/publication/mixed-methods-analysis-gambling-harm-women-new-zealand" TargetMode="External"/><Relationship Id="rId18" Type="http://schemas.openxmlformats.org/officeDocument/2006/relationships/hyperlink" Target="https://www.otago.ac.nz/wellington/departments/publichealth/research/hirp/otago020194.html" TargetMode="External"/><Relationship Id="rId26" Type="http://schemas.openxmlformats.org/officeDocument/2006/relationships/hyperlink" Target="http://www.dia.govt.nz/Gambling" TargetMode="External"/><Relationship Id="rId3" Type="http://schemas.openxmlformats.org/officeDocument/2006/relationships/hyperlink" Target="http://www.dia.govt.nz/gambling-statistics-expenditure" TargetMode="External"/><Relationship Id="rId21" Type="http://schemas.openxmlformats.org/officeDocument/2006/relationships/hyperlink" Target="http://www.health.govt.nz/our-work/mental-health-and-addictions/gambling/service-user-data/intervention-client-data" TargetMode="External"/><Relationship Id="rId34" Type="http://schemas.openxmlformats.org/officeDocument/2006/relationships/hyperlink" Target="https://www.dia.govt.nz/gambling-statistics-gmp-dashboard" TargetMode="External"/><Relationship Id="rId7" Type="http://schemas.openxmlformats.org/officeDocument/2006/relationships/hyperlink" Target="https://www.health.govt.nz/publication/new-zealand-national-gambling-study-wave-4-2015" TargetMode="External"/><Relationship Id="rId12" Type="http://schemas.openxmlformats.org/officeDocument/2006/relationships/hyperlink" Target="https://www.stats.govt.nz/information-releases/disability-survey-2013" TargetMode="External"/><Relationship Id="rId17" Type="http://schemas.openxmlformats.org/officeDocument/2006/relationships/hyperlink" Target="https://img.scoop.co.nz/media/pdfs/2008/Final_Report__Diverting_gambling_losses_22_June.pdf" TargetMode="External"/><Relationship Id="rId25" Type="http://schemas.openxmlformats.org/officeDocument/2006/relationships/hyperlink" Target="http://www.health.govt.nz/about-ministry/what-we-do/work-programme-2019-20/achieving-equity" TargetMode="External"/><Relationship Id="rId33" Type="http://schemas.openxmlformats.org/officeDocument/2006/relationships/hyperlink" Target="http://www.dapaanz.org.nz" TargetMode="External"/><Relationship Id="rId2" Type="http://schemas.openxmlformats.org/officeDocument/2006/relationships/hyperlink" Target="https://www.hpa.org.nz/research-library/research-publications/online-gambling-in-new-zealand-" TargetMode="External"/><Relationship Id="rId16" Type="http://schemas.openxmlformats.org/officeDocument/2006/relationships/hyperlink" Target="https://www.ajpmonline.org/article/S0749-3797(17)30163-0/fulltext" TargetMode="External"/><Relationship Id="rId20" Type="http://schemas.openxmlformats.org/officeDocument/2006/relationships/hyperlink" Target="https://www.health.govt.nz/our-work/mental-health-and-addictions/problem-gambling/service-user-data/intervention-client-data" TargetMode="External"/><Relationship Id="rId29" Type="http://schemas.openxmlformats.org/officeDocument/2006/relationships/hyperlink" Target="https://childyouthwellbeing.govt.nz/resources/child-and-youth-wellbeing-strategy" TargetMode="External"/><Relationship Id="rId1" Type="http://schemas.openxmlformats.org/officeDocument/2006/relationships/hyperlink" Target="https://kupe.hpa.org.nz/" TargetMode="External"/><Relationship Id="rId6" Type="http://schemas.openxmlformats.org/officeDocument/2006/relationships/hyperlink" Target="http://www.hpa.org.nz/research-library/research-publications/new-zealanders-participation-in-gambling-results-from-the-2016-health-and-lifestyles-survey" TargetMode="External"/><Relationship Id="rId11" Type="http://schemas.openxmlformats.org/officeDocument/2006/relationships/hyperlink" Target="https://www.youth19.ac.nz/publications/gambling" TargetMode="External"/><Relationship Id="rId24" Type="http://schemas.openxmlformats.org/officeDocument/2006/relationships/hyperlink" Target="http://www.hauora.co.nz/new-action-plan-to-boost-maori-health-and-wellbeing/" TargetMode="External"/><Relationship Id="rId32" Type="http://schemas.openxmlformats.org/officeDocument/2006/relationships/hyperlink" Target="http://www.tepou.co.nz/" TargetMode="External"/><Relationship Id="rId37" Type="http://schemas.openxmlformats.org/officeDocument/2006/relationships/hyperlink" Target="https://www.gamblingcommission.govt.nz/GCwebsite.nsf/wpg_URL/Reports-Publications-Problem-Gambling-Levy-2019-2022!OpenDocument" TargetMode="External"/><Relationship Id="rId5" Type="http://schemas.openxmlformats.org/officeDocument/2006/relationships/hyperlink" Target="http://www.health.govt.nz/publication/measuring-burden-gambling-harm-new-zealand" TargetMode="External"/><Relationship Id="rId15" Type="http://schemas.openxmlformats.org/officeDocument/2006/relationships/hyperlink" Target="http://www.pc.gov.au/inquiries/completed/gambling/report/summary.pdf" TargetMode="External"/><Relationship Id="rId23" Type="http://schemas.openxmlformats.org/officeDocument/2006/relationships/hyperlink" Target="https://equityhealthj.biomedcentral.com/articles/10.1186/s12939-019-1082-3" TargetMode="External"/><Relationship Id="rId28" Type="http://schemas.openxmlformats.org/officeDocument/2006/relationships/hyperlink" Target="https://www.health.govt.nz/our-work/populations/maori-health/te-tiriti-o-waitangi" TargetMode="External"/><Relationship Id="rId36" Type="http://schemas.openxmlformats.org/officeDocument/2006/relationships/hyperlink" Target="https://www.gets.govt.nz/NZLC/ExternalTenderDetails.htm?id=23370625" TargetMode="External"/><Relationship Id="rId10" Type="http://schemas.openxmlformats.org/officeDocument/2006/relationships/hyperlink" Target="https://link.springer.com/article/10.1007/s10899-018-9781-z" TargetMode="External"/><Relationship Id="rId19" Type="http://schemas.openxmlformats.org/officeDocument/2006/relationships/hyperlink" Target="https://doi.org/10.1080/1177083X.2019.1640752" TargetMode="External"/><Relationship Id="rId31" Type="http://schemas.openxmlformats.org/officeDocument/2006/relationships/hyperlink" Target="https://www.hetaumata.co.nz/public-health/pou-toru-core-competencies" TargetMode="External"/><Relationship Id="rId4" Type="http://schemas.openxmlformats.org/officeDocument/2006/relationships/hyperlink" Target="https://kupe.hpa.org.nz/" TargetMode="External"/><Relationship Id="rId9" Type="http://schemas.openxmlformats.org/officeDocument/2006/relationships/hyperlink" Target="https://www.pgf.nz/downloads/assets/13448/1/pgf0033" TargetMode="External"/><Relationship Id="rId14" Type="http://schemas.openxmlformats.org/officeDocument/2006/relationships/hyperlink" Target="http://www.health.govt.nz/publication/pacific-islands-families-study-2014-mother-and-youth-gambling-report" TargetMode="External"/><Relationship Id="rId22" Type="http://schemas.openxmlformats.org/officeDocument/2006/relationships/hyperlink" Target="https://www.health.govt.nz/system/files/documents/publications/gambling-harm-needs-assessment-2021.pdf" TargetMode="External"/><Relationship Id="rId27" Type="http://schemas.openxmlformats.org/officeDocument/2006/relationships/hyperlink" Target="https://forms.justice.govt.nz/search/Documents/WT/wt_DOC_152801817/Hauora%20W.pdf" TargetMode="External"/><Relationship Id="rId30" Type="http://schemas.openxmlformats.org/officeDocument/2006/relationships/hyperlink" Target="file:///C:\Users\vgavriel\AppData\Local\Temp\notes0E14DE\www.health.govt.nz\our-work\mental-health-and-addiction\addiction\gambling" TargetMode="External"/><Relationship Id="rId35" Type="http://schemas.openxmlformats.org/officeDocument/2006/relationships/hyperlink" Target="https://assets.mylotto.co.nz/assets/uploads/abf813a2-d920-11eb-bad1-a613caf5faf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0975-2DD0-473D-84F9-068025D2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671</TotalTime>
  <Pages>94</Pages>
  <Words>28793</Words>
  <Characters>164125</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2022/23 to 2024/25: Proposal document</dc:title>
  <dc:creator>Ministry of Health</dc:creator>
  <cp:lastModifiedBy>Ministry of Health</cp:lastModifiedBy>
  <cp:revision>47</cp:revision>
  <cp:lastPrinted>2021-12-19T21:09:00Z</cp:lastPrinted>
  <dcterms:created xsi:type="dcterms:W3CDTF">2021-12-16T04:11:00Z</dcterms:created>
  <dcterms:modified xsi:type="dcterms:W3CDTF">2021-12-19T21:09:00Z</dcterms:modified>
</cp:coreProperties>
</file>