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64DDA" w14:textId="77777777" w:rsidR="00FA6A1F" w:rsidRDefault="00FA6A1F" w:rsidP="00926083">
      <w:pPr>
        <w:pStyle w:val="Title"/>
      </w:pPr>
      <w:r>
        <w:t>Strategy to Prevent and Minimise Gambling Harm</w:t>
      </w:r>
    </w:p>
    <w:p w14:paraId="4F664DDB" w14:textId="77777777" w:rsidR="00C86248" w:rsidRPr="00FA6A1F" w:rsidRDefault="00FA6A1F" w:rsidP="00FA6A1F">
      <w:pPr>
        <w:pStyle w:val="Title"/>
        <w:spacing w:before="240"/>
        <w:rPr>
          <w:rFonts w:ascii="Segoe UI" w:hAnsi="Segoe UI" w:cs="Segoe UI"/>
          <w:b w:val="0"/>
          <w:sz w:val="60"/>
          <w:szCs w:val="60"/>
        </w:rPr>
      </w:pPr>
      <w:r w:rsidRPr="00FA6A1F">
        <w:rPr>
          <w:rFonts w:ascii="Segoe UI" w:hAnsi="Segoe UI" w:cs="Segoe UI"/>
          <w:b w:val="0"/>
          <w:sz w:val="60"/>
          <w:szCs w:val="60"/>
        </w:rPr>
        <w:t>2022/23 to 2024/25</w:t>
      </w:r>
    </w:p>
    <w:p w14:paraId="4F664DDC" w14:textId="77777777" w:rsidR="00D27922" w:rsidRPr="00FA6A1F" w:rsidRDefault="00FA6A1F" w:rsidP="00D27922">
      <w:pPr>
        <w:pStyle w:val="Subhead"/>
        <w:rPr>
          <w:sz w:val="48"/>
          <w:szCs w:val="48"/>
        </w:rPr>
      </w:pPr>
      <w:r w:rsidRPr="00FA6A1F">
        <w:rPr>
          <w:sz w:val="48"/>
          <w:szCs w:val="48"/>
        </w:rPr>
        <w:t>Consultation document</w:t>
      </w:r>
    </w:p>
    <w:p w14:paraId="4F664DDD" w14:textId="77777777" w:rsidR="00C05132" w:rsidRDefault="00C05132" w:rsidP="00A06BE4"/>
    <w:p w14:paraId="4F664DDE" w14:textId="77777777" w:rsidR="00142954" w:rsidRPr="00142954" w:rsidRDefault="00142954" w:rsidP="00142954">
      <w:pPr>
        <w:sectPr w:rsidR="00142954" w:rsidRPr="00142954" w:rsidSect="00925892">
          <w:headerReference w:type="default" r:id="rId8"/>
          <w:footerReference w:type="default" r:id="rId9"/>
          <w:pgSz w:w="11907" w:h="16834" w:code="9"/>
          <w:pgMar w:top="5670" w:right="1134" w:bottom="1134" w:left="1134" w:header="567" w:footer="851" w:gutter="0"/>
          <w:pgNumType w:start="1"/>
          <w:cols w:space="720"/>
        </w:sectPr>
      </w:pPr>
    </w:p>
    <w:p w14:paraId="4F664DDF" w14:textId="77777777" w:rsidR="00A80363" w:rsidRPr="00C05132" w:rsidRDefault="00A80363" w:rsidP="00A63DFF">
      <w:pPr>
        <w:pStyle w:val="Imprint"/>
        <w:spacing w:before="1200"/>
        <w:rPr>
          <w:rFonts w:cs="Segoe UI"/>
        </w:rPr>
      </w:pPr>
      <w:r w:rsidRPr="00C05132">
        <w:rPr>
          <w:rFonts w:cs="Segoe UI"/>
        </w:rPr>
        <w:lastRenderedPageBreak/>
        <w:t xml:space="preserve">Citation: </w:t>
      </w:r>
      <w:r w:rsidR="00442C1C" w:rsidRPr="00C05132">
        <w:rPr>
          <w:rFonts w:cs="Segoe UI"/>
        </w:rPr>
        <w:t xml:space="preserve">Ministry of Health. </w:t>
      </w:r>
      <w:r w:rsidR="00FA6A1F">
        <w:rPr>
          <w:rFonts w:cs="Segoe UI"/>
        </w:rPr>
        <w:t>2021</w:t>
      </w:r>
      <w:r w:rsidR="00442C1C" w:rsidRPr="00C05132">
        <w:rPr>
          <w:rFonts w:cs="Segoe UI"/>
        </w:rPr>
        <w:t xml:space="preserve">. </w:t>
      </w:r>
      <w:r w:rsidR="00FA6A1F">
        <w:rPr>
          <w:rFonts w:cs="Segoe UI"/>
          <w:i/>
        </w:rPr>
        <w:t>Strategy to Prevent and Minimise Gambling Harm 2022/23 to 2024/25: Consultation document</w:t>
      </w:r>
      <w:r w:rsidR="00442C1C" w:rsidRPr="00C05132">
        <w:rPr>
          <w:rFonts w:cs="Segoe UI"/>
        </w:rPr>
        <w:t>. Wellington: Ministry of Health.</w:t>
      </w:r>
    </w:p>
    <w:p w14:paraId="4F664DE0" w14:textId="77777777" w:rsidR="00C86248" w:rsidRDefault="00C86248">
      <w:pPr>
        <w:pStyle w:val="Imprint"/>
      </w:pPr>
      <w:r>
        <w:t xml:space="preserve">Published in </w:t>
      </w:r>
      <w:r w:rsidR="0047350C" w:rsidRPr="00D90DAF">
        <w:t>August</w:t>
      </w:r>
      <w:r w:rsidR="00D27922">
        <w:t xml:space="preserve"> </w:t>
      </w:r>
      <w:r w:rsidR="003235C6">
        <w:t>20</w:t>
      </w:r>
      <w:r w:rsidR="008017B4">
        <w:t>21</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4F664DE1" w14:textId="017EAB4D" w:rsidR="00082CD6" w:rsidRPr="009C0F2D" w:rsidRDefault="00FA6A1F" w:rsidP="00082CD6">
      <w:pPr>
        <w:pStyle w:val="Imprint"/>
      </w:pPr>
      <w:r>
        <w:t xml:space="preserve">ISBN </w:t>
      </w:r>
      <w:r w:rsidR="00D90DAF" w:rsidRPr="00D90DAF">
        <w:t xml:space="preserve">978-1-99-100745-2 </w:t>
      </w:r>
      <w:r w:rsidR="00D863D0">
        <w:t>(</w:t>
      </w:r>
      <w:r w:rsidR="00442C1C">
        <w:t>online</w:t>
      </w:r>
      <w:r w:rsidR="00D863D0">
        <w:t>)</w:t>
      </w:r>
      <w:r w:rsidR="00082CD6">
        <w:br/>
      </w:r>
      <w:r w:rsidR="00082CD6" w:rsidRPr="009C0F2D">
        <w:t xml:space="preserve">HP </w:t>
      </w:r>
      <w:r w:rsidR="00D90DAF">
        <w:t>7813</w:t>
      </w:r>
    </w:p>
    <w:p w14:paraId="4F664DE2" w14:textId="77777777" w:rsidR="00C86248" w:rsidRDefault="008C64C4" w:rsidP="00D27922">
      <w:pPr>
        <w:spacing w:before="360"/>
      </w:pPr>
      <w:r>
        <w:rPr>
          <w:noProof/>
          <w:lang w:eastAsia="en-NZ"/>
        </w:rPr>
        <w:drawing>
          <wp:inline distT="0" distB="0" distL="0" distR="0" wp14:anchorId="4F6655C2" wp14:editId="746002FF">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Health logo"/>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4F664DE3" w14:textId="77777777" w:rsidR="00A63DFF" w:rsidRDefault="00A63DFF" w:rsidP="00A63DFF">
      <w:pPr>
        <w:pStyle w:val="Imprint"/>
        <w:spacing w:before="240" w:after="480"/>
      </w:pPr>
      <w:r>
        <w:t xml:space="preserve">This document is available at </w:t>
      </w:r>
      <w:hyperlink r:id="rId11" w:history="1">
        <w:r w:rsidR="00476B21" w:rsidRPr="0013096C">
          <w:rPr>
            <w:rStyle w:val="Hyperlink"/>
          </w:rPr>
          <w:t>health.govt.nz</w:t>
        </w:r>
      </w:hyperlink>
    </w:p>
    <w:tbl>
      <w:tblPr>
        <w:tblW w:w="0" w:type="auto"/>
        <w:tblLayout w:type="fixed"/>
        <w:tblLook w:val="04A0" w:firstRow="1" w:lastRow="0" w:firstColumn="1" w:lastColumn="0" w:noHBand="0" w:noVBand="1"/>
      </w:tblPr>
      <w:tblGrid>
        <w:gridCol w:w="1526"/>
        <w:gridCol w:w="6061"/>
      </w:tblGrid>
      <w:tr w:rsidR="00A63DFF" w:rsidRPr="00A63DFF" w14:paraId="4F664DE6" w14:textId="77777777" w:rsidTr="00A63DFF">
        <w:trPr>
          <w:cantSplit/>
        </w:trPr>
        <w:tc>
          <w:tcPr>
            <w:tcW w:w="1526" w:type="dxa"/>
          </w:tcPr>
          <w:p w14:paraId="4F664DE4" w14:textId="77777777" w:rsidR="00A63DFF" w:rsidRPr="00A63DFF" w:rsidRDefault="00A63DFF" w:rsidP="00F103BE">
            <w:pPr>
              <w:spacing w:before="240"/>
              <w:rPr>
                <w:rFonts w:cs="Segoe UI"/>
                <w:sz w:val="15"/>
                <w:szCs w:val="15"/>
              </w:rPr>
            </w:pPr>
            <w:r w:rsidRPr="00A63DFF">
              <w:rPr>
                <w:rFonts w:cs="Segoe UI"/>
                <w:b/>
                <w:noProof/>
                <w:sz w:val="15"/>
                <w:szCs w:val="15"/>
                <w:lang w:eastAsia="en-NZ"/>
              </w:rPr>
              <w:drawing>
                <wp:inline distT="0" distB="0" distL="0" distR="0" wp14:anchorId="4F6655C4" wp14:editId="4F6655C5">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4F664DE5"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ie, copy and redistribute the material in any medium or format; adapt ie, remix, transform and build upon the material. </w:t>
            </w:r>
            <w:r w:rsidRPr="00A63DFF">
              <w:rPr>
                <w:rFonts w:cs="Segoe UI"/>
                <w:bCs/>
                <w:sz w:val="15"/>
                <w:szCs w:val="15"/>
              </w:rPr>
              <w:t>You must give appropriate credit, provide a link to the licence and indicate if changes were made.</w:t>
            </w:r>
          </w:p>
        </w:tc>
      </w:tr>
    </w:tbl>
    <w:p w14:paraId="4F664DE7" w14:textId="77777777" w:rsidR="007E74F1" w:rsidRPr="001F45A7" w:rsidRDefault="007E74F1" w:rsidP="006E2886">
      <w:pPr>
        <w:pStyle w:val="Imprint"/>
      </w:pPr>
    </w:p>
    <w:p w14:paraId="4F664DE8" w14:textId="77777777" w:rsidR="00C86248" w:rsidRDefault="00C86248">
      <w:pPr>
        <w:jc w:val="center"/>
        <w:sectPr w:rsidR="00C86248" w:rsidSect="00925892">
          <w:footerReference w:type="even" r:id="rId13"/>
          <w:footerReference w:type="default" r:id="rId14"/>
          <w:pgSz w:w="11907" w:h="16834" w:code="9"/>
          <w:pgMar w:top="1701" w:right="2268" w:bottom="1134" w:left="2268" w:header="0" w:footer="0" w:gutter="0"/>
          <w:cols w:space="720"/>
          <w:vAlign w:val="bottom"/>
        </w:sectPr>
      </w:pPr>
    </w:p>
    <w:p w14:paraId="4F664DE9" w14:textId="77777777" w:rsidR="00FA6A1F" w:rsidRDefault="00FA6A1F" w:rsidP="001957F4">
      <w:pPr>
        <w:pStyle w:val="Heading1"/>
        <w:ind w:left="0" w:firstLine="0"/>
      </w:pPr>
      <w:bookmarkStart w:id="0" w:name="_Toc519278551"/>
      <w:bookmarkStart w:id="1" w:name="_Toc405792991"/>
      <w:bookmarkStart w:id="2" w:name="_Toc405793224"/>
      <w:bookmarkStart w:id="3" w:name="_Toc80965818"/>
      <w:r>
        <w:lastRenderedPageBreak/>
        <w:t xml:space="preserve">Consulting on the proposed </w:t>
      </w:r>
      <w:r w:rsidRPr="00FA6A1F">
        <w:rPr>
          <w:i/>
        </w:rPr>
        <w:t>Strategy to Prevent and Minimise Gambling Harm 2022/23 to 2024/25</w:t>
      </w:r>
      <w:bookmarkEnd w:id="3"/>
    </w:p>
    <w:p w14:paraId="4F664DEA" w14:textId="77777777" w:rsidR="00FA6A1F" w:rsidRDefault="00FA6A1F" w:rsidP="00D91240">
      <w:r w:rsidRPr="006A5956">
        <w:t>This document seeks your comment on the proposed future direction and content of the Ministry of Health</w:t>
      </w:r>
      <w:r w:rsidR="008303C6">
        <w:t>’</w:t>
      </w:r>
      <w:r w:rsidRPr="006A5956">
        <w:t>s (the Ministry</w:t>
      </w:r>
      <w:r w:rsidR="008303C6">
        <w:t>’</w:t>
      </w:r>
      <w:r w:rsidRPr="006A5956">
        <w:t xml:space="preserve">s) </w:t>
      </w:r>
      <w:r w:rsidRPr="00AC24BD">
        <w:rPr>
          <w:i/>
          <w:iCs/>
        </w:rPr>
        <w:t>Strategy to Prevent and Minimise Gambling Harm 2022/23 to 2024/25</w:t>
      </w:r>
      <w:r w:rsidRPr="006A5956">
        <w:t xml:space="preserve"> (the </w:t>
      </w:r>
      <w:r>
        <w:t>s</w:t>
      </w:r>
      <w:r w:rsidRPr="006A5956">
        <w:t>trategy).</w:t>
      </w:r>
    </w:p>
    <w:p w14:paraId="4F664DEB" w14:textId="77777777" w:rsidR="00D91240" w:rsidRDefault="00D91240" w:rsidP="00D91240"/>
    <w:p w14:paraId="4F664DEC" w14:textId="77777777" w:rsidR="00FA6A1F" w:rsidRDefault="00FA6A1F" w:rsidP="00D91240">
      <w:r>
        <w:t>This consultation document provides the full proposed strategy for public consultation. Included are draft proposals for:</w:t>
      </w:r>
    </w:p>
    <w:p w14:paraId="4F664DED" w14:textId="77777777" w:rsidR="00FA6A1F" w:rsidRPr="000251AA" w:rsidRDefault="00FA6A1F" w:rsidP="00D91240">
      <w:pPr>
        <w:pStyle w:val="Bullet"/>
      </w:pPr>
      <w:r w:rsidRPr="000251AA">
        <w:t xml:space="preserve">the </w:t>
      </w:r>
      <w:r>
        <w:t xml:space="preserve">strategic plan, including a proposed </w:t>
      </w:r>
      <w:r w:rsidRPr="000251AA">
        <w:t>strategic framework</w:t>
      </w:r>
      <w:r>
        <w:t xml:space="preserve"> that</w:t>
      </w:r>
      <w:r w:rsidRPr="000251AA">
        <w:t xml:space="preserve"> sets out the population outcome, strategic goal, outcomes, objectives and priority action areas for the </w:t>
      </w:r>
      <w:r>
        <w:t>s</w:t>
      </w:r>
      <w:r w:rsidRPr="000251AA">
        <w:t>trategy</w:t>
      </w:r>
    </w:p>
    <w:p w14:paraId="4F664DEE" w14:textId="77777777" w:rsidR="00FA6A1F" w:rsidRPr="000251AA" w:rsidRDefault="00FA6A1F" w:rsidP="00D91240">
      <w:pPr>
        <w:pStyle w:val="Bullet"/>
      </w:pPr>
      <w:r w:rsidRPr="000251AA">
        <w:t>the service plan for the three years from 2022/23 to 2024/25</w:t>
      </w:r>
    </w:p>
    <w:p w14:paraId="4F664DEF" w14:textId="77777777" w:rsidR="00FA6A1F" w:rsidRPr="000251AA" w:rsidRDefault="00FA6A1F" w:rsidP="00D91240">
      <w:pPr>
        <w:pStyle w:val="Bullet"/>
      </w:pPr>
      <w:r w:rsidRPr="000251AA">
        <w:t>the funding levels for the Ministry in relation to the gambling harm prevention and minimisation activities described in the strategy</w:t>
      </w:r>
    </w:p>
    <w:p w14:paraId="4F664DF0" w14:textId="77777777" w:rsidR="00FA6A1F" w:rsidRPr="00D91240" w:rsidRDefault="00FA6A1F" w:rsidP="00D91240">
      <w:pPr>
        <w:pStyle w:val="Bullet"/>
      </w:pPr>
      <w:r w:rsidRPr="000251AA">
        <w:t>the problem gambling levy rates and weighting options per gambling sector for the next three years.</w:t>
      </w:r>
    </w:p>
    <w:p w14:paraId="4F664DF1" w14:textId="77777777" w:rsidR="00D91240" w:rsidRDefault="00D91240" w:rsidP="00D91240"/>
    <w:p w14:paraId="4F664DF2" w14:textId="77777777" w:rsidR="00FA6A1F" w:rsidRDefault="00FA6A1F" w:rsidP="00D91240">
      <w:r>
        <w:t xml:space="preserve">The proposed strategy is informed by a needs assessment, as required under the Gambling Act 2003 (the Act). </w:t>
      </w:r>
      <w:r w:rsidRPr="007D0347">
        <w:t>The</w:t>
      </w:r>
      <w:r>
        <w:t xml:space="preserve"> Ministry commissioned the 2021</w:t>
      </w:r>
      <w:r w:rsidRPr="007D0347">
        <w:t xml:space="preserve"> </w:t>
      </w:r>
      <w:r>
        <w:t>g</w:t>
      </w:r>
      <w:r w:rsidRPr="00AC24BD">
        <w:t xml:space="preserve">ambling </w:t>
      </w:r>
      <w:r>
        <w:t>h</w:t>
      </w:r>
      <w:r w:rsidRPr="00AC24BD">
        <w:t xml:space="preserve">arm </w:t>
      </w:r>
      <w:r>
        <w:t>n</w:t>
      </w:r>
      <w:r w:rsidRPr="00AC24BD">
        <w:t xml:space="preserve">eeds </w:t>
      </w:r>
      <w:r>
        <w:t>a</w:t>
      </w:r>
      <w:r w:rsidRPr="00AC24BD">
        <w:t>ssessment</w:t>
      </w:r>
      <w:r>
        <w:t xml:space="preserve">, which included an independent review of gambling harm minimisation services and </w:t>
      </w:r>
      <w:r w:rsidRPr="00A21520">
        <w:t>the sector generally</w:t>
      </w:r>
      <w:r>
        <w:t>.</w:t>
      </w:r>
      <w:r w:rsidRPr="00D91240">
        <w:rPr>
          <w:rStyle w:val="FootnoteReference"/>
          <w:rFonts w:eastAsia="MS Gothic"/>
        </w:rPr>
        <w:footnoteReference w:id="1"/>
      </w:r>
      <w:r>
        <w:t xml:space="preserve"> This assessment is considered</w:t>
      </w:r>
      <w:r w:rsidRPr="007D0347">
        <w:t xml:space="preserve"> </w:t>
      </w:r>
      <w:r>
        <w:t>alongside an</w:t>
      </w:r>
      <w:r w:rsidRPr="007D0347">
        <w:t xml:space="preserve"> assess</w:t>
      </w:r>
      <w:r>
        <w:t>ment of</w:t>
      </w:r>
      <w:r w:rsidRPr="007D0347">
        <w:t xml:space="preserve"> progress against the </w:t>
      </w:r>
      <w:r>
        <w:t>s</w:t>
      </w:r>
      <w:r w:rsidRPr="007D0347">
        <w:t xml:space="preserve">trategic </w:t>
      </w:r>
      <w:r>
        <w:t>o</w:t>
      </w:r>
      <w:r w:rsidRPr="000D1B82">
        <w:t xml:space="preserve">bjectives of the </w:t>
      </w:r>
      <w:r w:rsidRPr="000251AA">
        <w:rPr>
          <w:i/>
          <w:iCs/>
        </w:rPr>
        <w:t xml:space="preserve">Strategy to Prevent and Minimise Gambling Harm 2019/20 to 2022/23 </w:t>
      </w:r>
      <w:r>
        <w:t>(the current strategy)</w:t>
      </w:r>
      <w:r w:rsidRPr="000D1B82">
        <w:t>.</w:t>
      </w:r>
      <w:r w:rsidRPr="00D91240">
        <w:rPr>
          <w:rStyle w:val="FootnoteReference"/>
          <w:rFonts w:eastAsia="MS Gothic"/>
        </w:rPr>
        <w:footnoteReference w:id="2"/>
      </w:r>
      <w:r w:rsidRPr="000D1B82">
        <w:t xml:space="preserve"> It is the Ministry</w:t>
      </w:r>
      <w:r w:rsidR="008303C6">
        <w:t>’</w:t>
      </w:r>
      <w:r w:rsidRPr="00544C41">
        <w:t>s intention that</w:t>
      </w:r>
      <w:r>
        <w:t xml:space="preserve"> the</w:t>
      </w:r>
      <w:r w:rsidRPr="00544C41">
        <w:t xml:space="preserve"> </w:t>
      </w:r>
      <w:r w:rsidRPr="00DD32D8">
        <w:t xml:space="preserve">future needs </w:t>
      </w:r>
      <w:r w:rsidRPr="000251AA">
        <w:t>assessment</w:t>
      </w:r>
      <w:r>
        <w:t>, to be commissioned in 2023, will</w:t>
      </w:r>
      <w:r w:rsidRPr="000251AA">
        <w:t xml:space="preserve"> review the impact of the changes outlined in this </w:t>
      </w:r>
      <w:r>
        <w:t>proposed strategy</w:t>
      </w:r>
      <w:r w:rsidRPr="000251AA">
        <w:t xml:space="preserve">, </w:t>
      </w:r>
      <w:r>
        <w:t xml:space="preserve">if these are </w:t>
      </w:r>
      <w:r w:rsidRPr="000251AA">
        <w:t>adopted.</w:t>
      </w:r>
    </w:p>
    <w:p w14:paraId="4F664DF3" w14:textId="77777777" w:rsidR="00D91240" w:rsidRDefault="00D91240" w:rsidP="00D91240"/>
    <w:p w14:paraId="4F664DF4" w14:textId="77777777" w:rsidR="00FA6A1F" w:rsidRDefault="00FA6A1F" w:rsidP="00D91240">
      <w:pPr>
        <w:pStyle w:val="Box"/>
      </w:pPr>
      <w:r w:rsidRPr="00291160">
        <w:lastRenderedPageBreak/>
        <w:t>This document meets the consultation requirements specified in the Act to develop an integrated problem gambling strategy to prevent and minimise gambling-related harm</w:t>
      </w:r>
      <w:r>
        <w:t xml:space="preserve"> that comprises</w:t>
      </w:r>
      <w:r w:rsidR="008303C6">
        <w:t xml:space="preserve"> </w:t>
      </w:r>
      <w:r w:rsidRPr="00F8274E">
        <w:t xml:space="preserve">measures to promote public health, services to treat and assist people who experience gambling harm and their families and whānau, and independent scientific research and evaluation. </w:t>
      </w:r>
      <w:r>
        <w:t>More details about the consultation process and the needs assessment can be found on the Ministry</w:t>
      </w:r>
      <w:r w:rsidR="008303C6">
        <w:t>’</w:t>
      </w:r>
      <w:r>
        <w:t xml:space="preserve">s website </w:t>
      </w:r>
      <w:hyperlink r:id="rId15" w:history="1">
        <w:r w:rsidRPr="00EB5B65">
          <w:rPr>
            <w:rStyle w:val="Hyperlink"/>
          </w:rPr>
          <w:t>https://consult.health.govt.nz</w:t>
        </w:r>
      </w:hyperlink>
      <w:r>
        <w:rPr>
          <w:rFonts w:ascii="Calibri" w:hAnsi="Calibri" w:cs="Calibri"/>
        </w:rPr>
        <w:t>.</w:t>
      </w:r>
    </w:p>
    <w:p w14:paraId="4F664DF5" w14:textId="77777777" w:rsidR="00D91240" w:rsidRDefault="00D91240" w:rsidP="00D91240"/>
    <w:p w14:paraId="4F664DF6" w14:textId="77777777" w:rsidR="00FA6A1F" w:rsidRDefault="00FA6A1F" w:rsidP="00D91240">
      <w:r>
        <w:t>We may revise the proposed strategy and levy rate as a result of feedback received from this public consultation process before submitting them to the New Zealand Gambling Commission for their consideration. The Gambling Commission consults with stakeholders and makes recommendations to responsible Ministers about the total amount of the levy and levy rates for each gambling sector before the Government finalises a strategy and levy for the next three years.</w:t>
      </w:r>
    </w:p>
    <w:p w14:paraId="4F664DF7" w14:textId="77777777" w:rsidR="00D91240" w:rsidRDefault="00D91240" w:rsidP="00D91240"/>
    <w:p w14:paraId="4F664DF8" w14:textId="77777777" w:rsidR="00FA6A1F" w:rsidRDefault="00FA6A1F" w:rsidP="00D91240">
      <w:r>
        <w:t>The new strategy and new problem gambling levy regulations will take effect on 1 July 2022.</w:t>
      </w:r>
    </w:p>
    <w:p w14:paraId="4F664DF9" w14:textId="77777777" w:rsidR="00D91240" w:rsidRDefault="00D91240" w:rsidP="00D91240"/>
    <w:p w14:paraId="4F664DFA" w14:textId="77777777" w:rsidR="00FA6A1F" w:rsidRDefault="00FA6A1F" w:rsidP="00D91240">
      <w:pPr>
        <w:pStyle w:val="Heading2"/>
      </w:pPr>
      <w:bookmarkStart w:id="4" w:name="_Toc78882246"/>
      <w:bookmarkStart w:id="5" w:name="_Toc80965819"/>
      <w:r w:rsidRPr="00C10A99">
        <w:t xml:space="preserve">Have </w:t>
      </w:r>
      <w:r w:rsidRPr="00995684">
        <w:t>your</w:t>
      </w:r>
      <w:r w:rsidRPr="00C10A99">
        <w:t xml:space="preserve"> say</w:t>
      </w:r>
      <w:bookmarkEnd w:id="4"/>
      <w:bookmarkEnd w:id="5"/>
    </w:p>
    <w:p w14:paraId="4F664DFB" w14:textId="77777777" w:rsidR="00FA6A1F" w:rsidRPr="00C9524D" w:rsidRDefault="00FA6A1F" w:rsidP="00D91240">
      <w:r w:rsidRPr="00C10A99">
        <w:t>Your feedback</w:t>
      </w:r>
      <w:r>
        <w:t xml:space="preserve"> on the proposals contained in this consultation document</w:t>
      </w:r>
      <w:r w:rsidRPr="00C10A99">
        <w:t xml:space="preserve"> is important</w:t>
      </w:r>
      <w:r>
        <w:t>. I</w:t>
      </w:r>
      <w:r w:rsidRPr="00C10A99">
        <w:t xml:space="preserve">t will help shape the proposed </w:t>
      </w:r>
      <w:r w:rsidRPr="009D6760">
        <w:rPr>
          <w:i/>
          <w:iCs/>
        </w:rPr>
        <w:t>Strategy to Prevent and Minimise Gambling Harm for 2022/23 to 2024/25</w:t>
      </w:r>
      <w:r w:rsidRPr="008021BF">
        <w:t xml:space="preserve"> </w:t>
      </w:r>
      <w:r w:rsidRPr="00C10A99">
        <w:t xml:space="preserve">and levy rates that </w:t>
      </w:r>
      <w:r>
        <w:t>we</w:t>
      </w:r>
      <w:r w:rsidRPr="00C10A99">
        <w:t xml:space="preserve"> submit to Ministers and the Gambling Commission for their consideration.</w:t>
      </w:r>
      <w:r>
        <w:t xml:space="preserve"> </w:t>
      </w:r>
      <w:r w:rsidRPr="00C9524D">
        <w:t>You can provide feedback by:</w:t>
      </w:r>
    </w:p>
    <w:p w14:paraId="4F664DFC" w14:textId="77777777" w:rsidR="00FA6A1F" w:rsidRPr="00EF2192" w:rsidRDefault="00FA6A1F" w:rsidP="00D91240">
      <w:pPr>
        <w:pStyle w:val="Bullet"/>
      </w:pPr>
      <w:r w:rsidRPr="00EF2192">
        <w:t xml:space="preserve">making an online submission at </w:t>
      </w:r>
      <w:hyperlink r:id="rId16" w:history="1">
        <w:r w:rsidRPr="00D91240">
          <w:rPr>
            <w:rStyle w:val="Hyperlink"/>
          </w:rPr>
          <w:t>https://consult.health.govt.nz</w:t>
        </w:r>
      </w:hyperlink>
    </w:p>
    <w:p w14:paraId="4F664DFD" w14:textId="77777777" w:rsidR="00FA6A1F" w:rsidRPr="00EF2192" w:rsidRDefault="00FA6A1F" w:rsidP="00D91240">
      <w:pPr>
        <w:pStyle w:val="Bullet"/>
      </w:pPr>
      <w:r w:rsidRPr="00EF2192">
        <w:t xml:space="preserve">using the form at the end of this document and emailing it to </w:t>
      </w:r>
      <w:hyperlink r:id="rId17" w:history="1">
        <w:r w:rsidRPr="00E94FF6">
          <w:rPr>
            <w:rStyle w:val="Hyperlink"/>
          </w:rPr>
          <w:t>gamblingharm@health.govt.nz</w:t>
        </w:r>
      </w:hyperlink>
    </w:p>
    <w:p w14:paraId="4F664DFE" w14:textId="77777777" w:rsidR="00FA6A1F" w:rsidRPr="00EF2192" w:rsidRDefault="00FA6A1F" w:rsidP="00D91240">
      <w:pPr>
        <w:pStyle w:val="Bullet"/>
      </w:pPr>
      <w:r w:rsidRPr="00EF2192">
        <w:t>sending a hard copy to:</w:t>
      </w:r>
      <w:r>
        <w:br/>
      </w:r>
      <w:r w:rsidRPr="00EF2192">
        <w:t>Strategy to Prevent and Minimise Gambling Harm Consultation</w:t>
      </w:r>
      <w:r>
        <w:br/>
      </w:r>
      <w:r w:rsidRPr="00EF2192">
        <w:t>Ministry of Health</w:t>
      </w:r>
      <w:r>
        <w:br/>
      </w:r>
      <w:r w:rsidRPr="00EF2192">
        <w:t>PO Box 5013</w:t>
      </w:r>
      <w:r>
        <w:br/>
      </w:r>
      <w:r w:rsidRPr="00EF2192">
        <w:t>Wellington 6140</w:t>
      </w:r>
    </w:p>
    <w:p w14:paraId="4F664DFF" w14:textId="0F2DC85B" w:rsidR="00FA6A1F" w:rsidRPr="00A97D47" w:rsidRDefault="00FA6A1F" w:rsidP="00D91240">
      <w:pPr>
        <w:pStyle w:val="Bullet"/>
      </w:pPr>
      <w:r w:rsidRPr="00EF2192">
        <w:t>attending a</w:t>
      </w:r>
      <w:r w:rsidR="0073146D">
        <w:t>n online</w:t>
      </w:r>
      <w:r w:rsidRPr="00EF2192">
        <w:t xml:space="preserve"> discussion and consultation meeting</w:t>
      </w:r>
      <w:r w:rsidR="008303C6">
        <w:t xml:space="preserve"> – </w:t>
      </w:r>
      <w:r w:rsidRPr="00EF2192">
        <w:t xml:space="preserve">meeting details are available on our website </w:t>
      </w:r>
      <w:hyperlink r:id="rId18" w:history="1">
        <w:r w:rsidRPr="00EB5B65">
          <w:rPr>
            <w:rStyle w:val="Hyperlink"/>
          </w:rPr>
          <w:t>https://consult.health.govt.nz</w:t>
        </w:r>
      </w:hyperlink>
      <w:r w:rsidR="00D91240" w:rsidRPr="00D91240">
        <w:t>.</w:t>
      </w:r>
    </w:p>
    <w:p w14:paraId="4F664E00" w14:textId="77777777" w:rsidR="00D91240" w:rsidRDefault="00D91240" w:rsidP="00D91240"/>
    <w:p w14:paraId="4F664E01" w14:textId="4BB1C3B5" w:rsidR="00FA6A1F" w:rsidRDefault="00FA6A1F" w:rsidP="00D91240">
      <w:r>
        <w:t>All s</w:t>
      </w:r>
      <w:r w:rsidRPr="00C10A99">
        <w:t xml:space="preserve">ubmissions are due with the Ministry by </w:t>
      </w:r>
      <w:r w:rsidRPr="00866264">
        <w:rPr>
          <w:b/>
        </w:rPr>
        <w:t xml:space="preserve">5pm Friday </w:t>
      </w:r>
      <w:r w:rsidR="0073146D">
        <w:rPr>
          <w:b/>
        </w:rPr>
        <w:t>8</w:t>
      </w:r>
      <w:r>
        <w:rPr>
          <w:b/>
        </w:rPr>
        <w:t xml:space="preserve"> Octo</w:t>
      </w:r>
      <w:r w:rsidRPr="00866264">
        <w:rPr>
          <w:b/>
        </w:rPr>
        <w:t>ber 2021</w:t>
      </w:r>
      <w:r w:rsidRPr="00866264">
        <w:t>.</w:t>
      </w:r>
    </w:p>
    <w:p w14:paraId="4F664E02" w14:textId="77777777" w:rsidR="00FA6A1F" w:rsidRPr="00FA6A1F" w:rsidRDefault="00FA6A1F" w:rsidP="00D91240"/>
    <w:p w14:paraId="4F664E03" w14:textId="77777777" w:rsidR="00414C35" w:rsidRDefault="00414C35" w:rsidP="00F54E74">
      <w:pPr>
        <w:pStyle w:val="Heading1"/>
      </w:pPr>
      <w:bookmarkStart w:id="6" w:name="_Toc80965820"/>
      <w:r>
        <w:lastRenderedPageBreak/>
        <w:t>Foreword</w:t>
      </w:r>
      <w:bookmarkEnd w:id="0"/>
      <w:bookmarkEnd w:id="6"/>
    </w:p>
    <w:p w14:paraId="4F664E04" w14:textId="77777777" w:rsidR="008303C6" w:rsidRDefault="00FA6A1F" w:rsidP="00164C09">
      <w:pPr>
        <w:rPr>
          <w:rFonts w:eastAsia="Calibri"/>
        </w:rPr>
      </w:pPr>
      <w:r>
        <w:rPr>
          <w:rFonts w:eastAsia="Calibri"/>
        </w:rPr>
        <w:t>Most New Zealanders have gambled or know somebody who has. Harm from gambling remains a significant public health issue for our communities, and to individuals, families and whānau. Moreover, that harm is not evenly spread across our communities – M</w:t>
      </w:r>
      <w:r>
        <w:rPr>
          <w:rFonts w:eastAsia="Calibri" w:cstheme="minorHAnsi"/>
        </w:rPr>
        <w:t>ā</w:t>
      </w:r>
      <w:r>
        <w:rPr>
          <w:rFonts w:eastAsia="Calibri"/>
        </w:rPr>
        <w:t>ori and Pacific peoples currently experience a burden of harm that is unfair and unacceptable.</w:t>
      </w:r>
    </w:p>
    <w:p w14:paraId="4F664E05" w14:textId="77777777" w:rsidR="00164C09" w:rsidRDefault="00164C09" w:rsidP="00164C09">
      <w:pPr>
        <w:rPr>
          <w:rFonts w:eastAsia="Calibri"/>
        </w:rPr>
      </w:pPr>
    </w:p>
    <w:p w14:paraId="4F664E06" w14:textId="77777777" w:rsidR="008303C6" w:rsidRDefault="00FA6A1F" w:rsidP="00164C09">
      <w:pPr>
        <w:rPr>
          <w:rFonts w:eastAsia="Calibri"/>
        </w:rPr>
      </w:pPr>
      <w:r w:rsidRPr="00C73ACA">
        <w:rPr>
          <w:rFonts w:eastAsia="Calibri"/>
        </w:rPr>
        <w:t>The Gambling Act 2003</w:t>
      </w:r>
      <w:r>
        <w:rPr>
          <w:rFonts w:eastAsia="Calibri"/>
        </w:rPr>
        <w:t xml:space="preserve"> (the Act) recognises the need to address the risks and harms of gambling by setting</w:t>
      </w:r>
      <w:r w:rsidRPr="00C73ACA">
        <w:rPr>
          <w:rFonts w:eastAsia="Calibri"/>
        </w:rPr>
        <w:t xml:space="preserve"> out requirements for an </w:t>
      </w:r>
      <w:r w:rsidR="008303C6">
        <w:rPr>
          <w:rFonts w:eastAsia="Calibri"/>
        </w:rPr>
        <w:t>‘</w:t>
      </w:r>
      <w:r w:rsidRPr="00C73ACA">
        <w:rPr>
          <w:rFonts w:eastAsia="Calibri"/>
        </w:rPr>
        <w:t xml:space="preserve">integrated problem gambling </w:t>
      </w:r>
      <w:r>
        <w:rPr>
          <w:rFonts w:eastAsia="Calibri"/>
        </w:rPr>
        <w:t>strategy</w:t>
      </w:r>
      <w:r w:rsidRPr="00C73ACA">
        <w:rPr>
          <w:rFonts w:eastAsia="Calibri"/>
        </w:rPr>
        <w:t xml:space="preserve"> focused on public health</w:t>
      </w:r>
      <w:r w:rsidR="008303C6">
        <w:rPr>
          <w:rFonts w:eastAsia="Calibri"/>
        </w:rPr>
        <w:t>’</w:t>
      </w:r>
      <w:r>
        <w:rPr>
          <w:rFonts w:eastAsia="Calibri"/>
        </w:rPr>
        <w:t xml:space="preserve"> and specifying a regulatory regime for the gambling industry. </w:t>
      </w:r>
      <w:r w:rsidRPr="00C73ACA">
        <w:rPr>
          <w:rFonts w:eastAsia="Calibri"/>
        </w:rPr>
        <w:t>The Ministry of Health (the Ministry) is responsible for developing and refreshing th</w:t>
      </w:r>
      <w:r>
        <w:rPr>
          <w:rFonts w:eastAsia="Calibri"/>
        </w:rPr>
        <w:t>e Strategy to Prevent and Minimise Gambling Harm every</w:t>
      </w:r>
      <w:r w:rsidRPr="00C73ACA">
        <w:rPr>
          <w:rFonts w:eastAsia="Calibri"/>
        </w:rPr>
        <w:t xml:space="preserve"> three</w:t>
      </w:r>
      <w:r>
        <w:rPr>
          <w:rFonts w:eastAsia="Calibri"/>
        </w:rPr>
        <w:t xml:space="preserve"> </w:t>
      </w:r>
      <w:r w:rsidRPr="00C73ACA">
        <w:rPr>
          <w:rFonts w:eastAsia="Calibri"/>
        </w:rPr>
        <w:t>year</w:t>
      </w:r>
      <w:r>
        <w:rPr>
          <w:rFonts w:eastAsia="Calibri"/>
        </w:rPr>
        <w:t>s</w:t>
      </w:r>
      <w:r w:rsidRPr="00C73ACA">
        <w:rPr>
          <w:rFonts w:eastAsia="Calibri"/>
        </w:rPr>
        <w:t xml:space="preserve">, </w:t>
      </w:r>
      <w:r>
        <w:rPr>
          <w:rFonts w:eastAsia="Calibri"/>
        </w:rPr>
        <w:t>as well as</w:t>
      </w:r>
      <w:r w:rsidRPr="00C73ACA">
        <w:rPr>
          <w:rFonts w:eastAsia="Calibri"/>
        </w:rPr>
        <w:t xml:space="preserve"> for implementing it. </w:t>
      </w:r>
      <w:r>
        <w:rPr>
          <w:rFonts w:eastAsia="Calibri"/>
        </w:rPr>
        <w:t>We work alongside our colleagues in the Department of Internal Affairs (DIA) as the industry regulator.</w:t>
      </w:r>
    </w:p>
    <w:p w14:paraId="4F664E07" w14:textId="77777777" w:rsidR="00164C09" w:rsidRDefault="00164C09" w:rsidP="00164C09">
      <w:pPr>
        <w:rPr>
          <w:rFonts w:eastAsia="Calibri"/>
        </w:rPr>
      </w:pPr>
    </w:p>
    <w:p w14:paraId="4F664E08" w14:textId="77777777" w:rsidR="00FA6A1F" w:rsidRDefault="00FA6A1F" w:rsidP="00164C09">
      <w:pPr>
        <w:rPr>
          <w:rFonts w:eastAsia="Calibri"/>
        </w:rPr>
      </w:pPr>
      <w:r w:rsidRPr="00C73ACA">
        <w:rPr>
          <w:rFonts w:eastAsia="Calibri"/>
        </w:rPr>
        <w:t>The Act specifies consultation requirements for develop</w:t>
      </w:r>
      <w:r>
        <w:rPr>
          <w:rFonts w:eastAsia="Calibri"/>
        </w:rPr>
        <w:t>ing</w:t>
      </w:r>
      <w:r w:rsidRPr="00C73ACA">
        <w:rPr>
          <w:rFonts w:eastAsia="Calibri"/>
        </w:rPr>
        <w:t xml:space="preserve"> the </w:t>
      </w:r>
      <w:r>
        <w:rPr>
          <w:rFonts w:eastAsia="Calibri"/>
        </w:rPr>
        <w:t>strategy</w:t>
      </w:r>
      <w:r w:rsidRPr="00C73ACA">
        <w:rPr>
          <w:rFonts w:eastAsia="Calibri"/>
        </w:rPr>
        <w:t xml:space="preserve"> and </w:t>
      </w:r>
      <w:r>
        <w:rPr>
          <w:rFonts w:eastAsia="Calibri"/>
        </w:rPr>
        <w:t xml:space="preserve">setting industry </w:t>
      </w:r>
      <w:r w:rsidRPr="00C73ACA">
        <w:rPr>
          <w:rFonts w:eastAsia="Calibri"/>
        </w:rPr>
        <w:t>levy rates</w:t>
      </w:r>
      <w:r>
        <w:rPr>
          <w:rFonts w:eastAsia="Calibri"/>
        </w:rPr>
        <w:t xml:space="preserve"> to pay for it</w:t>
      </w:r>
      <w:r w:rsidRPr="00C73ACA">
        <w:rPr>
          <w:rFonts w:eastAsia="Calibri"/>
        </w:rPr>
        <w:t>.</w:t>
      </w:r>
      <w:r>
        <w:rPr>
          <w:rFonts w:eastAsia="Calibri"/>
        </w:rPr>
        <w:t xml:space="preserve"> </w:t>
      </w:r>
      <w:r w:rsidRPr="00736D42">
        <w:rPr>
          <w:rFonts w:eastAsia="Calibri"/>
        </w:rPr>
        <w:t xml:space="preserve">Consistent with these requirements, the Ministry is now </w:t>
      </w:r>
      <w:r>
        <w:rPr>
          <w:rFonts w:eastAsia="Calibri"/>
        </w:rPr>
        <w:t xml:space="preserve">using </w:t>
      </w:r>
      <w:r w:rsidRPr="00736D42">
        <w:rPr>
          <w:rFonts w:eastAsia="Calibri"/>
        </w:rPr>
        <w:t xml:space="preserve">a consultation process </w:t>
      </w:r>
      <w:r>
        <w:rPr>
          <w:rFonts w:eastAsia="Calibri"/>
        </w:rPr>
        <w:t>to seek</w:t>
      </w:r>
      <w:r w:rsidRPr="00736D42">
        <w:rPr>
          <w:rFonts w:eastAsia="Calibri"/>
        </w:rPr>
        <w:t xml:space="preserve"> </w:t>
      </w:r>
      <w:r>
        <w:rPr>
          <w:rFonts w:eastAsia="Calibri"/>
        </w:rPr>
        <w:t>views</w:t>
      </w:r>
      <w:r w:rsidRPr="00736D42">
        <w:rPr>
          <w:rFonts w:eastAsia="Calibri"/>
        </w:rPr>
        <w:t xml:space="preserve"> on </w:t>
      </w:r>
      <w:r>
        <w:rPr>
          <w:rFonts w:eastAsia="Calibri"/>
        </w:rPr>
        <w:t>our</w:t>
      </w:r>
      <w:r w:rsidRPr="00736D42">
        <w:rPr>
          <w:rFonts w:eastAsia="Calibri"/>
        </w:rPr>
        <w:t xml:space="preserve"> draft</w:t>
      </w:r>
      <w:r w:rsidRPr="00C73ACA">
        <w:rPr>
          <w:rFonts w:eastAsia="Calibri"/>
        </w:rPr>
        <w:t xml:space="preserve"> </w:t>
      </w:r>
      <w:r w:rsidRPr="00F25670">
        <w:rPr>
          <w:rFonts w:eastAsia="Calibri"/>
          <w:i/>
          <w:iCs/>
        </w:rPr>
        <w:t>Strategy to Prevent and Minimise Gambling Harm for 2022/2023 to 2024/2025</w:t>
      </w:r>
      <w:r w:rsidRPr="00736D42">
        <w:rPr>
          <w:rFonts w:eastAsia="Calibri"/>
        </w:rPr>
        <w:t xml:space="preserve"> </w:t>
      </w:r>
      <w:r>
        <w:rPr>
          <w:rFonts w:eastAsia="Calibri"/>
        </w:rPr>
        <w:t xml:space="preserve">(the strategy) </w:t>
      </w:r>
      <w:r w:rsidRPr="00736D42">
        <w:rPr>
          <w:rFonts w:eastAsia="Calibri"/>
        </w:rPr>
        <w:t>and draft levy rates.</w:t>
      </w:r>
    </w:p>
    <w:p w14:paraId="4F664E09" w14:textId="77777777" w:rsidR="00164C09" w:rsidRDefault="00164C09" w:rsidP="00164C09">
      <w:pPr>
        <w:rPr>
          <w:rFonts w:eastAsia="Calibri"/>
        </w:rPr>
      </w:pPr>
    </w:p>
    <w:p w14:paraId="4F664E0A" w14:textId="77777777" w:rsidR="00164C09" w:rsidRDefault="00FA6A1F" w:rsidP="00164C09">
      <w:pPr>
        <w:rPr>
          <w:rFonts w:eastAsia="Calibri"/>
        </w:rPr>
      </w:pPr>
      <w:r w:rsidRPr="00736D42">
        <w:rPr>
          <w:rFonts w:eastAsia="Calibri"/>
        </w:rPr>
        <w:t>After</w:t>
      </w:r>
      <w:r w:rsidRPr="00C73ACA">
        <w:rPr>
          <w:rFonts w:eastAsia="Calibri"/>
        </w:rPr>
        <w:t xml:space="preserve"> consider</w:t>
      </w:r>
      <w:r>
        <w:rPr>
          <w:rFonts w:eastAsia="Calibri"/>
        </w:rPr>
        <w:t xml:space="preserve">ing </w:t>
      </w:r>
      <w:r w:rsidRPr="00736D42">
        <w:rPr>
          <w:rFonts w:eastAsia="Calibri"/>
        </w:rPr>
        <w:t xml:space="preserve">feedback and making any necessary revisions, the Ministry will submit its proposed </w:t>
      </w:r>
      <w:r>
        <w:rPr>
          <w:rFonts w:eastAsia="Calibri"/>
        </w:rPr>
        <w:t>strategy</w:t>
      </w:r>
      <w:r w:rsidRPr="00736D42">
        <w:rPr>
          <w:rFonts w:eastAsia="Calibri"/>
        </w:rPr>
        <w:t xml:space="preserve"> and levy rates to the New Zealand Gambling Commission (the Gambling Commission). The Gambling Commission will undertake an analysis, convene a consultation meeting and provide its own advice to the Minister of Health and the Minister of Internal Affairs.</w:t>
      </w:r>
      <w:r>
        <w:rPr>
          <w:rFonts w:eastAsia="Calibri"/>
        </w:rPr>
        <w:t xml:space="preserve"> </w:t>
      </w:r>
      <w:r w:rsidRPr="00736D42">
        <w:rPr>
          <w:rFonts w:eastAsia="Calibri"/>
        </w:rPr>
        <w:t xml:space="preserve">Cabinet will subsequently make decisions on the shape of the </w:t>
      </w:r>
      <w:r>
        <w:rPr>
          <w:rFonts w:eastAsia="Calibri"/>
        </w:rPr>
        <w:t>s</w:t>
      </w:r>
      <w:r w:rsidRPr="00736D42">
        <w:rPr>
          <w:rFonts w:eastAsia="Calibri"/>
        </w:rPr>
        <w:t>trategy and the levy.</w:t>
      </w:r>
      <w:r>
        <w:rPr>
          <w:rFonts w:eastAsia="Calibri"/>
        </w:rPr>
        <w:t xml:space="preserve"> This draft strategy takes a public health approach to achieving pae ora – Healthy Futures promoting equity and wellbeing </w:t>
      </w:r>
      <w:r w:rsidRPr="00FA645D">
        <w:rPr>
          <w:rFonts w:eastAsia="Calibri"/>
        </w:rPr>
        <w:t>by preventing and reducing gambling-related harm</w:t>
      </w:r>
      <w:r>
        <w:rPr>
          <w:rFonts w:eastAsia="Calibri"/>
        </w:rPr>
        <w:t>. The strategy is based on the most up-to-date research and evidence, including engagement with gambling harm prevention and minimisation organisations, services and workers, and the gambling industry.</w:t>
      </w:r>
    </w:p>
    <w:p w14:paraId="4F664E0B" w14:textId="77777777" w:rsidR="00164C09" w:rsidRDefault="00164C09" w:rsidP="00164C09">
      <w:pPr>
        <w:rPr>
          <w:rFonts w:eastAsia="Calibri"/>
        </w:rPr>
      </w:pPr>
    </w:p>
    <w:p w14:paraId="4F664E0C" w14:textId="77777777" w:rsidR="008303C6" w:rsidRDefault="00FA6A1F" w:rsidP="00164C09">
      <w:pPr>
        <w:rPr>
          <w:rFonts w:eastAsia="Calibri"/>
        </w:rPr>
      </w:pPr>
      <w:r w:rsidRPr="00736D42">
        <w:rPr>
          <w:rFonts w:eastAsia="Calibri"/>
        </w:rPr>
        <w:t>I encourage you to have your say to ensure</w:t>
      </w:r>
      <w:r>
        <w:rPr>
          <w:rFonts w:eastAsia="Calibri"/>
        </w:rPr>
        <w:t xml:space="preserve"> we take</w:t>
      </w:r>
      <w:r w:rsidRPr="00736D42">
        <w:rPr>
          <w:rFonts w:eastAsia="Calibri"/>
        </w:rPr>
        <w:t xml:space="preserve"> an inclusive and comprehensive approach to preventing and minimising gambling harm for the three-year period from 1 July 2022 to 30 June 202</w:t>
      </w:r>
      <w:r>
        <w:rPr>
          <w:rFonts w:eastAsia="Calibri"/>
        </w:rPr>
        <w:t>5</w:t>
      </w:r>
      <w:r w:rsidRPr="00736D42">
        <w:rPr>
          <w:rFonts w:eastAsia="Calibri"/>
        </w:rPr>
        <w:t xml:space="preserve"> and beyond.</w:t>
      </w:r>
    </w:p>
    <w:p w14:paraId="4F664E0D" w14:textId="77777777" w:rsidR="00FA6A1F" w:rsidRDefault="00FA6A1F" w:rsidP="00164C09"/>
    <w:p w14:paraId="4F664E0E" w14:textId="77777777" w:rsidR="00FA6A1F" w:rsidRDefault="00FA6A1F" w:rsidP="00164C09">
      <w:pPr>
        <w:spacing w:before="600"/>
      </w:pPr>
      <w:r>
        <w:t>Dr Ashley Bloomfield</w:t>
      </w:r>
      <w:r>
        <w:br/>
      </w:r>
      <w:r w:rsidRPr="003E03DA">
        <w:t>Te Tumu Whakarae mō te Hauora</w:t>
      </w:r>
      <w:r>
        <w:br/>
      </w:r>
      <w:r w:rsidRPr="00E312E8">
        <w:t>Director</w:t>
      </w:r>
      <w:r>
        <w:t>-</w:t>
      </w:r>
      <w:r w:rsidRPr="00E312E8">
        <w:t>General of Health</w:t>
      </w:r>
      <w:r>
        <w:br/>
        <w:t>Ministry of Health</w:t>
      </w:r>
    </w:p>
    <w:p w14:paraId="4F664E0F" w14:textId="77777777" w:rsidR="00FB0A5B" w:rsidRDefault="00FB0A5B" w:rsidP="00414C35"/>
    <w:p w14:paraId="4F664E10" w14:textId="77777777" w:rsidR="00414C35" w:rsidRDefault="00414C35" w:rsidP="00414C35">
      <w:pPr>
        <w:sectPr w:rsidR="00414C35" w:rsidSect="001D3E4E">
          <w:headerReference w:type="even" r:id="rId19"/>
          <w:headerReference w:type="default" r:id="rId20"/>
          <w:footerReference w:type="even" r:id="rId21"/>
          <w:footerReference w:type="default" r:id="rId22"/>
          <w:pgSz w:w="11907" w:h="16840" w:code="9"/>
          <w:pgMar w:top="1418" w:right="1701" w:bottom="1134" w:left="1843" w:header="284" w:footer="425" w:gutter="284"/>
          <w:pgNumType w:fmt="lowerRoman"/>
          <w:cols w:space="720"/>
        </w:sectPr>
      </w:pPr>
    </w:p>
    <w:p w14:paraId="4F664E11" w14:textId="77777777" w:rsidR="00414C35" w:rsidRDefault="00414C35" w:rsidP="00414C35"/>
    <w:p w14:paraId="4F664E12" w14:textId="77777777" w:rsidR="00414C35" w:rsidRDefault="00414C35" w:rsidP="00414C35">
      <w:pPr>
        <w:sectPr w:rsidR="00414C35" w:rsidSect="0078658E">
          <w:footerReference w:type="even" r:id="rId23"/>
          <w:footerReference w:type="default" r:id="rId24"/>
          <w:pgSz w:w="11907" w:h="16840" w:code="9"/>
          <w:pgMar w:top="1418" w:right="1701" w:bottom="1134" w:left="1843" w:header="284" w:footer="425" w:gutter="284"/>
          <w:pgNumType w:fmt="lowerRoman"/>
          <w:cols w:space="720"/>
        </w:sectPr>
      </w:pPr>
    </w:p>
    <w:p w14:paraId="4F664E13" w14:textId="77777777" w:rsidR="00C86248" w:rsidRDefault="00C86248" w:rsidP="00025A6F">
      <w:pPr>
        <w:pStyle w:val="IntroHead"/>
      </w:pPr>
      <w:r>
        <w:lastRenderedPageBreak/>
        <w:t>Contents</w:t>
      </w:r>
      <w:bookmarkEnd w:id="1"/>
      <w:bookmarkEnd w:id="2"/>
    </w:p>
    <w:p w14:paraId="43EE4CEE" w14:textId="64263788" w:rsidR="00D90DAF" w:rsidRDefault="00D90DAF">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80965818" w:history="1">
        <w:r w:rsidRPr="009754F3">
          <w:rPr>
            <w:rStyle w:val="Hyperlink"/>
            <w:noProof/>
          </w:rPr>
          <w:t xml:space="preserve">Consulting on the proposed </w:t>
        </w:r>
        <w:r w:rsidRPr="009754F3">
          <w:rPr>
            <w:rStyle w:val="Hyperlink"/>
            <w:i/>
            <w:noProof/>
          </w:rPr>
          <w:t>Strategy to Prevent and Minimise Gambling Harm 2022/23 to 2024/25</w:t>
        </w:r>
        <w:r>
          <w:rPr>
            <w:noProof/>
            <w:webHidden/>
          </w:rPr>
          <w:tab/>
        </w:r>
        <w:r>
          <w:rPr>
            <w:noProof/>
            <w:webHidden/>
          </w:rPr>
          <w:fldChar w:fldCharType="begin"/>
        </w:r>
        <w:r>
          <w:rPr>
            <w:noProof/>
            <w:webHidden/>
          </w:rPr>
          <w:instrText xml:space="preserve"> PAGEREF _Toc80965818 \h </w:instrText>
        </w:r>
        <w:r>
          <w:rPr>
            <w:noProof/>
            <w:webHidden/>
          </w:rPr>
        </w:r>
        <w:r>
          <w:rPr>
            <w:noProof/>
            <w:webHidden/>
          </w:rPr>
          <w:fldChar w:fldCharType="separate"/>
        </w:r>
        <w:r w:rsidR="00F65B3A">
          <w:rPr>
            <w:noProof/>
            <w:webHidden/>
          </w:rPr>
          <w:t>iii</w:t>
        </w:r>
        <w:r>
          <w:rPr>
            <w:noProof/>
            <w:webHidden/>
          </w:rPr>
          <w:fldChar w:fldCharType="end"/>
        </w:r>
      </w:hyperlink>
    </w:p>
    <w:p w14:paraId="280A112B" w14:textId="3122899E" w:rsidR="00D90DAF" w:rsidRDefault="00D90DAF">
      <w:pPr>
        <w:pStyle w:val="TOC2"/>
        <w:rPr>
          <w:rFonts w:asciiTheme="minorHAnsi" w:eastAsiaTheme="minorEastAsia" w:hAnsiTheme="minorHAnsi" w:cstheme="minorBidi"/>
          <w:noProof/>
          <w:sz w:val="22"/>
          <w:szCs w:val="22"/>
          <w:lang w:eastAsia="en-NZ"/>
        </w:rPr>
      </w:pPr>
      <w:hyperlink w:anchor="_Toc80965819" w:history="1">
        <w:r w:rsidRPr="009754F3">
          <w:rPr>
            <w:rStyle w:val="Hyperlink"/>
            <w:noProof/>
          </w:rPr>
          <w:t>Have your say</w:t>
        </w:r>
        <w:r>
          <w:rPr>
            <w:noProof/>
            <w:webHidden/>
          </w:rPr>
          <w:tab/>
        </w:r>
        <w:r>
          <w:rPr>
            <w:noProof/>
            <w:webHidden/>
          </w:rPr>
          <w:fldChar w:fldCharType="begin"/>
        </w:r>
        <w:r>
          <w:rPr>
            <w:noProof/>
            <w:webHidden/>
          </w:rPr>
          <w:instrText xml:space="preserve"> PAGEREF _Toc80965819 \h </w:instrText>
        </w:r>
        <w:r>
          <w:rPr>
            <w:noProof/>
            <w:webHidden/>
          </w:rPr>
        </w:r>
        <w:r>
          <w:rPr>
            <w:noProof/>
            <w:webHidden/>
          </w:rPr>
          <w:fldChar w:fldCharType="separate"/>
        </w:r>
        <w:r w:rsidR="00F65B3A">
          <w:rPr>
            <w:noProof/>
            <w:webHidden/>
          </w:rPr>
          <w:t>iv</w:t>
        </w:r>
        <w:r>
          <w:rPr>
            <w:noProof/>
            <w:webHidden/>
          </w:rPr>
          <w:fldChar w:fldCharType="end"/>
        </w:r>
      </w:hyperlink>
    </w:p>
    <w:p w14:paraId="254155C5" w14:textId="2E7C53C4" w:rsidR="00D90DAF" w:rsidRDefault="00D90DAF">
      <w:pPr>
        <w:pStyle w:val="TOC1"/>
        <w:rPr>
          <w:rFonts w:asciiTheme="minorHAnsi" w:eastAsiaTheme="minorEastAsia" w:hAnsiTheme="minorHAnsi" w:cstheme="minorBidi"/>
          <w:noProof/>
          <w:sz w:val="22"/>
          <w:szCs w:val="22"/>
          <w:lang w:eastAsia="en-NZ"/>
        </w:rPr>
      </w:pPr>
      <w:hyperlink w:anchor="_Toc80965820" w:history="1">
        <w:r w:rsidRPr="009754F3">
          <w:rPr>
            <w:rStyle w:val="Hyperlink"/>
            <w:noProof/>
          </w:rPr>
          <w:t>Foreword</w:t>
        </w:r>
        <w:r>
          <w:rPr>
            <w:noProof/>
            <w:webHidden/>
          </w:rPr>
          <w:tab/>
        </w:r>
        <w:r>
          <w:rPr>
            <w:noProof/>
            <w:webHidden/>
          </w:rPr>
          <w:fldChar w:fldCharType="begin"/>
        </w:r>
        <w:r>
          <w:rPr>
            <w:noProof/>
            <w:webHidden/>
          </w:rPr>
          <w:instrText xml:space="preserve"> PAGEREF _Toc80965820 \h </w:instrText>
        </w:r>
        <w:r>
          <w:rPr>
            <w:noProof/>
            <w:webHidden/>
          </w:rPr>
        </w:r>
        <w:r>
          <w:rPr>
            <w:noProof/>
            <w:webHidden/>
          </w:rPr>
          <w:fldChar w:fldCharType="separate"/>
        </w:r>
        <w:r w:rsidR="00F65B3A">
          <w:rPr>
            <w:noProof/>
            <w:webHidden/>
          </w:rPr>
          <w:t>v</w:t>
        </w:r>
        <w:r>
          <w:rPr>
            <w:noProof/>
            <w:webHidden/>
          </w:rPr>
          <w:fldChar w:fldCharType="end"/>
        </w:r>
      </w:hyperlink>
    </w:p>
    <w:p w14:paraId="5684346A" w14:textId="706B0E03" w:rsidR="00D90DAF" w:rsidRDefault="00D90DAF">
      <w:pPr>
        <w:pStyle w:val="TOC1"/>
        <w:rPr>
          <w:rFonts w:asciiTheme="minorHAnsi" w:eastAsiaTheme="minorEastAsia" w:hAnsiTheme="minorHAnsi" w:cstheme="minorBidi"/>
          <w:noProof/>
          <w:sz w:val="22"/>
          <w:szCs w:val="22"/>
          <w:lang w:eastAsia="en-NZ"/>
        </w:rPr>
      </w:pPr>
      <w:hyperlink w:anchor="_Toc80965821" w:history="1">
        <w:r w:rsidRPr="009754F3">
          <w:rPr>
            <w:rStyle w:val="Hyperlink"/>
            <w:noProof/>
          </w:rPr>
          <w:t>Executive summary</w:t>
        </w:r>
        <w:r>
          <w:rPr>
            <w:noProof/>
            <w:webHidden/>
          </w:rPr>
          <w:tab/>
        </w:r>
        <w:r>
          <w:rPr>
            <w:noProof/>
            <w:webHidden/>
          </w:rPr>
          <w:fldChar w:fldCharType="begin"/>
        </w:r>
        <w:r>
          <w:rPr>
            <w:noProof/>
            <w:webHidden/>
          </w:rPr>
          <w:instrText xml:space="preserve"> PAGEREF _Toc80965821 \h </w:instrText>
        </w:r>
        <w:r>
          <w:rPr>
            <w:noProof/>
            <w:webHidden/>
          </w:rPr>
        </w:r>
        <w:r>
          <w:rPr>
            <w:noProof/>
            <w:webHidden/>
          </w:rPr>
          <w:fldChar w:fldCharType="separate"/>
        </w:r>
        <w:r w:rsidR="00F65B3A">
          <w:rPr>
            <w:noProof/>
            <w:webHidden/>
          </w:rPr>
          <w:t>xi</w:t>
        </w:r>
        <w:r>
          <w:rPr>
            <w:noProof/>
            <w:webHidden/>
          </w:rPr>
          <w:fldChar w:fldCharType="end"/>
        </w:r>
      </w:hyperlink>
    </w:p>
    <w:p w14:paraId="28DBBC26" w14:textId="29A53FB5" w:rsidR="00D90DAF" w:rsidRDefault="00D90DAF">
      <w:pPr>
        <w:pStyle w:val="TOC2"/>
        <w:rPr>
          <w:rFonts w:asciiTheme="minorHAnsi" w:eastAsiaTheme="minorEastAsia" w:hAnsiTheme="minorHAnsi" w:cstheme="minorBidi"/>
          <w:noProof/>
          <w:sz w:val="22"/>
          <w:szCs w:val="22"/>
          <w:lang w:eastAsia="en-NZ"/>
        </w:rPr>
      </w:pPr>
      <w:hyperlink w:anchor="_Toc80965822" w:history="1">
        <w:r w:rsidRPr="009754F3">
          <w:rPr>
            <w:rStyle w:val="Hyperlink"/>
            <w:noProof/>
          </w:rPr>
          <w:t>Gambling harm needs assessment</w:t>
        </w:r>
        <w:r>
          <w:rPr>
            <w:noProof/>
            <w:webHidden/>
          </w:rPr>
          <w:tab/>
        </w:r>
        <w:r>
          <w:rPr>
            <w:noProof/>
            <w:webHidden/>
          </w:rPr>
          <w:fldChar w:fldCharType="begin"/>
        </w:r>
        <w:r>
          <w:rPr>
            <w:noProof/>
            <w:webHidden/>
          </w:rPr>
          <w:instrText xml:space="preserve"> PAGEREF _Toc80965822 \h </w:instrText>
        </w:r>
        <w:r>
          <w:rPr>
            <w:noProof/>
            <w:webHidden/>
          </w:rPr>
        </w:r>
        <w:r>
          <w:rPr>
            <w:noProof/>
            <w:webHidden/>
          </w:rPr>
          <w:fldChar w:fldCharType="separate"/>
        </w:r>
        <w:r w:rsidR="00F65B3A">
          <w:rPr>
            <w:noProof/>
            <w:webHidden/>
          </w:rPr>
          <w:t>xii</w:t>
        </w:r>
        <w:r>
          <w:rPr>
            <w:noProof/>
            <w:webHidden/>
          </w:rPr>
          <w:fldChar w:fldCharType="end"/>
        </w:r>
      </w:hyperlink>
    </w:p>
    <w:p w14:paraId="10CDB807" w14:textId="17E1076C" w:rsidR="00D90DAF" w:rsidRDefault="00D90DAF">
      <w:pPr>
        <w:pStyle w:val="TOC2"/>
        <w:rPr>
          <w:rFonts w:asciiTheme="minorHAnsi" w:eastAsiaTheme="minorEastAsia" w:hAnsiTheme="minorHAnsi" w:cstheme="minorBidi"/>
          <w:noProof/>
          <w:sz w:val="22"/>
          <w:szCs w:val="22"/>
          <w:lang w:eastAsia="en-NZ"/>
        </w:rPr>
      </w:pPr>
      <w:hyperlink w:anchor="_Toc80965823" w:history="1">
        <w:r w:rsidRPr="009754F3">
          <w:rPr>
            <w:rStyle w:val="Hyperlink"/>
            <w:noProof/>
          </w:rPr>
          <w:t>Proposed strategic plan</w:t>
        </w:r>
        <w:r>
          <w:rPr>
            <w:noProof/>
            <w:webHidden/>
          </w:rPr>
          <w:tab/>
        </w:r>
        <w:r>
          <w:rPr>
            <w:noProof/>
            <w:webHidden/>
          </w:rPr>
          <w:fldChar w:fldCharType="begin"/>
        </w:r>
        <w:r>
          <w:rPr>
            <w:noProof/>
            <w:webHidden/>
          </w:rPr>
          <w:instrText xml:space="preserve"> PAGEREF _Toc80965823 \h </w:instrText>
        </w:r>
        <w:r>
          <w:rPr>
            <w:noProof/>
            <w:webHidden/>
          </w:rPr>
        </w:r>
        <w:r>
          <w:rPr>
            <w:noProof/>
            <w:webHidden/>
          </w:rPr>
          <w:fldChar w:fldCharType="separate"/>
        </w:r>
        <w:r w:rsidR="00F65B3A">
          <w:rPr>
            <w:noProof/>
            <w:webHidden/>
          </w:rPr>
          <w:t>xii</w:t>
        </w:r>
        <w:r>
          <w:rPr>
            <w:noProof/>
            <w:webHidden/>
          </w:rPr>
          <w:fldChar w:fldCharType="end"/>
        </w:r>
      </w:hyperlink>
    </w:p>
    <w:p w14:paraId="3F199D30" w14:textId="5CE5A46E" w:rsidR="00D90DAF" w:rsidRDefault="00D90DAF">
      <w:pPr>
        <w:pStyle w:val="TOC2"/>
        <w:rPr>
          <w:rFonts w:asciiTheme="minorHAnsi" w:eastAsiaTheme="minorEastAsia" w:hAnsiTheme="minorHAnsi" w:cstheme="minorBidi"/>
          <w:noProof/>
          <w:sz w:val="22"/>
          <w:szCs w:val="22"/>
          <w:lang w:eastAsia="en-NZ"/>
        </w:rPr>
      </w:pPr>
      <w:hyperlink w:anchor="_Toc80965824" w:history="1">
        <w:r w:rsidRPr="009754F3">
          <w:rPr>
            <w:rStyle w:val="Hyperlink"/>
            <w:noProof/>
          </w:rPr>
          <w:t>Draft service plan</w:t>
        </w:r>
        <w:r>
          <w:rPr>
            <w:noProof/>
            <w:webHidden/>
          </w:rPr>
          <w:tab/>
        </w:r>
        <w:r>
          <w:rPr>
            <w:noProof/>
            <w:webHidden/>
          </w:rPr>
          <w:fldChar w:fldCharType="begin"/>
        </w:r>
        <w:r>
          <w:rPr>
            <w:noProof/>
            <w:webHidden/>
          </w:rPr>
          <w:instrText xml:space="preserve"> PAGEREF _Toc80965824 \h </w:instrText>
        </w:r>
        <w:r>
          <w:rPr>
            <w:noProof/>
            <w:webHidden/>
          </w:rPr>
        </w:r>
        <w:r>
          <w:rPr>
            <w:noProof/>
            <w:webHidden/>
          </w:rPr>
          <w:fldChar w:fldCharType="separate"/>
        </w:r>
        <w:r w:rsidR="00F65B3A">
          <w:rPr>
            <w:noProof/>
            <w:webHidden/>
          </w:rPr>
          <w:t>xiii</w:t>
        </w:r>
        <w:r>
          <w:rPr>
            <w:noProof/>
            <w:webHidden/>
          </w:rPr>
          <w:fldChar w:fldCharType="end"/>
        </w:r>
      </w:hyperlink>
    </w:p>
    <w:p w14:paraId="54B02090" w14:textId="26A505B5" w:rsidR="00D90DAF" w:rsidRDefault="00D90DAF">
      <w:pPr>
        <w:pStyle w:val="TOC2"/>
        <w:rPr>
          <w:rFonts w:asciiTheme="minorHAnsi" w:eastAsiaTheme="minorEastAsia" w:hAnsiTheme="minorHAnsi" w:cstheme="minorBidi"/>
          <w:noProof/>
          <w:sz w:val="22"/>
          <w:szCs w:val="22"/>
          <w:lang w:eastAsia="en-NZ"/>
        </w:rPr>
      </w:pPr>
      <w:hyperlink w:anchor="_Toc80965825" w:history="1">
        <w:r w:rsidRPr="009754F3">
          <w:rPr>
            <w:rStyle w:val="Hyperlink"/>
            <w:noProof/>
          </w:rPr>
          <w:t>The problem gambling levy</w:t>
        </w:r>
        <w:r>
          <w:rPr>
            <w:noProof/>
            <w:webHidden/>
          </w:rPr>
          <w:tab/>
        </w:r>
        <w:r>
          <w:rPr>
            <w:noProof/>
            <w:webHidden/>
          </w:rPr>
          <w:fldChar w:fldCharType="begin"/>
        </w:r>
        <w:r>
          <w:rPr>
            <w:noProof/>
            <w:webHidden/>
          </w:rPr>
          <w:instrText xml:space="preserve"> PAGEREF _Toc80965825 \h </w:instrText>
        </w:r>
        <w:r>
          <w:rPr>
            <w:noProof/>
            <w:webHidden/>
          </w:rPr>
        </w:r>
        <w:r>
          <w:rPr>
            <w:noProof/>
            <w:webHidden/>
          </w:rPr>
          <w:fldChar w:fldCharType="separate"/>
        </w:r>
        <w:r w:rsidR="00F65B3A">
          <w:rPr>
            <w:noProof/>
            <w:webHidden/>
          </w:rPr>
          <w:t>xiv</w:t>
        </w:r>
        <w:r>
          <w:rPr>
            <w:noProof/>
            <w:webHidden/>
          </w:rPr>
          <w:fldChar w:fldCharType="end"/>
        </w:r>
      </w:hyperlink>
    </w:p>
    <w:p w14:paraId="03DE2442" w14:textId="49FBB347" w:rsidR="00D90DAF" w:rsidRDefault="00D90DAF">
      <w:pPr>
        <w:pStyle w:val="TOC2"/>
        <w:rPr>
          <w:rFonts w:asciiTheme="minorHAnsi" w:eastAsiaTheme="minorEastAsia" w:hAnsiTheme="minorHAnsi" w:cstheme="minorBidi"/>
          <w:noProof/>
          <w:sz w:val="22"/>
          <w:szCs w:val="22"/>
          <w:lang w:eastAsia="en-NZ"/>
        </w:rPr>
      </w:pPr>
      <w:hyperlink w:anchor="_Toc80965826" w:history="1">
        <w:r w:rsidRPr="009754F3">
          <w:rPr>
            <w:rStyle w:val="Hyperlink"/>
            <w:noProof/>
          </w:rPr>
          <w:t>The consultation process</w:t>
        </w:r>
        <w:r>
          <w:rPr>
            <w:noProof/>
            <w:webHidden/>
          </w:rPr>
          <w:tab/>
        </w:r>
        <w:r>
          <w:rPr>
            <w:noProof/>
            <w:webHidden/>
          </w:rPr>
          <w:fldChar w:fldCharType="begin"/>
        </w:r>
        <w:r>
          <w:rPr>
            <w:noProof/>
            <w:webHidden/>
          </w:rPr>
          <w:instrText xml:space="preserve"> PAGEREF _Toc80965826 \h </w:instrText>
        </w:r>
        <w:r>
          <w:rPr>
            <w:noProof/>
            <w:webHidden/>
          </w:rPr>
        </w:r>
        <w:r>
          <w:rPr>
            <w:noProof/>
            <w:webHidden/>
          </w:rPr>
          <w:fldChar w:fldCharType="separate"/>
        </w:r>
        <w:r w:rsidR="00F65B3A">
          <w:rPr>
            <w:noProof/>
            <w:webHidden/>
          </w:rPr>
          <w:t>xiv</w:t>
        </w:r>
        <w:r>
          <w:rPr>
            <w:noProof/>
            <w:webHidden/>
          </w:rPr>
          <w:fldChar w:fldCharType="end"/>
        </w:r>
      </w:hyperlink>
    </w:p>
    <w:p w14:paraId="7C21B9AF" w14:textId="64FF5829" w:rsidR="00D90DAF" w:rsidRDefault="00D90DAF">
      <w:pPr>
        <w:pStyle w:val="TOC1"/>
        <w:rPr>
          <w:rFonts w:asciiTheme="minorHAnsi" w:eastAsiaTheme="minorEastAsia" w:hAnsiTheme="minorHAnsi" w:cstheme="minorBidi"/>
          <w:noProof/>
          <w:sz w:val="22"/>
          <w:szCs w:val="22"/>
          <w:lang w:eastAsia="en-NZ"/>
        </w:rPr>
      </w:pPr>
      <w:hyperlink w:anchor="_Toc80965827" w:history="1">
        <w:r w:rsidRPr="009754F3">
          <w:rPr>
            <w:rStyle w:val="Hyperlink"/>
            <w:noProof/>
          </w:rPr>
          <w:t>1</w:t>
        </w:r>
        <w:r>
          <w:rPr>
            <w:rFonts w:asciiTheme="minorHAnsi" w:eastAsiaTheme="minorEastAsia" w:hAnsiTheme="minorHAnsi" w:cstheme="minorBidi"/>
            <w:noProof/>
            <w:sz w:val="22"/>
            <w:szCs w:val="22"/>
            <w:lang w:eastAsia="en-NZ"/>
          </w:rPr>
          <w:tab/>
        </w:r>
        <w:r w:rsidRPr="009754F3">
          <w:rPr>
            <w:rStyle w:val="Hyperlink"/>
            <w:noProof/>
          </w:rPr>
          <w:t>Introduction</w:t>
        </w:r>
        <w:r>
          <w:rPr>
            <w:noProof/>
            <w:webHidden/>
          </w:rPr>
          <w:tab/>
        </w:r>
        <w:r>
          <w:rPr>
            <w:noProof/>
            <w:webHidden/>
          </w:rPr>
          <w:fldChar w:fldCharType="begin"/>
        </w:r>
        <w:r>
          <w:rPr>
            <w:noProof/>
            <w:webHidden/>
          </w:rPr>
          <w:instrText xml:space="preserve"> PAGEREF _Toc80965827 \h </w:instrText>
        </w:r>
        <w:r>
          <w:rPr>
            <w:noProof/>
            <w:webHidden/>
          </w:rPr>
        </w:r>
        <w:r>
          <w:rPr>
            <w:noProof/>
            <w:webHidden/>
          </w:rPr>
          <w:fldChar w:fldCharType="separate"/>
        </w:r>
        <w:r w:rsidR="00F65B3A">
          <w:rPr>
            <w:noProof/>
            <w:webHidden/>
          </w:rPr>
          <w:t>1</w:t>
        </w:r>
        <w:r>
          <w:rPr>
            <w:noProof/>
            <w:webHidden/>
          </w:rPr>
          <w:fldChar w:fldCharType="end"/>
        </w:r>
      </w:hyperlink>
    </w:p>
    <w:p w14:paraId="34DD7A3E" w14:textId="3EFD3084" w:rsidR="00D90DAF" w:rsidRDefault="00D90DAF">
      <w:pPr>
        <w:pStyle w:val="TOC2"/>
        <w:rPr>
          <w:rFonts w:asciiTheme="minorHAnsi" w:eastAsiaTheme="minorEastAsia" w:hAnsiTheme="minorHAnsi" w:cstheme="minorBidi"/>
          <w:noProof/>
          <w:sz w:val="22"/>
          <w:szCs w:val="22"/>
          <w:lang w:eastAsia="en-NZ"/>
        </w:rPr>
      </w:pPr>
      <w:hyperlink w:anchor="_Toc80965828" w:history="1">
        <w:r w:rsidRPr="009754F3">
          <w:rPr>
            <w:rStyle w:val="Hyperlink"/>
            <w:noProof/>
          </w:rPr>
          <w:t>Other agencies’ contribution to preventing and minimising gambling harm</w:t>
        </w:r>
        <w:r>
          <w:rPr>
            <w:noProof/>
            <w:webHidden/>
          </w:rPr>
          <w:tab/>
        </w:r>
        <w:r>
          <w:rPr>
            <w:noProof/>
            <w:webHidden/>
          </w:rPr>
          <w:fldChar w:fldCharType="begin"/>
        </w:r>
        <w:r>
          <w:rPr>
            <w:noProof/>
            <w:webHidden/>
          </w:rPr>
          <w:instrText xml:space="preserve"> PAGEREF _Toc80965828 \h </w:instrText>
        </w:r>
        <w:r>
          <w:rPr>
            <w:noProof/>
            <w:webHidden/>
          </w:rPr>
        </w:r>
        <w:r>
          <w:rPr>
            <w:noProof/>
            <w:webHidden/>
          </w:rPr>
          <w:fldChar w:fldCharType="separate"/>
        </w:r>
        <w:r w:rsidR="00F65B3A">
          <w:rPr>
            <w:noProof/>
            <w:webHidden/>
          </w:rPr>
          <w:t>2</w:t>
        </w:r>
        <w:r>
          <w:rPr>
            <w:noProof/>
            <w:webHidden/>
          </w:rPr>
          <w:fldChar w:fldCharType="end"/>
        </w:r>
      </w:hyperlink>
    </w:p>
    <w:p w14:paraId="2FA7662E" w14:textId="7E8B3166" w:rsidR="00D90DAF" w:rsidRDefault="00D90DAF">
      <w:pPr>
        <w:pStyle w:val="TOC2"/>
        <w:rPr>
          <w:rFonts w:asciiTheme="minorHAnsi" w:eastAsiaTheme="minorEastAsia" w:hAnsiTheme="minorHAnsi" w:cstheme="minorBidi"/>
          <w:noProof/>
          <w:sz w:val="22"/>
          <w:szCs w:val="22"/>
          <w:lang w:eastAsia="en-NZ"/>
        </w:rPr>
      </w:pPr>
      <w:hyperlink w:anchor="_Toc80965829" w:history="1">
        <w:r w:rsidRPr="009754F3">
          <w:rPr>
            <w:rStyle w:val="Hyperlink"/>
            <w:noProof/>
          </w:rPr>
          <w:t>The needs assessment for gambling harm, 2021</w:t>
        </w:r>
        <w:r>
          <w:rPr>
            <w:noProof/>
            <w:webHidden/>
          </w:rPr>
          <w:tab/>
        </w:r>
        <w:r>
          <w:rPr>
            <w:noProof/>
            <w:webHidden/>
          </w:rPr>
          <w:fldChar w:fldCharType="begin"/>
        </w:r>
        <w:r>
          <w:rPr>
            <w:noProof/>
            <w:webHidden/>
          </w:rPr>
          <w:instrText xml:space="preserve"> PAGEREF _Toc80965829 \h </w:instrText>
        </w:r>
        <w:r>
          <w:rPr>
            <w:noProof/>
            <w:webHidden/>
          </w:rPr>
        </w:r>
        <w:r>
          <w:rPr>
            <w:noProof/>
            <w:webHidden/>
          </w:rPr>
          <w:fldChar w:fldCharType="separate"/>
        </w:r>
        <w:r w:rsidR="00F65B3A">
          <w:rPr>
            <w:noProof/>
            <w:webHidden/>
          </w:rPr>
          <w:t>3</w:t>
        </w:r>
        <w:r>
          <w:rPr>
            <w:noProof/>
            <w:webHidden/>
          </w:rPr>
          <w:fldChar w:fldCharType="end"/>
        </w:r>
      </w:hyperlink>
    </w:p>
    <w:p w14:paraId="4407BB64" w14:textId="537341B1" w:rsidR="00D90DAF" w:rsidRDefault="00D90DAF">
      <w:pPr>
        <w:pStyle w:val="TOC2"/>
        <w:rPr>
          <w:rFonts w:asciiTheme="minorHAnsi" w:eastAsiaTheme="minorEastAsia" w:hAnsiTheme="minorHAnsi" w:cstheme="minorBidi"/>
          <w:noProof/>
          <w:sz w:val="22"/>
          <w:szCs w:val="22"/>
          <w:lang w:eastAsia="en-NZ"/>
        </w:rPr>
      </w:pPr>
      <w:hyperlink w:anchor="_Toc80965830" w:history="1">
        <w:r w:rsidRPr="009754F3">
          <w:rPr>
            <w:rStyle w:val="Hyperlink"/>
            <w:rFonts w:eastAsiaTheme="majorEastAsia"/>
            <w:noProof/>
          </w:rPr>
          <w:t>Evidence informing the draft strategy</w:t>
        </w:r>
        <w:r>
          <w:rPr>
            <w:noProof/>
            <w:webHidden/>
          </w:rPr>
          <w:tab/>
        </w:r>
        <w:r>
          <w:rPr>
            <w:noProof/>
            <w:webHidden/>
          </w:rPr>
          <w:fldChar w:fldCharType="begin"/>
        </w:r>
        <w:r>
          <w:rPr>
            <w:noProof/>
            <w:webHidden/>
          </w:rPr>
          <w:instrText xml:space="preserve"> PAGEREF _Toc80965830 \h </w:instrText>
        </w:r>
        <w:r>
          <w:rPr>
            <w:noProof/>
            <w:webHidden/>
          </w:rPr>
        </w:r>
        <w:r>
          <w:rPr>
            <w:noProof/>
            <w:webHidden/>
          </w:rPr>
          <w:fldChar w:fldCharType="separate"/>
        </w:r>
        <w:r w:rsidR="00F65B3A">
          <w:rPr>
            <w:noProof/>
            <w:webHidden/>
          </w:rPr>
          <w:t>4</w:t>
        </w:r>
        <w:r>
          <w:rPr>
            <w:noProof/>
            <w:webHidden/>
          </w:rPr>
          <w:fldChar w:fldCharType="end"/>
        </w:r>
      </w:hyperlink>
    </w:p>
    <w:p w14:paraId="77ACCC82" w14:textId="6ACACEE1" w:rsidR="00D90DAF" w:rsidRDefault="00D90DAF">
      <w:pPr>
        <w:pStyle w:val="TOC2"/>
        <w:rPr>
          <w:rFonts w:asciiTheme="minorHAnsi" w:eastAsiaTheme="minorEastAsia" w:hAnsiTheme="minorHAnsi" w:cstheme="minorBidi"/>
          <w:noProof/>
          <w:sz w:val="22"/>
          <w:szCs w:val="22"/>
          <w:lang w:eastAsia="en-NZ"/>
        </w:rPr>
      </w:pPr>
      <w:hyperlink w:anchor="_Toc80965831" w:history="1">
        <w:r w:rsidRPr="009754F3">
          <w:rPr>
            <w:rStyle w:val="Hyperlink"/>
            <w:rFonts w:eastAsiaTheme="majorEastAsia"/>
            <w:noProof/>
          </w:rPr>
          <w:t>Structure of this document</w:t>
        </w:r>
        <w:r>
          <w:rPr>
            <w:noProof/>
            <w:webHidden/>
          </w:rPr>
          <w:tab/>
        </w:r>
        <w:r>
          <w:rPr>
            <w:noProof/>
            <w:webHidden/>
          </w:rPr>
          <w:fldChar w:fldCharType="begin"/>
        </w:r>
        <w:r>
          <w:rPr>
            <w:noProof/>
            <w:webHidden/>
          </w:rPr>
          <w:instrText xml:space="preserve"> PAGEREF _Toc80965831 \h </w:instrText>
        </w:r>
        <w:r>
          <w:rPr>
            <w:noProof/>
            <w:webHidden/>
          </w:rPr>
        </w:r>
        <w:r>
          <w:rPr>
            <w:noProof/>
            <w:webHidden/>
          </w:rPr>
          <w:fldChar w:fldCharType="separate"/>
        </w:r>
        <w:r w:rsidR="00F65B3A">
          <w:rPr>
            <w:noProof/>
            <w:webHidden/>
          </w:rPr>
          <w:t>5</w:t>
        </w:r>
        <w:r>
          <w:rPr>
            <w:noProof/>
            <w:webHidden/>
          </w:rPr>
          <w:fldChar w:fldCharType="end"/>
        </w:r>
      </w:hyperlink>
    </w:p>
    <w:p w14:paraId="3B2E879F" w14:textId="2D18A595" w:rsidR="00D90DAF" w:rsidRDefault="00D90DAF">
      <w:pPr>
        <w:pStyle w:val="TOC1"/>
        <w:rPr>
          <w:rFonts w:asciiTheme="minorHAnsi" w:eastAsiaTheme="minorEastAsia" w:hAnsiTheme="minorHAnsi" w:cstheme="minorBidi"/>
          <w:noProof/>
          <w:sz w:val="22"/>
          <w:szCs w:val="22"/>
          <w:lang w:eastAsia="en-NZ"/>
        </w:rPr>
      </w:pPr>
      <w:hyperlink w:anchor="_Toc80965832" w:history="1">
        <w:r w:rsidRPr="009754F3">
          <w:rPr>
            <w:rStyle w:val="Hyperlink"/>
            <w:noProof/>
          </w:rPr>
          <w:t>2</w:t>
        </w:r>
        <w:r>
          <w:rPr>
            <w:rFonts w:asciiTheme="minorHAnsi" w:eastAsiaTheme="minorEastAsia" w:hAnsiTheme="minorHAnsi" w:cstheme="minorBidi"/>
            <w:noProof/>
            <w:sz w:val="22"/>
            <w:szCs w:val="22"/>
            <w:lang w:eastAsia="en-NZ"/>
          </w:rPr>
          <w:tab/>
        </w:r>
        <w:r w:rsidRPr="009754F3">
          <w:rPr>
            <w:rStyle w:val="Hyperlink"/>
            <w:noProof/>
          </w:rPr>
          <w:t>The strategic plan</w:t>
        </w:r>
        <w:r>
          <w:rPr>
            <w:noProof/>
            <w:webHidden/>
          </w:rPr>
          <w:tab/>
        </w:r>
        <w:r>
          <w:rPr>
            <w:noProof/>
            <w:webHidden/>
          </w:rPr>
          <w:fldChar w:fldCharType="begin"/>
        </w:r>
        <w:r>
          <w:rPr>
            <w:noProof/>
            <w:webHidden/>
          </w:rPr>
          <w:instrText xml:space="preserve"> PAGEREF _Toc80965832 \h </w:instrText>
        </w:r>
        <w:r>
          <w:rPr>
            <w:noProof/>
            <w:webHidden/>
          </w:rPr>
        </w:r>
        <w:r>
          <w:rPr>
            <w:noProof/>
            <w:webHidden/>
          </w:rPr>
          <w:fldChar w:fldCharType="separate"/>
        </w:r>
        <w:r w:rsidR="00F65B3A">
          <w:rPr>
            <w:noProof/>
            <w:webHidden/>
          </w:rPr>
          <w:t>6</w:t>
        </w:r>
        <w:r>
          <w:rPr>
            <w:noProof/>
            <w:webHidden/>
          </w:rPr>
          <w:fldChar w:fldCharType="end"/>
        </w:r>
      </w:hyperlink>
    </w:p>
    <w:p w14:paraId="0315A3ED" w14:textId="613736C7" w:rsidR="00D90DAF" w:rsidRDefault="00D90DAF">
      <w:pPr>
        <w:pStyle w:val="TOC2"/>
        <w:rPr>
          <w:rFonts w:asciiTheme="minorHAnsi" w:eastAsiaTheme="minorEastAsia" w:hAnsiTheme="minorHAnsi" w:cstheme="minorBidi"/>
          <w:noProof/>
          <w:sz w:val="22"/>
          <w:szCs w:val="22"/>
          <w:lang w:eastAsia="en-NZ"/>
        </w:rPr>
      </w:pPr>
      <w:hyperlink w:anchor="_Toc80965833" w:history="1">
        <w:r w:rsidRPr="009754F3">
          <w:rPr>
            <w:rStyle w:val="Hyperlink"/>
            <w:noProof/>
          </w:rPr>
          <w:t>Introduction</w:t>
        </w:r>
        <w:r>
          <w:rPr>
            <w:noProof/>
            <w:webHidden/>
          </w:rPr>
          <w:tab/>
        </w:r>
        <w:r>
          <w:rPr>
            <w:noProof/>
            <w:webHidden/>
          </w:rPr>
          <w:fldChar w:fldCharType="begin"/>
        </w:r>
        <w:r>
          <w:rPr>
            <w:noProof/>
            <w:webHidden/>
          </w:rPr>
          <w:instrText xml:space="preserve"> PAGEREF _Toc80965833 \h </w:instrText>
        </w:r>
        <w:r>
          <w:rPr>
            <w:noProof/>
            <w:webHidden/>
          </w:rPr>
        </w:r>
        <w:r>
          <w:rPr>
            <w:noProof/>
            <w:webHidden/>
          </w:rPr>
          <w:fldChar w:fldCharType="separate"/>
        </w:r>
        <w:r w:rsidR="00F65B3A">
          <w:rPr>
            <w:noProof/>
            <w:webHidden/>
          </w:rPr>
          <w:t>6</w:t>
        </w:r>
        <w:r>
          <w:rPr>
            <w:noProof/>
            <w:webHidden/>
          </w:rPr>
          <w:fldChar w:fldCharType="end"/>
        </w:r>
      </w:hyperlink>
    </w:p>
    <w:p w14:paraId="703E614F" w14:textId="35388389" w:rsidR="00D90DAF" w:rsidRDefault="00D90DAF">
      <w:pPr>
        <w:pStyle w:val="TOC2"/>
        <w:rPr>
          <w:rFonts w:asciiTheme="minorHAnsi" w:eastAsiaTheme="minorEastAsia" w:hAnsiTheme="minorHAnsi" w:cstheme="minorBidi"/>
          <w:noProof/>
          <w:sz w:val="22"/>
          <w:szCs w:val="22"/>
          <w:lang w:eastAsia="en-NZ"/>
        </w:rPr>
      </w:pPr>
      <w:hyperlink w:anchor="_Toc80965834" w:history="1">
        <w:r w:rsidRPr="009754F3">
          <w:rPr>
            <w:rStyle w:val="Hyperlink"/>
            <w:noProof/>
          </w:rPr>
          <w:t>Focusing on public health</w:t>
        </w:r>
        <w:r>
          <w:rPr>
            <w:noProof/>
            <w:webHidden/>
          </w:rPr>
          <w:tab/>
        </w:r>
        <w:r>
          <w:rPr>
            <w:noProof/>
            <w:webHidden/>
          </w:rPr>
          <w:fldChar w:fldCharType="begin"/>
        </w:r>
        <w:r>
          <w:rPr>
            <w:noProof/>
            <w:webHidden/>
          </w:rPr>
          <w:instrText xml:space="preserve"> PAGEREF _Toc80965834 \h </w:instrText>
        </w:r>
        <w:r>
          <w:rPr>
            <w:noProof/>
            <w:webHidden/>
          </w:rPr>
        </w:r>
        <w:r>
          <w:rPr>
            <w:noProof/>
            <w:webHidden/>
          </w:rPr>
          <w:fldChar w:fldCharType="separate"/>
        </w:r>
        <w:r w:rsidR="00F65B3A">
          <w:rPr>
            <w:noProof/>
            <w:webHidden/>
          </w:rPr>
          <w:t>6</w:t>
        </w:r>
        <w:r>
          <w:rPr>
            <w:noProof/>
            <w:webHidden/>
          </w:rPr>
          <w:fldChar w:fldCharType="end"/>
        </w:r>
      </w:hyperlink>
    </w:p>
    <w:p w14:paraId="242805F8" w14:textId="29CBC9D4" w:rsidR="00D90DAF" w:rsidRDefault="00D90DAF">
      <w:pPr>
        <w:pStyle w:val="TOC2"/>
        <w:rPr>
          <w:rFonts w:asciiTheme="minorHAnsi" w:eastAsiaTheme="minorEastAsia" w:hAnsiTheme="minorHAnsi" w:cstheme="minorBidi"/>
          <w:noProof/>
          <w:sz w:val="22"/>
          <w:szCs w:val="22"/>
          <w:lang w:eastAsia="en-NZ"/>
        </w:rPr>
      </w:pPr>
      <w:hyperlink w:anchor="_Toc80965835" w:history="1">
        <w:r w:rsidRPr="009754F3">
          <w:rPr>
            <w:rStyle w:val="Hyperlink"/>
            <w:noProof/>
          </w:rPr>
          <w:t>Positioning gambling harm as an equity issue</w:t>
        </w:r>
        <w:r>
          <w:rPr>
            <w:noProof/>
            <w:webHidden/>
          </w:rPr>
          <w:tab/>
        </w:r>
        <w:r>
          <w:rPr>
            <w:noProof/>
            <w:webHidden/>
          </w:rPr>
          <w:fldChar w:fldCharType="begin"/>
        </w:r>
        <w:r>
          <w:rPr>
            <w:noProof/>
            <w:webHidden/>
          </w:rPr>
          <w:instrText xml:space="preserve"> PAGEREF _Toc80965835 \h </w:instrText>
        </w:r>
        <w:r>
          <w:rPr>
            <w:noProof/>
            <w:webHidden/>
          </w:rPr>
        </w:r>
        <w:r>
          <w:rPr>
            <w:noProof/>
            <w:webHidden/>
          </w:rPr>
          <w:fldChar w:fldCharType="separate"/>
        </w:r>
        <w:r w:rsidR="00F65B3A">
          <w:rPr>
            <w:noProof/>
            <w:webHidden/>
          </w:rPr>
          <w:t>7</w:t>
        </w:r>
        <w:r>
          <w:rPr>
            <w:noProof/>
            <w:webHidden/>
          </w:rPr>
          <w:fldChar w:fldCharType="end"/>
        </w:r>
      </w:hyperlink>
    </w:p>
    <w:p w14:paraId="2E79C5A6" w14:textId="52B33775" w:rsidR="00D90DAF" w:rsidRDefault="00D90DAF">
      <w:pPr>
        <w:pStyle w:val="TOC2"/>
        <w:rPr>
          <w:rFonts w:asciiTheme="minorHAnsi" w:eastAsiaTheme="minorEastAsia" w:hAnsiTheme="minorHAnsi" w:cstheme="minorBidi"/>
          <w:noProof/>
          <w:sz w:val="22"/>
          <w:szCs w:val="22"/>
          <w:lang w:eastAsia="en-NZ"/>
        </w:rPr>
      </w:pPr>
      <w:hyperlink w:anchor="_Toc80965836" w:history="1">
        <w:r w:rsidRPr="009754F3">
          <w:rPr>
            <w:rStyle w:val="Hyperlink"/>
            <w:noProof/>
          </w:rPr>
          <w:t>An updated strategic framework</w:t>
        </w:r>
        <w:r>
          <w:rPr>
            <w:noProof/>
            <w:webHidden/>
          </w:rPr>
          <w:tab/>
        </w:r>
        <w:r>
          <w:rPr>
            <w:noProof/>
            <w:webHidden/>
          </w:rPr>
          <w:fldChar w:fldCharType="begin"/>
        </w:r>
        <w:r>
          <w:rPr>
            <w:noProof/>
            <w:webHidden/>
          </w:rPr>
          <w:instrText xml:space="preserve"> PAGEREF _Toc80965836 \h </w:instrText>
        </w:r>
        <w:r>
          <w:rPr>
            <w:noProof/>
            <w:webHidden/>
          </w:rPr>
        </w:r>
        <w:r>
          <w:rPr>
            <w:noProof/>
            <w:webHidden/>
          </w:rPr>
          <w:fldChar w:fldCharType="separate"/>
        </w:r>
        <w:r w:rsidR="00F65B3A">
          <w:rPr>
            <w:noProof/>
            <w:webHidden/>
          </w:rPr>
          <w:t>8</w:t>
        </w:r>
        <w:r>
          <w:rPr>
            <w:noProof/>
            <w:webHidden/>
          </w:rPr>
          <w:fldChar w:fldCharType="end"/>
        </w:r>
      </w:hyperlink>
    </w:p>
    <w:p w14:paraId="10A040E2" w14:textId="4087B90D" w:rsidR="00D90DAF" w:rsidRDefault="00D90DAF">
      <w:pPr>
        <w:pStyle w:val="TOC2"/>
        <w:rPr>
          <w:rFonts w:asciiTheme="minorHAnsi" w:eastAsiaTheme="minorEastAsia" w:hAnsiTheme="minorHAnsi" w:cstheme="minorBidi"/>
          <w:noProof/>
          <w:sz w:val="22"/>
          <w:szCs w:val="22"/>
          <w:lang w:eastAsia="en-NZ"/>
        </w:rPr>
      </w:pPr>
      <w:hyperlink w:anchor="_Toc80965837" w:history="1">
        <w:r w:rsidRPr="009754F3">
          <w:rPr>
            <w:rStyle w:val="Hyperlink"/>
            <w:noProof/>
          </w:rPr>
          <w:t>Relationship to existing approaches to Te Tiriti o Waitangi in the health and disability system</w:t>
        </w:r>
        <w:r>
          <w:rPr>
            <w:noProof/>
            <w:webHidden/>
          </w:rPr>
          <w:tab/>
        </w:r>
        <w:r>
          <w:rPr>
            <w:noProof/>
            <w:webHidden/>
          </w:rPr>
          <w:fldChar w:fldCharType="begin"/>
        </w:r>
        <w:r>
          <w:rPr>
            <w:noProof/>
            <w:webHidden/>
          </w:rPr>
          <w:instrText xml:space="preserve"> PAGEREF _Toc80965837 \h </w:instrText>
        </w:r>
        <w:r>
          <w:rPr>
            <w:noProof/>
            <w:webHidden/>
          </w:rPr>
        </w:r>
        <w:r>
          <w:rPr>
            <w:noProof/>
            <w:webHidden/>
          </w:rPr>
          <w:fldChar w:fldCharType="separate"/>
        </w:r>
        <w:r w:rsidR="00F65B3A">
          <w:rPr>
            <w:noProof/>
            <w:webHidden/>
          </w:rPr>
          <w:t>10</w:t>
        </w:r>
        <w:r>
          <w:rPr>
            <w:noProof/>
            <w:webHidden/>
          </w:rPr>
          <w:fldChar w:fldCharType="end"/>
        </w:r>
      </w:hyperlink>
    </w:p>
    <w:p w14:paraId="6EE5CDD4" w14:textId="091D69E6" w:rsidR="00D90DAF" w:rsidRDefault="00D90DAF">
      <w:pPr>
        <w:pStyle w:val="TOC2"/>
        <w:rPr>
          <w:rFonts w:asciiTheme="minorHAnsi" w:eastAsiaTheme="minorEastAsia" w:hAnsiTheme="minorHAnsi" w:cstheme="minorBidi"/>
          <w:noProof/>
          <w:sz w:val="22"/>
          <w:szCs w:val="22"/>
          <w:lang w:eastAsia="en-NZ"/>
        </w:rPr>
      </w:pPr>
      <w:hyperlink w:anchor="_Toc80965838" w:history="1">
        <w:r w:rsidRPr="009754F3">
          <w:rPr>
            <w:rStyle w:val="Hyperlink"/>
            <w:noProof/>
          </w:rPr>
          <w:t>Population outcome</w:t>
        </w:r>
        <w:r>
          <w:rPr>
            <w:noProof/>
            <w:webHidden/>
          </w:rPr>
          <w:tab/>
        </w:r>
        <w:r>
          <w:rPr>
            <w:noProof/>
            <w:webHidden/>
          </w:rPr>
          <w:fldChar w:fldCharType="begin"/>
        </w:r>
        <w:r>
          <w:rPr>
            <w:noProof/>
            <w:webHidden/>
          </w:rPr>
          <w:instrText xml:space="preserve"> PAGEREF _Toc80965838 \h </w:instrText>
        </w:r>
        <w:r>
          <w:rPr>
            <w:noProof/>
            <w:webHidden/>
          </w:rPr>
        </w:r>
        <w:r>
          <w:rPr>
            <w:noProof/>
            <w:webHidden/>
          </w:rPr>
          <w:fldChar w:fldCharType="separate"/>
        </w:r>
        <w:r w:rsidR="00F65B3A">
          <w:rPr>
            <w:noProof/>
            <w:webHidden/>
          </w:rPr>
          <w:t>11</w:t>
        </w:r>
        <w:r>
          <w:rPr>
            <w:noProof/>
            <w:webHidden/>
          </w:rPr>
          <w:fldChar w:fldCharType="end"/>
        </w:r>
      </w:hyperlink>
    </w:p>
    <w:p w14:paraId="011632E8" w14:textId="32098AC0" w:rsidR="00D90DAF" w:rsidRDefault="00D90DAF">
      <w:pPr>
        <w:pStyle w:val="TOC2"/>
        <w:rPr>
          <w:rFonts w:asciiTheme="minorHAnsi" w:eastAsiaTheme="minorEastAsia" w:hAnsiTheme="minorHAnsi" w:cstheme="minorBidi"/>
          <w:noProof/>
          <w:sz w:val="22"/>
          <w:szCs w:val="22"/>
          <w:lang w:eastAsia="en-NZ"/>
        </w:rPr>
      </w:pPr>
      <w:hyperlink w:anchor="_Toc80965839" w:history="1">
        <w:r w:rsidRPr="009754F3">
          <w:rPr>
            <w:rStyle w:val="Hyperlink"/>
            <w:noProof/>
          </w:rPr>
          <w:t>Strategic goal</w:t>
        </w:r>
        <w:r>
          <w:rPr>
            <w:noProof/>
            <w:webHidden/>
          </w:rPr>
          <w:tab/>
        </w:r>
        <w:r>
          <w:rPr>
            <w:noProof/>
            <w:webHidden/>
          </w:rPr>
          <w:fldChar w:fldCharType="begin"/>
        </w:r>
        <w:r>
          <w:rPr>
            <w:noProof/>
            <w:webHidden/>
          </w:rPr>
          <w:instrText xml:space="preserve"> PAGEREF _Toc80965839 \h </w:instrText>
        </w:r>
        <w:r>
          <w:rPr>
            <w:noProof/>
            <w:webHidden/>
          </w:rPr>
        </w:r>
        <w:r>
          <w:rPr>
            <w:noProof/>
            <w:webHidden/>
          </w:rPr>
          <w:fldChar w:fldCharType="separate"/>
        </w:r>
        <w:r w:rsidR="00F65B3A">
          <w:rPr>
            <w:noProof/>
            <w:webHidden/>
          </w:rPr>
          <w:t>13</w:t>
        </w:r>
        <w:r>
          <w:rPr>
            <w:noProof/>
            <w:webHidden/>
          </w:rPr>
          <w:fldChar w:fldCharType="end"/>
        </w:r>
      </w:hyperlink>
    </w:p>
    <w:p w14:paraId="4BABAF8B" w14:textId="7038DB2A" w:rsidR="00D90DAF" w:rsidRDefault="00D90DAF">
      <w:pPr>
        <w:pStyle w:val="TOC2"/>
        <w:rPr>
          <w:rFonts w:asciiTheme="minorHAnsi" w:eastAsiaTheme="minorEastAsia" w:hAnsiTheme="minorHAnsi" w:cstheme="minorBidi"/>
          <w:noProof/>
          <w:sz w:val="22"/>
          <w:szCs w:val="22"/>
          <w:lang w:eastAsia="en-NZ"/>
        </w:rPr>
      </w:pPr>
      <w:hyperlink w:anchor="_Toc80965840" w:history="1">
        <w:r w:rsidRPr="009754F3">
          <w:rPr>
            <w:rStyle w:val="Hyperlink"/>
            <w:noProof/>
          </w:rPr>
          <w:t>Principles</w:t>
        </w:r>
        <w:r>
          <w:rPr>
            <w:noProof/>
            <w:webHidden/>
          </w:rPr>
          <w:tab/>
        </w:r>
        <w:r>
          <w:rPr>
            <w:noProof/>
            <w:webHidden/>
          </w:rPr>
          <w:fldChar w:fldCharType="begin"/>
        </w:r>
        <w:r>
          <w:rPr>
            <w:noProof/>
            <w:webHidden/>
          </w:rPr>
          <w:instrText xml:space="preserve"> PAGEREF _Toc80965840 \h </w:instrText>
        </w:r>
        <w:r>
          <w:rPr>
            <w:noProof/>
            <w:webHidden/>
          </w:rPr>
        </w:r>
        <w:r>
          <w:rPr>
            <w:noProof/>
            <w:webHidden/>
          </w:rPr>
          <w:fldChar w:fldCharType="separate"/>
        </w:r>
        <w:r w:rsidR="00F65B3A">
          <w:rPr>
            <w:noProof/>
            <w:webHidden/>
          </w:rPr>
          <w:t>13</w:t>
        </w:r>
        <w:r>
          <w:rPr>
            <w:noProof/>
            <w:webHidden/>
          </w:rPr>
          <w:fldChar w:fldCharType="end"/>
        </w:r>
      </w:hyperlink>
    </w:p>
    <w:p w14:paraId="147A495B" w14:textId="479BC960" w:rsidR="00D90DAF" w:rsidRDefault="00D90DAF">
      <w:pPr>
        <w:pStyle w:val="TOC2"/>
        <w:rPr>
          <w:rFonts w:asciiTheme="minorHAnsi" w:eastAsiaTheme="minorEastAsia" w:hAnsiTheme="minorHAnsi" w:cstheme="minorBidi"/>
          <w:noProof/>
          <w:sz w:val="22"/>
          <w:szCs w:val="22"/>
          <w:lang w:eastAsia="en-NZ"/>
        </w:rPr>
      </w:pPr>
      <w:hyperlink w:anchor="_Toc80965841" w:history="1">
        <w:r w:rsidRPr="009754F3">
          <w:rPr>
            <w:rStyle w:val="Hyperlink"/>
            <w:noProof/>
          </w:rPr>
          <w:t>Outcomes</w:t>
        </w:r>
        <w:r>
          <w:rPr>
            <w:noProof/>
            <w:webHidden/>
          </w:rPr>
          <w:tab/>
        </w:r>
        <w:r>
          <w:rPr>
            <w:noProof/>
            <w:webHidden/>
          </w:rPr>
          <w:fldChar w:fldCharType="begin"/>
        </w:r>
        <w:r>
          <w:rPr>
            <w:noProof/>
            <w:webHidden/>
          </w:rPr>
          <w:instrText xml:space="preserve"> PAGEREF _Toc80965841 \h </w:instrText>
        </w:r>
        <w:r>
          <w:rPr>
            <w:noProof/>
            <w:webHidden/>
          </w:rPr>
        </w:r>
        <w:r>
          <w:rPr>
            <w:noProof/>
            <w:webHidden/>
          </w:rPr>
          <w:fldChar w:fldCharType="separate"/>
        </w:r>
        <w:r w:rsidR="00F65B3A">
          <w:rPr>
            <w:noProof/>
            <w:webHidden/>
          </w:rPr>
          <w:t>14</w:t>
        </w:r>
        <w:r>
          <w:rPr>
            <w:noProof/>
            <w:webHidden/>
          </w:rPr>
          <w:fldChar w:fldCharType="end"/>
        </w:r>
      </w:hyperlink>
    </w:p>
    <w:p w14:paraId="325CEF8B" w14:textId="331AF61C" w:rsidR="00D90DAF" w:rsidRDefault="00D90DAF">
      <w:pPr>
        <w:pStyle w:val="TOC2"/>
        <w:rPr>
          <w:rFonts w:asciiTheme="minorHAnsi" w:eastAsiaTheme="minorEastAsia" w:hAnsiTheme="minorHAnsi" w:cstheme="minorBidi"/>
          <w:noProof/>
          <w:sz w:val="22"/>
          <w:szCs w:val="22"/>
          <w:lang w:eastAsia="en-NZ"/>
        </w:rPr>
      </w:pPr>
      <w:hyperlink w:anchor="_Toc80965842" w:history="1">
        <w:r w:rsidRPr="009754F3">
          <w:rPr>
            <w:rStyle w:val="Hyperlink"/>
            <w:noProof/>
          </w:rPr>
          <w:t>Objectives</w:t>
        </w:r>
        <w:r>
          <w:rPr>
            <w:noProof/>
            <w:webHidden/>
          </w:rPr>
          <w:tab/>
        </w:r>
        <w:r>
          <w:rPr>
            <w:noProof/>
            <w:webHidden/>
          </w:rPr>
          <w:fldChar w:fldCharType="begin"/>
        </w:r>
        <w:r>
          <w:rPr>
            <w:noProof/>
            <w:webHidden/>
          </w:rPr>
          <w:instrText xml:space="preserve"> PAGEREF _Toc80965842 \h </w:instrText>
        </w:r>
        <w:r>
          <w:rPr>
            <w:noProof/>
            <w:webHidden/>
          </w:rPr>
        </w:r>
        <w:r>
          <w:rPr>
            <w:noProof/>
            <w:webHidden/>
          </w:rPr>
          <w:fldChar w:fldCharType="separate"/>
        </w:r>
        <w:r w:rsidR="00F65B3A">
          <w:rPr>
            <w:noProof/>
            <w:webHidden/>
          </w:rPr>
          <w:t>14</w:t>
        </w:r>
        <w:r>
          <w:rPr>
            <w:noProof/>
            <w:webHidden/>
          </w:rPr>
          <w:fldChar w:fldCharType="end"/>
        </w:r>
      </w:hyperlink>
    </w:p>
    <w:p w14:paraId="325E65EA" w14:textId="08A7B416" w:rsidR="00D90DAF" w:rsidRDefault="00D90DAF">
      <w:pPr>
        <w:pStyle w:val="TOC2"/>
        <w:rPr>
          <w:rFonts w:asciiTheme="minorHAnsi" w:eastAsiaTheme="minorEastAsia" w:hAnsiTheme="minorHAnsi" w:cstheme="minorBidi"/>
          <w:noProof/>
          <w:sz w:val="22"/>
          <w:szCs w:val="22"/>
          <w:lang w:eastAsia="en-NZ"/>
        </w:rPr>
      </w:pPr>
      <w:hyperlink w:anchor="_Toc80965843" w:history="1">
        <w:r w:rsidRPr="009754F3">
          <w:rPr>
            <w:rStyle w:val="Hyperlink"/>
            <w:noProof/>
          </w:rPr>
          <w:t>Priority action areas</w:t>
        </w:r>
        <w:r>
          <w:rPr>
            <w:noProof/>
            <w:webHidden/>
          </w:rPr>
          <w:tab/>
        </w:r>
        <w:r>
          <w:rPr>
            <w:noProof/>
            <w:webHidden/>
          </w:rPr>
          <w:fldChar w:fldCharType="begin"/>
        </w:r>
        <w:r>
          <w:rPr>
            <w:noProof/>
            <w:webHidden/>
          </w:rPr>
          <w:instrText xml:space="preserve"> PAGEREF _Toc80965843 \h </w:instrText>
        </w:r>
        <w:r>
          <w:rPr>
            <w:noProof/>
            <w:webHidden/>
          </w:rPr>
        </w:r>
        <w:r>
          <w:rPr>
            <w:noProof/>
            <w:webHidden/>
          </w:rPr>
          <w:fldChar w:fldCharType="separate"/>
        </w:r>
        <w:r w:rsidR="00F65B3A">
          <w:rPr>
            <w:noProof/>
            <w:webHidden/>
          </w:rPr>
          <w:t>16</w:t>
        </w:r>
        <w:r>
          <w:rPr>
            <w:noProof/>
            <w:webHidden/>
          </w:rPr>
          <w:fldChar w:fldCharType="end"/>
        </w:r>
      </w:hyperlink>
    </w:p>
    <w:p w14:paraId="6A78813F" w14:textId="37A660C6" w:rsidR="00D90DAF" w:rsidRDefault="00D90DAF">
      <w:pPr>
        <w:pStyle w:val="TOC2"/>
        <w:rPr>
          <w:rFonts w:asciiTheme="minorHAnsi" w:eastAsiaTheme="minorEastAsia" w:hAnsiTheme="minorHAnsi" w:cstheme="minorBidi"/>
          <w:noProof/>
          <w:sz w:val="22"/>
          <w:szCs w:val="22"/>
          <w:lang w:eastAsia="en-NZ"/>
        </w:rPr>
      </w:pPr>
      <w:hyperlink w:anchor="_Toc80965844" w:history="1">
        <w:r w:rsidRPr="009754F3">
          <w:rPr>
            <w:rStyle w:val="Hyperlink"/>
            <w:noProof/>
          </w:rPr>
          <w:t>Key continuities</w:t>
        </w:r>
        <w:r>
          <w:rPr>
            <w:noProof/>
            <w:webHidden/>
          </w:rPr>
          <w:tab/>
        </w:r>
        <w:r>
          <w:rPr>
            <w:noProof/>
            <w:webHidden/>
          </w:rPr>
          <w:fldChar w:fldCharType="begin"/>
        </w:r>
        <w:r>
          <w:rPr>
            <w:noProof/>
            <w:webHidden/>
          </w:rPr>
          <w:instrText xml:space="preserve"> PAGEREF _Toc80965844 \h </w:instrText>
        </w:r>
        <w:r>
          <w:rPr>
            <w:noProof/>
            <w:webHidden/>
          </w:rPr>
        </w:r>
        <w:r>
          <w:rPr>
            <w:noProof/>
            <w:webHidden/>
          </w:rPr>
          <w:fldChar w:fldCharType="separate"/>
        </w:r>
        <w:r w:rsidR="00F65B3A">
          <w:rPr>
            <w:noProof/>
            <w:webHidden/>
          </w:rPr>
          <w:t>19</w:t>
        </w:r>
        <w:r>
          <w:rPr>
            <w:noProof/>
            <w:webHidden/>
          </w:rPr>
          <w:fldChar w:fldCharType="end"/>
        </w:r>
      </w:hyperlink>
    </w:p>
    <w:p w14:paraId="2C03336B" w14:textId="705D626A" w:rsidR="00D90DAF" w:rsidRDefault="00D90DAF">
      <w:pPr>
        <w:pStyle w:val="TOC2"/>
        <w:rPr>
          <w:rFonts w:asciiTheme="minorHAnsi" w:eastAsiaTheme="minorEastAsia" w:hAnsiTheme="minorHAnsi" w:cstheme="minorBidi"/>
          <w:noProof/>
          <w:sz w:val="22"/>
          <w:szCs w:val="22"/>
          <w:lang w:eastAsia="en-NZ"/>
        </w:rPr>
      </w:pPr>
      <w:hyperlink w:anchor="_Toc80965845" w:history="1">
        <w:r w:rsidRPr="009754F3">
          <w:rPr>
            <w:rStyle w:val="Hyperlink"/>
            <w:noProof/>
          </w:rPr>
          <w:t>Priority populations</w:t>
        </w:r>
        <w:r>
          <w:rPr>
            <w:noProof/>
            <w:webHidden/>
          </w:rPr>
          <w:tab/>
        </w:r>
        <w:r>
          <w:rPr>
            <w:noProof/>
            <w:webHidden/>
          </w:rPr>
          <w:fldChar w:fldCharType="begin"/>
        </w:r>
        <w:r>
          <w:rPr>
            <w:noProof/>
            <w:webHidden/>
          </w:rPr>
          <w:instrText xml:space="preserve"> PAGEREF _Toc80965845 \h </w:instrText>
        </w:r>
        <w:r>
          <w:rPr>
            <w:noProof/>
            <w:webHidden/>
          </w:rPr>
        </w:r>
        <w:r>
          <w:rPr>
            <w:noProof/>
            <w:webHidden/>
          </w:rPr>
          <w:fldChar w:fldCharType="separate"/>
        </w:r>
        <w:r w:rsidR="00F65B3A">
          <w:rPr>
            <w:noProof/>
            <w:webHidden/>
          </w:rPr>
          <w:t>19</w:t>
        </w:r>
        <w:r>
          <w:rPr>
            <w:noProof/>
            <w:webHidden/>
          </w:rPr>
          <w:fldChar w:fldCharType="end"/>
        </w:r>
      </w:hyperlink>
    </w:p>
    <w:p w14:paraId="11D84812" w14:textId="07C139BA" w:rsidR="00D90DAF" w:rsidRDefault="00D90DAF">
      <w:pPr>
        <w:pStyle w:val="TOC2"/>
        <w:rPr>
          <w:rFonts w:asciiTheme="minorHAnsi" w:eastAsiaTheme="minorEastAsia" w:hAnsiTheme="minorHAnsi" w:cstheme="minorBidi"/>
          <w:noProof/>
          <w:sz w:val="22"/>
          <w:szCs w:val="22"/>
          <w:lang w:eastAsia="en-NZ"/>
        </w:rPr>
      </w:pPr>
      <w:hyperlink w:anchor="_Toc80965846" w:history="1">
        <w:r w:rsidRPr="009754F3">
          <w:rPr>
            <w:rStyle w:val="Hyperlink"/>
            <w:noProof/>
          </w:rPr>
          <w:t>What needs to change</w:t>
        </w:r>
        <w:r>
          <w:rPr>
            <w:noProof/>
            <w:webHidden/>
          </w:rPr>
          <w:tab/>
        </w:r>
        <w:r>
          <w:rPr>
            <w:noProof/>
            <w:webHidden/>
          </w:rPr>
          <w:fldChar w:fldCharType="begin"/>
        </w:r>
        <w:r>
          <w:rPr>
            <w:noProof/>
            <w:webHidden/>
          </w:rPr>
          <w:instrText xml:space="preserve"> PAGEREF _Toc80965846 \h </w:instrText>
        </w:r>
        <w:r>
          <w:rPr>
            <w:noProof/>
            <w:webHidden/>
          </w:rPr>
        </w:r>
        <w:r>
          <w:rPr>
            <w:noProof/>
            <w:webHidden/>
          </w:rPr>
          <w:fldChar w:fldCharType="separate"/>
        </w:r>
        <w:r w:rsidR="00F65B3A">
          <w:rPr>
            <w:noProof/>
            <w:webHidden/>
          </w:rPr>
          <w:t>20</w:t>
        </w:r>
        <w:r>
          <w:rPr>
            <w:noProof/>
            <w:webHidden/>
          </w:rPr>
          <w:fldChar w:fldCharType="end"/>
        </w:r>
      </w:hyperlink>
    </w:p>
    <w:p w14:paraId="315196DC" w14:textId="42A26EF4" w:rsidR="00D90DAF" w:rsidRDefault="00D90DAF">
      <w:pPr>
        <w:pStyle w:val="TOC2"/>
        <w:rPr>
          <w:rFonts w:asciiTheme="minorHAnsi" w:eastAsiaTheme="minorEastAsia" w:hAnsiTheme="minorHAnsi" w:cstheme="minorBidi"/>
          <w:noProof/>
          <w:sz w:val="22"/>
          <w:szCs w:val="22"/>
          <w:lang w:eastAsia="en-NZ"/>
        </w:rPr>
      </w:pPr>
      <w:hyperlink w:anchor="_Toc80965847" w:history="1">
        <w:r w:rsidRPr="009754F3">
          <w:rPr>
            <w:rStyle w:val="Hyperlink"/>
            <w:noProof/>
          </w:rPr>
          <w:t>How we will measure progress</w:t>
        </w:r>
        <w:r>
          <w:rPr>
            <w:noProof/>
            <w:webHidden/>
          </w:rPr>
          <w:tab/>
        </w:r>
        <w:r>
          <w:rPr>
            <w:noProof/>
            <w:webHidden/>
          </w:rPr>
          <w:fldChar w:fldCharType="begin"/>
        </w:r>
        <w:r>
          <w:rPr>
            <w:noProof/>
            <w:webHidden/>
          </w:rPr>
          <w:instrText xml:space="preserve"> PAGEREF _Toc80965847 \h </w:instrText>
        </w:r>
        <w:r>
          <w:rPr>
            <w:noProof/>
            <w:webHidden/>
          </w:rPr>
        </w:r>
        <w:r>
          <w:rPr>
            <w:noProof/>
            <w:webHidden/>
          </w:rPr>
          <w:fldChar w:fldCharType="separate"/>
        </w:r>
        <w:r w:rsidR="00F65B3A">
          <w:rPr>
            <w:noProof/>
            <w:webHidden/>
          </w:rPr>
          <w:t>21</w:t>
        </w:r>
        <w:r>
          <w:rPr>
            <w:noProof/>
            <w:webHidden/>
          </w:rPr>
          <w:fldChar w:fldCharType="end"/>
        </w:r>
      </w:hyperlink>
    </w:p>
    <w:p w14:paraId="221531DE" w14:textId="22DA65D9" w:rsidR="00D90DAF" w:rsidRDefault="00D90DAF">
      <w:pPr>
        <w:pStyle w:val="TOC2"/>
        <w:rPr>
          <w:rFonts w:asciiTheme="minorHAnsi" w:eastAsiaTheme="minorEastAsia" w:hAnsiTheme="minorHAnsi" w:cstheme="minorBidi"/>
          <w:noProof/>
          <w:sz w:val="22"/>
          <w:szCs w:val="22"/>
          <w:lang w:eastAsia="en-NZ"/>
        </w:rPr>
      </w:pPr>
      <w:hyperlink w:anchor="_Toc80965848" w:history="1">
        <w:r w:rsidRPr="009754F3">
          <w:rPr>
            <w:rStyle w:val="Hyperlink"/>
            <w:noProof/>
          </w:rPr>
          <w:t>Questions for you to consider</w:t>
        </w:r>
        <w:r>
          <w:rPr>
            <w:noProof/>
            <w:webHidden/>
          </w:rPr>
          <w:tab/>
        </w:r>
        <w:r>
          <w:rPr>
            <w:noProof/>
            <w:webHidden/>
          </w:rPr>
          <w:fldChar w:fldCharType="begin"/>
        </w:r>
        <w:r>
          <w:rPr>
            <w:noProof/>
            <w:webHidden/>
          </w:rPr>
          <w:instrText xml:space="preserve"> PAGEREF _Toc80965848 \h </w:instrText>
        </w:r>
        <w:r>
          <w:rPr>
            <w:noProof/>
            <w:webHidden/>
          </w:rPr>
        </w:r>
        <w:r>
          <w:rPr>
            <w:noProof/>
            <w:webHidden/>
          </w:rPr>
          <w:fldChar w:fldCharType="separate"/>
        </w:r>
        <w:r w:rsidR="00F65B3A">
          <w:rPr>
            <w:noProof/>
            <w:webHidden/>
          </w:rPr>
          <w:t>22</w:t>
        </w:r>
        <w:r>
          <w:rPr>
            <w:noProof/>
            <w:webHidden/>
          </w:rPr>
          <w:fldChar w:fldCharType="end"/>
        </w:r>
      </w:hyperlink>
    </w:p>
    <w:p w14:paraId="2226D11D" w14:textId="25B24F71" w:rsidR="00D90DAF" w:rsidRDefault="00D90DAF">
      <w:pPr>
        <w:pStyle w:val="TOC1"/>
        <w:rPr>
          <w:rFonts w:asciiTheme="minorHAnsi" w:eastAsiaTheme="minorEastAsia" w:hAnsiTheme="minorHAnsi" w:cstheme="minorBidi"/>
          <w:noProof/>
          <w:sz w:val="22"/>
          <w:szCs w:val="22"/>
          <w:lang w:eastAsia="en-NZ"/>
        </w:rPr>
      </w:pPr>
      <w:hyperlink w:anchor="_Toc80965849" w:history="1">
        <w:r w:rsidRPr="009754F3">
          <w:rPr>
            <w:rStyle w:val="Hyperlink"/>
            <w:noProof/>
          </w:rPr>
          <w:t>3</w:t>
        </w:r>
        <w:r>
          <w:rPr>
            <w:rFonts w:asciiTheme="minorHAnsi" w:eastAsiaTheme="minorEastAsia" w:hAnsiTheme="minorHAnsi" w:cstheme="minorBidi"/>
            <w:noProof/>
            <w:sz w:val="22"/>
            <w:szCs w:val="22"/>
            <w:lang w:eastAsia="en-NZ"/>
          </w:rPr>
          <w:tab/>
        </w:r>
        <w:r w:rsidRPr="009754F3">
          <w:rPr>
            <w:rStyle w:val="Hyperlink"/>
            <w:noProof/>
          </w:rPr>
          <w:t>Draft service plan 2022/23 to 2024/25</w:t>
        </w:r>
        <w:r>
          <w:rPr>
            <w:noProof/>
            <w:webHidden/>
          </w:rPr>
          <w:tab/>
        </w:r>
        <w:r>
          <w:rPr>
            <w:noProof/>
            <w:webHidden/>
          </w:rPr>
          <w:fldChar w:fldCharType="begin"/>
        </w:r>
        <w:r>
          <w:rPr>
            <w:noProof/>
            <w:webHidden/>
          </w:rPr>
          <w:instrText xml:space="preserve"> PAGEREF _Toc80965849 \h </w:instrText>
        </w:r>
        <w:r>
          <w:rPr>
            <w:noProof/>
            <w:webHidden/>
          </w:rPr>
        </w:r>
        <w:r>
          <w:rPr>
            <w:noProof/>
            <w:webHidden/>
          </w:rPr>
          <w:fldChar w:fldCharType="separate"/>
        </w:r>
        <w:r w:rsidR="00F65B3A">
          <w:rPr>
            <w:noProof/>
            <w:webHidden/>
          </w:rPr>
          <w:t>23</w:t>
        </w:r>
        <w:r>
          <w:rPr>
            <w:noProof/>
            <w:webHidden/>
          </w:rPr>
          <w:fldChar w:fldCharType="end"/>
        </w:r>
      </w:hyperlink>
    </w:p>
    <w:p w14:paraId="4631199B" w14:textId="0D547EE7" w:rsidR="00D90DAF" w:rsidRDefault="00D90DAF">
      <w:pPr>
        <w:pStyle w:val="TOC2"/>
        <w:rPr>
          <w:rFonts w:asciiTheme="minorHAnsi" w:eastAsiaTheme="minorEastAsia" w:hAnsiTheme="minorHAnsi" w:cstheme="minorBidi"/>
          <w:noProof/>
          <w:sz w:val="22"/>
          <w:szCs w:val="22"/>
          <w:lang w:eastAsia="en-NZ"/>
        </w:rPr>
      </w:pPr>
      <w:hyperlink w:anchor="_Toc80965850" w:history="1">
        <w:r w:rsidRPr="009754F3">
          <w:rPr>
            <w:rStyle w:val="Hyperlink"/>
            <w:noProof/>
          </w:rPr>
          <w:t>Purpose of the service plan</w:t>
        </w:r>
        <w:r>
          <w:rPr>
            <w:noProof/>
            <w:webHidden/>
          </w:rPr>
          <w:tab/>
        </w:r>
        <w:r>
          <w:rPr>
            <w:noProof/>
            <w:webHidden/>
          </w:rPr>
          <w:fldChar w:fldCharType="begin"/>
        </w:r>
        <w:r>
          <w:rPr>
            <w:noProof/>
            <w:webHidden/>
          </w:rPr>
          <w:instrText xml:space="preserve"> PAGEREF _Toc80965850 \h </w:instrText>
        </w:r>
        <w:r>
          <w:rPr>
            <w:noProof/>
            <w:webHidden/>
          </w:rPr>
        </w:r>
        <w:r>
          <w:rPr>
            <w:noProof/>
            <w:webHidden/>
          </w:rPr>
          <w:fldChar w:fldCharType="separate"/>
        </w:r>
        <w:r w:rsidR="00F65B3A">
          <w:rPr>
            <w:noProof/>
            <w:webHidden/>
          </w:rPr>
          <w:t>23</w:t>
        </w:r>
        <w:r>
          <w:rPr>
            <w:noProof/>
            <w:webHidden/>
          </w:rPr>
          <w:fldChar w:fldCharType="end"/>
        </w:r>
      </w:hyperlink>
    </w:p>
    <w:p w14:paraId="64B02181" w14:textId="5C44C8A3" w:rsidR="00D90DAF" w:rsidRDefault="00D90DAF">
      <w:pPr>
        <w:pStyle w:val="TOC2"/>
        <w:rPr>
          <w:rFonts w:asciiTheme="minorHAnsi" w:eastAsiaTheme="minorEastAsia" w:hAnsiTheme="minorHAnsi" w:cstheme="minorBidi"/>
          <w:noProof/>
          <w:sz w:val="22"/>
          <w:szCs w:val="22"/>
          <w:lang w:eastAsia="en-NZ"/>
        </w:rPr>
      </w:pPr>
      <w:hyperlink w:anchor="_Toc80965851" w:history="1">
        <w:r w:rsidRPr="009754F3">
          <w:rPr>
            <w:rStyle w:val="Hyperlink"/>
            <w:noProof/>
          </w:rPr>
          <w:t>Overview of the service plan and budget</w:t>
        </w:r>
        <w:r>
          <w:rPr>
            <w:noProof/>
            <w:webHidden/>
          </w:rPr>
          <w:tab/>
        </w:r>
        <w:r>
          <w:rPr>
            <w:noProof/>
            <w:webHidden/>
          </w:rPr>
          <w:fldChar w:fldCharType="begin"/>
        </w:r>
        <w:r>
          <w:rPr>
            <w:noProof/>
            <w:webHidden/>
          </w:rPr>
          <w:instrText xml:space="preserve"> PAGEREF _Toc80965851 \h </w:instrText>
        </w:r>
        <w:r>
          <w:rPr>
            <w:noProof/>
            <w:webHidden/>
          </w:rPr>
        </w:r>
        <w:r>
          <w:rPr>
            <w:noProof/>
            <w:webHidden/>
          </w:rPr>
          <w:fldChar w:fldCharType="separate"/>
        </w:r>
        <w:r w:rsidR="00F65B3A">
          <w:rPr>
            <w:noProof/>
            <w:webHidden/>
          </w:rPr>
          <w:t>23</w:t>
        </w:r>
        <w:r>
          <w:rPr>
            <w:noProof/>
            <w:webHidden/>
          </w:rPr>
          <w:fldChar w:fldCharType="end"/>
        </w:r>
      </w:hyperlink>
    </w:p>
    <w:p w14:paraId="540235AB" w14:textId="7422A2DB" w:rsidR="00D90DAF" w:rsidRDefault="00D90DAF">
      <w:pPr>
        <w:pStyle w:val="TOC2"/>
        <w:rPr>
          <w:rFonts w:asciiTheme="minorHAnsi" w:eastAsiaTheme="minorEastAsia" w:hAnsiTheme="minorHAnsi" w:cstheme="minorBidi"/>
          <w:noProof/>
          <w:sz w:val="22"/>
          <w:szCs w:val="22"/>
          <w:lang w:eastAsia="en-NZ"/>
        </w:rPr>
      </w:pPr>
      <w:hyperlink w:anchor="_Toc80965852" w:history="1">
        <w:r w:rsidRPr="009754F3">
          <w:rPr>
            <w:rStyle w:val="Hyperlink"/>
            <w:noProof/>
          </w:rPr>
          <w:t>Indicative budget for 2022/23 to 2024/25</w:t>
        </w:r>
        <w:r>
          <w:rPr>
            <w:noProof/>
            <w:webHidden/>
          </w:rPr>
          <w:tab/>
        </w:r>
        <w:r>
          <w:rPr>
            <w:noProof/>
            <w:webHidden/>
          </w:rPr>
          <w:fldChar w:fldCharType="begin"/>
        </w:r>
        <w:r>
          <w:rPr>
            <w:noProof/>
            <w:webHidden/>
          </w:rPr>
          <w:instrText xml:space="preserve"> PAGEREF _Toc80965852 \h </w:instrText>
        </w:r>
        <w:r>
          <w:rPr>
            <w:noProof/>
            <w:webHidden/>
          </w:rPr>
        </w:r>
        <w:r>
          <w:rPr>
            <w:noProof/>
            <w:webHidden/>
          </w:rPr>
          <w:fldChar w:fldCharType="separate"/>
        </w:r>
        <w:r w:rsidR="00F65B3A">
          <w:rPr>
            <w:noProof/>
            <w:webHidden/>
          </w:rPr>
          <w:t>25</w:t>
        </w:r>
        <w:r>
          <w:rPr>
            <w:noProof/>
            <w:webHidden/>
          </w:rPr>
          <w:fldChar w:fldCharType="end"/>
        </w:r>
      </w:hyperlink>
    </w:p>
    <w:p w14:paraId="73D1B8DC" w14:textId="6495011F" w:rsidR="00D90DAF" w:rsidRDefault="00D90DAF">
      <w:pPr>
        <w:pStyle w:val="TOC2"/>
        <w:rPr>
          <w:rFonts w:asciiTheme="minorHAnsi" w:eastAsiaTheme="minorEastAsia" w:hAnsiTheme="minorHAnsi" w:cstheme="minorBidi"/>
          <w:noProof/>
          <w:sz w:val="22"/>
          <w:szCs w:val="22"/>
          <w:lang w:eastAsia="en-NZ"/>
        </w:rPr>
      </w:pPr>
      <w:hyperlink w:anchor="_Toc80965853" w:history="1">
        <w:r w:rsidRPr="009754F3">
          <w:rPr>
            <w:rStyle w:val="Hyperlink"/>
            <w:noProof/>
          </w:rPr>
          <w:t>Public health services</w:t>
        </w:r>
        <w:r>
          <w:rPr>
            <w:noProof/>
            <w:webHidden/>
          </w:rPr>
          <w:tab/>
        </w:r>
        <w:r>
          <w:rPr>
            <w:noProof/>
            <w:webHidden/>
          </w:rPr>
          <w:fldChar w:fldCharType="begin"/>
        </w:r>
        <w:r>
          <w:rPr>
            <w:noProof/>
            <w:webHidden/>
          </w:rPr>
          <w:instrText xml:space="preserve"> PAGEREF _Toc80965853 \h </w:instrText>
        </w:r>
        <w:r>
          <w:rPr>
            <w:noProof/>
            <w:webHidden/>
          </w:rPr>
        </w:r>
        <w:r>
          <w:rPr>
            <w:noProof/>
            <w:webHidden/>
          </w:rPr>
          <w:fldChar w:fldCharType="separate"/>
        </w:r>
        <w:r w:rsidR="00F65B3A">
          <w:rPr>
            <w:noProof/>
            <w:webHidden/>
          </w:rPr>
          <w:t>27</w:t>
        </w:r>
        <w:r>
          <w:rPr>
            <w:noProof/>
            <w:webHidden/>
          </w:rPr>
          <w:fldChar w:fldCharType="end"/>
        </w:r>
      </w:hyperlink>
    </w:p>
    <w:p w14:paraId="4FADC4A9" w14:textId="47283344" w:rsidR="00D90DAF" w:rsidRDefault="00D90DAF">
      <w:pPr>
        <w:pStyle w:val="TOC2"/>
        <w:rPr>
          <w:rFonts w:asciiTheme="minorHAnsi" w:eastAsiaTheme="minorEastAsia" w:hAnsiTheme="minorHAnsi" w:cstheme="minorBidi"/>
          <w:noProof/>
          <w:sz w:val="22"/>
          <w:szCs w:val="22"/>
          <w:lang w:eastAsia="en-NZ"/>
        </w:rPr>
      </w:pPr>
      <w:hyperlink w:anchor="_Toc80965854" w:history="1">
        <w:r w:rsidRPr="009754F3">
          <w:rPr>
            <w:rStyle w:val="Hyperlink"/>
            <w:noProof/>
          </w:rPr>
          <w:t>Clinical intervention and support services</w:t>
        </w:r>
        <w:r>
          <w:rPr>
            <w:noProof/>
            <w:webHidden/>
          </w:rPr>
          <w:tab/>
        </w:r>
        <w:r>
          <w:rPr>
            <w:noProof/>
            <w:webHidden/>
          </w:rPr>
          <w:fldChar w:fldCharType="begin"/>
        </w:r>
        <w:r>
          <w:rPr>
            <w:noProof/>
            <w:webHidden/>
          </w:rPr>
          <w:instrText xml:space="preserve"> PAGEREF _Toc80965854 \h </w:instrText>
        </w:r>
        <w:r>
          <w:rPr>
            <w:noProof/>
            <w:webHidden/>
          </w:rPr>
        </w:r>
        <w:r>
          <w:rPr>
            <w:noProof/>
            <w:webHidden/>
          </w:rPr>
          <w:fldChar w:fldCharType="separate"/>
        </w:r>
        <w:r w:rsidR="00F65B3A">
          <w:rPr>
            <w:noProof/>
            <w:webHidden/>
          </w:rPr>
          <w:t>32</w:t>
        </w:r>
        <w:r>
          <w:rPr>
            <w:noProof/>
            <w:webHidden/>
          </w:rPr>
          <w:fldChar w:fldCharType="end"/>
        </w:r>
      </w:hyperlink>
    </w:p>
    <w:p w14:paraId="585E613B" w14:textId="7897C321" w:rsidR="00D90DAF" w:rsidRDefault="00D90DAF">
      <w:pPr>
        <w:pStyle w:val="TOC2"/>
        <w:rPr>
          <w:rFonts w:asciiTheme="minorHAnsi" w:eastAsiaTheme="minorEastAsia" w:hAnsiTheme="minorHAnsi" w:cstheme="minorBidi"/>
          <w:noProof/>
          <w:sz w:val="22"/>
          <w:szCs w:val="22"/>
          <w:lang w:eastAsia="en-NZ"/>
        </w:rPr>
      </w:pPr>
      <w:hyperlink w:anchor="_Toc80965855" w:history="1">
        <w:r w:rsidRPr="009754F3">
          <w:rPr>
            <w:rStyle w:val="Hyperlink"/>
            <w:noProof/>
          </w:rPr>
          <w:t>Research and evaluation</w:t>
        </w:r>
        <w:r>
          <w:rPr>
            <w:noProof/>
            <w:webHidden/>
          </w:rPr>
          <w:tab/>
        </w:r>
        <w:r>
          <w:rPr>
            <w:noProof/>
            <w:webHidden/>
          </w:rPr>
          <w:fldChar w:fldCharType="begin"/>
        </w:r>
        <w:r>
          <w:rPr>
            <w:noProof/>
            <w:webHidden/>
          </w:rPr>
          <w:instrText xml:space="preserve"> PAGEREF _Toc80965855 \h </w:instrText>
        </w:r>
        <w:r>
          <w:rPr>
            <w:noProof/>
            <w:webHidden/>
          </w:rPr>
        </w:r>
        <w:r>
          <w:rPr>
            <w:noProof/>
            <w:webHidden/>
          </w:rPr>
          <w:fldChar w:fldCharType="separate"/>
        </w:r>
        <w:r w:rsidR="00F65B3A">
          <w:rPr>
            <w:noProof/>
            <w:webHidden/>
          </w:rPr>
          <w:t>35</w:t>
        </w:r>
        <w:r>
          <w:rPr>
            <w:noProof/>
            <w:webHidden/>
          </w:rPr>
          <w:fldChar w:fldCharType="end"/>
        </w:r>
      </w:hyperlink>
    </w:p>
    <w:p w14:paraId="37C50C78" w14:textId="4FC14446" w:rsidR="00D90DAF" w:rsidRDefault="00D90DAF">
      <w:pPr>
        <w:pStyle w:val="TOC2"/>
        <w:rPr>
          <w:rFonts w:asciiTheme="minorHAnsi" w:eastAsiaTheme="minorEastAsia" w:hAnsiTheme="minorHAnsi" w:cstheme="minorBidi"/>
          <w:noProof/>
          <w:sz w:val="22"/>
          <w:szCs w:val="22"/>
          <w:lang w:eastAsia="en-NZ"/>
        </w:rPr>
      </w:pPr>
      <w:hyperlink w:anchor="_Toc80965856" w:history="1">
        <w:r w:rsidRPr="009754F3">
          <w:rPr>
            <w:rStyle w:val="Hyperlink"/>
            <w:noProof/>
          </w:rPr>
          <w:t>New services, innovation pilots and investments</w:t>
        </w:r>
        <w:r>
          <w:rPr>
            <w:noProof/>
            <w:webHidden/>
          </w:rPr>
          <w:tab/>
        </w:r>
        <w:r>
          <w:rPr>
            <w:noProof/>
            <w:webHidden/>
          </w:rPr>
          <w:fldChar w:fldCharType="begin"/>
        </w:r>
        <w:r>
          <w:rPr>
            <w:noProof/>
            <w:webHidden/>
          </w:rPr>
          <w:instrText xml:space="preserve"> PAGEREF _Toc80965856 \h </w:instrText>
        </w:r>
        <w:r>
          <w:rPr>
            <w:noProof/>
            <w:webHidden/>
          </w:rPr>
        </w:r>
        <w:r>
          <w:rPr>
            <w:noProof/>
            <w:webHidden/>
          </w:rPr>
          <w:fldChar w:fldCharType="separate"/>
        </w:r>
        <w:r w:rsidR="00F65B3A">
          <w:rPr>
            <w:noProof/>
            <w:webHidden/>
          </w:rPr>
          <w:t>37</w:t>
        </w:r>
        <w:r>
          <w:rPr>
            <w:noProof/>
            <w:webHidden/>
          </w:rPr>
          <w:fldChar w:fldCharType="end"/>
        </w:r>
      </w:hyperlink>
    </w:p>
    <w:p w14:paraId="1D7C30FC" w14:textId="74B01940" w:rsidR="00D90DAF" w:rsidRDefault="00D90DAF">
      <w:pPr>
        <w:pStyle w:val="TOC2"/>
        <w:rPr>
          <w:rFonts w:asciiTheme="minorHAnsi" w:eastAsiaTheme="minorEastAsia" w:hAnsiTheme="minorHAnsi" w:cstheme="minorBidi"/>
          <w:noProof/>
          <w:sz w:val="22"/>
          <w:szCs w:val="22"/>
          <w:lang w:eastAsia="en-NZ"/>
        </w:rPr>
      </w:pPr>
      <w:hyperlink w:anchor="_Toc80965857" w:history="1">
        <w:r w:rsidRPr="009754F3">
          <w:rPr>
            <w:rStyle w:val="Hyperlink"/>
            <w:noProof/>
          </w:rPr>
          <w:t>Ministry of Health operating costs</w:t>
        </w:r>
        <w:r>
          <w:rPr>
            <w:noProof/>
            <w:webHidden/>
          </w:rPr>
          <w:tab/>
        </w:r>
        <w:r>
          <w:rPr>
            <w:noProof/>
            <w:webHidden/>
          </w:rPr>
          <w:fldChar w:fldCharType="begin"/>
        </w:r>
        <w:r>
          <w:rPr>
            <w:noProof/>
            <w:webHidden/>
          </w:rPr>
          <w:instrText xml:space="preserve"> PAGEREF _Toc80965857 \h </w:instrText>
        </w:r>
        <w:r>
          <w:rPr>
            <w:noProof/>
            <w:webHidden/>
          </w:rPr>
        </w:r>
        <w:r>
          <w:rPr>
            <w:noProof/>
            <w:webHidden/>
          </w:rPr>
          <w:fldChar w:fldCharType="separate"/>
        </w:r>
        <w:r w:rsidR="00F65B3A">
          <w:rPr>
            <w:noProof/>
            <w:webHidden/>
          </w:rPr>
          <w:t>41</w:t>
        </w:r>
        <w:r>
          <w:rPr>
            <w:noProof/>
            <w:webHidden/>
          </w:rPr>
          <w:fldChar w:fldCharType="end"/>
        </w:r>
      </w:hyperlink>
    </w:p>
    <w:p w14:paraId="407001C6" w14:textId="143672BC" w:rsidR="00D90DAF" w:rsidRDefault="00D90DAF">
      <w:pPr>
        <w:pStyle w:val="TOC2"/>
        <w:rPr>
          <w:rFonts w:asciiTheme="minorHAnsi" w:eastAsiaTheme="minorEastAsia" w:hAnsiTheme="minorHAnsi" w:cstheme="minorBidi"/>
          <w:noProof/>
          <w:sz w:val="22"/>
          <w:szCs w:val="22"/>
          <w:lang w:eastAsia="en-NZ"/>
        </w:rPr>
      </w:pPr>
      <w:hyperlink w:anchor="_Toc80965858" w:history="1">
        <w:r w:rsidRPr="009754F3">
          <w:rPr>
            <w:rStyle w:val="Hyperlink"/>
            <w:noProof/>
          </w:rPr>
          <w:t>Questions for you to consider</w:t>
        </w:r>
        <w:r>
          <w:rPr>
            <w:noProof/>
            <w:webHidden/>
          </w:rPr>
          <w:tab/>
        </w:r>
        <w:r>
          <w:rPr>
            <w:noProof/>
            <w:webHidden/>
          </w:rPr>
          <w:fldChar w:fldCharType="begin"/>
        </w:r>
        <w:r>
          <w:rPr>
            <w:noProof/>
            <w:webHidden/>
          </w:rPr>
          <w:instrText xml:space="preserve"> PAGEREF _Toc80965858 \h </w:instrText>
        </w:r>
        <w:r>
          <w:rPr>
            <w:noProof/>
            <w:webHidden/>
          </w:rPr>
        </w:r>
        <w:r>
          <w:rPr>
            <w:noProof/>
            <w:webHidden/>
          </w:rPr>
          <w:fldChar w:fldCharType="separate"/>
        </w:r>
        <w:r w:rsidR="00F65B3A">
          <w:rPr>
            <w:noProof/>
            <w:webHidden/>
          </w:rPr>
          <w:t>41</w:t>
        </w:r>
        <w:r>
          <w:rPr>
            <w:noProof/>
            <w:webHidden/>
          </w:rPr>
          <w:fldChar w:fldCharType="end"/>
        </w:r>
      </w:hyperlink>
    </w:p>
    <w:p w14:paraId="2400D4AF" w14:textId="2C17BF4C" w:rsidR="00D90DAF" w:rsidRDefault="00D90DAF">
      <w:pPr>
        <w:pStyle w:val="TOC1"/>
        <w:rPr>
          <w:rFonts w:asciiTheme="minorHAnsi" w:eastAsiaTheme="minorEastAsia" w:hAnsiTheme="minorHAnsi" w:cstheme="minorBidi"/>
          <w:noProof/>
          <w:sz w:val="22"/>
          <w:szCs w:val="22"/>
          <w:lang w:eastAsia="en-NZ"/>
        </w:rPr>
      </w:pPr>
      <w:hyperlink w:anchor="_Toc80965859" w:history="1">
        <w:r w:rsidRPr="009754F3">
          <w:rPr>
            <w:rStyle w:val="Hyperlink"/>
            <w:noProof/>
          </w:rPr>
          <w:t>4</w:t>
        </w:r>
        <w:r>
          <w:rPr>
            <w:rFonts w:asciiTheme="minorHAnsi" w:eastAsiaTheme="minorEastAsia" w:hAnsiTheme="minorHAnsi" w:cstheme="minorBidi"/>
            <w:noProof/>
            <w:sz w:val="22"/>
            <w:szCs w:val="22"/>
            <w:lang w:eastAsia="en-NZ"/>
          </w:rPr>
          <w:tab/>
        </w:r>
        <w:r w:rsidRPr="009754F3">
          <w:rPr>
            <w:rStyle w:val="Hyperlink"/>
            <w:noProof/>
          </w:rPr>
          <w:t>Draft levy rates for 2022/23 to 2024/25</w:t>
        </w:r>
        <w:r>
          <w:rPr>
            <w:noProof/>
            <w:webHidden/>
          </w:rPr>
          <w:tab/>
        </w:r>
        <w:r>
          <w:rPr>
            <w:noProof/>
            <w:webHidden/>
          </w:rPr>
          <w:fldChar w:fldCharType="begin"/>
        </w:r>
        <w:r>
          <w:rPr>
            <w:noProof/>
            <w:webHidden/>
          </w:rPr>
          <w:instrText xml:space="preserve"> PAGEREF _Toc80965859 \h </w:instrText>
        </w:r>
        <w:r>
          <w:rPr>
            <w:noProof/>
            <w:webHidden/>
          </w:rPr>
        </w:r>
        <w:r>
          <w:rPr>
            <w:noProof/>
            <w:webHidden/>
          </w:rPr>
          <w:fldChar w:fldCharType="separate"/>
        </w:r>
        <w:r w:rsidR="00F65B3A">
          <w:rPr>
            <w:noProof/>
            <w:webHidden/>
          </w:rPr>
          <w:t>42</w:t>
        </w:r>
        <w:r>
          <w:rPr>
            <w:noProof/>
            <w:webHidden/>
          </w:rPr>
          <w:fldChar w:fldCharType="end"/>
        </w:r>
      </w:hyperlink>
    </w:p>
    <w:p w14:paraId="4EEC098D" w14:textId="31B0E3D3" w:rsidR="00D90DAF" w:rsidRDefault="00D90DAF">
      <w:pPr>
        <w:pStyle w:val="TOC2"/>
        <w:rPr>
          <w:rFonts w:asciiTheme="minorHAnsi" w:eastAsiaTheme="minorEastAsia" w:hAnsiTheme="minorHAnsi" w:cstheme="minorBidi"/>
          <w:noProof/>
          <w:sz w:val="22"/>
          <w:szCs w:val="22"/>
          <w:lang w:eastAsia="en-NZ"/>
        </w:rPr>
      </w:pPr>
      <w:hyperlink w:anchor="_Toc80965860" w:history="1">
        <w:r w:rsidRPr="009754F3">
          <w:rPr>
            <w:rStyle w:val="Hyperlink"/>
            <w:noProof/>
          </w:rPr>
          <w:t>Process for setting the levy rates</w:t>
        </w:r>
        <w:r>
          <w:rPr>
            <w:noProof/>
            <w:webHidden/>
          </w:rPr>
          <w:tab/>
        </w:r>
        <w:r>
          <w:rPr>
            <w:noProof/>
            <w:webHidden/>
          </w:rPr>
          <w:fldChar w:fldCharType="begin"/>
        </w:r>
        <w:r>
          <w:rPr>
            <w:noProof/>
            <w:webHidden/>
          </w:rPr>
          <w:instrText xml:space="preserve"> PAGEREF _Toc80965860 \h </w:instrText>
        </w:r>
        <w:r>
          <w:rPr>
            <w:noProof/>
            <w:webHidden/>
          </w:rPr>
        </w:r>
        <w:r>
          <w:rPr>
            <w:noProof/>
            <w:webHidden/>
          </w:rPr>
          <w:fldChar w:fldCharType="separate"/>
        </w:r>
        <w:r w:rsidR="00F65B3A">
          <w:rPr>
            <w:noProof/>
            <w:webHidden/>
          </w:rPr>
          <w:t>42</w:t>
        </w:r>
        <w:r>
          <w:rPr>
            <w:noProof/>
            <w:webHidden/>
          </w:rPr>
          <w:fldChar w:fldCharType="end"/>
        </w:r>
      </w:hyperlink>
    </w:p>
    <w:p w14:paraId="5037471B" w14:textId="0A1B02C5" w:rsidR="00D90DAF" w:rsidRDefault="00D90DAF">
      <w:pPr>
        <w:pStyle w:val="TOC2"/>
        <w:rPr>
          <w:rFonts w:asciiTheme="minorHAnsi" w:eastAsiaTheme="minorEastAsia" w:hAnsiTheme="minorHAnsi" w:cstheme="minorBidi"/>
          <w:noProof/>
          <w:sz w:val="22"/>
          <w:szCs w:val="22"/>
          <w:lang w:eastAsia="en-NZ"/>
        </w:rPr>
      </w:pPr>
      <w:hyperlink w:anchor="_Toc80965861" w:history="1">
        <w:r w:rsidRPr="009754F3">
          <w:rPr>
            <w:rStyle w:val="Hyperlink"/>
            <w:noProof/>
          </w:rPr>
          <w:t>The levy formula</w:t>
        </w:r>
        <w:r>
          <w:rPr>
            <w:noProof/>
            <w:webHidden/>
          </w:rPr>
          <w:tab/>
        </w:r>
        <w:r>
          <w:rPr>
            <w:noProof/>
            <w:webHidden/>
          </w:rPr>
          <w:fldChar w:fldCharType="begin"/>
        </w:r>
        <w:r>
          <w:rPr>
            <w:noProof/>
            <w:webHidden/>
          </w:rPr>
          <w:instrText xml:space="preserve"> PAGEREF _Toc80965861 \h </w:instrText>
        </w:r>
        <w:r>
          <w:rPr>
            <w:noProof/>
            <w:webHidden/>
          </w:rPr>
        </w:r>
        <w:r>
          <w:rPr>
            <w:noProof/>
            <w:webHidden/>
          </w:rPr>
          <w:fldChar w:fldCharType="separate"/>
        </w:r>
        <w:r w:rsidR="00F65B3A">
          <w:rPr>
            <w:noProof/>
            <w:webHidden/>
          </w:rPr>
          <w:t>43</w:t>
        </w:r>
        <w:r>
          <w:rPr>
            <w:noProof/>
            <w:webHidden/>
          </w:rPr>
          <w:fldChar w:fldCharType="end"/>
        </w:r>
      </w:hyperlink>
    </w:p>
    <w:p w14:paraId="73AFAB53" w14:textId="1E7DBCA8" w:rsidR="00D90DAF" w:rsidRDefault="00D90DAF">
      <w:pPr>
        <w:pStyle w:val="TOC2"/>
        <w:rPr>
          <w:rFonts w:asciiTheme="minorHAnsi" w:eastAsiaTheme="minorEastAsia" w:hAnsiTheme="minorHAnsi" w:cstheme="minorBidi"/>
          <w:noProof/>
          <w:sz w:val="22"/>
          <w:szCs w:val="22"/>
          <w:lang w:eastAsia="en-NZ"/>
        </w:rPr>
      </w:pPr>
      <w:hyperlink w:anchor="_Toc80965862" w:history="1">
        <w:r w:rsidRPr="009754F3">
          <w:rPr>
            <w:rStyle w:val="Hyperlink"/>
            <w:noProof/>
          </w:rPr>
          <w:t>Options</w:t>
        </w:r>
        <w:r>
          <w:rPr>
            <w:noProof/>
            <w:webHidden/>
          </w:rPr>
          <w:tab/>
        </w:r>
        <w:r>
          <w:rPr>
            <w:noProof/>
            <w:webHidden/>
          </w:rPr>
          <w:fldChar w:fldCharType="begin"/>
        </w:r>
        <w:r>
          <w:rPr>
            <w:noProof/>
            <w:webHidden/>
          </w:rPr>
          <w:instrText xml:space="preserve"> PAGEREF _Toc80965862 \h </w:instrText>
        </w:r>
        <w:r>
          <w:rPr>
            <w:noProof/>
            <w:webHidden/>
          </w:rPr>
        </w:r>
        <w:r>
          <w:rPr>
            <w:noProof/>
            <w:webHidden/>
          </w:rPr>
          <w:fldChar w:fldCharType="separate"/>
        </w:r>
        <w:r w:rsidR="00F65B3A">
          <w:rPr>
            <w:noProof/>
            <w:webHidden/>
          </w:rPr>
          <w:t>51</w:t>
        </w:r>
        <w:r>
          <w:rPr>
            <w:noProof/>
            <w:webHidden/>
          </w:rPr>
          <w:fldChar w:fldCharType="end"/>
        </w:r>
      </w:hyperlink>
    </w:p>
    <w:p w14:paraId="354C8B29" w14:textId="23E2F825" w:rsidR="00D90DAF" w:rsidRDefault="00D90DAF">
      <w:pPr>
        <w:pStyle w:val="TOC2"/>
        <w:rPr>
          <w:rFonts w:asciiTheme="minorHAnsi" w:eastAsiaTheme="minorEastAsia" w:hAnsiTheme="minorHAnsi" w:cstheme="minorBidi"/>
          <w:noProof/>
          <w:sz w:val="22"/>
          <w:szCs w:val="22"/>
          <w:lang w:eastAsia="en-NZ"/>
        </w:rPr>
      </w:pPr>
      <w:hyperlink w:anchor="_Toc80965863" w:history="1">
        <w:r w:rsidRPr="009754F3">
          <w:rPr>
            <w:rStyle w:val="Hyperlink"/>
            <w:noProof/>
          </w:rPr>
          <w:t>Questions for you to consider</w:t>
        </w:r>
        <w:r>
          <w:rPr>
            <w:noProof/>
            <w:webHidden/>
          </w:rPr>
          <w:tab/>
        </w:r>
        <w:r>
          <w:rPr>
            <w:noProof/>
            <w:webHidden/>
          </w:rPr>
          <w:fldChar w:fldCharType="begin"/>
        </w:r>
        <w:r>
          <w:rPr>
            <w:noProof/>
            <w:webHidden/>
          </w:rPr>
          <w:instrText xml:space="preserve"> PAGEREF _Toc80965863 \h </w:instrText>
        </w:r>
        <w:r>
          <w:rPr>
            <w:noProof/>
            <w:webHidden/>
          </w:rPr>
        </w:r>
        <w:r>
          <w:rPr>
            <w:noProof/>
            <w:webHidden/>
          </w:rPr>
          <w:fldChar w:fldCharType="separate"/>
        </w:r>
        <w:r w:rsidR="00F65B3A">
          <w:rPr>
            <w:noProof/>
            <w:webHidden/>
          </w:rPr>
          <w:t>53</w:t>
        </w:r>
        <w:r>
          <w:rPr>
            <w:noProof/>
            <w:webHidden/>
          </w:rPr>
          <w:fldChar w:fldCharType="end"/>
        </w:r>
      </w:hyperlink>
    </w:p>
    <w:p w14:paraId="54836F0C" w14:textId="6F22C694" w:rsidR="00D90DAF" w:rsidRDefault="00D90DAF">
      <w:pPr>
        <w:pStyle w:val="TOC1"/>
        <w:rPr>
          <w:rFonts w:asciiTheme="minorHAnsi" w:eastAsiaTheme="minorEastAsia" w:hAnsiTheme="minorHAnsi" w:cstheme="minorBidi"/>
          <w:noProof/>
          <w:sz w:val="22"/>
          <w:szCs w:val="22"/>
          <w:lang w:eastAsia="en-NZ"/>
        </w:rPr>
      </w:pPr>
      <w:hyperlink w:anchor="_Toc80965864" w:history="1">
        <w:r w:rsidRPr="009754F3">
          <w:rPr>
            <w:rStyle w:val="Hyperlink"/>
            <w:noProof/>
          </w:rPr>
          <w:t>Appendices</w:t>
        </w:r>
        <w:r>
          <w:rPr>
            <w:noProof/>
            <w:webHidden/>
          </w:rPr>
          <w:tab/>
        </w:r>
        <w:r>
          <w:rPr>
            <w:noProof/>
            <w:webHidden/>
          </w:rPr>
          <w:fldChar w:fldCharType="begin"/>
        </w:r>
        <w:r>
          <w:rPr>
            <w:noProof/>
            <w:webHidden/>
          </w:rPr>
          <w:instrText xml:space="preserve"> PAGEREF _Toc80965864 \h </w:instrText>
        </w:r>
        <w:r>
          <w:rPr>
            <w:noProof/>
            <w:webHidden/>
          </w:rPr>
        </w:r>
        <w:r>
          <w:rPr>
            <w:noProof/>
            <w:webHidden/>
          </w:rPr>
          <w:fldChar w:fldCharType="separate"/>
        </w:r>
        <w:r w:rsidR="00F65B3A">
          <w:rPr>
            <w:noProof/>
            <w:webHidden/>
          </w:rPr>
          <w:t>54</w:t>
        </w:r>
        <w:r>
          <w:rPr>
            <w:noProof/>
            <w:webHidden/>
          </w:rPr>
          <w:fldChar w:fldCharType="end"/>
        </w:r>
      </w:hyperlink>
    </w:p>
    <w:p w14:paraId="51480051" w14:textId="58482915" w:rsidR="00D90DAF" w:rsidRDefault="00D90DAF">
      <w:pPr>
        <w:pStyle w:val="TOC2"/>
        <w:rPr>
          <w:rFonts w:asciiTheme="minorHAnsi" w:eastAsiaTheme="minorEastAsia" w:hAnsiTheme="minorHAnsi" w:cstheme="minorBidi"/>
          <w:noProof/>
          <w:sz w:val="22"/>
          <w:szCs w:val="22"/>
          <w:lang w:eastAsia="en-NZ"/>
        </w:rPr>
      </w:pPr>
      <w:hyperlink w:anchor="_Toc80965865" w:history="1">
        <w:r w:rsidRPr="009754F3">
          <w:rPr>
            <w:rStyle w:val="Hyperlink"/>
            <w:noProof/>
          </w:rPr>
          <w:t>Appendix 1: Aligning with other strategic documents</w:t>
        </w:r>
        <w:r>
          <w:rPr>
            <w:noProof/>
            <w:webHidden/>
          </w:rPr>
          <w:tab/>
        </w:r>
        <w:r>
          <w:rPr>
            <w:noProof/>
            <w:webHidden/>
          </w:rPr>
          <w:fldChar w:fldCharType="begin"/>
        </w:r>
        <w:r>
          <w:rPr>
            <w:noProof/>
            <w:webHidden/>
          </w:rPr>
          <w:instrText xml:space="preserve"> PAGEREF _Toc80965865 \h </w:instrText>
        </w:r>
        <w:r>
          <w:rPr>
            <w:noProof/>
            <w:webHidden/>
          </w:rPr>
        </w:r>
        <w:r>
          <w:rPr>
            <w:noProof/>
            <w:webHidden/>
          </w:rPr>
          <w:fldChar w:fldCharType="separate"/>
        </w:r>
        <w:r w:rsidR="00F65B3A">
          <w:rPr>
            <w:noProof/>
            <w:webHidden/>
          </w:rPr>
          <w:t>54</w:t>
        </w:r>
        <w:r>
          <w:rPr>
            <w:noProof/>
            <w:webHidden/>
          </w:rPr>
          <w:fldChar w:fldCharType="end"/>
        </w:r>
      </w:hyperlink>
    </w:p>
    <w:p w14:paraId="5240FEEA" w14:textId="011C9A16" w:rsidR="00D90DAF" w:rsidRDefault="00D90DAF">
      <w:pPr>
        <w:pStyle w:val="TOC2"/>
        <w:rPr>
          <w:rFonts w:asciiTheme="minorHAnsi" w:eastAsiaTheme="minorEastAsia" w:hAnsiTheme="minorHAnsi" w:cstheme="minorBidi"/>
          <w:noProof/>
          <w:sz w:val="22"/>
          <w:szCs w:val="22"/>
          <w:lang w:eastAsia="en-NZ"/>
        </w:rPr>
      </w:pPr>
      <w:hyperlink w:anchor="_Toc80965866" w:history="1">
        <w:r w:rsidRPr="009754F3">
          <w:rPr>
            <w:rStyle w:val="Hyperlink"/>
            <w:noProof/>
          </w:rPr>
          <w:t>Appendix 2: Previous strategic framework</w:t>
        </w:r>
        <w:r>
          <w:rPr>
            <w:noProof/>
            <w:webHidden/>
          </w:rPr>
          <w:tab/>
        </w:r>
        <w:r>
          <w:rPr>
            <w:noProof/>
            <w:webHidden/>
          </w:rPr>
          <w:fldChar w:fldCharType="begin"/>
        </w:r>
        <w:r>
          <w:rPr>
            <w:noProof/>
            <w:webHidden/>
          </w:rPr>
          <w:instrText xml:space="preserve"> PAGEREF _Toc80965866 \h </w:instrText>
        </w:r>
        <w:r>
          <w:rPr>
            <w:noProof/>
            <w:webHidden/>
          </w:rPr>
        </w:r>
        <w:r>
          <w:rPr>
            <w:noProof/>
            <w:webHidden/>
          </w:rPr>
          <w:fldChar w:fldCharType="separate"/>
        </w:r>
        <w:r w:rsidR="00F65B3A">
          <w:rPr>
            <w:noProof/>
            <w:webHidden/>
          </w:rPr>
          <w:t>57</w:t>
        </w:r>
        <w:r>
          <w:rPr>
            <w:noProof/>
            <w:webHidden/>
          </w:rPr>
          <w:fldChar w:fldCharType="end"/>
        </w:r>
      </w:hyperlink>
    </w:p>
    <w:p w14:paraId="22802888" w14:textId="2FB65F62" w:rsidR="00D90DAF" w:rsidRDefault="00D90DAF">
      <w:pPr>
        <w:pStyle w:val="TOC2"/>
        <w:rPr>
          <w:rFonts w:asciiTheme="minorHAnsi" w:eastAsiaTheme="minorEastAsia" w:hAnsiTheme="minorHAnsi" w:cstheme="minorBidi"/>
          <w:noProof/>
          <w:sz w:val="22"/>
          <w:szCs w:val="22"/>
          <w:lang w:eastAsia="en-NZ"/>
        </w:rPr>
      </w:pPr>
      <w:hyperlink w:anchor="_Toc80965867" w:history="1">
        <w:r w:rsidRPr="009754F3">
          <w:rPr>
            <w:rStyle w:val="Hyperlink"/>
            <w:noProof/>
          </w:rPr>
          <w:t>Appendix 3: Bringing our principles to life</w:t>
        </w:r>
        <w:r>
          <w:rPr>
            <w:noProof/>
            <w:webHidden/>
          </w:rPr>
          <w:tab/>
        </w:r>
        <w:r>
          <w:rPr>
            <w:noProof/>
            <w:webHidden/>
          </w:rPr>
          <w:fldChar w:fldCharType="begin"/>
        </w:r>
        <w:r>
          <w:rPr>
            <w:noProof/>
            <w:webHidden/>
          </w:rPr>
          <w:instrText xml:space="preserve"> PAGEREF _Toc80965867 \h </w:instrText>
        </w:r>
        <w:r>
          <w:rPr>
            <w:noProof/>
            <w:webHidden/>
          </w:rPr>
        </w:r>
        <w:r>
          <w:rPr>
            <w:noProof/>
            <w:webHidden/>
          </w:rPr>
          <w:fldChar w:fldCharType="separate"/>
        </w:r>
        <w:r w:rsidR="00F65B3A">
          <w:rPr>
            <w:noProof/>
            <w:webHidden/>
          </w:rPr>
          <w:t>58</w:t>
        </w:r>
        <w:r>
          <w:rPr>
            <w:noProof/>
            <w:webHidden/>
          </w:rPr>
          <w:fldChar w:fldCharType="end"/>
        </w:r>
      </w:hyperlink>
    </w:p>
    <w:p w14:paraId="299FB4DC" w14:textId="067494F8" w:rsidR="00D90DAF" w:rsidRDefault="00D90DAF">
      <w:pPr>
        <w:pStyle w:val="TOC2"/>
        <w:rPr>
          <w:rFonts w:asciiTheme="minorHAnsi" w:eastAsiaTheme="minorEastAsia" w:hAnsiTheme="minorHAnsi" w:cstheme="minorBidi"/>
          <w:noProof/>
          <w:sz w:val="22"/>
          <w:szCs w:val="22"/>
          <w:lang w:eastAsia="en-NZ"/>
        </w:rPr>
      </w:pPr>
      <w:hyperlink w:anchor="_Toc80965868" w:history="1">
        <w:r w:rsidRPr="009754F3">
          <w:rPr>
            <w:rStyle w:val="Hyperlink"/>
            <w:noProof/>
          </w:rPr>
          <w:t>Appendix 4: Key continuities</w:t>
        </w:r>
        <w:r>
          <w:rPr>
            <w:noProof/>
            <w:webHidden/>
          </w:rPr>
          <w:tab/>
        </w:r>
        <w:r>
          <w:rPr>
            <w:noProof/>
            <w:webHidden/>
          </w:rPr>
          <w:fldChar w:fldCharType="begin"/>
        </w:r>
        <w:r>
          <w:rPr>
            <w:noProof/>
            <w:webHidden/>
          </w:rPr>
          <w:instrText xml:space="preserve"> PAGEREF _Toc80965868 \h </w:instrText>
        </w:r>
        <w:r>
          <w:rPr>
            <w:noProof/>
            <w:webHidden/>
          </w:rPr>
        </w:r>
        <w:r>
          <w:rPr>
            <w:noProof/>
            <w:webHidden/>
          </w:rPr>
          <w:fldChar w:fldCharType="separate"/>
        </w:r>
        <w:r w:rsidR="00F65B3A">
          <w:rPr>
            <w:noProof/>
            <w:webHidden/>
          </w:rPr>
          <w:t>60</w:t>
        </w:r>
        <w:r>
          <w:rPr>
            <w:noProof/>
            <w:webHidden/>
          </w:rPr>
          <w:fldChar w:fldCharType="end"/>
        </w:r>
      </w:hyperlink>
    </w:p>
    <w:p w14:paraId="6EEA3263" w14:textId="6F39A4F7" w:rsidR="00D90DAF" w:rsidRDefault="00D90DAF">
      <w:pPr>
        <w:pStyle w:val="TOC2"/>
        <w:rPr>
          <w:rFonts w:asciiTheme="minorHAnsi" w:eastAsiaTheme="minorEastAsia" w:hAnsiTheme="minorHAnsi" w:cstheme="minorBidi"/>
          <w:noProof/>
          <w:sz w:val="22"/>
          <w:szCs w:val="22"/>
          <w:lang w:eastAsia="en-NZ"/>
        </w:rPr>
      </w:pPr>
      <w:hyperlink w:anchor="_Toc80965869" w:history="1">
        <w:r w:rsidRPr="009754F3">
          <w:rPr>
            <w:rStyle w:val="Hyperlink"/>
            <w:noProof/>
          </w:rPr>
          <w:t>Appendix 5: Making a submission</w:t>
        </w:r>
        <w:r>
          <w:rPr>
            <w:noProof/>
            <w:webHidden/>
          </w:rPr>
          <w:tab/>
        </w:r>
        <w:r>
          <w:rPr>
            <w:noProof/>
            <w:webHidden/>
          </w:rPr>
          <w:fldChar w:fldCharType="begin"/>
        </w:r>
        <w:r>
          <w:rPr>
            <w:noProof/>
            <w:webHidden/>
          </w:rPr>
          <w:instrText xml:space="preserve"> PAGEREF _Toc80965869 \h </w:instrText>
        </w:r>
        <w:r>
          <w:rPr>
            <w:noProof/>
            <w:webHidden/>
          </w:rPr>
        </w:r>
        <w:r>
          <w:rPr>
            <w:noProof/>
            <w:webHidden/>
          </w:rPr>
          <w:fldChar w:fldCharType="separate"/>
        </w:r>
        <w:r w:rsidR="00F65B3A">
          <w:rPr>
            <w:noProof/>
            <w:webHidden/>
          </w:rPr>
          <w:t>61</w:t>
        </w:r>
        <w:r>
          <w:rPr>
            <w:noProof/>
            <w:webHidden/>
          </w:rPr>
          <w:fldChar w:fldCharType="end"/>
        </w:r>
      </w:hyperlink>
    </w:p>
    <w:p w14:paraId="4F664E48" w14:textId="299BF155" w:rsidR="00C86248" w:rsidRDefault="00D90DAF">
      <w:r>
        <w:rPr>
          <w:rFonts w:ascii="Segoe UI Semibold" w:hAnsi="Segoe UI Semibold"/>
          <w:b/>
          <w:sz w:val="24"/>
        </w:rPr>
        <w:fldChar w:fldCharType="end"/>
      </w:r>
    </w:p>
    <w:p w14:paraId="4F664E49" w14:textId="77777777" w:rsidR="001957F4" w:rsidRDefault="001957F4" w:rsidP="001957F4">
      <w:pPr>
        <w:pStyle w:val="TOC1"/>
        <w:keepNext/>
      </w:pPr>
      <w:r>
        <w:t>List of Figures</w:t>
      </w:r>
    </w:p>
    <w:p w14:paraId="4F664E4A" w14:textId="24353F67" w:rsidR="000756FF" w:rsidRDefault="001957F4">
      <w:pPr>
        <w:pStyle w:val="TOC3"/>
        <w:rPr>
          <w:rFonts w:asciiTheme="minorHAnsi" w:eastAsiaTheme="minorEastAsia" w:hAnsiTheme="minorHAnsi" w:cstheme="minorBidi"/>
          <w:noProof/>
          <w:sz w:val="22"/>
          <w:szCs w:val="22"/>
          <w:lang w:eastAsia="en-NZ"/>
        </w:rPr>
      </w:pPr>
      <w:r>
        <w:fldChar w:fldCharType="begin"/>
      </w:r>
      <w:r>
        <w:instrText xml:space="preserve"> TOC \t "Figure,3" </w:instrText>
      </w:r>
      <w:r>
        <w:fldChar w:fldCharType="separate"/>
      </w:r>
      <w:r w:rsidR="000756FF">
        <w:rPr>
          <w:noProof/>
        </w:rPr>
        <w:t>Figure 1:</w:t>
      </w:r>
      <w:r w:rsidR="000756FF">
        <w:rPr>
          <w:noProof/>
        </w:rPr>
        <w:tab/>
        <w:t>Continuum of gambling behaviour and responses</w:t>
      </w:r>
      <w:r w:rsidR="000756FF">
        <w:rPr>
          <w:noProof/>
        </w:rPr>
        <w:tab/>
      </w:r>
      <w:r w:rsidR="000756FF">
        <w:rPr>
          <w:noProof/>
        </w:rPr>
        <w:fldChar w:fldCharType="begin"/>
      </w:r>
      <w:r w:rsidR="000756FF">
        <w:rPr>
          <w:noProof/>
        </w:rPr>
        <w:instrText xml:space="preserve"> PAGEREF _Toc80860342 \h </w:instrText>
      </w:r>
      <w:r w:rsidR="000756FF">
        <w:rPr>
          <w:noProof/>
        </w:rPr>
      </w:r>
      <w:r w:rsidR="000756FF">
        <w:rPr>
          <w:noProof/>
        </w:rPr>
        <w:fldChar w:fldCharType="separate"/>
      </w:r>
      <w:r w:rsidR="00F65B3A">
        <w:rPr>
          <w:noProof/>
        </w:rPr>
        <w:t>7</w:t>
      </w:r>
      <w:r w:rsidR="000756FF">
        <w:rPr>
          <w:noProof/>
        </w:rPr>
        <w:fldChar w:fldCharType="end"/>
      </w:r>
    </w:p>
    <w:p w14:paraId="4F664E4B" w14:textId="6200FA20" w:rsidR="000756FF" w:rsidRDefault="000756FF">
      <w:pPr>
        <w:pStyle w:val="TOC3"/>
        <w:rPr>
          <w:rFonts w:asciiTheme="minorHAnsi" w:eastAsiaTheme="minorEastAsia" w:hAnsiTheme="minorHAnsi" w:cstheme="minorBidi"/>
          <w:noProof/>
          <w:sz w:val="22"/>
          <w:szCs w:val="22"/>
          <w:lang w:eastAsia="en-NZ"/>
        </w:rPr>
      </w:pPr>
      <w:r>
        <w:rPr>
          <w:noProof/>
        </w:rPr>
        <w:t>Figure 2:</w:t>
      </w:r>
      <w:r>
        <w:rPr>
          <w:noProof/>
        </w:rPr>
        <w:tab/>
        <w:t>Draft strategic framework</w:t>
      </w:r>
      <w:r>
        <w:rPr>
          <w:noProof/>
        </w:rPr>
        <w:tab/>
      </w:r>
      <w:r>
        <w:rPr>
          <w:noProof/>
        </w:rPr>
        <w:fldChar w:fldCharType="begin"/>
      </w:r>
      <w:r>
        <w:rPr>
          <w:noProof/>
        </w:rPr>
        <w:instrText xml:space="preserve"> PAGEREF _Toc80860343 \h </w:instrText>
      </w:r>
      <w:r>
        <w:rPr>
          <w:noProof/>
        </w:rPr>
      </w:r>
      <w:r>
        <w:rPr>
          <w:noProof/>
        </w:rPr>
        <w:fldChar w:fldCharType="separate"/>
      </w:r>
      <w:r w:rsidR="00F65B3A">
        <w:rPr>
          <w:noProof/>
        </w:rPr>
        <w:t>18</w:t>
      </w:r>
      <w:r>
        <w:rPr>
          <w:noProof/>
        </w:rPr>
        <w:fldChar w:fldCharType="end"/>
      </w:r>
    </w:p>
    <w:p w14:paraId="4F664E4C" w14:textId="43DF996C" w:rsidR="000756FF" w:rsidRDefault="000756FF">
      <w:pPr>
        <w:pStyle w:val="TOC3"/>
        <w:rPr>
          <w:rFonts w:asciiTheme="minorHAnsi" w:eastAsiaTheme="minorEastAsia" w:hAnsiTheme="minorHAnsi" w:cstheme="minorBidi"/>
          <w:noProof/>
          <w:sz w:val="22"/>
          <w:szCs w:val="22"/>
          <w:lang w:eastAsia="en-NZ"/>
        </w:rPr>
      </w:pPr>
      <w:r>
        <w:rPr>
          <w:noProof/>
        </w:rPr>
        <w:t>Figure 3:</w:t>
      </w:r>
      <w:r>
        <w:rPr>
          <w:noProof/>
        </w:rPr>
        <w:tab/>
        <w:t>Framework for organising the strategic objectives</w:t>
      </w:r>
      <w:r>
        <w:rPr>
          <w:noProof/>
        </w:rPr>
        <w:tab/>
      </w:r>
      <w:r>
        <w:rPr>
          <w:noProof/>
        </w:rPr>
        <w:fldChar w:fldCharType="begin"/>
      </w:r>
      <w:r>
        <w:rPr>
          <w:noProof/>
        </w:rPr>
        <w:instrText xml:space="preserve"> PAGEREF _Toc80860344 \h </w:instrText>
      </w:r>
      <w:r>
        <w:rPr>
          <w:noProof/>
        </w:rPr>
      </w:r>
      <w:r>
        <w:rPr>
          <w:noProof/>
        </w:rPr>
        <w:fldChar w:fldCharType="separate"/>
      </w:r>
      <w:r w:rsidR="00F65B3A">
        <w:rPr>
          <w:noProof/>
        </w:rPr>
        <w:t>57</w:t>
      </w:r>
      <w:r>
        <w:rPr>
          <w:noProof/>
        </w:rPr>
        <w:fldChar w:fldCharType="end"/>
      </w:r>
    </w:p>
    <w:p w14:paraId="4F664E4D" w14:textId="77777777" w:rsidR="001957F4" w:rsidRPr="000A0158" w:rsidRDefault="001957F4" w:rsidP="001957F4">
      <w:r>
        <w:fldChar w:fldCharType="end"/>
      </w:r>
    </w:p>
    <w:p w14:paraId="4F664E4E" w14:textId="77777777" w:rsidR="002B76A7" w:rsidRDefault="002B76A7" w:rsidP="002B76A7">
      <w:pPr>
        <w:pStyle w:val="TOC1"/>
        <w:keepNext/>
      </w:pPr>
      <w:r>
        <w:lastRenderedPageBreak/>
        <w:t>List of Tables</w:t>
      </w:r>
    </w:p>
    <w:p w14:paraId="4F664E4F" w14:textId="4B8F9864" w:rsidR="000756FF" w:rsidRDefault="002B76A7" w:rsidP="000756FF">
      <w:pPr>
        <w:pStyle w:val="TOC3"/>
        <w:keepNext/>
        <w:rPr>
          <w:rFonts w:asciiTheme="minorHAnsi" w:eastAsiaTheme="minorEastAsia" w:hAnsiTheme="minorHAnsi" w:cstheme="minorBidi"/>
          <w:noProof/>
          <w:sz w:val="22"/>
          <w:szCs w:val="22"/>
          <w:lang w:eastAsia="en-NZ"/>
        </w:rPr>
      </w:pPr>
      <w:r>
        <w:rPr>
          <w:sz w:val="20"/>
        </w:rPr>
        <w:fldChar w:fldCharType="begin"/>
      </w:r>
      <w:r>
        <w:instrText xml:space="preserve"> TOC \t "Table,3" </w:instrText>
      </w:r>
      <w:r>
        <w:rPr>
          <w:sz w:val="20"/>
        </w:rPr>
        <w:fldChar w:fldCharType="separate"/>
      </w:r>
      <w:r w:rsidR="000756FF">
        <w:rPr>
          <w:noProof/>
        </w:rPr>
        <w:t>Table 1:</w:t>
      </w:r>
      <w:r w:rsidR="000756FF">
        <w:rPr>
          <w:noProof/>
        </w:rPr>
        <w:tab/>
        <w:t>Service plan action areas</w:t>
      </w:r>
      <w:r w:rsidR="000756FF">
        <w:rPr>
          <w:noProof/>
        </w:rPr>
        <w:tab/>
      </w:r>
      <w:r w:rsidR="000756FF">
        <w:rPr>
          <w:noProof/>
        </w:rPr>
        <w:fldChar w:fldCharType="begin"/>
      </w:r>
      <w:r w:rsidR="000756FF">
        <w:rPr>
          <w:noProof/>
        </w:rPr>
        <w:instrText xml:space="preserve"> PAGEREF _Toc80860345 \h </w:instrText>
      </w:r>
      <w:r w:rsidR="000756FF">
        <w:rPr>
          <w:noProof/>
        </w:rPr>
      </w:r>
      <w:r w:rsidR="000756FF">
        <w:rPr>
          <w:noProof/>
        </w:rPr>
        <w:fldChar w:fldCharType="separate"/>
      </w:r>
      <w:r w:rsidR="00F65B3A">
        <w:rPr>
          <w:noProof/>
        </w:rPr>
        <w:t>24</w:t>
      </w:r>
      <w:r w:rsidR="000756FF">
        <w:rPr>
          <w:noProof/>
        </w:rPr>
        <w:fldChar w:fldCharType="end"/>
      </w:r>
    </w:p>
    <w:p w14:paraId="4F664E50" w14:textId="545A9FC2" w:rsidR="000756FF" w:rsidRDefault="000756FF" w:rsidP="000756FF">
      <w:pPr>
        <w:pStyle w:val="TOC3"/>
        <w:keepNext/>
        <w:rPr>
          <w:rFonts w:asciiTheme="minorHAnsi" w:eastAsiaTheme="minorEastAsia" w:hAnsiTheme="minorHAnsi" w:cstheme="minorBidi"/>
          <w:noProof/>
          <w:sz w:val="22"/>
          <w:szCs w:val="22"/>
          <w:lang w:eastAsia="en-NZ"/>
        </w:rPr>
      </w:pPr>
      <w:r>
        <w:rPr>
          <w:noProof/>
        </w:rPr>
        <w:t>Table 2:</w:t>
      </w:r>
      <w:r>
        <w:rPr>
          <w:noProof/>
        </w:rPr>
        <w:tab/>
        <w:t>Budget to prevent and minimise gambling harm (GST exclusive), 2022/23 to 2024/25</w:t>
      </w:r>
      <w:r>
        <w:rPr>
          <w:noProof/>
        </w:rPr>
        <w:tab/>
      </w:r>
      <w:r>
        <w:rPr>
          <w:noProof/>
        </w:rPr>
        <w:fldChar w:fldCharType="begin"/>
      </w:r>
      <w:r>
        <w:rPr>
          <w:noProof/>
        </w:rPr>
        <w:instrText xml:space="preserve"> PAGEREF _Toc80860346 \h </w:instrText>
      </w:r>
      <w:r>
        <w:rPr>
          <w:noProof/>
        </w:rPr>
      </w:r>
      <w:r>
        <w:rPr>
          <w:noProof/>
        </w:rPr>
        <w:fldChar w:fldCharType="separate"/>
      </w:r>
      <w:r w:rsidR="00F65B3A">
        <w:rPr>
          <w:noProof/>
        </w:rPr>
        <w:t>25</w:t>
      </w:r>
      <w:r>
        <w:rPr>
          <w:noProof/>
        </w:rPr>
        <w:fldChar w:fldCharType="end"/>
      </w:r>
    </w:p>
    <w:p w14:paraId="4F664E51" w14:textId="77F6704C" w:rsidR="000756FF" w:rsidRDefault="000756FF" w:rsidP="000756FF">
      <w:pPr>
        <w:pStyle w:val="TOC3"/>
        <w:keepNext/>
        <w:rPr>
          <w:rFonts w:asciiTheme="minorHAnsi" w:eastAsiaTheme="minorEastAsia" w:hAnsiTheme="minorHAnsi" w:cstheme="minorBidi"/>
          <w:noProof/>
          <w:sz w:val="22"/>
          <w:szCs w:val="22"/>
          <w:lang w:eastAsia="en-NZ"/>
        </w:rPr>
      </w:pPr>
      <w:r>
        <w:rPr>
          <w:noProof/>
        </w:rPr>
        <w:t>Table 3:</w:t>
      </w:r>
      <w:r>
        <w:rPr>
          <w:noProof/>
        </w:rPr>
        <w:tab/>
        <w:t>Investment area actions</w:t>
      </w:r>
      <w:r>
        <w:rPr>
          <w:noProof/>
        </w:rPr>
        <w:tab/>
      </w:r>
      <w:r>
        <w:rPr>
          <w:noProof/>
        </w:rPr>
        <w:fldChar w:fldCharType="begin"/>
      </w:r>
      <w:r>
        <w:rPr>
          <w:noProof/>
        </w:rPr>
        <w:instrText xml:space="preserve"> PAGEREF _Toc80860347 \h </w:instrText>
      </w:r>
      <w:r>
        <w:rPr>
          <w:noProof/>
        </w:rPr>
      </w:r>
      <w:r>
        <w:rPr>
          <w:noProof/>
        </w:rPr>
        <w:fldChar w:fldCharType="separate"/>
      </w:r>
      <w:r w:rsidR="00F65B3A">
        <w:rPr>
          <w:noProof/>
        </w:rPr>
        <w:t>27</w:t>
      </w:r>
      <w:r>
        <w:rPr>
          <w:noProof/>
        </w:rPr>
        <w:fldChar w:fldCharType="end"/>
      </w:r>
    </w:p>
    <w:p w14:paraId="4F664E52" w14:textId="442F9591" w:rsidR="000756FF" w:rsidRDefault="000756FF" w:rsidP="000756FF">
      <w:pPr>
        <w:pStyle w:val="TOC3"/>
        <w:keepNext/>
        <w:rPr>
          <w:rFonts w:asciiTheme="minorHAnsi" w:eastAsiaTheme="minorEastAsia" w:hAnsiTheme="minorHAnsi" w:cstheme="minorBidi"/>
          <w:noProof/>
          <w:sz w:val="22"/>
          <w:szCs w:val="22"/>
          <w:lang w:eastAsia="en-NZ"/>
        </w:rPr>
      </w:pPr>
      <w:r>
        <w:rPr>
          <w:noProof/>
        </w:rPr>
        <w:t>Table 4:</w:t>
      </w:r>
      <w:r>
        <w:rPr>
          <w:noProof/>
        </w:rPr>
        <w:tab/>
        <w:t>Public health budget (GST exclusive), by service area, 2022/23 to 2024/25</w:t>
      </w:r>
      <w:r>
        <w:rPr>
          <w:noProof/>
        </w:rPr>
        <w:tab/>
      </w:r>
      <w:r>
        <w:rPr>
          <w:noProof/>
        </w:rPr>
        <w:fldChar w:fldCharType="begin"/>
      </w:r>
      <w:r>
        <w:rPr>
          <w:noProof/>
        </w:rPr>
        <w:instrText xml:space="preserve"> PAGEREF _Toc80860348 \h </w:instrText>
      </w:r>
      <w:r>
        <w:rPr>
          <w:noProof/>
        </w:rPr>
      </w:r>
      <w:r>
        <w:rPr>
          <w:noProof/>
        </w:rPr>
        <w:fldChar w:fldCharType="separate"/>
      </w:r>
      <w:r w:rsidR="00F65B3A">
        <w:rPr>
          <w:noProof/>
        </w:rPr>
        <w:t>28</w:t>
      </w:r>
      <w:r>
        <w:rPr>
          <w:noProof/>
        </w:rPr>
        <w:fldChar w:fldCharType="end"/>
      </w:r>
    </w:p>
    <w:p w14:paraId="4F664E53" w14:textId="6D953FAB" w:rsidR="000756FF" w:rsidRDefault="000756FF" w:rsidP="000756FF">
      <w:pPr>
        <w:pStyle w:val="TOC3"/>
        <w:keepNext/>
        <w:rPr>
          <w:rFonts w:asciiTheme="minorHAnsi" w:eastAsiaTheme="minorEastAsia" w:hAnsiTheme="minorHAnsi" w:cstheme="minorBidi"/>
          <w:noProof/>
          <w:sz w:val="22"/>
          <w:szCs w:val="22"/>
          <w:lang w:eastAsia="en-NZ"/>
        </w:rPr>
      </w:pPr>
      <w:r>
        <w:rPr>
          <w:noProof/>
        </w:rPr>
        <w:t>Table 5:</w:t>
      </w:r>
      <w:r>
        <w:rPr>
          <w:noProof/>
        </w:rPr>
        <w:tab/>
        <w:t>Intervention services budget (GST exclusive), by service area, 2022/23 to 2024/25</w:t>
      </w:r>
      <w:r>
        <w:rPr>
          <w:noProof/>
        </w:rPr>
        <w:tab/>
      </w:r>
      <w:r>
        <w:rPr>
          <w:noProof/>
        </w:rPr>
        <w:fldChar w:fldCharType="begin"/>
      </w:r>
      <w:r>
        <w:rPr>
          <w:noProof/>
        </w:rPr>
        <w:instrText xml:space="preserve"> PAGEREF _Toc80860349 \h </w:instrText>
      </w:r>
      <w:r>
        <w:rPr>
          <w:noProof/>
        </w:rPr>
      </w:r>
      <w:r>
        <w:rPr>
          <w:noProof/>
        </w:rPr>
        <w:fldChar w:fldCharType="separate"/>
      </w:r>
      <w:r w:rsidR="00F65B3A">
        <w:rPr>
          <w:noProof/>
        </w:rPr>
        <w:t>32</w:t>
      </w:r>
      <w:r>
        <w:rPr>
          <w:noProof/>
        </w:rPr>
        <w:fldChar w:fldCharType="end"/>
      </w:r>
    </w:p>
    <w:p w14:paraId="4F664E54" w14:textId="69DB8F37" w:rsidR="000756FF" w:rsidRDefault="000756FF" w:rsidP="000756FF">
      <w:pPr>
        <w:pStyle w:val="TOC3"/>
        <w:keepNext/>
        <w:rPr>
          <w:rFonts w:asciiTheme="minorHAnsi" w:eastAsiaTheme="minorEastAsia" w:hAnsiTheme="minorHAnsi" w:cstheme="minorBidi"/>
          <w:noProof/>
          <w:sz w:val="22"/>
          <w:szCs w:val="22"/>
          <w:lang w:eastAsia="en-NZ"/>
        </w:rPr>
      </w:pPr>
      <w:r>
        <w:rPr>
          <w:noProof/>
        </w:rPr>
        <w:t>Table 6</w:t>
      </w:r>
      <w:r>
        <w:rPr>
          <w:rFonts w:cstheme="minorHAnsi"/>
          <w:noProof/>
        </w:rPr>
        <w:t>:</w:t>
      </w:r>
      <w:r>
        <w:rPr>
          <w:rFonts w:cstheme="minorHAnsi"/>
          <w:noProof/>
        </w:rPr>
        <w:tab/>
      </w:r>
      <w:r w:rsidRPr="00141B45">
        <w:rPr>
          <w:rFonts w:cstheme="minorHAnsi"/>
          <w:noProof/>
        </w:rPr>
        <w:t>Research and evaluation budget (GST exclusive),</w:t>
      </w:r>
      <w:r>
        <w:rPr>
          <w:noProof/>
        </w:rPr>
        <w:t xml:space="preserve"> 2022/23 to 2024/25</w:t>
      </w:r>
      <w:r>
        <w:rPr>
          <w:noProof/>
        </w:rPr>
        <w:tab/>
      </w:r>
      <w:r>
        <w:rPr>
          <w:noProof/>
        </w:rPr>
        <w:fldChar w:fldCharType="begin"/>
      </w:r>
      <w:r>
        <w:rPr>
          <w:noProof/>
        </w:rPr>
        <w:instrText xml:space="preserve"> PAGEREF _Toc80860350 \h </w:instrText>
      </w:r>
      <w:r>
        <w:rPr>
          <w:noProof/>
        </w:rPr>
      </w:r>
      <w:r>
        <w:rPr>
          <w:noProof/>
        </w:rPr>
        <w:fldChar w:fldCharType="separate"/>
      </w:r>
      <w:r w:rsidR="00F65B3A">
        <w:rPr>
          <w:noProof/>
        </w:rPr>
        <w:t>35</w:t>
      </w:r>
      <w:r>
        <w:rPr>
          <w:noProof/>
        </w:rPr>
        <w:fldChar w:fldCharType="end"/>
      </w:r>
    </w:p>
    <w:p w14:paraId="4F664E55" w14:textId="7BDC78F2" w:rsidR="000756FF" w:rsidRDefault="000756FF">
      <w:pPr>
        <w:pStyle w:val="TOC3"/>
        <w:rPr>
          <w:rFonts w:asciiTheme="minorHAnsi" w:eastAsiaTheme="minorEastAsia" w:hAnsiTheme="minorHAnsi" w:cstheme="minorBidi"/>
          <w:noProof/>
          <w:sz w:val="22"/>
          <w:szCs w:val="22"/>
          <w:lang w:eastAsia="en-NZ"/>
        </w:rPr>
      </w:pPr>
      <w:r>
        <w:rPr>
          <w:noProof/>
        </w:rPr>
        <w:t>Table 7:</w:t>
      </w:r>
      <w:r>
        <w:rPr>
          <w:noProof/>
        </w:rPr>
        <w:tab/>
        <w:t>Budget for new services, innovation pilots and investments (GST exclusive), 2022/23 to 2024/25</w:t>
      </w:r>
      <w:r>
        <w:rPr>
          <w:noProof/>
        </w:rPr>
        <w:tab/>
      </w:r>
      <w:r>
        <w:rPr>
          <w:noProof/>
        </w:rPr>
        <w:fldChar w:fldCharType="begin"/>
      </w:r>
      <w:r>
        <w:rPr>
          <w:noProof/>
        </w:rPr>
        <w:instrText xml:space="preserve"> PAGEREF _Toc80860351 \h </w:instrText>
      </w:r>
      <w:r>
        <w:rPr>
          <w:noProof/>
        </w:rPr>
      </w:r>
      <w:r>
        <w:rPr>
          <w:noProof/>
        </w:rPr>
        <w:fldChar w:fldCharType="separate"/>
      </w:r>
      <w:r w:rsidR="00F65B3A">
        <w:rPr>
          <w:noProof/>
        </w:rPr>
        <w:t>37</w:t>
      </w:r>
      <w:r>
        <w:rPr>
          <w:noProof/>
        </w:rPr>
        <w:fldChar w:fldCharType="end"/>
      </w:r>
    </w:p>
    <w:p w14:paraId="4F664E56" w14:textId="59E38F82" w:rsidR="000756FF" w:rsidRDefault="000756FF">
      <w:pPr>
        <w:pStyle w:val="TOC3"/>
        <w:rPr>
          <w:rFonts w:asciiTheme="minorHAnsi" w:eastAsiaTheme="minorEastAsia" w:hAnsiTheme="minorHAnsi" w:cstheme="minorBidi"/>
          <w:noProof/>
          <w:sz w:val="22"/>
          <w:szCs w:val="22"/>
          <w:lang w:eastAsia="en-NZ"/>
        </w:rPr>
      </w:pPr>
      <w:r>
        <w:rPr>
          <w:noProof/>
        </w:rPr>
        <w:t>Table 8:</w:t>
      </w:r>
      <w:r>
        <w:rPr>
          <w:noProof/>
        </w:rPr>
        <w:tab/>
        <w:t>Budget for Ministry operating costs (GST exclusive), 2022/23 to 2024/25</w:t>
      </w:r>
      <w:r>
        <w:rPr>
          <w:noProof/>
        </w:rPr>
        <w:tab/>
      </w:r>
      <w:r>
        <w:rPr>
          <w:noProof/>
        </w:rPr>
        <w:fldChar w:fldCharType="begin"/>
      </w:r>
      <w:r>
        <w:rPr>
          <w:noProof/>
        </w:rPr>
        <w:instrText xml:space="preserve"> PAGEREF _Toc80860352 \h </w:instrText>
      </w:r>
      <w:r>
        <w:rPr>
          <w:noProof/>
        </w:rPr>
      </w:r>
      <w:r>
        <w:rPr>
          <w:noProof/>
        </w:rPr>
        <w:fldChar w:fldCharType="separate"/>
      </w:r>
      <w:r w:rsidR="00F65B3A">
        <w:rPr>
          <w:noProof/>
        </w:rPr>
        <w:t>41</w:t>
      </w:r>
      <w:r>
        <w:rPr>
          <w:noProof/>
        </w:rPr>
        <w:fldChar w:fldCharType="end"/>
      </w:r>
    </w:p>
    <w:p w14:paraId="4F664E57" w14:textId="08769CAB" w:rsidR="000756FF" w:rsidRDefault="000756FF">
      <w:pPr>
        <w:pStyle w:val="TOC3"/>
        <w:rPr>
          <w:rFonts w:asciiTheme="minorHAnsi" w:eastAsiaTheme="minorEastAsia" w:hAnsiTheme="minorHAnsi" w:cstheme="minorBidi"/>
          <w:noProof/>
          <w:sz w:val="22"/>
          <w:szCs w:val="22"/>
          <w:lang w:eastAsia="en-NZ"/>
        </w:rPr>
      </w:pPr>
      <w:r>
        <w:rPr>
          <w:noProof/>
        </w:rPr>
        <w:t>Table 9:</w:t>
      </w:r>
      <w:r>
        <w:rPr>
          <w:noProof/>
        </w:rPr>
        <w:tab/>
        <w:t>Gambling expenditure and proportions from the four main gambling sectors, 2009/10 to 2019/20</w:t>
      </w:r>
      <w:r>
        <w:rPr>
          <w:noProof/>
        </w:rPr>
        <w:tab/>
      </w:r>
      <w:r>
        <w:rPr>
          <w:noProof/>
        </w:rPr>
        <w:fldChar w:fldCharType="begin"/>
      </w:r>
      <w:r>
        <w:rPr>
          <w:noProof/>
        </w:rPr>
        <w:instrText xml:space="preserve"> PAGEREF _Toc80860353 \h </w:instrText>
      </w:r>
      <w:r>
        <w:rPr>
          <w:noProof/>
        </w:rPr>
      </w:r>
      <w:r>
        <w:rPr>
          <w:noProof/>
        </w:rPr>
        <w:fldChar w:fldCharType="separate"/>
      </w:r>
      <w:r w:rsidR="00F65B3A">
        <w:rPr>
          <w:noProof/>
        </w:rPr>
        <w:t>44</w:t>
      </w:r>
      <w:r>
        <w:rPr>
          <w:noProof/>
        </w:rPr>
        <w:fldChar w:fldCharType="end"/>
      </w:r>
    </w:p>
    <w:p w14:paraId="4F664E58" w14:textId="44C22A54" w:rsidR="000756FF" w:rsidRDefault="000756FF">
      <w:pPr>
        <w:pStyle w:val="TOC3"/>
        <w:rPr>
          <w:rFonts w:asciiTheme="minorHAnsi" w:eastAsiaTheme="minorEastAsia" w:hAnsiTheme="minorHAnsi" w:cstheme="minorBidi"/>
          <w:noProof/>
          <w:sz w:val="22"/>
          <w:szCs w:val="22"/>
          <w:lang w:eastAsia="en-NZ"/>
        </w:rPr>
      </w:pPr>
      <w:r>
        <w:rPr>
          <w:noProof/>
        </w:rPr>
        <w:t>Table 10:</w:t>
      </w:r>
      <w:r>
        <w:rPr>
          <w:noProof/>
        </w:rPr>
        <w:tab/>
        <w:t>Presentations and proportions attributed to the four main gambling sectors, 2011/12 to 2020</w:t>
      </w:r>
      <w:r>
        <w:rPr>
          <w:noProof/>
        </w:rPr>
        <w:tab/>
      </w:r>
      <w:r>
        <w:rPr>
          <w:noProof/>
        </w:rPr>
        <w:fldChar w:fldCharType="begin"/>
      </w:r>
      <w:r>
        <w:rPr>
          <w:noProof/>
        </w:rPr>
        <w:instrText xml:space="preserve"> PAGEREF _Toc80860354 \h </w:instrText>
      </w:r>
      <w:r>
        <w:rPr>
          <w:noProof/>
        </w:rPr>
      </w:r>
      <w:r>
        <w:rPr>
          <w:noProof/>
        </w:rPr>
        <w:fldChar w:fldCharType="separate"/>
      </w:r>
      <w:r w:rsidR="00F65B3A">
        <w:rPr>
          <w:noProof/>
        </w:rPr>
        <w:t>46</w:t>
      </w:r>
      <w:r>
        <w:rPr>
          <w:noProof/>
        </w:rPr>
        <w:fldChar w:fldCharType="end"/>
      </w:r>
    </w:p>
    <w:p w14:paraId="4F664E59" w14:textId="6616B719" w:rsidR="000756FF" w:rsidRDefault="000756FF">
      <w:pPr>
        <w:pStyle w:val="TOC3"/>
        <w:rPr>
          <w:rFonts w:asciiTheme="minorHAnsi" w:eastAsiaTheme="minorEastAsia" w:hAnsiTheme="minorHAnsi" w:cstheme="minorBidi"/>
          <w:noProof/>
          <w:sz w:val="22"/>
          <w:szCs w:val="22"/>
          <w:lang w:eastAsia="en-NZ"/>
        </w:rPr>
      </w:pPr>
      <w:r>
        <w:rPr>
          <w:noProof/>
        </w:rPr>
        <w:t>Table 11:</w:t>
      </w:r>
      <w:r>
        <w:rPr>
          <w:noProof/>
        </w:rPr>
        <w:tab/>
        <w:t>Forecast expenditure by sector (GST-inclusive), 2022/23 to 2024/25</w:t>
      </w:r>
      <w:r>
        <w:rPr>
          <w:noProof/>
        </w:rPr>
        <w:tab/>
      </w:r>
      <w:r>
        <w:rPr>
          <w:noProof/>
        </w:rPr>
        <w:fldChar w:fldCharType="begin"/>
      </w:r>
      <w:r>
        <w:rPr>
          <w:noProof/>
        </w:rPr>
        <w:instrText xml:space="preserve"> PAGEREF _Toc80860355 \h </w:instrText>
      </w:r>
      <w:r>
        <w:rPr>
          <w:noProof/>
        </w:rPr>
      </w:r>
      <w:r>
        <w:rPr>
          <w:noProof/>
        </w:rPr>
        <w:fldChar w:fldCharType="separate"/>
      </w:r>
      <w:r w:rsidR="00F65B3A">
        <w:rPr>
          <w:noProof/>
        </w:rPr>
        <w:t>49</w:t>
      </w:r>
      <w:r>
        <w:rPr>
          <w:noProof/>
        </w:rPr>
        <w:fldChar w:fldCharType="end"/>
      </w:r>
    </w:p>
    <w:p w14:paraId="4F664E5A" w14:textId="60754B57" w:rsidR="000756FF" w:rsidRDefault="000756FF">
      <w:pPr>
        <w:pStyle w:val="TOC3"/>
        <w:rPr>
          <w:rFonts w:asciiTheme="minorHAnsi" w:eastAsiaTheme="minorEastAsia" w:hAnsiTheme="minorHAnsi" w:cstheme="minorBidi"/>
          <w:noProof/>
          <w:sz w:val="22"/>
          <w:szCs w:val="22"/>
          <w:lang w:eastAsia="en-NZ"/>
        </w:rPr>
      </w:pPr>
      <w:r>
        <w:rPr>
          <w:noProof/>
        </w:rPr>
        <w:t>Table 12:</w:t>
      </w:r>
      <w:r>
        <w:rPr>
          <w:noProof/>
        </w:rPr>
        <w:tab/>
        <w:t>Estimated underpayment or overpayment of problem gambling levy, 2004/05 to 2021/22, by sector</w:t>
      </w:r>
      <w:r>
        <w:rPr>
          <w:noProof/>
        </w:rPr>
        <w:tab/>
      </w:r>
      <w:r>
        <w:rPr>
          <w:noProof/>
        </w:rPr>
        <w:fldChar w:fldCharType="begin"/>
      </w:r>
      <w:r>
        <w:rPr>
          <w:noProof/>
        </w:rPr>
        <w:instrText xml:space="preserve"> PAGEREF _Toc80860356 \h </w:instrText>
      </w:r>
      <w:r>
        <w:rPr>
          <w:noProof/>
        </w:rPr>
      </w:r>
      <w:r>
        <w:rPr>
          <w:noProof/>
        </w:rPr>
        <w:fldChar w:fldCharType="separate"/>
      </w:r>
      <w:r w:rsidR="00F65B3A">
        <w:rPr>
          <w:noProof/>
        </w:rPr>
        <w:t>50</w:t>
      </w:r>
      <w:r>
        <w:rPr>
          <w:noProof/>
        </w:rPr>
        <w:fldChar w:fldCharType="end"/>
      </w:r>
    </w:p>
    <w:p w14:paraId="4F664E5B" w14:textId="15ED52BC" w:rsidR="000756FF" w:rsidRDefault="000756FF">
      <w:pPr>
        <w:pStyle w:val="TOC3"/>
        <w:rPr>
          <w:rFonts w:asciiTheme="minorHAnsi" w:eastAsiaTheme="minorEastAsia" w:hAnsiTheme="minorHAnsi" w:cstheme="minorBidi"/>
          <w:noProof/>
          <w:sz w:val="22"/>
          <w:szCs w:val="22"/>
          <w:lang w:eastAsia="en-NZ"/>
        </w:rPr>
      </w:pPr>
      <w:r>
        <w:rPr>
          <w:noProof/>
        </w:rPr>
        <w:t>Table 13:</w:t>
      </w:r>
      <w:r>
        <w:rPr>
          <w:noProof/>
        </w:rPr>
        <w:tab/>
        <w:t>Share of expenditure and presentations by sector, 2020</w:t>
      </w:r>
      <w:r>
        <w:rPr>
          <w:noProof/>
        </w:rPr>
        <w:tab/>
      </w:r>
      <w:r>
        <w:rPr>
          <w:noProof/>
        </w:rPr>
        <w:fldChar w:fldCharType="begin"/>
      </w:r>
      <w:r>
        <w:rPr>
          <w:noProof/>
        </w:rPr>
        <w:instrText xml:space="preserve"> PAGEREF _Toc80860357 \h </w:instrText>
      </w:r>
      <w:r>
        <w:rPr>
          <w:noProof/>
        </w:rPr>
      </w:r>
      <w:r>
        <w:rPr>
          <w:noProof/>
        </w:rPr>
        <w:fldChar w:fldCharType="separate"/>
      </w:r>
      <w:r w:rsidR="00F65B3A">
        <w:rPr>
          <w:noProof/>
        </w:rPr>
        <w:t>51</w:t>
      </w:r>
      <w:r>
        <w:rPr>
          <w:noProof/>
        </w:rPr>
        <w:fldChar w:fldCharType="end"/>
      </w:r>
    </w:p>
    <w:p w14:paraId="4F664E5C" w14:textId="255BBE56" w:rsidR="000756FF" w:rsidRDefault="000756FF">
      <w:pPr>
        <w:pStyle w:val="TOC3"/>
        <w:rPr>
          <w:rFonts w:asciiTheme="minorHAnsi" w:eastAsiaTheme="minorEastAsia" w:hAnsiTheme="minorHAnsi" w:cstheme="minorBidi"/>
          <w:noProof/>
          <w:sz w:val="22"/>
          <w:szCs w:val="22"/>
          <w:lang w:eastAsia="en-NZ"/>
        </w:rPr>
      </w:pPr>
      <w:r>
        <w:rPr>
          <w:noProof/>
        </w:rPr>
        <w:t>Table 14:</w:t>
      </w:r>
      <w:r>
        <w:rPr>
          <w:noProof/>
        </w:rPr>
        <w:tab/>
        <w:t>Estimated levy rates and payments ($m) per sector, 5/95 weighting</w:t>
      </w:r>
      <w:r>
        <w:rPr>
          <w:noProof/>
        </w:rPr>
        <w:tab/>
      </w:r>
      <w:r>
        <w:rPr>
          <w:noProof/>
        </w:rPr>
        <w:fldChar w:fldCharType="begin"/>
      </w:r>
      <w:r>
        <w:rPr>
          <w:noProof/>
        </w:rPr>
        <w:instrText xml:space="preserve"> PAGEREF _Toc80860358 \h </w:instrText>
      </w:r>
      <w:r>
        <w:rPr>
          <w:noProof/>
        </w:rPr>
      </w:r>
      <w:r>
        <w:rPr>
          <w:noProof/>
        </w:rPr>
        <w:fldChar w:fldCharType="separate"/>
      </w:r>
      <w:r w:rsidR="00F65B3A">
        <w:rPr>
          <w:noProof/>
        </w:rPr>
        <w:t>51</w:t>
      </w:r>
      <w:r>
        <w:rPr>
          <w:noProof/>
        </w:rPr>
        <w:fldChar w:fldCharType="end"/>
      </w:r>
    </w:p>
    <w:p w14:paraId="4F664E5D" w14:textId="14929329" w:rsidR="000756FF" w:rsidRDefault="000756FF">
      <w:pPr>
        <w:pStyle w:val="TOC3"/>
        <w:rPr>
          <w:rFonts w:asciiTheme="minorHAnsi" w:eastAsiaTheme="minorEastAsia" w:hAnsiTheme="minorHAnsi" w:cstheme="minorBidi"/>
          <w:noProof/>
          <w:sz w:val="22"/>
          <w:szCs w:val="22"/>
          <w:lang w:eastAsia="en-NZ"/>
        </w:rPr>
      </w:pPr>
      <w:r>
        <w:rPr>
          <w:noProof/>
        </w:rPr>
        <w:t>Table 15:</w:t>
      </w:r>
      <w:r>
        <w:rPr>
          <w:noProof/>
        </w:rPr>
        <w:tab/>
        <w:t>Estimated levy rates and payments ($m) per sector, 10/90 weighting</w:t>
      </w:r>
      <w:r>
        <w:rPr>
          <w:noProof/>
        </w:rPr>
        <w:tab/>
      </w:r>
      <w:r>
        <w:rPr>
          <w:noProof/>
        </w:rPr>
        <w:fldChar w:fldCharType="begin"/>
      </w:r>
      <w:r>
        <w:rPr>
          <w:noProof/>
        </w:rPr>
        <w:instrText xml:space="preserve"> PAGEREF _Toc80860359 \h </w:instrText>
      </w:r>
      <w:r>
        <w:rPr>
          <w:noProof/>
        </w:rPr>
      </w:r>
      <w:r>
        <w:rPr>
          <w:noProof/>
        </w:rPr>
        <w:fldChar w:fldCharType="separate"/>
      </w:r>
      <w:r w:rsidR="00F65B3A">
        <w:rPr>
          <w:noProof/>
        </w:rPr>
        <w:t>51</w:t>
      </w:r>
      <w:r>
        <w:rPr>
          <w:noProof/>
        </w:rPr>
        <w:fldChar w:fldCharType="end"/>
      </w:r>
    </w:p>
    <w:p w14:paraId="4F664E5E" w14:textId="4B182939" w:rsidR="000756FF" w:rsidRDefault="000756FF">
      <w:pPr>
        <w:pStyle w:val="TOC3"/>
        <w:rPr>
          <w:rFonts w:asciiTheme="minorHAnsi" w:eastAsiaTheme="minorEastAsia" w:hAnsiTheme="minorHAnsi" w:cstheme="minorBidi"/>
          <w:noProof/>
          <w:sz w:val="22"/>
          <w:szCs w:val="22"/>
          <w:lang w:eastAsia="en-NZ"/>
        </w:rPr>
      </w:pPr>
      <w:r>
        <w:rPr>
          <w:noProof/>
        </w:rPr>
        <w:t>Table 16:</w:t>
      </w:r>
      <w:r>
        <w:rPr>
          <w:noProof/>
        </w:rPr>
        <w:tab/>
        <w:t>Estimated levy rates and payments ($m) per sector, 20/80 weighting</w:t>
      </w:r>
      <w:r>
        <w:rPr>
          <w:noProof/>
        </w:rPr>
        <w:tab/>
      </w:r>
      <w:r>
        <w:rPr>
          <w:noProof/>
        </w:rPr>
        <w:fldChar w:fldCharType="begin"/>
      </w:r>
      <w:r>
        <w:rPr>
          <w:noProof/>
        </w:rPr>
        <w:instrText xml:space="preserve"> PAGEREF _Toc80860360 \h </w:instrText>
      </w:r>
      <w:r>
        <w:rPr>
          <w:noProof/>
        </w:rPr>
      </w:r>
      <w:r>
        <w:rPr>
          <w:noProof/>
        </w:rPr>
        <w:fldChar w:fldCharType="separate"/>
      </w:r>
      <w:r w:rsidR="00F65B3A">
        <w:rPr>
          <w:noProof/>
        </w:rPr>
        <w:t>52</w:t>
      </w:r>
      <w:r>
        <w:rPr>
          <w:noProof/>
        </w:rPr>
        <w:fldChar w:fldCharType="end"/>
      </w:r>
    </w:p>
    <w:p w14:paraId="4F664E5F" w14:textId="00CE7F1D" w:rsidR="000756FF" w:rsidRDefault="000756FF">
      <w:pPr>
        <w:pStyle w:val="TOC3"/>
        <w:rPr>
          <w:rFonts w:asciiTheme="minorHAnsi" w:eastAsiaTheme="minorEastAsia" w:hAnsiTheme="minorHAnsi" w:cstheme="minorBidi"/>
          <w:noProof/>
          <w:sz w:val="22"/>
          <w:szCs w:val="22"/>
          <w:lang w:eastAsia="en-NZ"/>
        </w:rPr>
      </w:pPr>
      <w:r>
        <w:rPr>
          <w:noProof/>
        </w:rPr>
        <w:t>Table 17:</w:t>
      </w:r>
      <w:r>
        <w:rPr>
          <w:noProof/>
        </w:rPr>
        <w:tab/>
        <w:t>Estimated levy rates and payments ($m) per sector, 30/70 weighting</w:t>
      </w:r>
      <w:r>
        <w:rPr>
          <w:noProof/>
        </w:rPr>
        <w:tab/>
      </w:r>
      <w:r>
        <w:rPr>
          <w:noProof/>
        </w:rPr>
        <w:fldChar w:fldCharType="begin"/>
      </w:r>
      <w:r>
        <w:rPr>
          <w:noProof/>
        </w:rPr>
        <w:instrText xml:space="preserve"> PAGEREF _Toc80860361 \h </w:instrText>
      </w:r>
      <w:r>
        <w:rPr>
          <w:noProof/>
        </w:rPr>
      </w:r>
      <w:r>
        <w:rPr>
          <w:noProof/>
        </w:rPr>
        <w:fldChar w:fldCharType="separate"/>
      </w:r>
      <w:r w:rsidR="00F65B3A">
        <w:rPr>
          <w:noProof/>
        </w:rPr>
        <w:t>52</w:t>
      </w:r>
      <w:r>
        <w:rPr>
          <w:noProof/>
        </w:rPr>
        <w:fldChar w:fldCharType="end"/>
      </w:r>
    </w:p>
    <w:p w14:paraId="4F664E60" w14:textId="507805EA" w:rsidR="000756FF" w:rsidRDefault="000756FF">
      <w:pPr>
        <w:pStyle w:val="TOC3"/>
        <w:rPr>
          <w:rFonts w:asciiTheme="minorHAnsi" w:eastAsiaTheme="minorEastAsia" w:hAnsiTheme="minorHAnsi" w:cstheme="minorBidi"/>
          <w:noProof/>
          <w:sz w:val="22"/>
          <w:szCs w:val="22"/>
          <w:lang w:eastAsia="en-NZ"/>
        </w:rPr>
      </w:pPr>
      <w:r>
        <w:rPr>
          <w:noProof/>
        </w:rPr>
        <w:t>Table 18:</w:t>
      </w:r>
      <w:r>
        <w:rPr>
          <w:noProof/>
        </w:rPr>
        <w:tab/>
        <w:t>Expressing the principles through the strategic framework and service plan</w:t>
      </w:r>
      <w:r>
        <w:rPr>
          <w:noProof/>
        </w:rPr>
        <w:tab/>
      </w:r>
      <w:r>
        <w:rPr>
          <w:noProof/>
        </w:rPr>
        <w:fldChar w:fldCharType="begin"/>
      </w:r>
      <w:r>
        <w:rPr>
          <w:noProof/>
        </w:rPr>
        <w:instrText xml:space="preserve"> PAGEREF _Toc80860362 \h </w:instrText>
      </w:r>
      <w:r>
        <w:rPr>
          <w:noProof/>
        </w:rPr>
      </w:r>
      <w:r>
        <w:rPr>
          <w:noProof/>
        </w:rPr>
        <w:fldChar w:fldCharType="separate"/>
      </w:r>
      <w:r w:rsidR="00F65B3A">
        <w:rPr>
          <w:noProof/>
        </w:rPr>
        <w:t>58</w:t>
      </w:r>
      <w:r>
        <w:rPr>
          <w:noProof/>
        </w:rPr>
        <w:fldChar w:fldCharType="end"/>
      </w:r>
    </w:p>
    <w:p w14:paraId="4F664E61" w14:textId="1FE8F6D4" w:rsidR="000756FF" w:rsidRDefault="000756FF">
      <w:pPr>
        <w:pStyle w:val="TOC3"/>
        <w:rPr>
          <w:rFonts w:asciiTheme="minorHAnsi" w:eastAsiaTheme="minorEastAsia" w:hAnsiTheme="minorHAnsi" w:cstheme="minorBidi"/>
          <w:noProof/>
          <w:sz w:val="22"/>
          <w:szCs w:val="22"/>
          <w:lang w:eastAsia="en-NZ"/>
        </w:rPr>
      </w:pPr>
      <w:r>
        <w:rPr>
          <w:noProof/>
        </w:rPr>
        <w:t>Table 19:</w:t>
      </w:r>
      <w:r>
        <w:rPr>
          <w:noProof/>
        </w:rPr>
        <w:tab/>
        <w:t>Operating the principles in practice</w:t>
      </w:r>
      <w:r>
        <w:rPr>
          <w:noProof/>
        </w:rPr>
        <w:tab/>
      </w:r>
      <w:r>
        <w:rPr>
          <w:noProof/>
        </w:rPr>
        <w:fldChar w:fldCharType="begin"/>
      </w:r>
      <w:r>
        <w:rPr>
          <w:noProof/>
        </w:rPr>
        <w:instrText xml:space="preserve"> PAGEREF _Toc80860363 \h </w:instrText>
      </w:r>
      <w:r>
        <w:rPr>
          <w:noProof/>
        </w:rPr>
      </w:r>
      <w:r>
        <w:rPr>
          <w:noProof/>
        </w:rPr>
        <w:fldChar w:fldCharType="separate"/>
      </w:r>
      <w:r w:rsidR="00F65B3A">
        <w:rPr>
          <w:noProof/>
        </w:rPr>
        <w:t>59</w:t>
      </w:r>
      <w:r>
        <w:rPr>
          <w:noProof/>
        </w:rPr>
        <w:fldChar w:fldCharType="end"/>
      </w:r>
    </w:p>
    <w:p w14:paraId="4F664E62" w14:textId="2CE00BF1" w:rsidR="000756FF" w:rsidRDefault="000756FF">
      <w:pPr>
        <w:pStyle w:val="TOC3"/>
        <w:rPr>
          <w:rFonts w:asciiTheme="minorHAnsi" w:eastAsiaTheme="minorEastAsia" w:hAnsiTheme="minorHAnsi" w:cstheme="minorBidi"/>
          <w:noProof/>
          <w:sz w:val="22"/>
          <w:szCs w:val="22"/>
          <w:lang w:eastAsia="en-NZ"/>
        </w:rPr>
      </w:pPr>
      <w:r>
        <w:rPr>
          <w:noProof/>
        </w:rPr>
        <w:t>Table 20:</w:t>
      </w:r>
      <w:r>
        <w:rPr>
          <w:noProof/>
        </w:rPr>
        <w:tab/>
        <w:t>Relationship of previous strategic objectives to new objectives</w:t>
      </w:r>
      <w:r>
        <w:rPr>
          <w:noProof/>
        </w:rPr>
        <w:tab/>
      </w:r>
      <w:r>
        <w:rPr>
          <w:noProof/>
        </w:rPr>
        <w:fldChar w:fldCharType="begin"/>
      </w:r>
      <w:r>
        <w:rPr>
          <w:noProof/>
        </w:rPr>
        <w:instrText xml:space="preserve"> PAGEREF _Toc80860364 \h </w:instrText>
      </w:r>
      <w:r>
        <w:rPr>
          <w:noProof/>
        </w:rPr>
      </w:r>
      <w:r>
        <w:rPr>
          <w:noProof/>
        </w:rPr>
        <w:fldChar w:fldCharType="separate"/>
      </w:r>
      <w:r w:rsidR="00F65B3A">
        <w:rPr>
          <w:noProof/>
        </w:rPr>
        <w:t>60</w:t>
      </w:r>
      <w:r>
        <w:rPr>
          <w:noProof/>
        </w:rPr>
        <w:fldChar w:fldCharType="end"/>
      </w:r>
    </w:p>
    <w:p w14:paraId="4F664E63" w14:textId="77777777" w:rsidR="002B76A7" w:rsidRDefault="002B76A7" w:rsidP="003A5FEA">
      <w:r>
        <w:fldChar w:fldCharType="end"/>
      </w:r>
    </w:p>
    <w:p w14:paraId="4F664E64" w14:textId="77777777" w:rsidR="00FB0A5B" w:rsidRDefault="00FB0A5B" w:rsidP="003A5FEA"/>
    <w:p w14:paraId="4F664E65" w14:textId="77777777" w:rsidR="001D3E4E" w:rsidRDefault="001D3E4E" w:rsidP="003A5FEA">
      <w:pPr>
        <w:sectPr w:rsidR="001D3E4E" w:rsidSect="00925892">
          <w:headerReference w:type="even" r:id="rId25"/>
          <w:headerReference w:type="default" r:id="rId26"/>
          <w:footerReference w:type="even" r:id="rId27"/>
          <w:footerReference w:type="default" r:id="rId28"/>
          <w:pgSz w:w="11907" w:h="16840" w:code="9"/>
          <w:pgMar w:top="1418" w:right="1701" w:bottom="1134" w:left="1843" w:header="284" w:footer="425" w:gutter="284"/>
          <w:pgNumType w:fmt="lowerRoman"/>
          <w:cols w:space="720"/>
        </w:sectPr>
      </w:pPr>
    </w:p>
    <w:p w14:paraId="4F664E66" w14:textId="77777777" w:rsidR="00A073CF" w:rsidRDefault="00A073CF" w:rsidP="00A073CF"/>
    <w:p w14:paraId="4F664E67" w14:textId="77777777" w:rsidR="00A073CF" w:rsidRPr="00A073CF" w:rsidRDefault="00A073CF" w:rsidP="00A073CF">
      <w:pPr>
        <w:sectPr w:rsidR="00A073CF" w:rsidRPr="00A073CF" w:rsidSect="00925892">
          <w:footerReference w:type="even" r:id="rId29"/>
          <w:pgSz w:w="11907" w:h="16840" w:code="9"/>
          <w:pgMar w:top="1418" w:right="1701" w:bottom="1134" w:left="1843" w:header="284" w:footer="425" w:gutter="284"/>
          <w:pgNumType w:fmt="lowerRoman"/>
          <w:cols w:space="720"/>
        </w:sectPr>
      </w:pPr>
    </w:p>
    <w:p w14:paraId="4F664E68" w14:textId="77777777" w:rsidR="006E2886" w:rsidRDefault="00DA7F9E" w:rsidP="00F54E74">
      <w:pPr>
        <w:pStyle w:val="Heading1"/>
      </w:pPr>
      <w:bookmarkStart w:id="7" w:name="_Toc80965821"/>
      <w:r>
        <w:lastRenderedPageBreak/>
        <w:t>Executive summary</w:t>
      </w:r>
      <w:bookmarkEnd w:id="7"/>
    </w:p>
    <w:p w14:paraId="4F664E69" w14:textId="77777777" w:rsidR="008303C6" w:rsidRDefault="00FA6A1F" w:rsidP="00164C09">
      <w:r w:rsidRPr="00C93899">
        <w:t xml:space="preserve">The Gambling Act 2003 (the Act) </w:t>
      </w:r>
      <w:r>
        <w:t>requires the development and implementation</w:t>
      </w:r>
      <w:r w:rsidRPr="00C93899">
        <w:t xml:space="preserve"> of an </w:t>
      </w:r>
      <w:r w:rsidR="008303C6">
        <w:t>‘</w:t>
      </w:r>
      <w:r w:rsidRPr="00C93899">
        <w:t xml:space="preserve">integrated problem gambling </w:t>
      </w:r>
      <w:r>
        <w:t>strategy</w:t>
      </w:r>
      <w:r w:rsidRPr="00C93899">
        <w:t xml:space="preserve"> focused on public health</w:t>
      </w:r>
      <w:r w:rsidR="008303C6">
        <w:t>’</w:t>
      </w:r>
      <w:r>
        <w:t xml:space="preserve"> that must include:</w:t>
      </w:r>
      <w:r w:rsidRPr="00C93899">
        <w:t xml:space="preserve"> measures to promote public health</w:t>
      </w:r>
      <w:r>
        <w:t>;</w:t>
      </w:r>
      <w:r w:rsidRPr="00C93899">
        <w:t xml:space="preserve"> services to treat and assist problem gamblers and their families</w:t>
      </w:r>
      <w:r>
        <w:t xml:space="preserve"> and </w:t>
      </w:r>
      <w:r w:rsidRPr="00C93899">
        <w:t>whānau</w:t>
      </w:r>
      <w:r>
        <w:t>;</w:t>
      </w:r>
      <w:r w:rsidRPr="00C93899">
        <w:t xml:space="preserve"> independent scientific research</w:t>
      </w:r>
      <w:r>
        <w:t>;</w:t>
      </w:r>
      <w:r w:rsidRPr="00C93899">
        <w:t xml:space="preserve"> and evaluation.</w:t>
      </w:r>
      <w:r>
        <w:t xml:space="preserve"> </w:t>
      </w:r>
      <w:r w:rsidRPr="00C93899">
        <w:t xml:space="preserve">The Ministry </w:t>
      </w:r>
      <w:r>
        <w:t xml:space="preserve">of Health (the Ministry) </w:t>
      </w:r>
      <w:r w:rsidRPr="00C93899">
        <w:t xml:space="preserve">is responsible for </w:t>
      </w:r>
      <w:r>
        <w:t>the</w:t>
      </w:r>
      <w:r w:rsidRPr="00F3412B">
        <w:rPr>
          <w:rFonts w:eastAsia="Calibri"/>
        </w:rPr>
        <w:t xml:space="preserve"> </w:t>
      </w:r>
      <w:r>
        <w:rPr>
          <w:rFonts w:eastAsia="Calibri"/>
        </w:rPr>
        <w:t>Strategy to Prevent and Minimise Gambling Harm</w:t>
      </w:r>
      <w:r>
        <w:t xml:space="preserve"> (the strategy). </w:t>
      </w:r>
      <w:r w:rsidRPr="00C93899">
        <w:t xml:space="preserve">The Crown recovers the cost of developing and implementing the </w:t>
      </w:r>
      <w:r>
        <w:t>strategy</w:t>
      </w:r>
      <w:r w:rsidRPr="00C93899">
        <w:t xml:space="preserve"> </w:t>
      </w:r>
      <w:r>
        <w:t>via</w:t>
      </w:r>
      <w:r w:rsidRPr="00C93899">
        <w:t xml:space="preserve"> a problem gambling levy set by regulation at a different rate for each of the main gambling sectors.</w:t>
      </w:r>
    </w:p>
    <w:p w14:paraId="4F664E6A" w14:textId="77777777" w:rsidR="00164C09" w:rsidRDefault="00164C09" w:rsidP="00164C09"/>
    <w:p w14:paraId="4F664E6B" w14:textId="77777777" w:rsidR="00FA6A1F" w:rsidRDefault="00FA6A1F" w:rsidP="00164C09">
      <w:r w:rsidRPr="008A4FAB">
        <w:t xml:space="preserve">The Ministry is seeking submissions on its </w:t>
      </w:r>
      <w:r>
        <w:t>draft strategy</w:t>
      </w:r>
      <w:r w:rsidRPr="008A4FAB">
        <w:t xml:space="preserve"> and the associated problem gambling levy for </w:t>
      </w:r>
      <w:r>
        <w:t xml:space="preserve">the three-year period </w:t>
      </w:r>
      <w:r w:rsidRPr="008A4FAB">
        <w:t>20</w:t>
      </w:r>
      <w:r>
        <w:t>22</w:t>
      </w:r>
      <w:r w:rsidRPr="008A4FAB">
        <w:t>/2</w:t>
      </w:r>
      <w:r>
        <w:t>3</w:t>
      </w:r>
      <w:r w:rsidRPr="008A4FAB">
        <w:t xml:space="preserve"> to 202</w:t>
      </w:r>
      <w:r>
        <w:t>4</w:t>
      </w:r>
      <w:r w:rsidRPr="008A4FAB">
        <w:t>/2</w:t>
      </w:r>
      <w:r>
        <w:t>5.</w:t>
      </w:r>
    </w:p>
    <w:p w14:paraId="4F664E6C" w14:textId="77777777" w:rsidR="00164C09" w:rsidRDefault="00164C09" w:rsidP="00164C09"/>
    <w:p w14:paraId="4F664E6D" w14:textId="77777777" w:rsidR="00FA6A1F" w:rsidRPr="000251AA" w:rsidRDefault="00FA6A1F" w:rsidP="00164C09">
      <w:r>
        <w:t>This</w:t>
      </w:r>
      <w:r w:rsidRPr="000251AA">
        <w:t xml:space="preserve"> consultation document </w:t>
      </w:r>
      <w:r>
        <w:t>discusses</w:t>
      </w:r>
      <w:r w:rsidRPr="000251AA">
        <w:t xml:space="preserve"> the draft </w:t>
      </w:r>
      <w:r>
        <w:t>s</w:t>
      </w:r>
      <w:r w:rsidRPr="000251AA">
        <w:t xml:space="preserve">trategy </w:t>
      </w:r>
      <w:r>
        <w:t>and</w:t>
      </w:r>
      <w:r w:rsidRPr="000251AA">
        <w:t xml:space="preserve"> is made up of </w:t>
      </w:r>
      <w:r>
        <w:t>four main</w:t>
      </w:r>
      <w:r w:rsidRPr="000251AA">
        <w:t xml:space="preserve"> </w:t>
      </w:r>
      <w:r>
        <w:t>sections.</w:t>
      </w:r>
    </w:p>
    <w:p w14:paraId="4F664E6E" w14:textId="77777777" w:rsidR="00FA6A1F" w:rsidRPr="000251AA" w:rsidRDefault="00D90DAF" w:rsidP="00164C09">
      <w:pPr>
        <w:pStyle w:val="Bullet"/>
      </w:pPr>
      <w:hyperlink w:anchor="_1_Introduction" w:history="1">
        <w:r w:rsidR="008A1803" w:rsidRPr="000756FF">
          <w:rPr>
            <w:rStyle w:val="Hyperlink"/>
            <w:b w:val="0"/>
            <w:color w:val="auto"/>
          </w:rPr>
          <w:t>Section 1</w:t>
        </w:r>
      </w:hyperlink>
      <w:r w:rsidR="00FA6A1F" w:rsidRPr="000251AA">
        <w:t xml:space="preserve">: </w:t>
      </w:r>
      <w:r w:rsidR="00FA6A1F">
        <w:t>an</w:t>
      </w:r>
      <w:r w:rsidR="00FA6A1F" w:rsidRPr="000251AA">
        <w:t xml:space="preserve"> introduction</w:t>
      </w:r>
      <w:r w:rsidR="00FA6A1F">
        <w:t>, which outlines the development of this draft strategy, including other agencies</w:t>
      </w:r>
      <w:r w:rsidR="008303C6">
        <w:t>’</w:t>
      </w:r>
      <w:r w:rsidR="00FA6A1F">
        <w:t xml:space="preserve"> efforts around preventing and minimising gambling harm, the gambling harm needs assessment 2021 and other evidence informing this draft strategy</w:t>
      </w:r>
    </w:p>
    <w:p w14:paraId="4F664E6F" w14:textId="77777777" w:rsidR="008303C6" w:rsidRDefault="00D90DAF" w:rsidP="00164C09">
      <w:pPr>
        <w:pStyle w:val="Bullet"/>
      </w:pPr>
      <w:hyperlink w:anchor="_2_The_strategic" w:history="1">
        <w:r w:rsidR="008A1803" w:rsidRPr="000756FF">
          <w:rPr>
            <w:rStyle w:val="Hyperlink"/>
            <w:b w:val="0"/>
            <w:color w:val="auto"/>
          </w:rPr>
          <w:t>Section 2</w:t>
        </w:r>
      </w:hyperlink>
      <w:r w:rsidR="00FA6A1F" w:rsidRPr="000251AA">
        <w:t xml:space="preserve">: the </w:t>
      </w:r>
      <w:r w:rsidR="00FA6A1F">
        <w:t>draft</w:t>
      </w:r>
      <w:r w:rsidR="00FA6A1F" w:rsidRPr="000251AA">
        <w:t xml:space="preserve"> </w:t>
      </w:r>
      <w:r w:rsidR="00FA6A1F">
        <w:t>s</w:t>
      </w:r>
      <w:r w:rsidR="00FA6A1F" w:rsidRPr="000251AA">
        <w:t>trateg</w:t>
      </w:r>
      <w:r w:rsidR="00FA6A1F">
        <w:t>ic plan</w:t>
      </w:r>
    </w:p>
    <w:p w14:paraId="4F664E70" w14:textId="77777777" w:rsidR="00FA6A1F" w:rsidRDefault="00D90DAF" w:rsidP="00164C09">
      <w:pPr>
        <w:pStyle w:val="Bullet"/>
      </w:pPr>
      <w:hyperlink w:anchor="_3_Draft_service" w:history="1">
        <w:r w:rsidR="008A1803" w:rsidRPr="000756FF">
          <w:rPr>
            <w:rStyle w:val="Hyperlink"/>
            <w:b w:val="0"/>
            <w:color w:val="auto"/>
          </w:rPr>
          <w:t>Section 3</w:t>
        </w:r>
      </w:hyperlink>
      <w:r w:rsidR="00FA6A1F" w:rsidRPr="000251AA">
        <w:t>: the draft three-year service plan for 2022/23 to 2024/25</w:t>
      </w:r>
      <w:r w:rsidR="00164C09">
        <w:t xml:space="preserve"> – t</w:t>
      </w:r>
      <w:r w:rsidR="00FA6A1F" w:rsidRPr="000251AA">
        <w:t>his sets out the Government</w:t>
      </w:r>
      <w:r w:rsidR="008303C6">
        <w:t>’</w:t>
      </w:r>
      <w:r w:rsidR="00FA6A1F" w:rsidRPr="000251AA">
        <w:t>s operational priorities to prevent and minimise gambling harm and the costs of those services for the three years from 1 July 2022 to 30 June 2025</w:t>
      </w:r>
      <w:r w:rsidR="00FA6A1F">
        <w:t>)</w:t>
      </w:r>
    </w:p>
    <w:p w14:paraId="4F664E71" w14:textId="77777777" w:rsidR="00FA6A1F" w:rsidRPr="00C10A99" w:rsidRDefault="00D90DAF" w:rsidP="00164C09">
      <w:pPr>
        <w:pStyle w:val="Bullet"/>
      </w:pPr>
      <w:hyperlink w:anchor="_4_Draft_levy" w:history="1">
        <w:r w:rsidR="008A1803" w:rsidRPr="000756FF">
          <w:rPr>
            <w:rStyle w:val="Hyperlink"/>
            <w:b w:val="0"/>
            <w:color w:val="auto"/>
          </w:rPr>
          <w:t>Section 4</w:t>
        </w:r>
      </w:hyperlink>
      <w:r w:rsidR="00FA6A1F" w:rsidRPr="000251AA">
        <w:t xml:space="preserve">: </w:t>
      </w:r>
      <w:r w:rsidR="00FA6A1F">
        <w:t>the draft</w:t>
      </w:r>
      <w:r w:rsidR="00FA6A1F" w:rsidRPr="000251AA">
        <w:t xml:space="preserve"> levy rates for </w:t>
      </w:r>
      <w:r w:rsidR="00FA6A1F" w:rsidRPr="000C78EA">
        <w:t>2022/23 to 2024/25</w:t>
      </w:r>
      <w:r w:rsidR="00FA6A1F">
        <w:t xml:space="preserve"> for </w:t>
      </w:r>
      <w:r w:rsidR="00FA6A1F" w:rsidRPr="000251AA">
        <w:t>the four gambling industry sectors</w:t>
      </w:r>
      <w:r w:rsidR="00FA6A1F">
        <w:t xml:space="preserve">: </w:t>
      </w:r>
      <w:r w:rsidR="00FA6A1F" w:rsidRPr="00A44BA5">
        <w:rPr>
          <w:rFonts w:cstheme="minorHAnsi"/>
        </w:rPr>
        <w:t>non-casino gaming machine</w:t>
      </w:r>
      <w:r w:rsidR="00FA6A1F">
        <w:t xml:space="preserve"> (NCGM) o</w:t>
      </w:r>
      <w:r w:rsidR="00FA6A1F" w:rsidRPr="00C10A99">
        <w:t>perators</w:t>
      </w:r>
      <w:r w:rsidR="00FA6A1F">
        <w:t xml:space="preserve">, </w:t>
      </w:r>
      <w:r w:rsidR="00FA6A1F" w:rsidRPr="00C10A99">
        <w:t>casinos</w:t>
      </w:r>
      <w:r w:rsidR="00FA6A1F">
        <w:t xml:space="preserve">, TAB New Zealand (TAB NZ) and </w:t>
      </w:r>
      <w:r w:rsidR="00FA6A1F" w:rsidRPr="00A44BA5">
        <w:rPr>
          <w:rFonts w:cstheme="minorHAnsi"/>
        </w:rPr>
        <w:t>New Zealand Lotteries Commission</w:t>
      </w:r>
      <w:r w:rsidR="00FA6A1F">
        <w:rPr>
          <w:rFonts w:cstheme="minorHAnsi"/>
        </w:rPr>
        <w:t xml:space="preserve"> (or Lotto New Zealand).</w:t>
      </w:r>
    </w:p>
    <w:p w14:paraId="4F664E72" w14:textId="77777777" w:rsidR="00164C09" w:rsidRDefault="00164C09" w:rsidP="00164C09"/>
    <w:p w14:paraId="4F664E73" w14:textId="77777777" w:rsidR="00FA6A1F" w:rsidRDefault="00FA6A1F" w:rsidP="00164C09">
      <w:r>
        <w:t>There are also six appendices.</w:t>
      </w:r>
    </w:p>
    <w:p w14:paraId="4F664E74" w14:textId="77777777" w:rsidR="008303C6" w:rsidRDefault="00D90DAF" w:rsidP="00164C09">
      <w:pPr>
        <w:pStyle w:val="Bullet"/>
      </w:pPr>
      <w:hyperlink w:anchor="_Appendix_1:_Aligning" w:history="1">
        <w:r w:rsidR="008A1803" w:rsidRPr="000756FF">
          <w:rPr>
            <w:rStyle w:val="Hyperlink"/>
            <w:b w:val="0"/>
            <w:color w:val="auto"/>
          </w:rPr>
          <w:t>Appendix 1</w:t>
        </w:r>
      </w:hyperlink>
      <w:r w:rsidR="00FA6A1F">
        <w:t>: how the draft strategy aligns with other key government strategic documents</w:t>
      </w:r>
    </w:p>
    <w:p w14:paraId="4F664E75" w14:textId="77777777" w:rsidR="008303C6" w:rsidRDefault="00D90DAF" w:rsidP="00164C09">
      <w:pPr>
        <w:pStyle w:val="Bullet"/>
      </w:pPr>
      <w:hyperlink w:anchor="_Appendix_2:_Previous" w:history="1">
        <w:r w:rsidR="008A1803" w:rsidRPr="000756FF">
          <w:rPr>
            <w:rStyle w:val="Hyperlink"/>
            <w:b w:val="0"/>
            <w:color w:val="auto"/>
          </w:rPr>
          <w:t>Appendix 2</w:t>
        </w:r>
      </w:hyperlink>
      <w:r w:rsidR="00FA6A1F">
        <w:t>: a brief summary of the previous strategic framework</w:t>
      </w:r>
    </w:p>
    <w:p w14:paraId="4F664E76" w14:textId="77777777" w:rsidR="008303C6" w:rsidRDefault="00D90DAF" w:rsidP="00164C09">
      <w:pPr>
        <w:pStyle w:val="Bullet"/>
      </w:pPr>
      <w:hyperlink w:anchor="_Appendix_3:_Bringing" w:history="1">
        <w:r w:rsidR="008A1803" w:rsidRPr="000756FF">
          <w:rPr>
            <w:rStyle w:val="Hyperlink"/>
            <w:b w:val="0"/>
            <w:color w:val="auto"/>
          </w:rPr>
          <w:t>Appendix 3</w:t>
        </w:r>
      </w:hyperlink>
      <w:r w:rsidR="00FA6A1F">
        <w:t>: how the proposed principles of the draft strategy have been expressed in the strategic framework and service plan</w:t>
      </w:r>
    </w:p>
    <w:p w14:paraId="4F664E77" w14:textId="77777777" w:rsidR="008303C6" w:rsidRDefault="00D90DAF" w:rsidP="00164C09">
      <w:pPr>
        <w:pStyle w:val="Bullet"/>
      </w:pPr>
      <w:hyperlink w:anchor="_Appendix_4:_Key" w:history="1">
        <w:r w:rsidR="008A1803" w:rsidRPr="000756FF">
          <w:rPr>
            <w:rStyle w:val="Hyperlink"/>
            <w:b w:val="0"/>
            <w:color w:val="auto"/>
          </w:rPr>
          <w:t>Appendix 4</w:t>
        </w:r>
      </w:hyperlink>
      <w:r w:rsidR="00FA6A1F">
        <w:t>: how the four proposed objectives of the draft strategy relate to the 11</w:t>
      </w:r>
      <w:r w:rsidR="00164C09">
        <w:t> </w:t>
      </w:r>
      <w:r w:rsidR="00FA6A1F">
        <w:t>strategic objectives from past strategies</w:t>
      </w:r>
    </w:p>
    <w:p w14:paraId="4F664E78" w14:textId="77777777" w:rsidR="008303C6" w:rsidRDefault="00D90DAF" w:rsidP="00164C09">
      <w:pPr>
        <w:pStyle w:val="Bullet"/>
      </w:pPr>
      <w:hyperlink w:anchor="_Appendix_5:_Making" w:history="1">
        <w:r w:rsidR="008A1803" w:rsidRPr="000756FF">
          <w:rPr>
            <w:rStyle w:val="Hyperlink"/>
            <w:b w:val="0"/>
            <w:color w:val="auto"/>
          </w:rPr>
          <w:t>Appendix 5</w:t>
        </w:r>
      </w:hyperlink>
      <w:r w:rsidR="00FA6A1F">
        <w:t>: how to make a submission, including an attached feedback form</w:t>
      </w:r>
    </w:p>
    <w:p w14:paraId="4F664E79" w14:textId="77777777" w:rsidR="00FA6A1F" w:rsidRDefault="000756FF" w:rsidP="00164C09">
      <w:pPr>
        <w:pStyle w:val="Bullet"/>
      </w:pPr>
      <w:r>
        <w:t xml:space="preserve">Appendix 6: </w:t>
      </w:r>
      <w:r w:rsidR="00FA6A1F">
        <w:t xml:space="preserve">an overview of </w:t>
      </w:r>
      <w:r w:rsidR="00FA6A1F" w:rsidRPr="006F04DC">
        <w:t xml:space="preserve">gambling harm </w:t>
      </w:r>
      <w:r w:rsidR="00FA6A1F">
        <w:t xml:space="preserve">from </w:t>
      </w:r>
      <w:r w:rsidR="00FA6A1F" w:rsidRPr="006F04DC">
        <w:t>2019/20 to 2020/21</w:t>
      </w:r>
      <w:r w:rsidR="00FA6A1F">
        <w:rPr>
          <w:i/>
          <w:iCs/>
        </w:rPr>
        <w:t>.</w:t>
      </w:r>
    </w:p>
    <w:p w14:paraId="4F664E7A" w14:textId="77777777" w:rsidR="00FA6A1F" w:rsidRPr="007F2C45" w:rsidRDefault="00FA6A1F" w:rsidP="00164C09"/>
    <w:p w14:paraId="4F664E7B" w14:textId="77777777" w:rsidR="00FA6A1F" w:rsidRDefault="00FA6A1F" w:rsidP="00164C09">
      <w:pPr>
        <w:pStyle w:val="Heading2"/>
      </w:pPr>
      <w:bookmarkStart w:id="8" w:name="_Toc61962039"/>
      <w:bookmarkStart w:id="9" w:name="_Toc71549978"/>
      <w:bookmarkStart w:id="10" w:name="_Toc78882250"/>
      <w:bookmarkStart w:id="11" w:name="_Toc80965822"/>
      <w:r w:rsidRPr="0003439F">
        <w:lastRenderedPageBreak/>
        <w:t>Gambling harm needs assessmen</w:t>
      </w:r>
      <w:r w:rsidRPr="00F80FEE">
        <w:t>t</w:t>
      </w:r>
      <w:bookmarkEnd w:id="8"/>
      <w:bookmarkEnd w:id="9"/>
      <w:bookmarkEnd w:id="10"/>
      <w:bookmarkEnd w:id="11"/>
    </w:p>
    <w:p w14:paraId="4F664E7C" w14:textId="77777777" w:rsidR="00FA6A1F" w:rsidRPr="005668C1" w:rsidRDefault="00FA6A1F" w:rsidP="00164C09">
      <w:r>
        <w:t xml:space="preserve">In 2020, the Ministry commissioned a needs assessment to help inform the refreshed draft strategy. Based on a comprehensive review of the recent international and domestic research evidence on gambling harm prevention and minimisation, </w:t>
      </w:r>
      <w:r w:rsidRPr="00C93899">
        <w:t xml:space="preserve">interviews with </w:t>
      </w:r>
      <w:r>
        <w:t>a cross section of</w:t>
      </w:r>
      <w:r w:rsidRPr="00C93899">
        <w:t xml:space="preserve"> stakeholders</w:t>
      </w:r>
      <w:r>
        <w:t xml:space="preserve"> and</w:t>
      </w:r>
      <w:r w:rsidRPr="00C93899">
        <w:t xml:space="preserve"> a service provider survey, </w:t>
      </w:r>
      <w:r>
        <w:t xml:space="preserve">the needs assessment </w:t>
      </w:r>
      <w:r w:rsidRPr="00C93899">
        <w:t>found that</w:t>
      </w:r>
      <w:bookmarkStart w:id="12" w:name="_Toc61962040"/>
      <w:r>
        <w:t xml:space="preserve"> in New Zealand:</w:t>
      </w:r>
    </w:p>
    <w:p w14:paraId="4F664E7D" w14:textId="77777777" w:rsidR="00FA6A1F" w:rsidRPr="005668C1" w:rsidRDefault="00FA6A1F" w:rsidP="00164C09">
      <w:pPr>
        <w:pStyle w:val="Bullet"/>
      </w:pPr>
      <w:r>
        <w:t>m</w:t>
      </w:r>
      <w:r w:rsidRPr="005668C1">
        <w:t>ost people gamble for leisure and recreation</w:t>
      </w:r>
    </w:p>
    <w:p w14:paraId="4F664E7E" w14:textId="77777777" w:rsidR="00FA6A1F" w:rsidRDefault="00FA6A1F" w:rsidP="00164C09">
      <w:pPr>
        <w:pStyle w:val="Bullet"/>
      </w:pPr>
      <w:r>
        <w:t>a</w:t>
      </w:r>
      <w:r w:rsidRPr="005668C1">
        <w:t>ll forms of gambling remain widely accessible</w:t>
      </w:r>
    </w:p>
    <w:p w14:paraId="4F664E7F" w14:textId="77777777" w:rsidR="00FA6A1F" w:rsidRPr="005668C1" w:rsidRDefault="00FA6A1F" w:rsidP="00164C09">
      <w:pPr>
        <w:pStyle w:val="Bullet"/>
      </w:pPr>
      <w:r>
        <w:t>a</w:t>
      </w:r>
      <w:r w:rsidRPr="005668C1">
        <w:t>ccess to online gambling for money has increased</w:t>
      </w:r>
    </w:p>
    <w:p w14:paraId="4F664E80" w14:textId="77777777" w:rsidR="00FA6A1F" w:rsidRPr="005668C1" w:rsidRDefault="00FA6A1F" w:rsidP="00164C09">
      <w:pPr>
        <w:pStyle w:val="Bullet"/>
      </w:pPr>
      <w:r>
        <w:t>g</w:t>
      </w:r>
      <w:r w:rsidRPr="005668C1">
        <w:t>ambling expenditure decreased during COVID-19</w:t>
      </w:r>
      <w:r>
        <w:t xml:space="preserve"> restrictions</w:t>
      </w:r>
      <w:r w:rsidRPr="005668C1">
        <w:t xml:space="preserve"> but returned to pre-COVID levels shortly after </w:t>
      </w:r>
      <w:r>
        <w:t>restrictions</w:t>
      </w:r>
      <w:r w:rsidRPr="005668C1">
        <w:t xml:space="preserve"> lifted</w:t>
      </w:r>
    </w:p>
    <w:p w14:paraId="4F664E81" w14:textId="77777777" w:rsidR="008303C6" w:rsidRDefault="00FA6A1F" w:rsidP="00164C09">
      <w:pPr>
        <w:pStyle w:val="Bullet"/>
      </w:pPr>
      <w:r w:rsidRPr="005668C1">
        <w:t xml:space="preserve">Māori, Pacific </w:t>
      </w:r>
      <w:r>
        <w:t xml:space="preserve">peoples </w:t>
      </w:r>
      <w:r w:rsidRPr="005668C1">
        <w:t xml:space="preserve">and </w:t>
      </w:r>
      <w:r>
        <w:t>young people / rangatahi</w:t>
      </w:r>
      <w:r w:rsidRPr="005668C1">
        <w:t xml:space="preserve"> continue to have the highest prevalence of harmful gambling</w:t>
      </w:r>
    </w:p>
    <w:p w14:paraId="4F664E82" w14:textId="77777777" w:rsidR="008303C6" w:rsidRDefault="00FA6A1F" w:rsidP="00164C09">
      <w:pPr>
        <w:pStyle w:val="Bullet"/>
      </w:pPr>
      <w:r>
        <w:t>risks of h</w:t>
      </w:r>
      <w:r w:rsidRPr="005668C1">
        <w:t>armful gambling remain extensive</w:t>
      </w:r>
    </w:p>
    <w:p w14:paraId="4F664E83" w14:textId="77777777" w:rsidR="00FA6A1F" w:rsidRPr="00A21EF5" w:rsidRDefault="00FA6A1F" w:rsidP="00164C09">
      <w:pPr>
        <w:pStyle w:val="Bullet"/>
      </w:pPr>
      <w:r>
        <w:t>t</w:t>
      </w:r>
      <w:r w:rsidRPr="005668C1">
        <w:t>he enablers and barriers to seeking help</w:t>
      </w:r>
      <w:r>
        <w:t xml:space="preserve"> for gambling problems and harm have not significantly changed since the last needs assessment.</w:t>
      </w:r>
      <w:r w:rsidRPr="00164C09">
        <w:rPr>
          <w:rStyle w:val="FootnoteReference"/>
          <w:rFonts w:eastAsia="MS Gothic"/>
        </w:rPr>
        <w:footnoteReference w:id="3"/>
      </w:r>
    </w:p>
    <w:p w14:paraId="4F664E84" w14:textId="77777777" w:rsidR="00164C09" w:rsidRDefault="00164C09" w:rsidP="00164C09"/>
    <w:p w14:paraId="4F664E85" w14:textId="77777777" w:rsidR="008303C6" w:rsidRDefault="00FA6A1F" w:rsidP="00164C09">
      <w:r w:rsidRPr="00A21EF5">
        <w:t xml:space="preserve">The needs assessment </w:t>
      </w:r>
      <w:r>
        <w:t>also reviewed progress towards the strategic objectives set out in current strategy and recommended the Ministry enhance progress through a range of areas, including a stronger focus on equity, service integration, workforce development, health promotion and research. The needs assessment findings have informed our proposed strategic plan and draft service plan.</w:t>
      </w:r>
    </w:p>
    <w:p w14:paraId="4F664E86" w14:textId="77777777" w:rsidR="00164C09" w:rsidRDefault="00164C09" w:rsidP="00164C09"/>
    <w:p w14:paraId="4F664E87" w14:textId="77777777" w:rsidR="00FA6A1F" w:rsidRDefault="00FA6A1F" w:rsidP="00164C09">
      <w:pPr>
        <w:pStyle w:val="Heading2"/>
      </w:pPr>
      <w:bookmarkStart w:id="13" w:name="_Toc71549979"/>
      <w:bookmarkStart w:id="14" w:name="_Toc78882251"/>
      <w:bookmarkStart w:id="15" w:name="_Toc80965823"/>
      <w:r>
        <w:t>Proposed strategic plan</w:t>
      </w:r>
      <w:bookmarkEnd w:id="12"/>
      <w:bookmarkEnd w:id="13"/>
      <w:bookmarkEnd w:id="14"/>
      <w:bookmarkEnd w:id="15"/>
    </w:p>
    <w:p w14:paraId="4F664E88" w14:textId="77777777" w:rsidR="00FA6A1F" w:rsidRPr="0037416D" w:rsidRDefault="00FA6A1F" w:rsidP="00164C09">
      <w:r>
        <w:t xml:space="preserve">We are looking for feedback on the draft strategic plan, including a revised strategic framework. This responds to the findings of the needs assessment and aligns to recently published key government strategic documents (as outlined in </w:t>
      </w:r>
      <w:hyperlink w:anchor="_Appendix_1:_Aligning" w:history="1">
        <w:r w:rsidR="008A1803" w:rsidRPr="008A1803">
          <w:rPr>
            <w:rStyle w:val="Hyperlink"/>
            <w:b w:val="0"/>
            <w:color w:val="auto"/>
          </w:rPr>
          <w:t>Appendix 1</w:t>
        </w:r>
      </w:hyperlink>
      <w:r>
        <w:t>).</w:t>
      </w:r>
    </w:p>
    <w:p w14:paraId="4F664E89" w14:textId="77777777" w:rsidR="00164C09" w:rsidRDefault="00164C09" w:rsidP="00164C09"/>
    <w:p w14:paraId="4F664E8A" w14:textId="77777777" w:rsidR="00FA6A1F" w:rsidRDefault="00FA6A1F" w:rsidP="00164C09">
      <w:r>
        <w:t>The strategic objectives contained in previous iterations of the strategy have been largely unchanged since 2010</w:t>
      </w:r>
      <w:r w:rsidRPr="00E72D02">
        <w:t>.</w:t>
      </w:r>
      <w:r>
        <w:t xml:space="preserve"> The proposals outlined in the latest strategic framework</w:t>
      </w:r>
      <w:r w:rsidDel="000A255C">
        <w:t xml:space="preserve"> </w:t>
      </w:r>
      <w:r>
        <w:t>align with the previous strategic objectives but have been designed to:</w:t>
      </w:r>
    </w:p>
    <w:p w14:paraId="4F664E8B" w14:textId="77777777" w:rsidR="00FA6A1F" w:rsidRDefault="00FA6A1F" w:rsidP="00164C09">
      <w:pPr>
        <w:pStyle w:val="Bullet"/>
      </w:pPr>
      <w:r w:rsidRPr="007F69B8">
        <w:t>position gambling harm prevention and minimisation explicitly as an equity issue</w:t>
      </w:r>
    </w:p>
    <w:p w14:paraId="4F664E8C" w14:textId="77777777" w:rsidR="00FA6A1F" w:rsidRPr="00F463BC" w:rsidRDefault="00FA6A1F" w:rsidP="00164C09">
      <w:pPr>
        <w:pStyle w:val="Bullet"/>
        <w:rPr>
          <w:rFonts w:cs="Segoe UI"/>
          <w:sz w:val="20"/>
          <w:lang w:eastAsia="en-NZ"/>
        </w:rPr>
      </w:pPr>
      <w:r>
        <w:t xml:space="preserve">clearly align with </w:t>
      </w:r>
      <w:r w:rsidRPr="007F69B8">
        <w:t>Whakamaua: Māori Health Action Plan 2020–2025</w:t>
      </w:r>
      <w:r>
        <w:t xml:space="preserve"> and</w:t>
      </w:r>
      <w:r w:rsidRPr="00F463BC">
        <w:rPr>
          <w:rFonts w:cs="Segoe UI"/>
          <w:sz w:val="20"/>
          <w:lang w:eastAsia="en-NZ"/>
        </w:rPr>
        <w:t xml:space="preserve"> Kia Kaha, Kia Māia, Kia Ora Aotearoa: COVID-19 Psychosocial and Mental Wellbeing Plan</w:t>
      </w:r>
    </w:p>
    <w:p w14:paraId="4F664E8D" w14:textId="77777777" w:rsidR="008303C6" w:rsidRDefault="00FA6A1F" w:rsidP="00164C09">
      <w:pPr>
        <w:pStyle w:val="Bullet"/>
      </w:pPr>
      <w:r w:rsidRPr="007F69B8">
        <w:t>situate harm prevention and minimisation activities within the broader context of public health promotion and the regulation of gambling</w:t>
      </w:r>
    </w:p>
    <w:p w14:paraId="4F664E8E" w14:textId="77777777" w:rsidR="00FA6A1F" w:rsidRPr="007F69B8" w:rsidRDefault="00FA6A1F" w:rsidP="00164C09">
      <w:pPr>
        <w:pStyle w:val="Bullet"/>
        <w:keepNext/>
      </w:pPr>
      <w:r w:rsidRPr="007F69B8">
        <w:lastRenderedPageBreak/>
        <w:t>create a greater clarity of focus and a clearer line of sight from goals to actions</w:t>
      </w:r>
    </w:p>
    <w:p w14:paraId="4F664E8F" w14:textId="77777777" w:rsidR="008303C6" w:rsidRDefault="00FA6A1F" w:rsidP="00164C09">
      <w:pPr>
        <w:pStyle w:val="Bullet"/>
        <w:keepNext/>
      </w:pPr>
      <w:r w:rsidRPr="007F69B8">
        <w:t xml:space="preserve">respond to increased research and evidence </w:t>
      </w:r>
      <w:r>
        <w:t>and</w:t>
      </w:r>
      <w:r w:rsidRPr="007F69B8">
        <w:t xml:space="preserve"> changes in the gambling harm prevention and minimisation environment</w:t>
      </w:r>
      <w:r>
        <w:t>.</w:t>
      </w:r>
    </w:p>
    <w:p w14:paraId="4F664E90" w14:textId="77777777" w:rsidR="00164C09" w:rsidRDefault="00164C09" w:rsidP="00164C09"/>
    <w:p w14:paraId="4F664E91" w14:textId="77777777" w:rsidR="008303C6" w:rsidRDefault="00FA6A1F" w:rsidP="00164C09">
      <w:r w:rsidRPr="005F1FD4">
        <w:t>This approach is intended to respond to the findings of the nee</w:t>
      </w:r>
      <w:r w:rsidRPr="0003439F">
        <w:t>ds assessment that we should further hone our equity focus</w:t>
      </w:r>
      <w:r w:rsidRPr="00E5445D">
        <w:t xml:space="preserve"> and better integrate gambling harm prevention and minimisation services with the broader mental health a</w:t>
      </w:r>
      <w:r w:rsidRPr="000251AA">
        <w:t>nd addiction sector and services.</w:t>
      </w:r>
    </w:p>
    <w:p w14:paraId="4F664E92" w14:textId="77777777" w:rsidR="00164C09" w:rsidRDefault="00164C09" w:rsidP="00164C09"/>
    <w:p w14:paraId="4F664E93" w14:textId="77777777" w:rsidR="00FA6A1F" w:rsidRPr="00DB612A" w:rsidRDefault="00FA6A1F" w:rsidP="00164C09">
      <w:pPr>
        <w:pStyle w:val="Heading2"/>
      </w:pPr>
      <w:bookmarkStart w:id="16" w:name="_Toc61962041"/>
      <w:bookmarkStart w:id="17" w:name="_Toc71549980"/>
      <w:bookmarkStart w:id="18" w:name="_Toc78882252"/>
      <w:bookmarkStart w:id="19" w:name="_Toc80965824"/>
      <w:r>
        <w:t>Draft s</w:t>
      </w:r>
      <w:r w:rsidRPr="00DB612A">
        <w:t xml:space="preserve">ervice </w:t>
      </w:r>
      <w:r>
        <w:t>p</w:t>
      </w:r>
      <w:r w:rsidRPr="00DB612A">
        <w:t>lan</w:t>
      </w:r>
      <w:bookmarkEnd w:id="16"/>
      <w:bookmarkEnd w:id="17"/>
      <w:bookmarkEnd w:id="18"/>
      <w:bookmarkEnd w:id="19"/>
    </w:p>
    <w:p w14:paraId="4F664E94" w14:textId="77777777" w:rsidR="008303C6" w:rsidRDefault="00FA6A1F" w:rsidP="00164C09">
      <w:pPr>
        <w:rPr>
          <w:rFonts w:cstheme="minorHAnsi"/>
        </w:rPr>
      </w:pPr>
      <w:bookmarkStart w:id="20" w:name="_Toc61962042"/>
      <w:bookmarkStart w:id="21" w:name="_Toc71549981"/>
      <w:r>
        <w:rPr>
          <w:rFonts w:cstheme="minorHAnsi"/>
        </w:rPr>
        <w:t>T</w:t>
      </w:r>
      <w:r w:rsidRPr="006C5EE8">
        <w:rPr>
          <w:rFonts w:cstheme="minorHAnsi"/>
        </w:rPr>
        <w:t xml:space="preserve">he </w:t>
      </w:r>
      <w:r>
        <w:rPr>
          <w:rFonts w:cstheme="minorHAnsi"/>
        </w:rPr>
        <w:t>n</w:t>
      </w:r>
      <w:r w:rsidRPr="006C5EE8">
        <w:rPr>
          <w:rFonts w:cstheme="minorHAnsi"/>
        </w:rPr>
        <w:t xml:space="preserve">eeds </w:t>
      </w:r>
      <w:r>
        <w:rPr>
          <w:rFonts w:cstheme="minorHAnsi"/>
        </w:rPr>
        <w:t>a</w:t>
      </w:r>
      <w:r w:rsidRPr="006C5EE8">
        <w:rPr>
          <w:rFonts w:cstheme="minorHAnsi"/>
        </w:rPr>
        <w:t xml:space="preserve">ssessment </w:t>
      </w:r>
      <w:r>
        <w:rPr>
          <w:rFonts w:cstheme="minorHAnsi"/>
        </w:rPr>
        <w:t xml:space="preserve">highlights areas where </w:t>
      </w:r>
      <w:r w:rsidRPr="006C5EE8">
        <w:rPr>
          <w:rFonts w:cstheme="minorHAnsi"/>
        </w:rPr>
        <w:t>more progress needs to be made</w:t>
      </w:r>
      <w:r>
        <w:rPr>
          <w:rFonts w:cstheme="minorHAnsi"/>
        </w:rPr>
        <w:t>.</w:t>
      </w:r>
      <w:r w:rsidR="008303C6">
        <w:rPr>
          <w:rFonts w:cstheme="minorHAnsi"/>
        </w:rPr>
        <w:t xml:space="preserve"> </w:t>
      </w:r>
      <w:r>
        <w:t xml:space="preserve">A new three-year service plan has been developed based on the priorities in the proposed new strategic framework. The draft service plan outlines a package of investment costed at </w:t>
      </w:r>
      <w:r w:rsidRPr="00AE724D">
        <w:t>$6</w:t>
      </w:r>
      <w:r>
        <w:t>7</w:t>
      </w:r>
      <w:r w:rsidRPr="00AE724D">
        <w:t>.3</w:t>
      </w:r>
      <w:r>
        <w:t>74 million over the three years (</w:t>
      </w:r>
      <w:r w:rsidRPr="00AE724D">
        <w:t>an increase of $</w:t>
      </w:r>
      <w:r>
        <w:t>7.035 million</w:t>
      </w:r>
      <w:r w:rsidRPr="00AE724D">
        <w:t xml:space="preserve"> on the current </w:t>
      </w:r>
      <w:r>
        <w:t>strategy</w:t>
      </w:r>
      <w:r w:rsidRPr="00AE724D">
        <w:t xml:space="preserve"> budget</w:t>
      </w:r>
      <w:r>
        <w:t>).</w:t>
      </w:r>
      <w:r w:rsidRPr="006C5EE8">
        <w:rPr>
          <w:rFonts w:cstheme="minorHAnsi"/>
        </w:rPr>
        <w:t xml:space="preserve"> </w:t>
      </w:r>
      <w:r>
        <w:rPr>
          <w:rFonts w:cstheme="minorHAnsi"/>
        </w:rPr>
        <w:t>This includes the re-investment of</w:t>
      </w:r>
      <w:r w:rsidRPr="006C5EE8">
        <w:rPr>
          <w:rFonts w:cstheme="minorHAnsi"/>
        </w:rPr>
        <w:t xml:space="preserve"> </w:t>
      </w:r>
      <w:r>
        <w:rPr>
          <w:rFonts w:cstheme="minorHAnsi"/>
        </w:rPr>
        <w:t xml:space="preserve">a forecast $5.602 million underspend from the current strategy period, </w:t>
      </w:r>
      <w:r w:rsidRPr="006C5EE8">
        <w:rPr>
          <w:rFonts w:cstheme="minorHAnsi"/>
        </w:rPr>
        <w:t>which</w:t>
      </w:r>
      <w:r>
        <w:rPr>
          <w:rFonts w:cstheme="minorHAnsi"/>
        </w:rPr>
        <w:t xml:space="preserve"> has resulted from historic underspends and</w:t>
      </w:r>
      <w:r w:rsidRPr="006C5EE8">
        <w:rPr>
          <w:rFonts w:cstheme="minorHAnsi"/>
        </w:rPr>
        <w:t xml:space="preserve"> delays in service delivery </w:t>
      </w:r>
      <w:r>
        <w:rPr>
          <w:rFonts w:cstheme="minorHAnsi"/>
        </w:rPr>
        <w:t>caused by</w:t>
      </w:r>
      <w:r w:rsidRPr="006C5EE8">
        <w:rPr>
          <w:rFonts w:cstheme="minorHAnsi"/>
        </w:rPr>
        <w:t xml:space="preserve"> COVID-19.</w:t>
      </w:r>
      <w:r>
        <w:rPr>
          <w:rFonts w:cstheme="minorHAnsi"/>
        </w:rPr>
        <w:t xml:space="preserve"> </w:t>
      </w:r>
      <w:r w:rsidRPr="006C5EE8">
        <w:rPr>
          <w:rFonts w:cstheme="minorHAnsi"/>
        </w:rPr>
        <w:t xml:space="preserve">This funding </w:t>
      </w:r>
      <w:r>
        <w:rPr>
          <w:rFonts w:cstheme="minorHAnsi"/>
        </w:rPr>
        <w:t xml:space="preserve">package </w:t>
      </w:r>
      <w:r w:rsidRPr="006C5EE8">
        <w:rPr>
          <w:rFonts w:cstheme="minorHAnsi"/>
        </w:rPr>
        <w:t>will support the gambling harm prevention and minimisation sector to:</w:t>
      </w:r>
    </w:p>
    <w:p w14:paraId="4F664E95" w14:textId="77777777" w:rsidR="008303C6" w:rsidRDefault="00FA6A1F" w:rsidP="00164C09">
      <w:pPr>
        <w:pStyle w:val="Bullet"/>
      </w:pPr>
      <w:r w:rsidRPr="0003777A">
        <w:t>deliver high-quality public health and clinical services</w:t>
      </w:r>
      <w:r>
        <w:t>,</w:t>
      </w:r>
      <w:r w:rsidRPr="0003777A">
        <w:t xml:space="preserve"> with a strengthened focus on service delivery based on </w:t>
      </w:r>
      <w:r>
        <w:t>k</w:t>
      </w:r>
      <w:r w:rsidRPr="0003777A">
        <w:t>aupapa Māori, Pacific and Asian world views</w:t>
      </w:r>
    </w:p>
    <w:p w14:paraId="4F664E96" w14:textId="77777777" w:rsidR="008303C6" w:rsidRDefault="00FA6A1F" w:rsidP="00164C09">
      <w:pPr>
        <w:pStyle w:val="Bullet"/>
      </w:pPr>
      <w:r>
        <w:t xml:space="preserve">form </w:t>
      </w:r>
      <w:r w:rsidRPr="0003777A">
        <w:t>meaningful</w:t>
      </w:r>
      <w:r>
        <w:t>,</w:t>
      </w:r>
      <w:r w:rsidRPr="0003777A">
        <w:t xml:space="preserve"> genuine relationships </w:t>
      </w:r>
      <w:r>
        <w:t>with</w:t>
      </w:r>
      <w:r w:rsidRPr="0003777A">
        <w:t xml:space="preserve"> the Crown, iwi and ethnic-specific services</w:t>
      </w:r>
    </w:p>
    <w:p w14:paraId="4F664E97" w14:textId="77777777" w:rsidR="00FA6A1F" w:rsidRPr="0003777A" w:rsidRDefault="00FA6A1F" w:rsidP="00164C09">
      <w:pPr>
        <w:pStyle w:val="Bullet"/>
      </w:pPr>
      <w:r w:rsidRPr="0003777A">
        <w:t xml:space="preserve">challenge </w:t>
      </w:r>
      <w:r>
        <w:t xml:space="preserve">the </w:t>
      </w:r>
      <w:r w:rsidRPr="0003777A">
        <w:t>stigma attached to gambling harm, which prevents people from accessing services and supports</w:t>
      </w:r>
    </w:p>
    <w:p w14:paraId="4F664E98" w14:textId="77777777" w:rsidR="00FA6A1F" w:rsidRPr="0003777A" w:rsidRDefault="00FA6A1F" w:rsidP="00164C09">
      <w:pPr>
        <w:pStyle w:val="Bullet"/>
      </w:pPr>
      <w:r w:rsidRPr="0003777A">
        <w:t xml:space="preserve">develop strong gambling harm sector leadership and stakeholder relationships by </w:t>
      </w:r>
      <w:r>
        <w:t>encouraging</w:t>
      </w:r>
      <w:r w:rsidRPr="0003777A">
        <w:t xml:space="preserve"> collaboration within and across the gambling harm sector, the gambling industry and government</w:t>
      </w:r>
    </w:p>
    <w:p w14:paraId="4F664E99" w14:textId="77777777" w:rsidR="00FA6A1F" w:rsidRPr="0003777A" w:rsidRDefault="00FA6A1F" w:rsidP="00164C09">
      <w:pPr>
        <w:pStyle w:val="Bullet"/>
      </w:pPr>
      <w:r w:rsidRPr="0003777A">
        <w:t>enhance lived experience representation and input and broaden the peer support workforce</w:t>
      </w:r>
    </w:p>
    <w:p w14:paraId="4F664E9A" w14:textId="77777777" w:rsidR="00FA6A1F" w:rsidRPr="0003777A" w:rsidRDefault="00FA6A1F" w:rsidP="00164C09">
      <w:pPr>
        <w:pStyle w:val="Bullet"/>
      </w:pPr>
      <w:r w:rsidRPr="0003777A">
        <w:t>invest in gambling harm workforce development and cultural safety</w:t>
      </w:r>
      <w:r>
        <w:t xml:space="preserve"> training</w:t>
      </w:r>
      <w:r w:rsidRPr="0003777A">
        <w:t xml:space="preserve">, including scholarships to support access to the workforce for Māori, Pacific </w:t>
      </w:r>
      <w:r>
        <w:t>peoples,</w:t>
      </w:r>
      <w:r w:rsidRPr="0003777A">
        <w:t xml:space="preserve"> Asian people</w:t>
      </w:r>
      <w:r>
        <w:t>s</w:t>
      </w:r>
      <w:r w:rsidRPr="0003777A">
        <w:t xml:space="preserve"> and people with lived experience of gambling harm</w:t>
      </w:r>
    </w:p>
    <w:p w14:paraId="4F664E9B" w14:textId="77777777" w:rsidR="008303C6" w:rsidRDefault="00FA6A1F" w:rsidP="00164C09">
      <w:pPr>
        <w:pStyle w:val="Bullet"/>
      </w:pPr>
      <w:r w:rsidRPr="0003777A">
        <w:t>continue the new service and innovation pilots and apply evaluation findings to expand our service mix, providing more accessible and equitable services and supports</w:t>
      </w:r>
    </w:p>
    <w:p w14:paraId="4F664E9C" w14:textId="77777777" w:rsidR="00FA6A1F" w:rsidRDefault="00FA6A1F" w:rsidP="00164C09">
      <w:pPr>
        <w:pStyle w:val="Bullet"/>
      </w:pPr>
      <w:r w:rsidRPr="0003777A">
        <w:t>ensure that funding is consistent across gambling harm public health and intervention services to enhance sustainability.</w:t>
      </w:r>
    </w:p>
    <w:p w14:paraId="4F664E9D" w14:textId="77777777" w:rsidR="00164C09" w:rsidRPr="0003777A" w:rsidRDefault="00164C09" w:rsidP="00164C09"/>
    <w:p w14:paraId="4F664E9E" w14:textId="77777777" w:rsidR="00FA6A1F" w:rsidRPr="008002F1" w:rsidRDefault="00FA6A1F" w:rsidP="00164C09">
      <w:pPr>
        <w:pStyle w:val="Heading2"/>
      </w:pPr>
      <w:bookmarkStart w:id="22" w:name="_Toc78882253"/>
      <w:bookmarkStart w:id="23" w:name="_Toc80965825"/>
      <w:r w:rsidRPr="00F97C08">
        <w:lastRenderedPageBreak/>
        <w:t>The problem gambling levy</w:t>
      </w:r>
      <w:bookmarkEnd w:id="20"/>
      <w:bookmarkEnd w:id="21"/>
      <w:bookmarkEnd w:id="22"/>
      <w:bookmarkEnd w:id="23"/>
    </w:p>
    <w:p w14:paraId="4F664E9F" w14:textId="77777777" w:rsidR="00FA6A1F" w:rsidRPr="00A44BA5" w:rsidRDefault="00FA6A1F" w:rsidP="00164C09">
      <w:bookmarkStart w:id="24" w:name="_Toc61962043"/>
      <w:bookmarkStart w:id="25" w:name="_Toc71549982"/>
      <w:r w:rsidRPr="00A44BA5">
        <w:t xml:space="preserve">The Act sets out the process for developing and setting the levy rates needed to recover the cost of the </w:t>
      </w:r>
      <w:r>
        <w:t>strategy</w:t>
      </w:r>
      <w:r w:rsidRPr="00A44BA5">
        <w:t xml:space="preserve">, including the formula </w:t>
      </w:r>
      <w:r>
        <w:t xml:space="preserve">used to determine each </w:t>
      </w:r>
      <w:r w:rsidRPr="00A44BA5">
        <w:t xml:space="preserve">levy. The levy rates are set by regulation at least every three years. The next levy period is from 1 July 2022 to 30 June 2025 to match the next </w:t>
      </w:r>
      <w:r>
        <w:t>strategy</w:t>
      </w:r>
      <w:r w:rsidRPr="00A44BA5">
        <w:t>. The statutory formula contains several elements, including</w:t>
      </w:r>
      <w:r>
        <w:t>:</w:t>
      </w:r>
    </w:p>
    <w:p w14:paraId="4F664EA0" w14:textId="77777777" w:rsidR="00FA6A1F" w:rsidRPr="0003777A" w:rsidRDefault="00FA6A1F" w:rsidP="00164C09">
      <w:pPr>
        <w:pStyle w:val="Bullet"/>
      </w:pPr>
      <w:r w:rsidRPr="0003777A">
        <w:t xml:space="preserve">the estimated current player expenditure for </w:t>
      </w:r>
      <w:r>
        <w:t>each</w:t>
      </w:r>
      <w:r w:rsidRPr="0003777A">
        <w:t xml:space="preserve"> levy</w:t>
      </w:r>
      <w:r>
        <w:t>-</w:t>
      </w:r>
      <w:r w:rsidRPr="0003777A">
        <w:t>paying sector</w:t>
      </w:r>
    </w:p>
    <w:p w14:paraId="4F664EA1" w14:textId="77777777" w:rsidR="008303C6" w:rsidRDefault="00FA6A1F" w:rsidP="00164C09">
      <w:pPr>
        <w:pStyle w:val="Bullet"/>
      </w:pPr>
      <w:r w:rsidRPr="0003777A">
        <w:t xml:space="preserve">the number of customer presentations to problem gambling services that can be attributed to gambling in </w:t>
      </w:r>
      <w:r>
        <w:t>each</w:t>
      </w:r>
      <w:r w:rsidRPr="0003777A">
        <w:t xml:space="preserve"> sector</w:t>
      </w:r>
    </w:p>
    <w:p w14:paraId="4F664EA2" w14:textId="77777777" w:rsidR="00FA6A1F" w:rsidRPr="0003777A" w:rsidRDefault="00FA6A1F" w:rsidP="00164C09">
      <w:pPr>
        <w:pStyle w:val="Bullet"/>
      </w:pPr>
      <w:r w:rsidRPr="0003777A">
        <w:t>the funding requirement (</w:t>
      </w:r>
      <w:r>
        <w:t>that is</w:t>
      </w:r>
      <w:r w:rsidRPr="0003777A">
        <w:t>, the costs of the Ministry</w:t>
      </w:r>
      <w:r w:rsidR="008303C6">
        <w:t>’</w:t>
      </w:r>
      <w:r w:rsidRPr="0003777A">
        <w:t>s proposed services) for the period for which the levy is payable</w:t>
      </w:r>
    </w:p>
    <w:p w14:paraId="4F664EA3" w14:textId="77777777" w:rsidR="00FA6A1F" w:rsidRPr="0003777A" w:rsidRDefault="00FA6A1F" w:rsidP="00164C09">
      <w:pPr>
        <w:pStyle w:val="Bullet"/>
      </w:pPr>
      <w:r w:rsidRPr="0003777A">
        <w:t xml:space="preserve">the forecast player expenditure in </w:t>
      </w:r>
      <w:r>
        <w:t>each</w:t>
      </w:r>
      <w:r w:rsidRPr="0003777A">
        <w:t xml:space="preserve"> sector for the period for which the levy is payable</w:t>
      </w:r>
    </w:p>
    <w:p w14:paraId="4F664EA4" w14:textId="77777777" w:rsidR="00FA6A1F" w:rsidRPr="0003777A" w:rsidRDefault="00FA6A1F" w:rsidP="00164C09">
      <w:pPr>
        <w:pStyle w:val="Bullet"/>
      </w:pPr>
      <w:r w:rsidRPr="0003777A">
        <w:t xml:space="preserve">the estimated levy under- or over-recovery from </w:t>
      </w:r>
      <w:r>
        <w:t>each</w:t>
      </w:r>
      <w:r w:rsidRPr="0003777A">
        <w:t xml:space="preserve"> sector in the previous levy periods.</w:t>
      </w:r>
    </w:p>
    <w:p w14:paraId="4F664EA5" w14:textId="77777777" w:rsidR="00164C09" w:rsidRDefault="00164C09" w:rsidP="00164C09"/>
    <w:p w14:paraId="4F664EA6" w14:textId="77777777" w:rsidR="00FA6A1F" w:rsidRPr="00A44BA5" w:rsidRDefault="00FA6A1F" w:rsidP="00164C09">
      <w:r w:rsidRPr="00A44BA5">
        <w:t xml:space="preserve">The Act requires the Ministry to apply an appropriate weighting between current player expenditure and </w:t>
      </w:r>
      <w:r>
        <w:t xml:space="preserve">problem gambling service </w:t>
      </w:r>
      <w:r w:rsidRPr="00A44BA5">
        <w:t xml:space="preserve">presentations to help determine </w:t>
      </w:r>
      <w:r>
        <w:t>the</w:t>
      </w:r>
      <w:r w:rsidRPr="00A44BA5">
        <w:t xml:space="preserve"> share of the cost that each sector is required to pay in levy.</w:t>
      </w:r>
      <w:r>
        <w:t xml:space="preserve"> </w:t>
      </w:r>
      <w:r w:rsidRPr="00A44BA5">
        <w:t xml:space="preserve">A range of possible weighting options for the proposed levy rates for each sector </w:t>
      </w:r>
      <w:r>
        <w:t>(NCGM</w:t>
      </w:r>
      <w:r w:rsidRPr="00A44BA5">
        <w:t xml:space="preserve">, casinos, TAB NZ and </w:t>
      </w:r>
      <w:r>
        <w:t>Lotto New Zealand)</w:t>
      </w:r>
      <w:r w:rsidRPr="00A44BA5">
        <w:t xml:space="preserve"> are </w:t>
      </w:r>
      <w:r>
        <w:t>discussed</w:t>
      </w:r>
      <w:r w:rsidRPr="00A44BA5">
        <w:t xml:space="preserve"> in </w:t>
      </w:r>
      <w:r>
        <w:t>this consultation</w:t>
      </w:r>
      <w:r w:rsidRPr="00A44BA5">
        <w:t xml:space="preserve"> document.</w:t>
      </w:r>
    </w:p>
    <w:p w14:paraId="4F664EA7" w14:textId="77777777" w:rsidR="00164C09" w:rsidRDefault="00164C09" w:rsidP="00164C09"/>
    <w:p w14:paraId="4F664EA8" w14:textId="77777777" w:rsidR="00FA6A1F" w:rsidRDefault="00FA6A1F" w:rsidP="00164C09">
      <w:r w:rsidRPr="00A44BA5">
        <w:t xml:space="preserve">The proposed levy rates and expected levy payments would be higher than they are currently under all weighting options. This is primarily </w:t>
      </w:r>
      <w:r>
        <w:t>due to the proposal to increase funding for services for 2022/23–2024/25, and the amount of predicted over-recovery</w:t>
      </w:r>
      <w:r w:rsidRPr="00A44BA5">
        <w:t xml:space="preserve"> up to 30 June 2022</w:t>
      </w:r>
      <w:r>
        <w:t xml:space="preserve"> is much less than it was for the period to 30 June 2019. </w:t>
      </w:r>
      <w:r w:rsidRPr="00A44BA5">
        <w:t xml:space="preserve">Details on these figures and the levy calculation are </w:t>
      </w:r>
      <w:r>
        <w:t>provided</w:t>
      </w:r>
      <w:r w:rsidRPr="00A44BA5">
        <w:t xml:space="preserve"> in </w:t>
      </w:r>
      <w:hyperlink w:anchor="_4_Draft_levy" w:history="1">
        <w:r w:rsidR="00D427E9" w:rsidRPr="00D427E9">
          <w:rPr>
            <w:rStyle w:val="Hyperlink"/>
            <w:b w:val="0"/>
            <w:color w:val="auto"/>
          </w:rPr>
          <w:t>section 4</w:t>
        </w:r>
      </w:hyperlink>
      <w:r>
        <w:t xml:space="preserve"> of this document.</w:t>
      </w:r>
    </w:p>
    <w:p w14:paraId="4F664EA9" w14:textId="77777777" w:rsidR="00164C09" w:rsidRPr="00164C09" w:rsidRDefault="00164C09" w:rsidP="00164C09">
      <w:pPr>
        <w:rPr>
          <w:rFonts w:eastAsiaTheme="majorEastAsia"/>
        </w:rPr>
      </w:pPr>
    </w:p>
    <w:p w14:paraId="4F664EAA" w14:textId="77777777" w:rsidR="00FA6A1F" w:rsidRPr="001021BB" w:rsidRDefault="00FA6A1F" w:rsidP="00164C09">
      <w:pPr>
        <w:pStyle w:val="Heading2"/>
      </w:pPr>
      <w:bookmarkStart w:id="26" w:name="_Toc78882254"/>
      <w:bookmarkStart w:id="27" w:name="_Toc80965826"/>
      <w:r>
        <w:t>The c</w:t>
      </w:r>
      <w:r w:rsidRPr="001021BB">
        <w:t xml:space="preserve">onsultation </w:t>
      </w:r>
      <w:r>
        <w:t>process</w:t>
      </w:r>
      <w:bookmarkEnd w:id="24"/>
      <w:bookmarkEnd w:id="25"/>
      <w:bookmarkEnd w:id="26"/>
      <w:bookmarkEnd w:id="27"/>
    </w:p>
    <w:p w14:paraId="4F664EAB" w14:textId="77777777" w:rsidR="008303C6" w:rsidRDefault="00FA6A1F" w:rsidP="00164C09">
      <w:r w:rsidRPr="00C93899">
        <w:t xml:space="preserve">The Act details a staged consultation process for the proposed </w:t>
      </w:r>
      <w:r>
        <w:t xml:space="preserve">strategy and </w:t>
      </w:r>
      <w:r w:rsidRPr="00C93899">
        <w:t>levy rates</w:t>
      </w:r>
      <w:r>
        <w:t xml:space="preserve">. The Act requires the Ministry to </w:t>
      </w:r>
      <w:r w:rsidRPr="00C93899">
        <w:t>submit</w:t>
      </w:r>
      <w:r>
        <w:t xml:space="preserve"> a</w:t>
      </w:r>
      <w:r w:rsidRPr="00C93899">
        <w:t xml:space="preserve"> </w:t>
      </w:r>
      <w:r>
        <w:t>revised</w:t>
      </w:r>
      <w:r w:rsidRPr="00C93899">
        <w:t xml:space="preserve"> </w:t>
      </w:r>
      <w:r>
        <w:t>strategy</w:t>
      </w:r>
      <w:r w:rsidRPr="00C93899">
        <w:t xml:space="preserve"> and levy rate</w:t>
      </w:r>
      <w:r>
        <w:t xml:space="preserve"> proposals</w:t>
      </w:r>
      <w:r w:rsidRPr="00C93899">
        <w:t xml:space="preserve"> to the Gambling Commission</w:t>
      </w:r>
      <w:r>
        <w:t>, after considering feedback received about this consultation document.</w:t>
      </w:r>
    </w:p>
    <w:p w14:paraId="4F664EAC" w14:textId="77777777" w:rsidR="00164C09" w:rsidRDefault="00164C09" w:rsidP="00164C09"/>
    <w:p w14:paraId="4F664EAD" w14:textId="77777777" w:rsidR="002B7BEC" w:rsidRDefault="00FA6A1F" w:rsidP="00164C09">
      <w:r>
        <w:t xml:space="preserve">The Commission must hold </w:t>
      </w:r>
      <w:r w:rsidRPr="00C93899">
        <w:t xml:space="preserve">a consultation meeting and provide its own advice </w:t>
      </w:r>
      <w:r>
        <w:t xml:space="preserve">about the proposed levy rates </w:t>
      </w:r>
      <w:r w:rsidRPr="00C93899">
        <w:t>to the Minister</w:t>
      </w:r>
      <w:r>
        <w:t>s</w:t>
      </w:r>
      <w:r w:rsidRPr="00C93899">
        <w:t xml:space="preserve"> of Health and Internal Affairs.</w:t>
      </w:r>
      <w:r>
        <w:t xml:space="preserve"> </w:t>
      </w:r>
      <w:r w:rsidRPr="00C93899">
        <w:t xml:space="preserve">Cabinet will subsequently make </w:t>
      </w:r>
      <w:r>
        <w:t xml:space="preserve">final </w:t>
      </w:r>
      <w:r w:rsidRPr="00C93899">
        <w:t xml:space="preserve">decisions on the shape of the </w:t>
      </w:r>
      <w:r>
        <w:t>strategy</w:t>
      </w:r>
      <w:r w:rsidRPr="00C93899">
        <w:t xml:space="preserve"> and the </w:t>
      </w:r>
      <w:r>
        <w:t xml:space="preserve">new </w:t>
      </w:r>
      <w:r w:rsidRPr="00C93899">
        <w:t>levy</w:t>
      </w:r>
      <w:r>
        <w:t xml:space="preserve"> rates early in 2022</w:t>
      </w:r>
      <w:r w:rsidRPr="00C93899">
        <w:t>.</w:t>
      </w:r>
      <w:r>
        <w:t xml:space="preserve"> The new rates will come into effect on 1 July 2022.</w:t>
      </w:r>
    </w:p>
    <w:p w14:paraId="4F664EAE" w14:textId="77777777" w:rsidR="00F16595" w:rsidRDefault="00F16595" w:rsidP="00164C09"/>
    <w:p w14:paraId="4F664EAF" w14:textId="77777777" w:rsidR="001D3E4E" w:rsidRDefault="001D3E4E" w:rsidP="003A5FEA">
      <w:pPr>
        <w:sectPr w:rsidR="001D3E4E" w:rsidSect="00925892">
          <w:footerReference w:type="even" r:id="rId30"/>
          <w:pgSz w:w="11907" w:h="16840" w:code="9"/>
          <w:pgMar w:top="1418" w:right="1701" w:bottom="1134" w:left="1843" w:header="284" w:footer="425" w:gutter="284"/>
          <w:pgNumType w:fmt="lowerRoman"/>
          <w:cols w:space="720"/>
        </w:sectPr>
      </w:pPr>
    </w:p>
    <w:p w14:paraId="4F664EB0" w14:textId="77777777" w:rsidR="008C2973" w:rsidRDefault="00DA0FA1" w:rsidP="00F54E74">
      <w:pPr>
        <w:pStyle w:val="Heading1"/>
      </w:pPr>
      <w:bookmarkStart w:id="28" w:name="_1_Introduction"/>
      <w:bookmarkStart w:id="29" w:name="_Toc80965827"/>
      <w:bookmarkEnd w:id="28"/>
      <w:r>
        <w:lastRenderedPageBreak/>
        <w:t>1</w:t>
      </w:r>
      <w:r>
        <w:tab/>
      </w:r>
      <w:r w:rsidR="002B7BEC">
        <w:t>Introduction</w:t>
      </w:r>
      <w:bookmarkEnd w:id="29"/>
    </w:p>
    <w:p w14:paraId="4F664EB1" w14:textId="77777777" w:rsidR="008303C6" w:rsidRDefault="00FA6A1F" w:rsidP="00DA0FA1">
      <w:bookmarkStart w:id="30" w:name="_Hlk77758482"/>
      <w:r>
        <w:t>About one</w:t>
      </w:r>
      <w:r w:rsidRPr="00E312E8">
        <w:t xml:space="preserve"> in </w:t>
      </w:r>
      <w:r>
        <w:t>five</w:t>
      </w:r>
      <w:r w:rsidRPr="00E312E8">
        <w:t xml:space="preserve"> New Zealand</w:t>
      </w:r>
      <w:r>
        <w:t>ers aged 15 years or older</w:t>
      </w:r>
      <w:r w:rsidRPr="00E312E8">
        <w:t xml:space="preserve"> (22</w:t>
      </w:r>
      <w:r>
        <w:t> percent</w:t>
      </w:r>
      <w:r w:rsidRPr="00E312E8">
        <w:t xml:space="preserve">) are affected </w:t>
      </w:r>
      <w:r>
        <w:t xml:space="preserve">at </w:t>
      </w:r>
      <w:r w:rsidRPr="00E312E8">
        <w:t xml:space="preserve">some time in their lives by their own </w:t>
      </w:r>
      <w:r>
        <w:t>or others</w:t>
      </w:r>
      <w:r w:rsidR="008303C6">
        <w:t>’</w:t>
      </w:r>
      <w:r>
        <w:t xml:space="preserve"> </w:t>
      </w:r>
      <w:r w:rsidRPr="00E312E8">
        <w:t>gambling</w:t>
      </w:r>
      <w:r>
        <w:t>.</w:t>
      </w:r>
      <w:r w:rsidRPr="00DA0FA1">
        <w:rPr>
          <w:rStyle w:val="FootnoteReference"/>
          <w:rFonts w:eastAsia="MS Gothic"/>
        </w:rPr>
        <w:footnoteReference w:id="4"/>
      </w:r>
      <w:bookmarkEnd w:id="30"/>
    </w:p>
    <w:p w14:paraId="4F664EB2" w14:textId="77777777" w:rsidR="00DA0FA1" w:rsidRDefault="00DA0FA1" w:rsidP="00DA0FA1"/>
    <w:p w14:paraId="4F664EB3" w14:textId="77777777" w:rsidR="00FA6A1F" w:rsidRDefault="00FA6A1F" w:rsidP="00DA0FA1">
      <w:r w:rsidRPr="00E312E8">
        <w:t xml:space="preserve">Estimates suggest </w:t>
      </w:r>
      <w:r>
        <w:t>that in 2018 76,</w:t>
      </w:r>
      <w:r w:rsidRPr="00E312E8">
        <w:t xml:space="preserve">000 </w:t>
      </w:r>
      <w:r>
        <w:t>people</w:t>
      </w:r>
      <w:r w:rsidRPr="00E312E8">
        <w:t xml:space="preserve"> aged 1</w:t>
      </w:r>
      <w:r>
        <w:t xml:space="preserve">5 </w:t>
      </w:r>
      <w:r w:rsidRPr="00E312E8">
        <w:t xml:space="preserve">years or older </w:t>
      </w:r>
      <w:r>
        <w:t>are experiencing</w:t>
      </w:r>
      <w:r w:rsidRPr="00E312E8">
        <w:t xml:space="preserve"> </w:t>
      </w:r>
      <w:r>
        <w:t xml:space="preserve">either </w:t>
      </w:r>
      <w:r w:rsidRPr="00E312E8">
        <w:t>moderate</w:t>
      </w:r>
      <w:r>
        <w:t xml:space="preserve"> </w:t>
      </w:r>
      <w:r w:rsidRPr="00C10A99">
        <w:t>risk</w:t>
      </w:r>
      <w:r w:rsidRPr="00E312E8">
        <w:t xml:space="preserve"> </w:t>
      </w:r>
      <w:r>
        <w:t xml:space="preserve">or </w:t>
      </w:r>
      <w:r w:rsidRPr="00E312E8">
        <w:t xml:space="preserve">high risk of harm </w:t>
      </w:r>
      <w:r>
        <w:t>from gambling and that a</w:t>
      </w:r>
      <w:r w:rsidRPr="00C10A99">
        <w:t xml:space="preserve"> further 1</w:t>
      </w:r>
      <w:r>
        <w:t>42</w:t>
      </w:r>
      <w:r w:rsidRPr="00C10A99">
        <w:t xml:space="preserve">,000 </w:t>
      </w:r>
      <w:r>
        <w:t>are estimated to be at</w:t>
      </w:r>
      <w:r w:rsidRPr="00C10A99">
        <w:t xml:space="preserve"> low risk but would experience gambling</w:t>
      </w:r>
      <w:r>
        <w:t>-</w:t>
      </w:r>
      <w:r w:rsidRPr="00C10A99">
        <w:t>related harm during their lifetime.</w:t>
      </w:r>
      <w:r>
        <w:t xml:space="preserve"> About 268,000 people over 15 years of age reported being affected by gambling harm in their wider family or household in the past 12 months.</w:t>
      </w:r>
      <w:r w:rsidRPr="00DA0FA1">
        <w:rPr>
          <w:rStyle w:val="FootnoteReference"/>
          <w:rFonts w:eastAsia="MS Gothic"/>
        </w:rPr>
        <w:footnoteReference w:id="5"/>
      </w:r>
    </w:p>
    <w:p w14:paraId="4F664EB4" w14:textId="77777777" w:rsidR="00DA0FA1" w:rsidRDefault="00DA0FA1" w:rsidP="00DA0FA1"/>
    <w:p w14:paraId="4F664EB5" w14:textId="77777777" w:rsidR="008303C6" w:rsidRDefault="00FA6A1F" w:rsidP="00DA0FA1">
      <w:r w:rsidRPr="00C93899">
        <w:t>The</w:t>
      </w:r>
      <w:r>
        <w:t xml:space="preserve"> Gambling</w:t>
      </w:r>
      <w:r w:rsidRPr="00C93899">
        <w:t xml:space="preserve"> </w:t>
      </w:r>
      <w:r>
        <w:t>Act</w:t>
      </w:r>
      <w:r w:rsidRPr="00C93899">
        <w:t xml:space="preserve"> </w:t>
      </w:r>
      <w:r>
        <w:t xml:space="preserve">2003 (the Act) </w:t>
      </w:r>
      <w:r w:rsidRPr="00C93899">
        <w:t>recognises that gambling harm is a significant i</w:t>
      </w:r>
      <w:r>
        <w:t>ssue and requires the development and implementation</w:t>
      </w:r>
      <w:r w:rsidRPr="00C93899">
        <w:t xml:space="preserve"> of an </w:t>
      </w:r>
      <w:r w:rsidR="008303C6">
        <w:t>‘</w:t>
      </w:r>
      <w:r w:rsidRPr="00C93899">
        <w:t xml:space="preserve">integrated problem gambling </w:t>
      </w:r>
      <w:r>
        <w:t>strategy</w:t>
      </w:r>
      <w:r w:rsidRPr="00C93899">
        <w:t xml:space="preserve"> focused on public health</w:t>
      </w:r>
      <w:r w:rsidR="008303C6">
        <w:t>’</w:t>
      </w:r>
      <w:r>
        <w:t xml:space="preserve">. </w:t>
      </w:r>
      <w:r w:rsidRPr="00C93899">
        <w:t xml:space="preserve">The Act specifies </w:t>
      </w:r>
      <w:r>
        <w:t xml:space="preserve">that this strategy must be informed by </w:t>
      </w:r>
      <w:r w:rsidRPr="00C93899">
        <w:t>a needs assessment</w:t>
      </w:r>
      <w:r>
        <w:t xml:space="preserve"> and include</w:t>
      </w:r>
      <w:r w:rsidRPr="00C93899">
        <w:t xml:space="preserve"> measures to promote public health, services to treat and assist </w:t>
      </w:r>
      <w:r>
        <w:t xml:space="preserve">people who experience gambling harm </w:t>
      </w:r>
      <w:r w:rsidRPr="00C93899">
        <w:t>and their families</w:t>
      </w:r>
      <w:r>
        <w:t xml:space="preserve"> and </w:t>
      </w:r>
      <w:r w:rsidRPr="00C93899">
        <w:t>whānau, independent scientific research and evaluation.</w:t>
      </w:r>
    </w:p>
    <w:p w14:paraId="4F664EB6" w14:textId="77777777" w:rsidR="00DA0FA1" w:rsidRDefault="00DA0FA1" w:rsidP="00DA0FA1"/>
    <w:p w14:paraId="4F664EB7" w14:textId="77777777" w:rsidR="008303C6" w:rsidRDefault="00FA6A1F" w:rsidP="00DA0FA1">
      <w:r w:rsidRPr="00C93899">
        <w:t>The Ministry</w:t>
      </w:r>
      <w:r>
        <w:t xml:space="preserve"> of Health (the Ministry) </w:t>
      </w:r>
      <w:r w:rsidRPr="00C93899">
        <w:t xml:space="preserve">is responsible for </w:t>
      </w:r>
      <w:r>
        <w:t xml:space="preserve">developing the </w:t>
      </w:r>
      <w:r>
        <w:rPr>
          <w:rFonts w:eastAsia="Calibri"/>
        </w:rPr>
        <w:t>Strategy to Prevent and Minimise Gambling Harm</w:t>
      </w:r>
      <w:r>
        <w:t xml:space="preserve"> (the strategy) and implementing services mandated by the strategy. The annual and three-year funding requirements to deliver the strategy are outlined in the draft service plan, alongside the proposed services and investments. These cost estimates are used to inform the development of the problem gambling levy on the gambling industry.</w:t>
      </w:r>
    </w:p>
    <w:p w14:paraId="4F664EB8" w14:textId="77777777" w:rsidR="00DA0FA1" w:rsidRDefault="00DA0FA1" w:rsidP="00DA0FA1"/>
    <w:p w14:paraId="4F664EB9" w14:textId="77777777" w:rsidR="00FA6A1F" w:rsidRDefault="00FA6A1F" w:rsidP="00DA0FA1">
      <w:r>
        <w:t xml:space="preserve">The Act requires the Ministry to publicly consult on these proposals. As such, we have developed this consultation document to invite you to give your feedback on the proposed strategy, which includes the draft strategic plan, draft service plan and proposed </w:t>
      </w:r>
      <w:r w:rsidRPr="007F69B8">
        <w:t>problem</w:t>
      </w:r>
      <w:r>
        <w:t xml:space="preserve"> gambling</w:t>
      </w:r>
      <w:r w:rsidRPr="007F69B8">
        <w:t xml:space="preserve"> levy rates for 2022/23 to 2024/25</w:t>
      </w:r>
      <w:r>
        <w:t xml:space="preserve"> </w:t>
      </w:r>
      <w:r w:rsidRPr="007F69B8">
        <w:t>for the four gambling industry sectors</w:t>
      </w:r>
      <w:r>
        <w:t xml:space="preserve"> of </w:t>
      </w:r>
      <w:r w:rsidRPr="00A44BA5">
        <w:rPr>
          <w:rFonts w:cstheme="minorHAnsi"/>
        </w:rPr>
        <w:t>non-casino gaming machine</w:t>
      </w:r>
      <w:r>
        <w:t xml:space="preserve"> (NCGM) o</w:t>
      </w:r>
      <w:r w:rsidRPr="00C10A99">
        <w:t>perators</w:t>
      </w:r>
      <w:r>
        <w:t xml:space="preserve">, </w:t>
      </w:r>
      <w:r w:rsidRPr="00C10A99">
        <w:t>casinos</w:t>
      </w:r>
      <w:r>
        <w:t xml:space="preserve">, TAB New Zealand (TAB NZ) and </w:t>
      </w:r>
      <w:r w:rsidRPr="00A44BA5">
        <w:rPr>
          <w:rFonts w:cstheme="minorHAnsi"/>
        </w:rPr>
        <w:t>New Zealand Lotteries Commission</w:t>
      </w:r>
      <w:r>
        <w:rPr>
          <w:rFonts w:cstheme="minorHAnsi"/>
        </w:rPr>
        <w:t xml:space="preserve"> (Lotto New Zealand)</w:t>
      </w:r>
      <w:r>
        <w:t>.</w:t>
      </w:r>
    </w:p>
    <w:p w14:paraId="4F664EBA" w14:textId="77777777" w:rsidR="00DA0FA1" w:rsidRPr="007F69B8" w:rsidRDefault="00DA0FA1" w:rsidP="00DA0FA1"/>
    <w:p w14:paraId="4F664EBB" w14:textId="77777777" w:rsidR="00FA6A1F" w:rsidRDefault="00FA6A1F" w:rsidP="00DA0FA1">
      <w:pPr>
        <w:pStyle w:val="Heading2"/>
      </w:pPr>
      <w:bookmarkStart w:id="31" w:name="_Toc78882256"/>
      <w:bookmarkStart w:id="32" w:name="_Toc80965828"/>
      <w:r>
        <w:lastRenderedPageBreak/>
        <w:t>Other agencies</w:t>
      </w:r>
      <w:r w:rsidR="008303C6">
        <w:t>’</w:t>
      </w:r>
      <w:r>
        <w:t xml:space="preserve"> contribution to preventing and minimising gambling harm</w:t>
      </w:r>
      <w:bookmarkEnd w:id="31"/>
      <w:bookmarkEnd w:id="32"/>
    </w:p>
    <w:p w14:paraId="4F664EBC" w14:textId="77777777" w:rsidR="00FA6A1F" w:rsidRDefault="00FA6A1F" w:rsidP="00DA0FA1">
      <w:pPr>
        <w:keepLines/>
      </w:pPr>
      <w:r>
        <w:t>The Department of Internal Affairs (DIA)</w:t>
      </w:r>
      <w:r w:rsidRPr="00C10A99">
        <w:t xml:space="preserve"> is the main gambling regulator and policy advisor to the Government on gambling regulatory issues. DIA administers the Act and its regulations</w:t>
      </w:r>
      <w:r>
        <w:t>. DIA</w:t>
      </w:r>
      <w:r w:rsidR="008303C6">
        <w:t>’</w:t>
      </w:r>
      <w:r>
        <w:t>s</w:t>
      </w:r>
      <w:r w:rsidRPr="00C10A99">
        <w:t xml:space="preserve"> role includes key regulatory aspects of gambling</w:t>
      </w:r>
      <w:r>
        <w:t xml:space="preserve"> </w:t>
      </w:r>
      <w:r w:rsidRPr="00C10A99">
        <w:t>harm prevention and minimisation.</w:t>
      </w:r>
      <w:r>
        <w:t xml:space="preserve"> It</w:t>
      </w:r>
      <w:r w:rsidRPr="00D859D8">
        <w:t xml:space="preserve"> </w:t>
      </w:r>
      <w:r>
        <w:t xml:space="preserve">undertakes a range of activities, including regulation (what industry can do – for example, DIA specifies the number of gambling venues allowed) and policy (how things are done – for example, DIA </w:t>
      </w:r>
      <w:r w:rsidRPr="00D859D8">
        <w:t>works with a range of stakeholders, including the gambling industry and gambling</w:t>
      </w:r>
      <w:r>
        <w:t>-</w:t>
      </w:r>
      <w:r w:rsidRPr="00D859D8">
        <w:t xml:space="preserve">harm service providers, to encourage and support venues to provide a </w:t>
      </w:r>
      <w:r w:rsidR="008303C6">
        <w:t>‘</w:t>
      </w:r>
      <w:r w:rsidRPr="00D859D8">
        <w:t>culture of care</w:t>
      </w:r>
      <w:r w:rsidR="008303C6">
        <w:t>’</w:t>
      </w:r>
      <w:r w:rsidRPr="00D859D8">
        <w:t xml:space="preserve"> towards gamblers</w:t>
      </w:r>
      <w:r>
        <w:t>)</w:t>
      </w:r>
      <w:r w:rsidRPr="00D859D8">
        <w:t>.</w:t>
      </w:r>
    </w:p>
    <w:p w14:paraId="4F664EBD" w14:textId="77777777" w:rsidR="00DA0FA1" w:rsidRDefault="00DA0FA1" w:rsidP="00DA0FA1"/>
    <w:p w14:paraId="4F664EBE" w14:textId="77777777" w:rsidR="00FA6A1F" w:rsidRDefault="00FA6A1F" w:rsidP="00DA0FA1">
      <w:r>
        <w:t xml:space="preserve">DIA also </w:t>
      </w:r>
      <w:r w:rsidRPr="00C10A99">
        <w:t>issues licences for gambling activities, ensures compliance with the legislation</w:t>
      </w:r>
      <w:r>
        <w:t>, works with the gambling sector to encourage best practice</w:t>
      </w:r>
      <w:r w:rsidRPr="00C10A99">
        <w:t xml:space="preserve"> and publishes statistical and other information concerning gambling</w:t>
      </w:r>
      <w:r>
        <w:t>. It is also responsible for limiting the opportunities for crime and dishonesty associated with gambling and ensuring gambling proceeds benefit the community.</w:t>
      </w:r>
    </w:p>
    <w:p w14:paraId="4F664EBF" w14:textId="77777777" w:rsidR="00DA0FA1" w:rsidRDefault="00DA0FA1" w:rsidP="00DA0FA1"/>
    <w:p w14:paraId="4F664EC0" w14:textId="77777777" w:rsidR="00FA6A1F" w:rsidRDefault="00FA6A1F" w:rsidP="00DA0FA1">
      <w:r w:rsidRPr="00E312E8">
        <w:t xml:space="preserve">The Ministry receives funding through Vote Health to develop and implement the </w:t>
      </w:r>
      <w:r>
        <w:t>strategy</w:t>
      </w:r>
      <w:r w:rsidRPr="00E312E8">
        <w:t xml:space="preserve">. The Crown then recovers the cost of this appropriation through a </w:t>
      </w:r>
      <w:r w:rsidR="008303C6">
        <w:t>‘</w:t>
      </w:r>
      <w:r w:rsidRPr="00E312E8">
        <w:t>problem gambling levy</w:t>
      </w:r>
      <w:r w:rsidR="008303C6">
        <w:t>’</w:t>
      </w:r>
      <w:r w:rsidRPr="00E312E8">
        <w:t xml:space="preserve"> paid by the main gambling operators.</w:t>
      </w:r>
    </w:p>
    <w:p w14:paraId="4F664EC1" w14:textId="77777777" w:rsidR="00DA0FA1" w:rsidRDefault="00DA0FA1" w:rsidP="00DA0FA1"/>
    <w:p w14:paraId="4F664EC2" w14:textId="77777777" w:rsidR="00FA6A1F" w:rsidRDefault="00FA6A1F" w:rsidP="00DA0FA1">
      <w:r>
        <w:t>Te Hiringa Hauora</w:t>
      </w:r>
      <w:r w:rsidR="008303C6">
        <w:t xml:space="preserve"> – </w:t>
      </w:r>
      <w:r>
        <w:t>Health Promotion Agency (Te Hiringa Hauora) does not have a statutory role in gambling prevention and harm minimisation under the Act, but its mandate is to promote health and wellbeing and encourage healthy lifestyles. Te</w:t>
      </w:r>
      <w:r w:rsidR="00DA0FA1">
        <w:t> </w:t>
      </w:r>
      <w:r>
        <w:t>Hiringa Hauora is funded under the current strategy to delivery an education and awareness work programme to prevent and minimise gambling harm. Te Hiringa Hauora work closely with the Ministry in this area, which is complementary to many other activities in both agencies.</w:t>
      </w:r>
    </w:p>
    <w:p w14:paraId="4F664EC3" w14:textId="77777777" w:rsidR="00DA0FA1" w:rsidRDefault="00DA0FA1" w:rsidP="00DA0FA1"/>
    <w:p w14:paraId="4F664EC4" w14:textId="43961156" w:rsidR="00FA6A1F" w:rsidRDefault="00FA6A1F" w:rsidP="00DA0FA1">
      <w:r>
        <w:t xml:space="preserve">The draft strategic framework, which is described in more detail in </w:t>
      </w:r>
      <w:hyperlink w:anchor="_2_The_strategic" w:history="1">
        <w:r w:rsidR="00953E89" w:rsidRPr="00953E89">
          <w:rPr>
            <w:rStyle w:val="Hyperlink"/>
            <w:b w:val="0"/>
            <w:color w:val="auto"/>
          </w:rPr>
          <w:t>section 2</w:t>
        </w:r>
      </w:hyperlink>
      <w:r>
        <w:t xml:space="preserve"> and shown in </w:t>
      </w:r>
      <w:r w:rsidR="00953E89">
        <w:fldChar w:fldCharType="begin"/>
      </w:r>
      <w:r w:rsidR="00953E89">
        <w:instrText xml:space="preserve"> REF _Ref80803188 \h </w:instrText>
      </w:r>
      <w:r w:rsidR="00953E89">
        <w:fldChar w:fldCharType="separate"/>
      </w:r>
      <w:r w:rsidR="00F65B3A">
        <w:t>Figure </w:t>
      </w:r>
      <w:r w:rsidR="00F65B3A">
        <w:rPr>
          <w:noProof/>
        </w:rPr>
        <w:t>2</w:t>
      </w:r>
      <w:r w:rsidR="00953E89">
        <w:fldChar w:fldCharType="end"/>
      </w:r>
      <w:r>
        <w:t xml:space="preserve"> describes a set of complementary action areas, led by the Ministry of Health, DIA and Te Hiringa Hauora, according to each agency</w:t>
      </w:r>
      <w:r w:rsidR="008303C6">
        <w:t>’</w:t>
      </w:r>
      <w:r>
        <w:t>s core mandate. Work towards some of the priority action areas is delivered</w:t>
      </w:r>
      <w:r w:rsidRPr="003750C5">
        <w:t xml:space="preserve"> </w:t>
      </w:r>
      <w:r>
        <w:t>jointly. This collaborative and coordinated approach is essential to the effective prevention and minimisation of gambling harm.</w:t>
      </w:r>
    </w:p>
    <w:p w14:paraId="4F664EC5" w14:textId="77777777" w:rsidR="00DA0FA1" w:rsidRDefault="00DA0FA1" w:rsidP="00DA0FA1"/>
    <w:p w14:paraId="4F664EC6" w14:textId="77777777" w:rsidR="00FA6A1F" w:rsidRDefault="00FA6A1F" w:rsidP="00DA0FA1">
      <w:pPr>
        <w:pStyle w:val="Heading2"/>
      </w:pPr>
      <w:bookmarkStart w:id="33" w:name="_Toc78882257"/>
      <w:bookmarkStart w:id="34" w:name="_Toc80965829"/>
      <w:r>
        <w:lastRenderedPageBreak/>
        <w:t>The needs assessment for gambling harm, 2021</w:t>
      </w:r>
      <w:bookmarkEnd w:id="33"/>
      <w:bookmarkEnd w:id="34"/>
    </w:p>
    <w:p w14:paraId="4F664EC7" w14:textId="77777777" w:rsidR="008303C6" w:rsidRDefault="00FA6A1F" w:rsidP="00DA0FA1">
      <w:pPr>
        <w:keepLines/>
      </w:pPr>
      <w:r w:rsidRPr="00DA1387">
        <w:t xml:space="preserve">In 2020, </w:t>
      </w:r>
      <w:r>
        <w:t>we</w:t>
      </w:r>
      <w:r w:rsidRPr="00DA1387">
        <w:t xml:space="preserve"> commissioned Malatest International to</w:t>
      </w:r>
      <w:r>
        <w:t xml:space="preserve"> undertake </w:t>
      </w:r>
      <w:r w:rsidRPr="00DA1387">
        <w:t xml:space="preserve">a needs assessment to inform the development of the </w:t>
      </w:r>
      <w:r>
        <w:t>s</w:t>
      </w:r>
      <w:r w:rsidRPr="00DA1387">
        <w:t xml:space="preserve">trategy. Based on interviews with </w:t>
      </w:r>
      <w:r>
        <w:t xml:space="preserve">a cross section of </w:t>
      </w:r>
      <w:r w:rsidRPr="00DA1387">
        <w:t>key stakeholders, a service provider survey and literature review</w:t>
      </w:r>
      <w:r>
        <w:t xml:space="preserve">, </w:t>
      </w:r>
      <w:r w:rsidRPr="00DA1387">
        <w:t>the</w:t>
      </w:r>
      <w:r>
        <w:t xml:space="preserve"> key</w:t>
      </w:r>
      <w:r w:rsidRPr="00DA1387">
        <w:t xml:space="preserve"> f</w:t>
      </w:r>
      <w:r>
        <w:t>indings can be summarised as follows.</w:t>
      </w:r>
    </w:p>
    <w:p w14:paraId="4F664EC8" w14:textId="77777777" w:rsidR="008303C6" w:rsidRDefault="00FA6A1F" w:rsidP="00DA0FA1">
      <w:pPr>
        <w:pStyle w:val="Bullet"/>
      </w:pPr>
      <w:r w:rsidRPr="00DA1387">
        <w:t>Most people gamble for leisure and recreation. All forms of gambling remain widely accessible</w:t>
      </w:r>
      <w:r>
        <w:t>,</w:t>
      </w:r>
      <w:r w:rsidRPr="00DA1387">
        <w:t xml:space="preserve"> but access to online gambling for money has increased.</w:t>
      </w:r>
    </w:p>
    <w:p w14:paraId="4F664EC9" w14:textId="77777777" w:rsidR="00FA6A1F" w:rsidRPr="00DA1387" w:rsidRDefault="00FA6A1F" w:rsidP="00DA0FA1">
      <w:pPr>
        <w:pStyle w:val="Bullet"/>
      </w:pPr>
      <w:r w:rsidRPr="00DA1387">
        <w:t xml:space="preserve">Gambling expenditure decreased during COVID-19 lockdowns but returned to pre-COVID levels shortly after </w:t>
      </w:r>
      <w:r>
        <w:t xml:space="preserve">the </w:t>
      </w:r>
      <w:r w:rsidRPr="00DA1387">
        <w:t>lockdown</w:t>
      </w:r>
      <w:r>
        <w:t>s</w:t>
      </w:r>
      <w:r w:rsidRPr="00DA1387">
        <w:t xml:space="preserve"> lifted. Although gambling participation has decreased for the general population, harmful gambling prevalence has not changed.</w:t>
      </w:r>
    </w:p>
    <w:p w14:paraId="4F664ECA" w14:textId="77777777" w:rsidR="008303C6" w:rsidRDefault="00FA6A1F" w:rsidP="00DA0FA1">
      <w:pPr>
        <w:pStyle w:val="Bullet"/>
      </w:pPr>
      <w:r w:rsidRPr="00DA1387">
        <w:t>Harmful gambling risks remain extensive</w:t>
      </w:r>
      <w:r>
        <w:t>,</w:t>
      </w:r>
      <w:r w:rsidRPr="00DA1387">
        <w:t xml:space="preserve"> and harmful gambling is more prevalent among Māori, Pacific people</w:t>
      </w:r>
      <w:r>
        <w:t>s</w:t>
      </w:r>
      <w:r w:rsidRPr="00DA1387">
        <w:t xml:space="preserve"> and young people</w:t>
      </w:r>
      <w:r>
        <w:t xml:space="preserve"> </w:t>
      </w:r>
      <w:r w:rsidRPr="00DA1387">
        <w:t>/</w:t>
      </w:r>
      <w:r>
        <w:t xml:space="preserve"> </w:t>
      </w:r>
      <w:r w:rsidRPr="00DA1387">
        <w:t xml:space="preserve">rangatahi than </w:t>
      </w:r>
      <w:r>
        <w:t>among</w:t>
      </w:r>
      <w:r w:rsidRPr="00DA1387">
        <w:t xml:space="preserve"> other groups. Harmful gambling continues to impact all aspects of wellbeing for individuals and their whānau.</w:t>
      </w:r>
      <w:r w:rsidRPr="004D5BCC">
        <w:t xml:space="preserve"> </w:t>
      </w:r>
      <w:r>
        <w:t>E</w:t>
      </w:r>
      <w:r w:rsidRPr="00DA1387">
        <w:t xml:space="preserve">vidence suggests </w:t>
      </w:r>
      <w:r>
        <w:t xml:space="preserve">that </w:t>
      </w:r>
      <w:r w:rsidRPr="00DA1387">
        <w:t>the costs</w:t>
      </w:r>
      <w:r>
        <w:t>,</w:t>
      </w:r>
      <w:r w:rsidRPr="00DA1387">
        <w:t xml:space="preserve"> </w:t>
      </w:r>
      <w:r>
        <w:t xml:space="preserve">in terms of </w:t>
      </w:r>
      <w:r w:rsidRPr="00DA1387">
        <w:t>individual, family and community harms associated with gambling</w:t>
      </w:r>
      <w:r>
        <w:t>,</w:t>
      </w:r>
      <w:r w:rsidRPr="00DA1387">
        <w:t xml:space="preserve"> outweigh the benefits</w:t>
      </w:r>
      <w:r>
        <w:t>,</w:t>
      </w:r>
      <w:r w:rsidRPr="00DA1387">
        <w:t xml:space="preserve"> </w:t>
      </w:r>
      <w:r>
        <w:t xml:space="preserve">such as </w:t>
      </w:r>
      <w:r w:rsidRPr="00DA1387">
        <w:t xml:space="preserve">employment and </w:t>
      </w:r>
      <w:r>
        <w:t xml:space="preserve">availability of </w:t>
      </w:r>
      <w:r w:rsidRPr="00DA1387">
        <w:t>community funding.</w:t>
      </w:r>
    </w:p>
    <w:p w14:paraId="4F664ECB" w14:textId="77777777" w:rsidR="00FA6A1F" w:rsidRDefault="00FA6A1F" w:rsidP="00DA0FA1">
      <w:pPr>
        <w:pStyle w:val="Bullet"/>
      </w:pPr>
      <w:r w:rsidRPr="00DA1387">
        <w:t>The enablers and barriers to help</w:t>
      </w:r>
      <w:r>
        <w:t xml:space="preserve"> </w:t>
      </w:r>
      <w:r w:rsidRPr="00DA1387">
        <w:t>seeking have not changed significantly since the last needs assessment</w:t>
      </w:r>
      <w:r>
        <w:t>.</w:t>
      </w:r>
    </w:p>
    <w:p w14:paraId="4F664ECC" w14:textId="77777777" w:rsidR="00DA0FA1" w:rsidRDefault="00DA0FA1" w:rsidP="00DA0FA1"/>
    <w:p w14:paraId="4F664ECD" w14:textId="77777777" w:rsidR="008303C6" w:rsidRDefault="00FA6A1F" w:rsidP="00DA0FA1">
      <w:r w:rsidRPr="00DA1387">
        <w:t xml:space="preserve">The </w:t>
      </w:r>
      <w:r>
        <w:t xml:space="preserve">2021 </w:t>
      </w:r>
      <w:r w:rsidRPr="00DA1387">
        <w:t xml:space="preserve">needs assessment </w:t>
      </w:r>
      <w:r>
        <w:t>report also included an assessment of p</w:t>
      </w:r>
      <w:r w:rsidRPr="00DA1387">
        <w:t xml:space="preserve">rogress </w:t>
      </w:r>
      <w:r>
        <w:t xml:space="preserve">towards </w:t>
      </w:r>
      <w:r w:rsidRPr="00DA1387">
        <w:t xml:space="preserve">the </w:t>
      </w:r>
      <w:r>
        <w:t>s</w:t>
      </w:r>
      <w:r w:rsidRPr="00DA1387">
        <w:t xml:space="preserve">trategic </w:t>
      </w:r>
      <w:r>
        <w:t>o</w:t>
      </w:r>
      <w:r w:rsidRPr="00DA1387">
        <w:t xml:space="preserve">bjectives of the </w:t>
      </w:r>
      <w:r>
        <w:t>current strategy. It found that progress had been limited, but the response to COVID-19 had delayed the implementation of the current strategy including commitments that would address several of the matters identified in the needs assessment. The needs assessment report made several recommendations including that we:</w:t>
      </w:r>
    </w:p>
    <w:p w14:paraId="4F664ECE" w14:textId="77777777" w:rsidR="00FA6A1F" w:rsidRPr="00043A12" w:rsidRDefault="00FA6A1F" w:rsidP="00DA0FA1">
      <w:pPr>
        <w:pStyle w:val="Bullet"/>
      </w:pPr>
      <w:r>
        <w:t>position the s</w:t>
      </w:r>
      <w:r w:rsidRPr="00043A12">
        <w:t>trategy within an overarching equity framework</w:t>
      </w:r>
      <w:r>
        <w:t>, an</w:t>
      </w:r>
      <w:r w:rsidRPr="00043A12">
        <w:t>d address inequities for Māori and ethnic-specific service providers and workforces in mainstream services</w:t>
      </w:r>
    </w:p>
    <w:p w14:paraId="4F664ECF" w14:textId="77777777" w:rsidR="008303C6" w:rsidRDefault="00FA6A1F" w:rsidP="00DA0FA1">
      <w:pPr>
        <w:pStyle w:val="Bullet"/>
      </w:pPr>
      <w:r>
        <w:t xml:space="preserve">develop more </w:t>
      </w:r>
      <w:r w:rsidRPr="00DA1387">
        <w:t>proactive policies and strategies and respond to policy gaps</w:t>
      </w:r>
    </w:p>
    <w:p w14:paraId="4F664ED0" w14:textId="77777777" w:rsidR="008303C6" w:rsidRDefault="00FA6A1F" w:rsidP="00DA0FA1">
      <w:pPr>
        <w:pStyle w:val="Bullet"/>
      </w:pPr>
      <w:r>
        <w:t>e</w:t>
      </w:r>
      <w:r w:rsidRPr="00DA1387">
        <w:t>nsure interventions and public health approaches are informed by all stakeholders, including those with lived experience</w:t>
      </w:r>
      <w:r>
        <w:t>s</w:t>
      </w:r>
    </w:p>
    <w:p w14:paraId="4F664ED1" w14:textId="77777777" w:rsidR="00FA6A1F" w:rsidRPr="00043A12" w:rsidRDefault="00FA6A1F" w:rsidP="00DA0FA1">
      <w:pPr>
        <w:pStyle w:val="Bullet"/>
      </w:pPr>
      <w:r>
        <w:t>r</w:t>
      </w:r>
      <w:r w:rsidRPr="00DA1387">
        <w:t xml:space="preserve">ecognise </w:t>
      </w:r>
      <w:r>
        <w:t xml:space="preserve">the </w:t>
      </w:r>
      <w:r w:rsidRPr="00DA1387">
        <w:t>specialist skills required within gambling harm services</w:t>
      </w:r>
      <w:r>
        <w:t xml:space="preserve"> </w:t>
      </w:r>
      <w:r w:rsidRPr="00DA1387">
        <w:t>and increase</w:t>
      </w:r>
      <w:r>
        <w:t xml:space="preserve"> </w:t>
      </w:r>
      <w:r w:rsidRPr="00DA1387">
        <w:t>opportunities for workforce development and cultural safet</w:t>
      </w:r>
      <w:r>
        <w:t>y (including a</w:t>
      </w:r>
      <w:r w:rsidRPr="00DA1387">
        <w:t>cknowledg</w:t>
      </w:r>
      <w:r>
        <w:t>ing</w:t>
      </w:r>
      <w:r w:rsidRPr="00DA1387">
        <w:t xml:space="preserve"> and </w:t>
      </w:r>
      <w:r>
        <w:t>involving</w:t>
      </w:r>
      <w:r w:rsidRPr="00DA1387">
        <w:t xml:space="preserve"> gambling services in mental health and addiction services and responses</w:t>
      </w:r>
      <w:r>
        <w:t>)</w:t>
      </w:r>
    </w:p>
    <w:p w14:paraId="4F664ED2" w14:textId="77777777" w:rsidR="00FA6A1F" w:rsidRPr="00043A12" w:rsidRDefault="00FA6A1F" w:rsidP="00DA0FA1">
      <w:pPr>
        <w:pStyle w:val="Bullet"/>
      </w:pPr>
      <w:r>
        <w:t>a</w:t>
      </w:r>
      <w:r w:rsidRPr="00DA1387">
        <w:t>cknowledge</w:t>
      </w:r>
      <w:r>
        <w:t xml:space="preserve"> the causes of</w:t>
      </w:r>
      <w:r w:rsidRPr="00DA1387">
        <w:t xml:space="preserve"> harmful gambling </w:t>
      </w:r>
      <w:r>
        <w:t xml:space="preserve">are complex and require </w:t>
      </w:r>
      <w:r w:rsidRPr="00DA1387">
        <w:t xml:space="preserve">systems change </w:t>
      </w:r>
      <w:r>
        <w:t>across sectors, for example, addressing</w:t>
      </w:r>
      <w:r w:rsidRPr="00DA1387">
        <w:t xml:space="preserve"> the social determinants of health and wellbeing</w:t>
      </w:r>
      <w:r>
        <w:t xml:space="preserve"> requires a more holistic client focus and better integration of </w:t>
      </w:r>
      <w:r w:rsidRPr="00DA1387">
        <w:t>gambling harm services into primary</w:t>
      </w:r>
      <w:r>
        <w:t xml:space="preserve"> care and </w:t>
      </w:r>
      <w:r w:rsidRPr="00DA1387">
        <w:t>social service</w:t>
      </w:r>
      <w:r>
        <w:t>s</w:t>
      </w:r>
    </w:p>
    <w:p w14:paraId="4F664ED3" w14:textId="77777777" w:rsidR="00FA6A1F" w:rsidRPr="00043A12" w:rsidRDefault="00FA6A1F" w:rsidP="00DA0FA1">
      <w:pPr>
        <w:pStyle w:val="Bullet"/>
        <w:keepNext/>
      </w:pPr>
      <w:r>
        <w:lastRenderedPageBreak/>
        <w:t xml:space="preserve">ensure </w:t>
      </w:r>
      <w:r w:rsidRPr="00DA1387">
        <w:t xml:space="preserve">public health </w:t>
      </w:r>
      <w:r>
        <w:t xml:space="preserve">messaging in all resources </w:t>
      </w:r>
      <w:r w:rsidRPr="00DA1387">
        <w:t>are consistent</w:t>
      </w:r>
      <w:r>
        <w:t xml:space="preserve">, </w:t>
      </w:r>
      <w:r w:rsidRPr="00DA1387">
        <w:t xml:space="preserve">informative and align with </w:t>
      </w:r>
      <w:r>
        <w:t xml:space="preserve">the </w:t>
      </w:r>
      <w:r w:rsidRPr="00DA1387">
        <w:t>different cultural world</w:t>
      </w:r>
      <w:r>
        <w:t xml:space="preserve"> </w:t>
      </w:r>
      <w:r w:rsidRPr="00DA1387">
        <w:t>views</w:t>
      </w:r>
      <w:r>
        <w:t xml:space="preserve"> of</w:t>
      </w:r>
      <w:r w:rsidRPr="00DA1387">
        <w:t xml:space="preserve"> individuals</w:t>
      </w:r>
      <w:r>
        <w:t xml:space="preserve"> and</w:t>
      </w:r>
      <w:r w:rsidRPr="00DA1387">
        <w:t xml:space="preserve"> affected others</w:t>
      </w:r>
      <w:r>
        <w:t xml:space="preserve">, including their </w:t>
      </w:r>
      <w:r w:rsidRPr="00DA1387">
        <w:t xml:space="preserve">wider </w:t>
      </w:r>
      <w:r>
        <w:t>family and whānau</w:t>
      </w:r>
    </w:p>
    <w:p w14:paraId="4F664ED4" w14:textId="77777777" w:rsidR="008303C6" w:rsidRDefault="00FA6A1F" w:rsidP="00DA0FA1">
      <w:pPr>
        <w:pStyle w:val="Bullet"/>
      </w:pPr>
      <w:r>
        <w:t>ensure</w:t>
      </w:r>
      <w:r w:rsidRPr="00DA1387">
        <w:t xml:space="preserve"> evaluation </w:t>
      </w:r>
      <w:r>
        <w:t xml:space="preserve">of </w:t>
      </w:r>
      <w:r w:rsidRPr="00DA1387">
        <w:t>all pilot projects and services</w:t>
      </w:r>
      <w:r>
        <w:t xml:space="preserve">; service models measure service delivery in equitable and culturally responsive ways; and </w:t>
      </w:r>
      <w:r w:rsidRPr="00DA1387">
        <w:t xml:space="preserve">research findings are </w:t>
      </w:r>
      <w:r>
        <w:t xml:space="preserve">communicated </w:t>
      </w:r>
      <w:r w:rsidRPr="00DA1387">
        <w:t xml:space="preserve">to the entire gambling sector and </w:t>
      </w:r>
      <w:r>
        <w:t xml:space="preserve">made </w:t>
      </w:r>
      <w:r w:rsidRPr="00DA1387">
        <w:t>accessible</w:t>
      </w:r>
      <w:r>
        <w:t xml:space="preserve"> </w:t>
      </w:r>
      <w:r w:rsidRPr="00DA1387">
        <w:t xml:space="preserve">in ways that resonate with </w:t>
      </w:r>
      <w:r>
        <w:t>affected</w:t>
      </w:r>
      <w:r w:rsidRPr="00DA1387">
        <w:t xml:space="preserve"> communities</w:t>
      </w:r>
      <w:r>
        <w:t>.</w:t>
      </w:r>
    </w:p>
    <w:p w14:paraId="4F664ED5" w14:textId="77777777" w:rsidR="00DA0FA1" w:rsidRDefault="00DA0FA1" w:rsidP="00DA0FA1"/>
    <w:p w14:paraId="4F664ED6" w14:textId="77777777" w:rsidR="00FA6A1F" w:rsidRDefault="00FA6A1F" w:rsidP="00DA0FA1">
      <w:r w:rsidRPr="007A2EFF">
        <w:t xml:space="preserve">More information about the </w:t>
      </w:r>
      <w:r>
        <w:t xml:space="preserve">Gambling Harm Needs Assessment 2021 </w:t>
      </w:r>
      <w:r w:rsidRPr="007A2EFF">
        <w:t xml:space="preserve">can be </w:t>
      </w:r>
      <w:r w:rsidRPr="00462DA7">
        <w:t xml:space="preserve">found in </w:t>
      </w:r>
      <w:r w:rsidR="000756FF">
        <w:t>Appendix 6: Overview of gambling harm from 2019/20 to 2021/22</w:t>
      </w:r>
      <w:r>
        <w:t xml:space="preserve">. The full report is available </w:t>
      </w:r>
      <w:r w:rsidRPr="007A2EFF">
        <w:t xml:space="preserve">alongside this consultation document at: </w:t>
      </w:r>
      <w:hyperlink r:id="rId31" w:history="1">
        <w:r w:rsidR="00DA0FA1" w:rsidRPr="00DA0FA1">
          <w:rPr>
            <w:rStyle w:val="Hyperlink"/>
          </w:rPr>
          <w:t>https://consult.health.govt.nz</w:t>
        </w:r>
      </w:hyperlink>
      <w:r w:rsidR="00DA0FA1">
        <w:t>.</w:t>
      </w:r>
    </w:p>
    <w:p w14:paraId="4F664ED7" w14:textId="77777777" w:rsidR="00DA0FA1" w:rsidRPr="007A2EFF" w:rsidRDefault="00DA0FA1" w:rsidP="00DA0FA1"/>
    <w:p w14:paraId="4F664ED8" w14:textId="77777777" w:rsidR="00FA6A1F" w:rsidRPr="000251AA" w:rsidRDefault="00FA6A1F" w:rsidP="00DA0FA1">
      <w:pPr>
        <w:pStyle w:val="Heading2"/>
        <w:rPr>
          <w:rFonts w:eastAsiaTheme="majorEastAsia"/>
        </w:rPr>
      </w:pPr>
      <w:bookmarkStart w:id="35" w:name="_Toc78882258"/>
      <w:bookmarkStart w:id="36" w:name="_Toc80965830"/>
      <w:r w:rsidRPr="000251AA">
        <w:rPr>
          <w:rFonts w:eastAsiaTheme="majorEastAsia"/>
        </w:rPr>
        <w:t xml:space="preserve">Evidence </w:t>
      </w:r>
      <w:r>
        <w:rPr>
          <w:rFonts w:eastAsiaTheme="majorEastAsia"/>
        </w:rPr>
        <w:t>informing</w:t>
      </w:r>
      <w:r w:rsidRPr="000251AA">
        <w:rPr>
          <w:rFonts w:eastAsiaTheme="majorEastAsia"/>
        </w:rPr>
        <w:t xml:space="preserve"> the </w:t>
      </w:r>
      <w:r>
        <w:rPr>
          <w:rFonts w:eastAsiaTheme="majorEastAsia"/>
        </w:rPr>
        <w:t>draft strategy</w:t>
      </w:r>
      <w:bookmarkEnd w:id="35"/>
      <w:bookmarkEnd w:id="36"/>
    </w:p>
    <w:p w14:paraId="4F664ED9" w14:textId="77777777" w:rsidR="008303C6" w:rsidRDefault="00FA6A1F" w:rsidP="00DA0FA1">
      <w:r>
        <w:t>This draft strategy, including the proposed strategic framework and service plan, has been informed by available research and evidence, including the 2021 needs assessment and monitoring service data from gambling harm prevention and minimisation services.</w:t>
      </w:r>
    </w:p>
    <w:p w14:paraId="4F664EDA" w14:textId="77777777" w:rsidR="00DA0FA1" w:rsidRDefault="00DA0FA1" w:rsidP="00DA0FA1"/>
    <w:p w14:paraId="4F664EDB" w14:textId="77777777" w:rsidR="008303C6" w:rsidRDefault="00FA6A1F" w:rsidP="00DA0FA1">
      <w:pPr>
        <w:rPr>
          <w:i/>
          <w:iCs/>
        </w:rPr>
      </w:pPr>
      <w:r>
        <w:t xml:space="preserve">A detailed overview of the evidence that has informed this draft strategy is provided in </w:t>
      </w:r>
      <w:r w:rsidR="000756FF">
        <w:t>Appendix 6: Overview of gambling harm from 2019/20 to 2021/22</w:t>
      </w:r>
      <w:r w:rsidRPr="00DA0FA1">
        <w:t xml:space="preserve">. This outlines what we </w:t>
      </w:r>
      <w:r w:rsidRPr="007F69B8">
        <w:t xml:space="preserve">know about gambling </w:t>
      </w:r>
      <w:r>
        <w:t xml:space="preserve">practices and research </w:t>
      </w:r>
      <w:r w:rsidRPr="007F69B8">
        <w:t xml:space="preserve">in </w:t>
      </w:r>
      <w:r>
        <w:t xml:space="preserve">Aotearoa </w:t>
      </w:r>
      <w:r w:rsidRPr="007F69B8">
        <w:t>New Zealand</w:t>
      </w:r>
      <w:r>
        <w:t>,</w:t>
      </w:r>
      <w:r w:rsidRPr="007F69B8">
        <w:t xml:space="preserve"> the nature of gambling harm and service delivery </w:t>
      </w:r>
      <w:r>
        <w:t>from</w:t>
      </w:r>
      <w:r w:rsidRPr="007F69B8">
        <w:t xml:space="preserve"> 2019/20 to 2020/21</w:t>
      </w:r>
      <w:r>
        <w:rPr>
          <w:i/>
          <w:iCs/>
        </w:rPr>
        <w:t>.</w:t>
      </w:r>
    </w:p>
    <w:p w14:paraId="4F664EDC" w14:textId="77777777" w:rsidR="00DA0FA1" w:rsidRDefault="00DA0FA1" w:rsidP="00DA0FA1">
      <w:pPr>
        <w:rPr>
          <w:i/>
          <w:iCs/>
        </w:rPr>
      </w:pPr>
    </w:p>
    <w:p w14:paraId="4F664EDD" w14:textId="77777777" w:rsidR="00FA6A1F" w:rsidRDefault="00FA6A1F" w:rsidP="00DA0FA1">
      <w:r>
        <w:t xml:space="preserve">Information on service user data and published gambling research and evaluation is </w:t>
      </w:r>
      <w:r w:rsidRPr="0003439F">
        <w:t xml:space="preserve">available </w:t>
      </w:r>
      <w:r w:rsidRPr="000251AA">
        <w:t>on the Ministry</w:t>
      </w:r>
      <w:r w:rsidR="008303C6">
        <w:t>’</w:t>
      </w:r>
      <w:r w:rsidRPr="000251AA">
        <w:t xml:space="preserve">s </w:t>
      </w:r>
      <w:r>
        <w:t>Gambling webpage at</w:t>
      </w:r>
      <w:r w:rsidRPr="000251AA">
        <w:t xml:space="preserve">: </w:t>
      </w:r>
      <w:hyperlink r:id="rId32" w:history="1">
        <w:r w:rsidRPr="00361733">
          <w:rPr>
            <w:rStyle w:val="Hyperlink"/>
          </w:rPr>
          <w:t>www.health.govt.nz/our-work/mental-health-and-addiction/addiction/gambling</w:t>
        </w:r>
      </w:hyperlink>
      <w:r w:rsidR="00DA0FA1" w:rsidRPr="00DA0FA1">
        <w:t>.</w:t>
      </w:r>
    </w:p>
    <w:p w14:paraId="4F664EDE" w14:textId="77777777" w:rsidR="00DA0FA1" w:rsidRPr="00DA0FA1" w:rsidRDefault="00DA0FA1" w:rsidP="00DA0FA1"/>
    <w:p w14:paraId="4F664EDF" w14:textId="77777777" w:rsidR="00FA6A1F" w:rsidRDefault="00FA6A1F" w:rsidP="0058426D">
      <w:pPr>
        <w:pStyle w:val="Heading2"/>
        <w:keepNext w:val="0"/>
        <w:pageBreakBefore/>
        <w:spacing w:before="0"/>
        <w:rPr>
          <w:rFonts w:eastAsiaTheme="majorEastAsia"/>
        </w:rPr>
      </w:pPr>
      <w:bookmarkStart w:id="37" w:name="_Toc78882259"/>
      <w:bookmarkStart w:id="38" w:name="_Toc80965831"/>
      <w:r>
        <w:rPr>
          <w:rFonts w:eastAsiaTheme="majorEastAsia"/>
        </w:rPr>
        <w:lastRenderedPageBreak/>
        <w:t>Structure of this document</w:t>
      </w:r>
      <w:bookmarkEnd w:id="37"/>
      <w:bookmarkEnd w:id="38"/>
    </w:p>
    <w:p w14:paraId="4F664EE0" w14:textId="77777777" w:rsidR="00FA6A1F" w:rsidRPr="0003439F" w:rsidRDefault="00FA6A1F" w:rsidP="00DA0FA1">
      <w:r>
        <w:t>We are seeking your feedback on the proposals outlined in the following sections of this draft strategy.</w:t>
      </w:r>
    </w:p>
    <w:p w14:paraId="4F664EE1" w14:textId="77777777" w:rsidR="00FA6A1F" w:rsidRPr="000251AA" w:rsidRDefault="00D90DAF" w:rsidP="00DA0FA1">
      <w:pPr>
        <w:pStyle w:val="Bullet"/>
      </w:pPr>
      <w:hyperlink w:anchor="_2_The_strategic" w:history="1">
        <w:r w:rsidR="000A77BD" w:rsidRPr="000A77BD">
          <w:rPr>
            <w:rStyle w:val="Hyperlink"/>
          </w:rPr>
          <w:t>Section 2</w:t>
        </w:r>
      </w:hyperlink>
      <w:r w:rsidR="00FA6A1F" w:rsidRPr="000A77BD">
        <w:t>: draft strategic plan. This outline</w:t>
      </w:r>
      <w:r w:rsidR="00FA6A1F">
        <w:t>s</w:t>
      </w:r>
      <w:r w:rsidR="00FA6A1F" w:rsidRPr="000251AA">
        <w:t xml:space="preserve"> a new strategic framework that is intended to drive progress towards </w:t>
      </w:r>
      <w:r w:rsidR="00FA6A1F">
        <w:t>p</w:t>
      </w:r>
      <w:r w:rsidR="00FA6A1F" w:rsidRPr="000251AA">
        <w:t xml:space="preserve">ae </w:t>
      </w:r>
      <w:r w:rsidR="00FA6A1F">
        <w:t>o</w:t>
      </w:r>
      <w:r w:rsidR="00FA6A1F" w:rsidRPr="000251AA">
        <w:t xml:space="preserve">ra – </w:t>
      </w:r>
      <w:r w:rsidR="00FA6A1F">
        <w:t>h</w:t>
      </w:r>
      <w:r w:rsidR="00FA6A1F" w:rsidRPr="000251AA">
        <w:t xml:space="preserve">ealthy </w:t>
      </w:r>
      <w:r w:rsidR="00FA6A1F">
        <w:t>f</w:t>
      </w:r>
      <w:r w:rsidR="00FA6A1F" w:rsidRPr="000251AA">
        <w:t>utures. The outcomes and objectives in this section, as well as our principles and commitments to positioning gambling as an equity issue are intended to guide our work for the long-term. This section also includes information about how we will measure our progress</w:t>
      </w:r>
      <w:r w:rsidR="00FA6A1F">
        <w:t>.</w:t>
      </w:r>
    </w:p>
    <w:p w14:paraId="4F664EE2" w14:textId="77777777" w:rsidR="00FA6A1F" w:rsidRPr="000251AA" w:rsidRDefault="00D90DAF" w:rsidP="00DA0FA1">
      <w:pPr>
        <w:pStyle w:val="Bullet"/>
      </w:pPr>
      <w:hyperlink w:anchor="_3_Draft_service" w:history="1">
        <w:r w:rsidR="000A77BD" w:rsidRPr="000A77BD">
          <w:rPr>
            <w:rStyle w:val="Hyperlink"/>
          </w:rPr>
          <w:t>Section 3</w:t>
        </w:r>
      </w:hyperlink>
      <w:r w:rsidR="00FA6A1F" w:rsidRPr="000A77BD">
        <w:t>: draft three-year service plan for 2022/23 to 2024/25. The ser</w:t>
      </w:r>
      <w:r w:rsidR="00FA6A1F" w:rsidRPr="000251AA">
        <w:t>vice plan is aligned to the strategic plan and sets out the Government</w:t>
      </w:r>
      <w:r w:rsidR="008303C6">
        <w:t>’</w:t>
      </w:r>
      <w:r w:rsidR="00FA6A1F" w:rsidRPr="000251AA">
        <w:t>s operational priorities to prevent and minimise gambling harm, and the costs of those services, for the three years from 1 July 2022 to 30 June 2025</w:t>
      </w:r>
      <w:r w:rsidR="00FA6A1F">
        <w:t>.</w:t>
      </w:r>
    </w:p>
    <w:p w14:paraId="4F664EE3" w14:textId="77777777" w:rsidR="00FA6A1F" w:rsidRPr="000251AA" w:rsidRDefault="00D90DAF" w:rsidP="00DA0FA1">
      <w:pPr>
        <w:pStyle w:val="Bullet"/>
      </w:pPr>
      <w:hyperlink w:anchor="_4_Draft_levy" w:history="1">
        <w:r w:rsidR="000A77BD" w:rsidRPr="000A77BD">
          <w:rPr>
            <w:rStyle w:val="Hyperlink"/>
          </w:rPr>
          <w:t>Section 4</w:t>
        </w:r>
      </w:hyperlink>
      <w:r w:rsidR="00FA6A1F" w:rsidRPr="000A77BD">
        <w:t>: draft levy rates for 2022/23 to 2024/25. This sect</w:t>
      </w:r>
      <w:r w:rsidR="00FA6A1F" w:rsidRPr="000251AA">
        <w:t xml:space="preserve">ion sets out the proposed levy rates for the three-year period corresponding to the term of the proposed service plan and describes </w:t>
      </w:r>
      <w:r w:rsidR="00FA6A1F">
        <w:t>how</w:t>
      </w:r>
      <w:r w:rsidR="00FA6A1F" w:rsidRPr="000251AA">
        <w:t xml:space="preserve"> the </w:t>
      </w:r>
      <w:r w:rsidR="00FA6A1F">
        <w:t xml:space="preserve">levy </w:t>
      </w:r>
      <w:r w:rsidR="00FA6A1F" w:rsidRPr="000251AA">
        <w:t>rates were calculated.</w:t>
      </w:r>
    </w:p>
    <w:p w14:paraId="4F664EE4" w14:textId="77777777" w:rsidR="00FA6A1F" w:rsidRDefault="00FA6A1F" w:rsidP="00DA0FA1"/>
    <w:p w14:paraId="4F664EE5" w14:textId="77777777" w:rsidR="00FA6A1F" w:rsidRPr="0003777A" w:rsidRDefault="0058426D" w:rsidP="0058426D">
      <w:pPr>
        <w:pStyle w:val="Heading1"/>
      </w:pPr>
      <w:bookmarkStart w:id="39" w:name="_2_The_strategic"/>
      <w:bookmarkStart w:id="40" w:name="_Toc71550028"/>
      <w:bookmarkStart w:id="41" w:name="_Toc78882260"/>
      <w:bookmarkStart w:id="42" w:name="_Toc80965832"/>
      <w:bookmarkEnd w:id="39"/>
      <w:r>
        <w:lastRenderedPageBreak/>
        <w:t>2</w:t>
      </w:r>
      <w:r>
        <w:tab/>
      </w:r>
      <w:r w:rsidR="00FA6A1F" w:rsidRPr="008A4095">
        <w:t xml:space="preserve">The </w:t>
      </w:r>
      <w:bookmarkEnd w:id="40"/>
      <w:r w:rsidR="00FA6A1F">
        <w:t>strategic plan</w:t>
      </w:r>
      <w:bookmarkEnd w:id="41"/>
      <w:bookmarkEnd w:id="42"/>
    </w:p>
    <w:p w14:paraId="4F664EE6" w14:textId="77777777" w:rsidR="00FA6A1F" w:rsidRDefault="00FA6A1F" w:rsidP="001A0826">
      <w:pPr>
        <w:pStyle w:val="Heading2"/>
      </w:pPr>
      <w:bookmarkStart w:id="43" w:name="_Toc71550029"/>
      <w:bookmarkStart w:id="44" w:name="_Toc78882261"/>
      <w:bookmarkStart w:id="45" w:name="_Toc80965833"/>
      <w:r w:rsidRPr="00984F8E">
        <w:t>Introduction</w:t>
      </w:r>
      <w:bookmarkEnd w:id="43"/>
      <w:bookmarkEnd w:id="44"/>
      <w:bookmarkEnd w:id="45"/>
    </w:p>
    <w:p w14:paraId="4F664EE7" w14:textId="77777777" w:rsidR="008303C6" w:rsidRDefault="00FA6A1F" w:rsidP="001A0826">
      <w:pPr>
        <w:rPr>
          <w:rFonts w:cs="Garamond"/>
          <w:color w:val="000000"/>
        </w:rPr>
      </w:pPr>
      <w:r w:rsidRPr="00185850">
        <w:t xml:space="preserve">This draft strategy comprises a rolling six-year strategic framework, and a three-year service plan and levy rates, and is refreshed every three years. </w:t>
      </w:r>
      <w:r w:rsidRPr="00E312E8">
        <w:t>Together</w:t>
      </w:r>
      <w:r>
        <w:t>,</w:t>
      </w:r>
      <w:r w:rsidRPr="00E312E8">
        <w:t xml:space="preserve"> th</w:t>
      </w:r>
      <w:r>
        <w:t>e strategic framework and service plan</w:t>
      </w:r>
      <w:r w:rsidRPr="00E312E8">
        <w:t xml:space="preserve"> </w:t>
      </w:r>
      <w:r w:rsidRPr="00E312E8">
        <w:rPr>
          <w:rFonts w:cs="Garamond"/>
          <w:color w:val="000000"/>
        </w:rPr>
        <w:t xml:space="preserve">set out </w:t>
      </w:r>
      <w:r>
        <w:rPr>
          <w:rFonts w:cs="Garamond"/>
          <w:color w:val="000000"/>
        </w:rPr>
        <w:t>our</w:t>
      </w:r>
      <w:r w:rsidRPr="00E312E8">
        <w:rPr>
          <w:rFonts w:cs="Garamond"/>
          <w:color w:val="000000"/>
        </w:rPr>
        <w:t xml:space="preserve"> proposed </w:t>
      </w:r>
      <w:r w:rsidRPr="00B47FDC">
        <w:rPr>
          <w:rFonts w:cs="Garamond"/>
          <w:color w:val="000000"/>
        </w:rPr>
        <w:t xml:space="preserve">approach </w:t>
      </w:r>
      <w:r w:rsidRPr="00E728BA">
        <w:rPr>
          <w:rFonts w:cs="Garamond"/>
          <w:color w:val="000000"/>
        </w:rPr>
        <w:t xml:space="preserve">and the range of activities </w:t>
      </w:r>
      <w:r>
        <w:rPr>
          <w:rFonts w:cs="Garamond"/>
          <w:color w:val="000000"/>
        </w:rPr>
        <w:t>we</w:t>
      </w:r>
      <w:r w:rsidRPr="00E728BA">
        <w:rPr>
          <w:rFonts w:cs="Garamond"/>
          <w:color w:val="000000"/>
        </w:rPr>
        <w:t xml:space="preserve"> plan to undertake</w:t>
      </w:r>
      <w:r w:rsidRPr="00C10A99">
        <w:rPr>
          <w:rFonts w:cs="Garamond"/>
          <w:color w:val="000000"/>
        </w:rPr>
        <w:t xml:space="preserve"> to minimise gambling harm </w:t>
      </w:r>
      <w:r>
        <w:rPr>
          <w:rFonts w:cs="Garamond"/>
          <w:color w:val="000000"/>
        </w:rPr>
        <w:t>in the period 2022/23 to 2024/25</w:t>
      </w:r>
      <w:r w:rsidRPr="00C10A99">
        <w:rPr>
          <w:rFonts w:cs="Garamond"/>
          <w:color w:val="000000"/>
        </w:rPr>
        <w:t>.</w:t>
      </w:r>
    </w:p>
    <w:p w14:paraId="4F664EE8" w14:textId="77777777" w:rsidR="001A0826" w:rsidRDefault="001A0826" w:rsidP="001A0826">
      <w:pPr>
        <w:rPr>
          <w:rFonts w:cs="Garamond"/>
          <w:color w:val="000000"/>
        </w:rPr>
      </w:pPr>
    </w:p>
    <w:p w14:paraId="4F664EE9" w14:textId="77777777" w:rsidR="00FA6A1F" w:rsidRDefault="00FA6A1F" w:rsidP="001A0826">
      <w:pPr>
        <w:pStyle w:val="Heading2"/>
      </w:pPr>
      <w:bookmarkStart w:id="46" w:name="_Toc71550026"/>
      <w:bookmarkStart w:id="47" w:name="_Toc78882262"/>
      <w:bookmarkStart w:id="48" w:name="_Toc71550030"/>
      <w:bookmarkStart w:id="49" w:name="_Toc80965834"/>
      <w:r>
        <w:t>Focusing on public health</w:t>
      </w:r>
      <w:bookmarkEnd w:id="46"/>
      <w:bookmarkEnd w:id="47"/>
      <w:bookmarkEnd w:id="49"/>
    </w:p>
    <w:p w14:paraId="4F664EEA" w14:textId="77777777" w:rsidR="00FA6A1F" w:rsidRDefault="00FA6A1F" w:rsidP="001A0826">
      <w:pPr>
        <w:rPr>
          <w:spacing w:val="-2"/>
        </w:rPr>
      </w:pPr>
      <w:r w:rsidRPr="00C73ACA">
        <w:rPr>
          <w:rFonts w:eastAsia="Calibri"/>
        </w:rPr>
        <w:t xml:space="preserve">The </w:t>
      </w:r>
      <w:r>
        <w:rPr>
          <w:rFonts w:eastAsia="Calibri"/>
        </w:rPr>
        <w:t>A</w:t>
      </w:r>
      <w:r w:rsidRPr="00C73ACA">
        <w:rPr>
          <w:rFonts w:eastAsia="Calibri"/>
        </w:rPr>
        <w:t xml:space="preserve">ct sets out requirements for an </w:t>
      </w:r>
      <w:r w:rsidR="008303C6">
        <w:rPr>
          <w:rFonts w:eastAsia="Calibri"/>
        </w:rPr>
        <w:t>‘</w:t>
      </w:r>
      <w:r w:rsidRPr="00C73ACA">
        <w:rPr>
          <w:rFonts w:eastAsia="Calibri"/>
        </w:rPr>
        <w:t xml:space="preserve">integrated problem gambling </w:t>
      </w:r>
      <w:r>
        <w:rPr>
          <w:rFonts w:eastAsia="Calibri"/>
        </w:rPr>
        <w:t>strategy</w:t>
      </w:r>
      <w:r w:rsidRPr="00C73ACA">
        <w:rPr>
          <w:rFonts w:eastAsia="Calibri"/>
        </w:rPr>
        <w:t xml:space="preserve"> focused on public health</w:t>
      </w:r>
      <w:r w:rsidR="008303C6">
        <w:rPr>
          <w:rFonts w:eastAsia="Calibri"/>
        </w:rPr>
        <w:t>’</w:t>
      </w:r>
      <w:r>
        <w:rPr>
          <w:rFonts w:eastAsia="Calibri"/>
        </w:rPr>
        <w:t xml:space="preserve">. </w:t>
      </w:r>
      <w:r>
        <w:t>Public health is about protecting against community health risks and threats, preventing illness, and promoting health across the whole population or population groups. Public health is distinguishable from other health areas in that it keeps people well and focuses on groups of people rather than individuals. Three core concepts integral to p</w:t>
      </w:r>
      <w:r>
        <w:rPr>
          <w:spacing w:val="-2"/>
        </w:rPr>
        <w:t>ublic health are:</w:t>
      </w:r>
    </w:p>
    <w:p w14:paraId="4F664EEB" w14:textId="77777777" w:rsidR="00FA6A1F" w:rsidRPr="00483643" w:rsidRDefault="00FA6A1F" w:rsidP="001A0826">
      <w:pPr>
        <w:pStyle w:val="Bullet"/>
      </w:pPr>
      <w:r>
        <w:t xml:space="preserve">the inclusion of both promotion and prevention activities. </w:t>
      </w:r>
      <w:r w:rsidRPr="00483643">
        <w:t xml:space="preserve">In the context of gambling, </w:t>
      </w:r>
      <w:r>
        <w:t xml:space="preserve">this includes </w:t>
      </w:r>
      <w:r w:rsidRPr="00483643">
        <w:t>rais</w:t>
      </w:r>
      <w:r>
        <w:t>ing</w:t>
      </w:r>
      <w:r w:rsidRPr="00483643">
        <w:t xml:space="preserve"> awareness of the signs of harmful gambling</w:t>
      </w:r>
      <w:r>
        <w:t>,</w:t>
      </w:r>
      <w:r w:rsidRPr="00483643">
        <w:t xml:space="preserve"> encourag</w:t>
      </w:r>
      <w:r>
        <w:t>ing</w:t>
      </w:r>
      <w:r w:rsidRPr="00483643">
        <w:t xml:space="preserve"> at-risk people to check whether their gambling is </w:t>
      </w:r>
      <w:r>
        <w:t>under control</w:t>
      </w:r>
      <w:r w:rsidRPr="00483643">
        <w:t xml:space="preserve"> before harm escalates in severity</w:t>
      </w:r>
      <w:r>
        <w:t xml:space="preserve">, and </w:t>
      </w:r>
      <w:r w:rsidRPr="00483643">
        <w:t>motivat</w:t>
      </w:r>
      <w:r>
        <w:t>ing</w:t>
      </w:r>
      <w:r w:rsidRPr="00483643">
        <w:t xml:space="preserve"> those who are at</w:t>
      </w:r>
      <w:r>
        <w:t xml:space="preserve"> </w:t>
      </w:r>
      <w:r w:rsidRPr="00483643">
        <w:t xml:space="preserve">risk to </w:t>
      </w:r>
      <w:r>
        <w:t xml:space="preserve">engage in self-help changes or </w:t>
      </w:r>
      <w:r w:rsidRPr="00483643">
        <w:t>get help</w:t>
      </w:r>
      <w:r>
        <w:t xml:space="preserve"> early.</w:t>
      </w:r>
    </w:p>
    <w:p w14:paraId="4F664EEC" w14:textId="77777777" w:rsidR="00FA6A1F" w:rsidRDefault="00FA6A1F" w:rsidP="001A0826">
      <w:pPr>
        <w:pStyle w:val="Bullet"/>
      </w:pPr>
      <w:r>
        <w:t>the collective nature of the promotional and preventative activities</w:t>
      </w:r>
    </w:p>
    <w:p w14:paraId="4F664EED" w14:textId="77777777" w:rsidR="00FA6A1F" w:rsidRDefault="00FA6A1F" w:rsidP="001A0826">
      <w:pPr>
        <w:pStyle w:val="Bullet"/>
      </w:pPr>
      <w:r>
        <w:t>the health of the whole population as the goal.</w:t>
      </w:r>
    </w:p>
    <w:p w14:paraId="4F664EEE" w14:textId="77777777" w:rsidR="001A0826" w:rsidRDefault="001A0826" w:rsidP="001A0826"/>
    <w:p w14:paraId="4F664EEF" w14:textId="0F12B399" w:rsidR="00FA6A1F" w:rsidRDefault="00FA6A1F" w:rsidP="001A0826">
      <w:r>
        <w:t>We use a</w:t>
      </w:r>
      <w:r w:rsidRPr="007B2B87">
        <w:t xml:space="preserve"> continuum</w:t>
      </w:r>
      <w:r w:rsidRPr="00E411B9">
        <w:t>-</w:t>
      </w:r>
      <w:r w:rsidRPr="007B2B87">
        <w:t>of</w:t>
      </w:r>
      <w:r w:rsidRPr="00E411B9">
        <w:t>-</w:t>
      </w:r>
      <w:r w:rsidRPr="007B2B87">
        <w:t>harm approach</w:t>
      </w:r>
      <w:r>
        <w:t xml:space="preserve"> to public health that</w:t>
      </w:r>
      <w:r w:rsidRPr="007B2B87">
        <w:t xml:space="preserve"> aligns a spectrum of gambling behaviour with a harm reduction framework</w:t>
      </w:r>
      <w:r w:rsidRPr="00E411B9">
        <w:t>,</w:t>
      </w:r>
      <w:r w:rsidRPr="007B2B87">
        <w:t xml:space="preserve"> as first developed by Korn and Shaffer </w:t>
      </w:r>
      <w:r w:rsidRPr="00E411B9">
        <w:t>(</w:t>
      </w:r>
      <w:r w:rsidRPr="007B2B87">
        <w:t>1999).</w:t>
      </w:r>
      <w:r w:rsidRPr="001A0826">
        <w:rPr>
          <w:rStyle w:val="FootnoteReference"/>
          <w:rFonts w:eastAsia="MS Gothic"/>
        </w:rPr>
        <w:footnoteReference w:id="6"/>
      </w:r>
      <w:r w:rsidR="008303C6">
        <w:t xml:space="preserve"> </w:t>
      </w:r>
      <w:r w:rsidRPr="00C10A99">
        <w:t>This approach recognises that people experience varying levels of harm from gambling</w:t>
      </w:r>
      <w:r>
        <w:t xml:space="preserve"> and a continuum of approaches, from prevention to intensive clinical treatment, is required</w:t>
      </w:r>
      <w:r w:rsidRPr="00C10A99">
        <w:t>.</w:t>
      </w:r>
      <w:r>
        <w:t xml:space="preserve"> </w:t>
      </w:r>
      <w:r w:rsidR="002C2F26">
        <w:fldChar w:fldCharType="begin"/>
      </w:r>
      <w:r w:rsidR="002C2F26">
        <w:instrText xml:space="preserve"> REF _Ref80786109 \h </w:instrText>
      </w:r>
      <w:r w:rsidR="002C2F26">
        <w:fldChar w:fldCharType="separate"/>
      </w:r>
      <w:r w:rsidR="00F65B3A">
        <w:t>Figure </w:t>
      </w:r>
      <w:r w:rsidR="00F65B3A">
        <w:rPr>
          <w:noProof/>
        </w:rPr>
        <w:t>1</w:t>
      </w:r>
      <w:r w:rsidR="002C2F26">
        <w:fldChar w:fldCharType="end"/>
      </w:r>
      <w:r>
        <w:t xml:space="preserve"> shows the continuum of behaviours, risks and responses, from health promotion to harm reduction and intensive treatment.</w:t>
      </w:r>
    </w:p>
    <w:p w14:paraId="4F664EF0" w14:textId="77777777" w:rsidR="001A0826" w:rsidRDefault="001A0826" w:rsidP="002C2F26"/>
    <w:p w14:paraId="4F664EF1" w14:textId="034BEE33" w:rsidR="00FA6A1F" w:rsidRDefault="002C2F26" w:rsidP="002C2F26">
      <w:pPr>
        <w:pStyle w:val="Figure"/>
      </w:pPr>
      <w:bookmarkStart w:id="50" w:name="_Ref80786109"/>
      <w:bookmarkStart w:id="51" w:name="_Toc80860342"/>
      <w:r>
        <w:lastRenderedPageBreak/>
        <w:t>Figure </w:t>
      </w:r>
      <w:fldSimple w:instr=" SEQ Figure \* ARABIC ">
        <w:r w:rsidR="00F65B3A">
          <w:rPr>
            <w:noProof/>
          </w:rPr>
          <w:t>1</w:t>
        </w:r>
      </w:fldSimple>
      <w:bookmarkEnd w:id="50"/>
      <w:r w:rsidR="00FA6A1F">
        <w:t>:</w:t>
      </w:r>
      <w:r w:rsidR="00FA6A1F" w:rsidRPr="00A34BE1">
        <w:t xml:space="preserve"> Continuum of gambling behaviour and </w:t>
      </w:r>
      <w:r w:rsidR="00FA6A1F">
        <w:t>responses</w:t>
      </w:r>
      <w:bookmarkEnd w:id="51"/>
    </w:p>
    <w:p w14:paraId="4F664EF2" w14:textId="77777777" w:rsidR="00FA6A1F" w:rsidRDefault="00FA6A1F" w:rsidP="002C2F26">
      <w:r>
        <w:rPr>
          <w:noProof/>
          <w:lang w:eastAsia="en-NZ"/>
        </w:rPr>
        <w:drawing>
          <wp:inline distT="0" distB="0" distL="0" distR="0" wp14:anchorId="4F6655C6" wp14:editId="03FA44BD">
            <wp:extent cx="4555374" cy="3182559"/>
            <wp:effectExtent l="0" t="0" r="0" b="0"/>
            <wp:docPr id="1" name="Picture 1" descr="Figure showing continuum of gambling behaviour and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showing continuum of gambling behaviour and responses"/>
                    <pic:cNvPicPr>
                      <a:picLocks noChangeAspect="1" noChangeArrowheads="1"/>
                    </pic:cNvPicPr>
                  </pic:nvPicPr>
                  <pic:blipFill rotWithShape="1">
                    <a:blip r:embed="rId33" r:link="rId34">
                      <a:extLst>
                        <a:ext uri="{28A0092B-C50C-407E-A947-70E740481C1C}">
                          <a14:useLocalDpi xmlns:a14="http://schemas.microsoft.com/office/drawing/2010/main" val="0"/>
                        </a:ext>
                      </a:extLst>
                    </a:blip>
                    <a:srcRect t="1289"/>
                    <a:stretch/>
                  </pic:blipFill>
                  <pic:spPr bwMode="auto">
                    <a:xfrm>
                      <a:off x="0" y="0"/>
                      <a:ext cx="4620327" cy="3227938"/>
                    </a:xfrm>
                    <a:prstGeom prst="rect">
                      <a:avLst/>
                    </a:prstGeom>
                    <a:noFill/>
                    <a:ln>
                      <a:noFill/>
                    </a:ln>
                    <a:extLst>
                      <a:ext uri="{53640926-AAD7-44D8-BBD7-CCE9431645EC}">
                        <a14:shadowObscured xmlns:a14="http://schemas.microsoft.com/office/drawing/2010/main"/>
                      </a:ext>
                    </a:extLst>
                  </pic:spPr>
                </pic:pic>
              </a:graphicData>
            </a:graphic>
          </wp:inline>
        </w:drawing>
      </w:r>
    </w:p>
    <w:p w14:paraId="4F664EF3" w14:textId="77777777" w:rsidR="002C2F26" w:rsidRPr="002C2F26" w:rsidRDefault="002C2F26" w:rsidP="002C2F26"/>
    <w:p w14:paraId="4F664EF4" w14:textId="77777777" w:rsidR="00FA6A1F" w:rsidRDefault="00FA6A1F" w:rsidP="002C2F26">
      <w:pPr>
        <w:pStyle w:val="Heading2"/>
      </w:pPr>
      <w:bookmarkStart w:id="52" w:name="_Toc78882263"/>
      <w:bookmarkStart w:id="53" w:name="_Hlk76067561"/>
      <w:bookmarkStart w:id="54" w:name="_Toc80965835"/>
      <w:r>
        <w:t>Positioning gambling harm as an equity issue</w:t>
      </w:r>
      <w:bookmarkEnd w:id="52"/>
      <w:bookmarkEnd w:id="54"/>
    </w:p>
    <w:p w14:paraId="4F664EF5" w14:textId="77777777" w:rsidR="008303C6" w:rsidRDefault="00FA6A1F" w:rsidP="002C2F26">
      <w:r>
        <w:t>The needs assessment has highlighted the importance of treating gambling harm prevention and minimisation as an equity issue. Any issue that predominantly affects one or some groups more than others is an equity issue. In the case of gambling harm, Māori and Pacific peoples are shouldering a burden of harm that greatly outweighs that being experienced by other groups.</w:t>
      </w:r>
    </w:p>
    <w:p w14:paraId="4F664EF6" w14:textId="77777777" w:rsidR="002C2F26" w:rsidRDefault="002C2F26" w:rsidP="002C2F26"/>
    <w:p w14:paraId="4F664EF7" w14:textId="77777777" w:rsidR="008303C6" w:rsidRDefault="00FA6A1F" w:rsidP="002C2F26">
      <w:r>
        <w:t>These strongly patterned outcomes have a systemic cause: for example, we know that the most harmful form of gambling – non-casino gaming machines (NCGM )– are not distributed randomly across our communities but is concentrated in lower socioeconomic status and high deprivation areas, where Māori and Pacific peoples are more likely to live. We also know the services and supports that are in place to prevent and minimise gambling harm are underutilised, and one likely reason for this is that they are not considered acceptable and culturally appropriate by all potential service users.</w:t>
      </w:r>
    </w:p>
    <w:p w14:paraId="4F664EF8" w14:textId="77777777" w:rsidR="002C2F26" w:rsidRDefault="002C2F26" w:rsidP="002C2F26"/>
    <w:p w14:paraId="4F664EF9" w14:textId="77777777" w:rsidR="008303C6" w:rsidRDefault="00FA6A1F" w:rsidP="002C2F26">
      <w:r>
        <w:t>Equity issues require tailoring services to address inequities, which may include targeted actions based on engaging with, listening to and partnering with the people who are most affected. In addition, issues where Māori are disadvantaged or harmed need to be considered carefully and implemented well, drawing on the strength of the special relationship that the Crown has with Māori under Te Tiriti o Waitangi (Te Tiriti).</w:t>
      </w:r>
    </w:p>
    <w:p w14:paraId="4F664EFA" w14:textId="77777777" w:rsidR="002C2F26" w:rsidRDefault="002C2F26" w:rsidP="002C2F26"/>
    <w:bookmarkEnd w:id="53"/>
    <w:p w14:paraId="4F664EFB" w14:textId="77777777" w:rsidR="00FA6A1F" w:rsidRPr="004F5C31" w:rsidRDefault="00FA6A1F" w:rsidP="002C2F26">
      <w:pPr>
        <w:pStyle w:val="BoxHeading"/>
      </w:pPr>
      <w:r>
        <w:lastRenderedPageBreak/>
        <w:t>Box 1: The Ministry of Health</w:t>
      </w:r>
      <w:r w:rsidR="008303C6">
        <w:t>’</w:t>
      </w:r>
      <w:r>
        <w:t>s position on i</w:t>
      </w:r>
      <w:r w:rsidRPr="004F5C31">
        <w:t>nequalities and inequity in health</w:t>
      </w:r>
    </w:p>
    <w:p w14:paraId="4F664EFC" w14:textId="77777777" w:rsidR="00FA6A1F" w:rsidRPr="00726A61" w:rsidRDefault="00FA6A1F" w:rsidP="002C2F26">
      <w:pPr>
        <w:pStyle w:val="Box"/>
      </w:pPr>
      <w:r>
        <w:t>Our</w:t>
      </w:r>
      <w:r w:rsidRPr="00726A61">
        <w:t xml:space="preserve"> definition of equity is:</w:t>
      </w:r>
    </w:p>
    <w:p w14:paraId="4F664EFD" w14:textId="77777777" w:rsidR="00FA6A1F" w:rsidRPr="00726A61" w:rsidRDefault="002C2F26" w:rsidP="002C2F26">
      <w:pPr>
        <w:pStyle w:val="Box"/>
        <w:tabs>
          <w:tab w:val="left" w:pos="567"/>
        </w:tabs>
        <w:ind w:left="567" w:hanging="283"/>
      </w:pPr>
      <w:r>
        <w:tab/>
      </w:r>
      <w:r w:rsidR="008303C6">
        <w:t>“</w:t>
      </w:r>
      <w:r w:rsidR="00FA6A1F" w:rsidRPr="00726A61">
        <w:t>In Aotearoa New Zealand, people have differences in health that are not only avoidable but unfair and unjust. Equity recognises different people with different levels of advantage require different approaches and resources to get equitable health outcomes.</w:t>
      </w:r>
      <w:r w:rsidR="008303C6">
        <w:t>“</w:t>
      </w:r>
    </w:p>
    <w:p w14:paraId="4F664EFE" w14:textId="77777777" w:rsidR="00FA6A1F" w:rsidRPr="00726A61" w:rsidRDefault="00FA6A1F" w:rsidP="002C2F26">
      <w:pPr>
        <w:pStyle w:val="Box"/>
      </w:pPr>
      <w:r w:rsidRPr="00726A61">
        <w:t>This definition of equity was signed off by the Director-General of Health, Dr</w:t>
      </w:r>
      <w:r w:rsidR="002C2F26">
        <w:t> </w:t>
      </w:r>
      <w:r w:rsidRPr="00726A61">
        <w:t>Ashley Bloomfield, in March 2019.</w:t>
      </w:r>
      <w:r w:rsidRPr="002C2F26">
        <w:rPr>
          <w:rStyle w:val="FootnoteReference"/>
          <w:rFonts w:eastAsiaTheme="majorEastAsia"/>
        </w:rPr>
        <w:footnoteReference w:id="7"/>
      </w:r>
    </w:p>
    <w:p w14:paraId="4F664EFF" w14:textId="77777777" w:rsidR="008303C6" w:rsidRDefault="00FA6A1F" w:rsidP="002C2F26">
      <w:pPr>
        <w:pStyle w:val="Box"/>
      </w:pPr>
      <w:r w:rsidRPr="00726A61">
        <w:t xml:space="preserve">We usually refer to the differences in health experience that occur between population groups as </w:t>
      </w:r>
      <w:r w:rsidR="008303C6">
        <w:t>‘</w:t>
      </w:r>
      <w:r w:rsidRPr="00726A61">
        <w:t>health inequalities</w:t>
      </w:r>
      <w:r w:rsidR="008303C6">
        <w:t>’</w:t>
      </w:r>
      <w:r w:rsidRPr="00726A61">
        <w:t>. A health inequality is an inequality that we can attribute to social, cultural and economic factors rather than biomedical ones.</w:t>
      </w:r>
    </w:p>
    <w:p w14:paraId="4F664F00" w14:textId="77777777" w:rsidR="00FA6A1F" w:rsidRPr="00726A61" w:rsidRDefault="00FA6A1F" w:rsidP="002C2F26">
      <w:pPr>
        <w:pStyle w:val="Box"/>
      </w:pPr>
      <w:r w:rsidRPr="00726A61">
        <w:t>Inequalities and inequity in health occur between groups because of a range of well-recognised socioeconomic, cultural and biological factors, the most common of which are sex, age, social deprivation, ethnicity and education.</w:t>
      </w:r>
    </w:p>
    <w:p w14:paraId="4F664F01" w14:textId="77777777" w:rsidR="008303C6" w:rsidRDefault="00FA6A1F" w:rsidP="002C2F26">
      <w:pPr>
        <w:pStyle w:val="Box"/>
      </w:pPr>
      <w:r w:rsidRPr="00726A61">
        <w:t>Inequities are not random; they are typically due to structural factors present in society and the local community that cannot be explained by biomedical differences between population groups. This means their causes are often complex and multifaceted and are outside the scope of the health system to address on its own.</w:t>
      </w:r>
    </w:p>
    <w:p w14:paraId="4F664F02" w14:textId="77777777" w:rsidR="002C2F26" w:rsidRDefault="002C2F26" w:rsidP="002C2F26"/>
    <w:p w14:paraId="4F664F03" w14:textId="77777777" w:rsidR="00FA6A1F" w:rsidRDefault="00FA6A1F" w:rsidP="002C2F26">
      <w:pPr>
        <w:pStyle w:val="Heading2"/>
      </w:pPr>
      <w:bookmarkStart w:id="55" w:name="_Toc78882264"/>
      <w:bookmarkStart w:id="56" w:name="_Toc80965836"/>
      <w:r>
        <w:t>An updated strategic framework</w:t>
      </w:r>
      <w:bookmarkEnd w:id="48"/>
      <w:bookmarkEnd w:id="55"/>
      <w:bookmarkEnd w:id="56"/>
    </w:p>
    <w:p w14:paraId="4F664F04" w14:textId="77777777" w:rsidR="00FA6A1F" w:rsidRDefault="00FA6A1F" w:rsidP="002C2F26">
      <w:r>
        <w:t>Set out below is a revised strategic framework to guide the strategy and service plan. When the current strategy (2019/20 to 2021/22) was published, we identified some changes had been made to better target reductions in health inequities and signalled that we would revisit the strategic framework, including the objectives, to ensure they remained fit for purpose.</w:t>
      </w:r>
    </w:p>
    <w:p w14:paraId="4F664F05" w14:textId="77777777" w:rsidR="002C2F26" w:rsidRDefault="002C2F26" w:rsidP="002C2F26"/>
    <w:p w14:paraId="4F664F06" w14:textId="77777777" w:rsidR="008303C6" w:rsidRDefault="00FA6A1F" w:rsidP="002C2F26">
      <w:r>
        <w:t>The proposed updated framework is based on the needs assessment findings, an analysis of outcomes, and the most current research and of other evidence available, including emerging issues. It also takes account of the following significant changes in the strategic environment within which gambling, and gambling harm prevention and minimisation, is situated.</w:t>
      </w:r>
    </w:p>
    <w:p w14:paraId="4F664F07" w14:textId="77777777" w:rsidR="008303C6" w:rsidRDefault="00FA6A1F" w:rsidP="002C2F26">
      <w:pPr>
        <w:pStyle w:val="Bullet"/>
        <w:keepLines/>
      </w:pPr>
      <w:r w:rsidRPr="0003777A">
        <w:lastRenderedPageBreak/>
        <w:t>The report of the Government Inquiry into Mental Health</w:t>
      </w:r>
      <w:r>
        <w:t>,</w:t>
      </w:r>
      <w:r w:rsidRPr="0003777A">
        <w:t xml:space="preserve"> </w:t>
      </w:r>
      <w:r w:rsidRPr="0003777A">
        <w:rPr>
          <w:i/>
          <w:iCs/>
        </w:rPr>
        <w:t>He Ara Oranga</w:t>
      </w:r>
      <w:r w:rsidRPr="002C2F26">
        <w:rPr>
          <w:rStyle w:val="FootnoteReference"/>
          <w:rFonts w:eastAsia="MS Gothic"/>
        </w:rPr>
        <w:footnoteReference w:id="8"/>
      </w:r>
      <w:r w:rsidRPr="0003777A">
        <w:t xml:space="preserve"> and the government</w:t>
      </w:r>
      <w:r w:rsidR="008303C6">
        <w:t>’</w:t>
      </w:r>
      <w:r w:rsidRPr="0003777A">
        <w:t xml:space="preserve">s response </w:t>
      </w:r>
      <w:r>
        <w:t>to that report emphasised</w:t>
      </w:r>
      <w:r w:rsidRPr="0003777A">
        <w:t xml:space="preserve"> the need for strong communities, wellbeing promotion and prevention, and early intervention in the course of addiction and mental distress. The Government</w:t>
      </w:r>
      <w:r w:rsidR="008303C6">
        <w:t>’</w:t>
      </w:r>
      <w:r w:rsidRPr="0003777A">
        <w:t>s initial response was through Budget 2019</w:t>
      </w:r>
      <w:r>
        <w:t>,</w:t>
      </w:r>
      <w:r w:rsidRPr="0003777A">
        <w:t xml:space="preserve"> which allocated $1.9 billion </w:t>
      </w:r>
      <w:r>
        <w:t xml:space="preserve">to a </w:t>
      </w:r>
      <w:r w:rsidRPr="0003777A">
        <w:t>cross-government mental wellbeing package. This package comprises a wide range of initiatives, including investment in mental health and addiction facilities and initiatives to address the social determinants of wellbeing.</w:t>
      </w:r>
    </w:p>
    <w:p w14:paraId="4F664F08" w14:textId="77777777" w:rsidR="008303C6" w:rsidRDefault="00FA6A1F" w:rsidP="002C2F26">
      <w:pPr>
        <w:pStyle w:val="Bullet"/>
      </w:pPr>
      <w:r w:rsidRPr="0003777A">
        <w:t xml:space="preserve">The </w:t>
      </w:r>
      <w:r>
        <w:t xml:space="preserve">Ministry </w:t>
      </w:r>
      <w:r w:rsidRPr="0003777A">
        <w:t xml:space="preserve">publication </w:t>
      </w:r>
      <w:r w:rsidRPr="0003777A">
        <w:rPr>
          <w:i/>
          <w:iCs/>
        </w:rPr>
        <w:t>Whakamaua: Māori Health Action Plan 2020–2025</w:t>
      </w:r>
      <w:r>
        <w:rPr>
          <w:i/>
          <w:iCs/>
        </w:rPr>
        <w:t xml:space="preserve"> </w:t>
      </w:r>
      <w:r>
        <w:t>(</w:t>
      </w:r>
      <w:r>
        <w:rPr>
          <w:i/>
          <w:iCs/>
        </w:rPr>
        <w:t>Whakamaua</w:t>
      </w:r>
      <w:r>
        <w:t>)</w:t>
      </w:r>
      <w:r w:rsidRPr="002C2F26">
        <w:rPr>
          <w:rStyle w:val="FootnoteReference"/>
          <w:rFonts w:eastAsia="MS Gothic"/>
        </w:rPr>
        <w:footnoteReference w:id="9"/>
      </w:r>
      <w:r w:rsidRPr="0003777A">
        <w:t xml:space="preserve"> sets out objectives for the health and disability sector to work towards over the five years</w:t>
      </w:r>
      <w:r>
        <w:t xml:space="preserve"> to the end of 2025</w:t>
      </w:r>
      <w:r w:rsidRPr="0003777A">
        <w:t xml:space="preserve">. These objectives are </w:t>
      </w:r>
      <w:r>
        <w:t>to a</w:t>
      </w:r>
      <w:r w:rsidRPr="0003777A">
        <w:t xml:space="preserve">ccelerate and spread the delivery of </w:t>
      </w:r>
      <w:r>
        <w:t>k</w:t>
      </w:r>
      <w:r w:rsidRPr="0003777A">
        <w:t xml:space="preserve">aupapa Māori and </w:t>
      </w:r>
      <w:r>
        <w:t xml:space="preserve">whānau-centred </w:t>
      </w:r>
      <w:r w:rsidRPr="0003777A">
        <w:t>services</w:t>
      </w:r>
      <w:r>
        <w:t>:</w:t>
      </w:r>
      <w:r w:rsidRPr="0003777A">
        <w:t xml:space="preserve"> </w:t>
      </w:r>
      <w:r>
        <w:t>to s</w:t>
      </w:r>
      <w:r w:rsidRPr="0003777A">
        <w:t xml:space="preserve">hift cultural and social norms; </w:t>
      </w:r>
      <w:r>
        <w:t>to r</w:t>
      </w:r>
      <w:r w:rsidRPr="0003777A">
        <w:t xml:space="preserve">educe health inequities and health loss for Māori and </w:t>
      </w:r>
      <w:r>
        <w:t>to s</w:t>
      </w:r>
      <w:r w:rsidRPr="0003777A">
        <w:t>trengthen system accountability settings.</w:t>
      </w:r>
    </w:p>
    <w:p w14:paraId="4F664F09" w14:textId="77777777" w:rsidR="00FA6A1F" w:rsidRDefault="00FA6A1F" w:rsidP="002C2F26">
      <w:pPr>
        <w:pStyle w:val="Bullet"/>
      </w:pPr>
      <w:r>
        <w:t xml:space="preserve">In 2020, DIA announced its </w:t>
      </w:r>
      <w:r w:rsidRPr="0003777A">
        <w:t xml:space="preserve">strategic focus on gambling </w:t>
      </w:r>
      <w:r>
        <w:t xml:space="preserve">would be </w:t>
      </w:r>
      <w:r w:rsidR="008303C6">
        <w:t>‘</w:t>
      </w:r>
      <w:r>
        <w:t>D</w:t>
      </w:r>
      <w:r w:rsidRPr="0003777A">
        <w:t>elivering community wellbeing through reducing gambling</w:t>
      </w:r>
      <w:r>
        <w:t>-</w:t>
      </w:r>
      <w:r w:rsidRPr="0003777A">
        <w:t>related harms</w:t>
      </w:r>
      <w:r w:rsidR="008303C6">
        <w:t>’</w:t>
      </w:r>
      <w:r w:rsidRPr="0003777A">
        <w:t>.</w:t>
      </w:r>
      <w:r w:rsidRPr="002C2F26">
        <w:rPr>
          <w:rStyle w:val="FootnoteReference"/>
          <w:rFonts w:eastAsia="MS Gothic"/>
        </w:rPr>
        <w:footnoteReference w:id="10"/>
      </w:r>
      <w:r w:rsidRPr="0003777A">
        <w:t xml:space="preserve"> Work to achieve this purpose would be driven through five focus areas: </w:t>
      </w:r>
      <w:r>
        <w:t xml:space="preserve">being an </w:t>
      </w:r>
      <w:r w:rsidRPr="0003777A">
        <w:t xml:space="preserve">effective Treaty </w:t>
      </w:r>
      <w:r>
        <w:t>p</w:t>
      </w:r>
      <w:r w:rsidRPr="0003777A">
        <w:t xml:space="preserve">artner; </w:t>
      </w:r>
      <w:r>
        <w:t xml:space="preserve">forming an </w:t>
      </w:r>
      <w:r w:rsidRPr="0003777A">
        <w:t xml:space="preserve">enabled workforce; </w:t>
      </w:r>
      <w:r>
        <w:t xml:space="preserve">achieving </w:t>
      </w:r>
      <w:r w:rsidRPr="0003777A">
        <w:t xml:space="preserve">regulatory excellence; </w:t>
      </w:r>
      <w:r>
        <w:t xml:space="preserve">being </w:t>
      </w:r>
      <w:r w:rsidRPr="0003777A">
        <w:t>evidence</w:t>
      </w:r>
      <w:r>
        <w:t xml:space="preserve"> </w:t>
      </w:r>
      <w:r w:rsidRPr="0003777A">
        <w:t xml:space="preserve">based and informed; and </w:t>
      </w:r>
      <w:r>
        <w:t xml:space="preserve">demonstrating </w:t>
      </w:r>
      <w:r w:rsidRPr="0003777A">
        <w:t>system leadership.</w:t>
      </w:r>
    </w:p>
    <w:p w14:paraId="4F664F0A" w14:textId="77777777" w:rsidR="002C2F26" w:rsidRDefault="002C2F26" w:rsidP="002C2F26"/>
    <w:p w14:paraId="4F664F0B" w14:textId="77777777" w:rsidR="008303C6" w:rsidRDefault="00FA6A1F" w:rsidP="002C2F26">
      <w:pPr>
        <w:pStyle w:val="Box"/>
      </w:pPr>
      <w:r w:rsidRPr="0003777A">
        <w:rPr>
          <w:b/>
          <w:bCs/>
        </w:rPr>
        <w:t>The health system is being reformed</w:t>
      </w:r>
      <w:r w:rsidRPr="0003777A">
        <w:t xml:space="preserve">. Please note that we are basing our consultation around the current forms and functions of the Ministry of Health and Te Hiringa Hauora. Any structural decisions that are made through health system reforms that affect the content of this document will be </w:t>
      </w:r>
      <w:r>
        <w:t>addressed</w:t>
      </w:r>
      <w:r w:rsidRPr="0003777A">
        <w:t xml:space="preserve"> as quickly as possible as we work through the consultation and decision-making processes.</w:t>
      </w:r>
    </w:p>
    <w:p w14:paraId="4F664F0C" w14:textId="77777777" w:rsidR="002C2F26" w:rsidRDefault="002C2F26" w:rsidP="002C2F26"/>
    <w:p w14:paraId="4F664F0D" w14:textId="77777777" w:rsidR="00FA6A1F" w:rsidRPr="00E67B6A" w:rsidRDefault="00FA6A1F" w:rsidP="002C2F26">
      <w:r w:rsidRPr="00E67B6A">
        <w:t xml:space="preserve">This draft </w:t>
      </w:r>
      <w:r>
        <w:t>strategy</w:t>
      </w:r>
      <w:r w:rsidRPr="00E67B6A">
        <w:t xml:space="preserve"> sets out a revised strategic framework and service plan</w:t>
      </w:r>
      <w:r>
        <w:t xml:space="preserve"> that</w:t>
      </w:r>
      <w:r w:rsidRPr="00E67B6A">
        <w:t xml:space="preserve"> reflect </w:t>
      </w:r>
      <w:r>
        <w:t>our</w:t>
      </w:r>
      <w:r w:rsidRPr="00E67B6A">
        <w:t xml:space="preserve"> commitment to equity and to the public health approach to gambling harm prevention and minimisation. </w:t>
      </w:r>
      <w:r>
        <w:t>The</w:t>
      </w:r>
      <w:r w:rsidRPr="00E67B6A">
        <w:t xml:space="preserve"> </w:t>
      </w:r>
      <w:r>
        <w:t>changes to the framework and service plan aim</w:t>
      </w:r>
      <w:r w:rsidRPr="00E67B6A">
        <w:t xml:space="preserve"> to:</w:t>
      </w:r>
    </w:p>
    <w:p w14:paraId="4F664F0E" w14:textId="77777777" w:rsidR="00FA6A1F" w:rsidRPr="0003777A" w:rsidRDefault="00FA6A1F" w:rsidP="002C2F26">
      <w:pPr>
        <w:pStyle w:val="Bullet"/>
      </w:pPr>
      <w:bookmarkStart w:id="57" w:name="_Hlk76128694"/>
      <w:r w:rsidRPr="00FA7DC3">
        <w:t>position gambling harm prevention and minimisation explicitly as an equity issue</w:t>
      </w:r>
      <w:r>
        <w:t xml:space="preserve">, by creating a new set of objectives based on </w:t>
      </w:r>
      <w:r w:rsidRPr="00306174">
        <w:rPr>
          <w:i/>
          <w:iCs/>
        </w:rPr>
        <w:t>Whakamaua</w:t>
      </w:r>
    </w:p>
    <w:p w14:paraId="4F664F0F" w14:textId="77777777" w:rsidR="00FA6A1F" w:rsidRDefault="00FA6A1F" w:rsidP="002C2F26">
      <w:pPr>
        <w:pStyle w:val="Bullet"/>
      </w:pPr>
      <w:r>
        <w:t xml:space="preserve">align with the principles set out in </w:t>
      </w:r>
      <w:r w:rsidRPr="002B04C4">
        <w:rPr>
          <w:lang w:eastAsia="en-NZ"/>
        </w:rPr>
        <w:t>Kia Kaha, Kia Māia, Kia Ora Aotearoa: COVID-19 Psychosocial and Mental Wellbeing Plan</w:t>
      </w:r>
    </w:p>
    <w:p w14:paraId="4F664F10" w14:textId="77777777" w:rsidR="008303C6" w:rsidRDefault="00FA6A1F" w:rsidP="002C2F26">
      <w:pPr>
        <w:pStyle w:val="Bullet"/>
      </w:pPr>
      <w:r w:rsidRPr="0003777A">
        <w:t>situate harm prevention and minimisation activities within the broader context of public health promotion and the regulation of gambling</w:t>
      </w:r>
    </w:p>
    <w:p w14:paraId="4F664F11" w14:textId="77777777" w:rsidR="00FA6A1F" w:rsidRPr="0003777A" w:rsidRDefault="00FA6A1F" w:rsidP="002C2F26">
      <w:pPr>
        <w:pStyle w:val="Bullet"/>
        <w:keepNext/>
      </w:pPr>
      <w:r w:rsidRPr="0003777A">
        <w:lastRenderedPageBreak/>
        <w:t>create a greater clarity of focus and a clearer line of sight from goals to actions</w:t>
      </w:r>
    </w:p>
    <w:p w14:paraId="4F664F12" w14:textId="77777777" w:rsidR="00FA6A1F" w:rsidRDefault="00FA6A1F" w:rsidP="002C2F26">
      <w:pPr>
        <w:pStyle w:val="Bullet"/>
      </w:pPr>
      <w:r w:rsidRPr="0003777A">
        <w:t xml:space="preserve">respond to increased research and evidence </w:t>
      </w:r>
      <w:r>
        <w:t xml:space="preserve">and </w:t>
      </w:r>
      <w:r w:rsidRPr="007F163B">
        <w:t>changes in the gambling harm prevention and minimisation environment</w:t>
      </w:r>
    </w:p>
    <w:p w14:paraId="4F664F13" w14:textId="77777777" w:rsidR="00FA6A1F" w:rsidRDefault="00FA6A1F" w:rsidP="002C2F26">
      <w:pPr>
        <w:pStyle w:val="Bullet"/>
      </w:pPr>
      <w:r>
        <w:t>demonstrate</w:t>
      </w:r>
      <w:r w:rsidRPr="00FA7DC3">
        <w:t xml:space="preserve"> how the work of the three agencies – the Ministry, </w:t>
      </w:r>
      <w:r>
        <w:t>DIA</w:t>
      </w:r>
      <w:r w:rsidRPr="00FA7DC3">
        <w:t>, and Te Hiringa Hauora – complement each other</w:t>
      </w:r>
      <w:r>
        <w:t>.</w:t>
      </w:r>
    </w:p>
    <w:p w14:paraId="4F664F14" w14:textId="77777777" w:rsidR="002C2F26" w:rsidRPr="0003777A" w:rsidRDefault="002C2F26" w:rsidP="002C2F26"/>
    <w:p w14:paraId="4F664F15" w14:textId="77777777" w:rsidR="00FA6A1F" w:rsidRPr="00497154" w:rsidRDefault="00FA6A1F" w:rsidP="002C2F26">
      <w:pPr>
        <w:pStyle w:val="Heading2"/>
      </w:pPr>
      <w:bookmarkStart w:id="58" w:name="_Toc78882265"/>
      <w:bookmarkStart w:id="59" w:name="_Toc80965837"/>
      <w:bookmarkEnd w:id="57"/>
      <w:r w:rsidRPr="00A06962">
        <w:t xml:space="preserve">Relationship to </w:t>
      </w:r>
      <w:r>
        <w:t xml:space="preserve">existing approaches to </w:t>
      </w:r>
      <w:r w:rsidRPr="00A06962">
        <w:t>Te Tiriti o Waitangi</w:t>
      </w:r>
      <w:r>
        <w:t xml:space="preserve"> in the health and disability system</w:t>
      </w:r>
      <w:bookmarkEnd w:id="58"/>
      <w:bookmarkEnd w:id="59"/>
    </w:p>
    <w:p w14:paraId="4F664F16" w14:textId="77777777" w:rsidR="00FA6A1F" w:rsidRDefault="00FA6A1F" w:rsidP="002C2F26">
      <w:r>
        <w:t>The proposed new strategic framework positions gambling harm explicitly as an equity issue.</w:t>
      </w:r>
    </w:p>
    <w:p w14:paraId="4F664F17" w14:textId="77777777" w:rsidR="002C2F26" w:rsidRDefault="002C2F26" w:rsidP="002C2F26"/>
    <w:p w14:paraId="4F664F18" w14:textId="77777777" w:rsidR="008303C6" w:rsidRDefault="00FA6A1F" w:rsidP="002C2F26">
      <w:r>
        <w:rPr>
          <w:i/>
        </w:rPr>
        <w:t>Whakamaua</w:t>
      </w:r>
      <w:r>
        <w:t xml:space="preserve"> describes the principles of Te Tiriti for the context of health services</w:t>
      </w:r>
      <w:r>
        <w:rPr>
          <w:i/>
        </w:rPr>
        <w:t xml:space="preserve">, </w:t>
      </w:r>
      <w:r w:rsidRPr="00E17D6D">
        <w:t>drawing on</w:t>
      </w:r>
      <w:r>
        <w:rPr>
          <w:i/>
        </w:rPr>
        <w:t xml:space="preserve"> </w:t>
      </w:r>
      <w:r w:rsidRPr="00E17D6D">
        <w:rPr>
          <w:i/>
        </w:rPr>
        <w:t>Hauora: Report on Stage One of the Health Services and Outcomes Kaupapa Inquiry</w:t>
      </w:r>
      <w:r>
        <w:rPr>
          <w:i/>
        </w:rPr>
        <w:t xml:space="preserve"> </w:t>
      </w:r>
      <w:r>
        <w:t>(</w:t>
      </w:r>
      <w:r>
        <w:rPr>
          <w:i/>
        </w:rPr>
        <w:t>Hauora</w:t>
      </w:r>
      <w:r>
        <w:t>)</w:t>
      </w:r>
      <w:r w:rsidRPr="002C2F26">
        <w:rPr>
          <w:rStyle w:val="FootnoteReference"/>
          <w:rFonts w:eastAsia="MS Gothic"/>
        </w:rPr>
        <w:footnoteReference w:id="11"/>
      </w:r>
      <w:r w:rsidRPr="00E17D6D">
        <w:rPr>
          <w:i/>
        </w:rPr>
        <w:t xml:space="preserve"> </w:t>
      </w:r>
      <w:r>
        <w:t>and we have referred to these principles to inform the strategic framework.</w:t>
      </w:r>
    </w:p>
    <w:p w14:paraId="4F664F19" w14:textId="77777777" w:rsidR="008303C6" w:rsidRDefault="008303C6" w:rsidP="002C2F26">
      <w:pPr>
        <w:pStyle w:val="Bullet"/>
      </w:pPr>
      <w:r>
        <w:t>‘</w:t>
      </w:r>
      <w:r w:rsidR="00FA6A1F" w:rsidRPr="0003777A">
        <w:t>Tino rangatiratanga</w:t>
      </w:r>
      <w:r>
        <w:t>’</w:t>
      </w:r>
      <w:r w:rsidR="00FA6A1F" w:rsidRPr="0003777A">
        <w:t xml:space="preserve"> underpins the principles identified in Te Tiriti. It is often translated as </w:t>
      </w:r>
      <w:r>
        <w:t>‘</w:t>
      </w:r>
      <w:r w:rsidR="00FA6A1F" w:rsidRPr="0003777A">
        <w:t>self-determination</w:t>
      </w:r>
      <w:r>
        <w:t>’</w:t>
      </w:r>
      <w:r w:rsidR="00FA6A1F" w:rsidRPr="0003777A">
        <w:t xml:space="preserve"> or </w:t>
      </w:r>
      <w:r>
        <w:t>‘</w:t>
      </w:r>
      <w:r w:rsidR="00FA6A1F" w:rsidRPr="0003777A">
        <w:t>sovereignty</w:t>
      </w:r>
      <w:r>
        <w:t>’</w:t>
      </w:r>
      <w:r w:rsidR="00FA6A1F" w:rsidRPr="0003777A">
        <w:t>. It means that Māori are guaranteed self-determination and mana motuhake (the right to be Māori and to live on Māori terms in accordance with Māori philosophies, values and practices) in the design, delivery and monitoring of health and disability services.</w:t>
      </w:r>
    </w:p>
    <w:p w14:paraId="4F664F1A" w14:textId="77777777" w:rsidR="00FA6A1F" w:rsidRPr="0003777A" w:rsidRDefault="008303C6" w:rsidP="002C2F26">
      <w:pPr>
        <w:pStyle w:val="Bullet"/>
      </w:pPr>
      <w:r>
        <w:t>‘</w:t>
      </w:r>
      <w:r w:rsidR="00FA6A1F" w:rsidRPr="0003777A">
        <w:t>Partnership</w:t>
      </w:r>
      <w:r>
        <w:t>’</w:t>
      </w:r>
      <w:r w:rsidR="00FA6A1F" w:rsidRPr="0003777A">
        <w:t xml:space="preserve"> is recognised as a relationship between the Crown and Māori, in which </w:t>
      </w:r>
      <w:r w:rsidR="00FA6A1F">
        <w:t>the two parties</w:t>
      </w:r>
      <w:r w:rsidR="00FA6A1F" w:rsidRPr="0003777A">
        <w:t xml:space="preserve"> act with respect towards one another, work together and are flexible about different structures where organisations are not meeting the needs of one another. Partnership requires the Crown and Māori to work </w:t>
      </w:r>
      <w:r w:rsidR="00FA6A1F">
        <w:t>collaboratively</w:t>
      </w:r>
      <w:r w:rsidR="00FA6A1F" w:rsidRPr="0003777A">
        <w:t xml:space="preserve"> in the governance, design, delivering and monitoring of health and disability services. Māori must be co</w:t>
      </w:r>
      <w:r w:rsidR="00FA6A1F" w:rsidRPr="0003777A">
        <w:noBreakHyphen/>
        <w:t>designers, with the Crown, of the health and disability system for Māori.</w:t>
      </w:r>
    </w:p>
    <w:p w14:paraId="4F664F1B" w14:textId="77777777" w:rsidR="00FA6A1F" w:rsidRPr="0003777A" w:rsidRDefault="008303C6" w:rsidP="002C2F26">
      <w:pPr>
        <w:pStyle w:val="Bullet"/>
      </w:pPr>
      <w:r>
        <w:t>‘</w:t>
      </w:r>
      <w:r w:rsidR="00FA6A1F" w:rsidRPr="0003777A">
        <w:t>Active protection</w:t>
      </w:r>
      <w:r>
        <w:t>’</w:t>
      </w:r>
      <w:r w:rsidR="00FA6A1F" w:rsidRPr="0003777A">
        <w:t xml:space="preserve"> requires the Crown to act, to the greatest extent practicable, to achieve equitable health outcomes for Māori. This includes ensuring that the Crown, its agents and its partners </w:t>
      </w:r>
      <w:r w:rsidR="00FA6A1F">
        <w:t xml:space="preserve">in Te Tiriti </w:t>
      </w:r>
      <w:r w:rsidR="00FA6A1F" w:rsidRPr="0003777A">
        <w:t>are well informed on the extent and nature of both Māori health outcomes and efforts to achieve Māori health equity.</w:t>
      </w:r>
    </w:p>
    <w:p w14:paraId="4F664F1C" w14:textId="77777777" w:rsidR="008303C6" w:rsidRDefault="008303C6" w:rsidP="002C2F26">
      <w:pPr>
        <w:pStyle w:val="Bullet"/>
        <w:keepNext/>
      </w:pPr>
      <w:r>
        <w:t>‘</w:t>
      </w:r>
      <w:r w:rsidR="00FA6A1F" w:rsidRPr="0003777A">
        <w:t>Options</w:t>
      </w:r>
      <w:r>
        <w:t>’</w:t>
      </w:r>
      <w:r w:rsidR="00FA6A1F" w:rsidRPr="0003777A">
        <w:t xml:space="preserve"> require the Crown to provide for and properly resource </w:t>
      </w:r>
      <w:r w:rsidR="00FA6A1F">
        <w:t>k</w:t>
      </w:r>
      <w:r w:rsidR="00FA6A1F" w:rsidRPr="0003777A">
        <w:t xml:space="preserve">aupapa Māori health and disability services. Furthermore, the Crown is obliged to ensure that all </w:t>
      </w:r>
      <w:r w:rsidR="00FA6A1F" w:rsidRPr="0003777A">
        <w:lastRenderedPageBreak/>
        <w:t>health and disability services are provided in a culturally appropriate way that recognises and supports the expression of hauora Māori models of care.</w:t>
      </w:r>
    </w:p>
    <w:p w14:paraId="4F664F1D" w14:textId="77777777" w:rsidR="008303C6" w:rsidRDefault="008303C6" w:rsidP="002C2F26">
      <w:pPr>
        <w:pStyle w:val="Bullet"/>
      </w:pPr>
      <w:r>
        <w:t>‘</w:t>
      </w:r>
      <w:r w:rsidR="00FA6A1F" w:rsidRPr="0003777A">
        <w:t>Equity</w:t>
      </w:r>
      <w:r>
        <w:t>’</w:t>
      </w:r>
      <w:r w:rsidR="00FA6A1F" w:rsidRPr="0003777A">
        <w:t xml:space="preserve"> requires the Crown to commit to achieving equitable health outcomes for Māori. Equity recognises </w:t>
      </w:r>
      <w:r w:rsidR="00FA6A1F">
        <w:t xml:space="preserve">that </w:t>
      </w:r>
      <w:r w:rsidR="00FA6A1F" w:rsidRPr="0003777A">
        <w:t xml:space="preserve">different people with different levels of advantage require different approaches and resources to </w:t>
      </w:r>
      <w:r w:rsidR="00FA6A1F">
        <w:t>achieve</w:t>
      </w:r>
      <w:r w:rsidR="00FA6A1F" w:rsidRPr="0003777A">
        <w:t xml:space="preserve"> equitable health outcomes.</w:t>
      </w:r>
    </w:p>
    <w:p w14:paraId="4F664F1E" w14:textId="77777777" w:rsidR="002C2F26" w:rsidRDefault="002C2F26" w:rsidP="002C2F26"/>
    <w:p w14:paraId="4F664F1F" w14:textId="77777777" w:rsidR="00FA6A1F" w:rsidRDefault="00FA6A1F" w:rsidP="002C2F26">
      <w:r>
        <w:t>The elements of the new strategic framework are described in more detail below.</w:t>
      </w:r>
    </w:p>
    <w:p w14:paraId="4F664F20" w14:textId="77777777" w:rsidR="002C2F26" w:rsidRPr="00E67B6A" w:rsidRDefault="002C2F26" w:rsidP="002C2F26"/>
    <w:p w14:paraId="4F664F21" w14:textId="77777777" w:rsidR="00FA6A1F" w:rsidRPr="007F4B4C" w:rsidRDefault="00FA6A1F" w:rsidP="002C2F26">
      <w:pPr>
        <w:pStyle w:val="Heading2"/>
      </w:pPr>
      <w:bookmarkStart w:id="60" w:name="_Toc71550033"/>
      <w:bookmarkStart w:id="61" w:name="_Toc78882266"/>
      <w:bookmarkStart w:id="62" w:name="_Toc80965838"/>
      <w:r w:rsidRPr="007F4B4C">
        <w:t>Population outcome</w:t>
      </w:r>
      <w:bookmarkEnd w:id="60"/>
      <w:bookmarkEnd w:id="61"/>
      <w:bookmarkEnd w:id="62"/>
    </w:p>
    <w:p w14:paraId="4F664F22" w14:textId="77777777" w:rsidR="008303C6" w:rsidRDefault="00FA6A1F" w:rsidP="002C2F26">
      <w:r>
        <w:t>A population outcome is an outcome for the whole population, and it considers both population characteristics and system performance. The major implications of this are the outcome is people centred and being system-focused, it cannot be achieved by any one service, Government agency, or other actor alone.</w:t>
      </w:r>
    </w:p>
    <w:p w14:paraId="4F664F23" w14:textId="77777777" w:rsidR="002C2F26" w:rsidRDefault="002C2F26" w:rsidP="002C2F26"/>
    <w:p w14:paraId="4F664F24" w14:textId="77777777" w:rsidR="008303C6" w:rsidRDefault="00FA6A1F" w:rsidP="002C2F26">
      <w:r w:rsidRPr="008E20F2">
        <w:t>The population outcome of this strategic framework is pae ora – healthy futures</w:t>
      </w:r>
      <w:r>
        <w:t xml:space="preserve">, which is drawn from </w:t>
      </w:r>
      <w:r w:rsidRPr="004404EE">
        <w:rPr>
          <w:i/>
          <w:iCs/>
        </w:rPr>
        <w:t>He Korowai Oranga: Māori Health Strategy</w:t>
      </w:r>
      <w:r w:rsidRPr="00992E17">
        <w:t xml:space="preserve"> </w:t>
      </w:r>
      <w:r w:rsidRPr="006B2112">
        <w:t>(</w:t>
      </w:r>
      <w:r w:rsidRPr="008E20F2">
        <w:t>He Korowai Oranga</w:t>
      </w:r>
      <w:r>
        <w:t>)</w:t>
      </w:r>
      <w:r w:rsidRPr="002C2F26">
        <w:rPr>
          <w:rStyle w:val="FootnoteReference"/>
        </w:rPr>
        <w:footnoteReference w:id="12"/>
      </w:r>
      <w:r w:rsidRPr="00403BAD">
        <w:rPr>
          <w:vertAlign w:val="superscript"/>
        </w:rPr>
        <w:t xml:space="preserve"> </w:t>
      </w:r>
      <w:r w:rsidRPr="00992E17">
        <w:t>and</w:t>
      </w:r>
      <w:r w:rsidRPr="00886B22">
        <w:t xml:space="preserve"> </w:t>
      </w:r>
      <w:r w:rsidRPr="00774900">
        <w:rPr>
          <w:i/>
          <w:iCs/>
        </w:rPr>
        <w:t>Whakamaua</w:t>
      </w:r>
      <w:r w:rsidRPr="00886B22">
        <w:t xml:space="preserve">. </w:t>
      </w:r>
      <w:r w:rsidRPr="00242F90">
        <w:t xml:space="preserve">While the concept was developed </w:t>
      </w:r>
      <w:r>
        <w:t>originally</w:t>
      </w:r>
      <w:r w:rsidRPr="00242F90">
        <w:t xml:space="preserve"> as a vision for Māori wellbeing, </w:t>
      </w:r>
      <w:r w:rsidRPr="00E2622A">
        <w:t xml:space="preserve">taking </w:t>
      </w:r>
      <w:r>
        <w:t>pae ora</w:t>
      </w:r>
      <w:r w:rsidRPr="00E2622A">
        <w:t xml:space="preserve"> as our goal for this </w:t>
      </w:r>
      <w:r>
        <w:t>strategy</w:t>
      </w:r>
      <w:r w:rsidRPr="00242F90">
        <w:t xml:space="preserve"> acknowledges that ensuring wellbeing for Māori provides a platform for all people in Aotearoa New Zealand to live with good health and wellbeing</w:t>
      </w:r>
      <w:r>
        <w:t>, including being free from gambling-related harm</w:t>
      </w:r>
      <w:r w:rsidRPr="00242F90">
        <w:t>.</w:t>
      </w:r>
    </w:p>
    <w:p w14:paraId="4F664F25" w14:textId="77777777" w:rsidR="002C2F26" w:rsidRDefault="002C2F26" w:rsidP="002C2F26"/>
    <w:p w14:paraId="4F664F26" w14:textId="77777777" w:rsidR="008303C6" w:rsidRDefault="00FA6A1F" w:rsidP="002C2F26">
      <w:pPr>
        <w:rPr>
          <w:lang w:eastAsia="en-NZ"/>
        </w:rPr>
      </w:pPr>
      <w:r>
        <w:t>Pae ora</w:t>
      </w:r>
      <w:r w:rsidRPr="00886B22">
        <w:t xml:space="preserve"> conceptualises mental wellbeing broadly, considering the way people live, grow and develop as individuals and members of families, whānau, communities and their wider environments. </w:t>
      </w:r>
      <w:r>
        <w:t>It</w:t>
      </w:r>
      <w:r w:rsidRPr="00242F90">
        <w:t xml:space="preserve"> acknowledges the interrelated aspects of mental wellbeing and encourages us to think beyond narrow definitions of health and services. It also acknowledges the fundamental roles of</w:t>
      </w:r>
      <w:r w:rsidRPr="00242F90">
        <w:rPr>
          <w:lang w:eastAsia="en-NZ"/>
        </w:rPr>
        <w:t xml:space="preserve"> individuals, whānau, iwi, hapū and communities and provides a way to think about collective action.</w:t>
      </w:r>
    </w:p>
    <w:p w14:paraId="4F664F27" w14:textId="77777777" w:rsidR="002C2F26" w:rsidRDefault="002C2F26" w:rsidP="002C2F26">
      <w:pPr>
        <w:rPr>
          <w:lang w:eastAsia="en-NZ"/>
        </w:rPr>
      </w:pPr>
    </w:p>
    <w:p w14:paraId="4F664F28" w14:textId="77777777" w:rsidR="00FA6A1F" w:rsidRDefault="00FA6A1F" w:rsidP="002C2F26">
      <w:pPr>
        <w:pStyle w:val="BoxHeading"/>
      </w:pPr>
      <w:r>
        <w:t>Box 2: Pae ora</w:t>
      </w:r>
    </w:p>
    <w:p w14:paraId="4F664F29" w14:textId="77777777" w:rsidR="00FA6A1F" w:rsidRPr="003A3E06" w:rsidRDefault="00FA6A1F" w:rsidP="002C2F26">
      <w:pPr>
        <w:pStyle w:val="Box"/>
        <w:keepNext/>
      </w:pPr>
      <w:r>
        <w:rPr>
          <w:b/>
          <w:bCs/>
        </w:rPr>
        <w:t>Pae ora</w:t>
      </w:r>
      <w:r w:rsidRPr="003A3E06">
        <w:rPr>
          <w:b/>
          <w:bCs/>
        </w:rPr>
        <w:t xml:space="preserve"> (healthy futures)</w:t>
      </w:r>
      <w:r w:rsidRPr="003A3E06">
        <w:t xml:space="preserve"> encourages everyone in the health and disability system, as contributors to Māori wellbeing, to work collaboratively, think beyond narrow definitions of health and provide high-quality and effective health services. </w:t>
      </w:r>
      <w:r>
        <w:t>Pae ora</w:t>
      </w:r>
      <w:r w:rsidRPr="003A3E06">
        <w:t xml:space="preserve"> affirms holistic Māori approaches – strongly supporting Māori-</w:t>
      </w:r>
      <w:r w:rsidRPr="003A3E06">
        <w:lastRenderedPageBreak/>
        <w:t xml:space="preserve">led solutions and Māori models of health and wellness. </w:t>
      </w:r>
      <w:r>
        <w:t>Pae ora</w:t>
      </w:r>
      <w:r w:rsidRPr="003A3E06">
        <w:t xml:space="preserve"> recognises the desire </w:t>
      </w:r>
      <w:r>
        <w:t>of</w:t>
      </w:r>
      <w:r w:rsidRPr="003A3E06">
        <w:t xml:space="preserve"> Māori to have control over their future health and wellbeing.</w:t>
      </w:r>
    </w:p>
    <w:p w14:paraId="4F664F2A" w14:textId="77777777" w:rsidR="00FA6A1F" w:rsidRPr="003A3E06" w:rsidRDefault="00FA6A1F" w:rsidP="002C2F26">
      <w:pPr>
        <w:pStyle w:val="Box"/>
        <w:keepNext/>
        <w:keepLines/>
      </w:pPr>
      <w:r w:rsidRPr="003A3E06">
        <w:rPr>
          <w:b/>
          <w:bCs/>
        </w:rPr>
        <w:t>Whānau ora (healthy families)</w:t>
      </w:r>
      <w:r w:rsidRPr="003A3E06">
        <w:t xml:space="preserve"> is a fundamental philosophy for creating strong, healthy and empowered whānau. A strong</w:t>
      </w:r>
      <w:r>
        <w:t>,</w:t>
      </w:r>
      <w:r w:rsidRPr="003A3E06">
        <w:t xml:space="preserve"> healthy and empowered whānau can make the most significant difference to Māori health and wellbeing. Whānau empowerment will be shaped by access to quality information and advice, necessary resources, healthy living, a sense of agency and self-determination, and a conviction that the future can be created not simply endured.</w:t>
      </w:r>
    </w:p>
    <w:p w14:paraId="4F664F2B" w14:textId="77777777" w:rsidR="00FA6A1F" w:rsidRPr="003A3E06" w:rsidRDefault="00FA6A1F" w:rsidP="002C2F26">
      <w:pPr>
        <w:pStyle w:val="Box"/>
      </w:pPr>
      <w:r w:rsidRPr="003A3E06">
        <w:rPr>
          <w:b/>
          <w:bCs/>
        </w:rPr>
        <w:t>Mauri ora (healthy individuals)</w:t>
      </w:r>
      <w:r w:rsidRPr="003A3E06">
        <w:t xml:space="preserve"> seeks to shift the mauri (or life force) of a person from one that is languishing to one that is flourishing. A strong, flourishing mauri requires interventions, services and treatment</w:t>
      </w:r>
      <w:r>
        <w:t>s</w:t>
      </w:r>
      <w:r w:rsidRPr="003A3E06">
        <w:t xml:space="preserve"> that foster healthy lifestyles; increase knowledge and power; strengthen identity; encourage self-management and restore dignity. Mauri ora has a spiritual dimension that recognises culture as a determinant of good health.</w:t>
      </w:r>
    </w:p>
    <w:p w14:paraId="4F664F2C" w14:textId="77777777" w:rsidR="00FA6A1F" w:rsidRDefault="00FA6A1F" w:rsidP="002C2F26">
      <w:pPr>
        <w:pStyle w:val="Box"/>
      </w:pPr>
      <w:r w:rsidRPr="003A3E06">
        <w:rPr>
          <w:b/>
          <w:bCs/>
        </w:rPr>
        <w:t>Wai ora (healthy environments)</w:t>
      </w:r>
      <w:r w:rsidRPr="003A3E06">
        <w:t xml:space="preserve"> acknowledges the importance of Māori connections to whenua </w:t>
      </w:r>
      <w:r>
        <w:t xml:space="preserve">(land) </w:t>
      </w:r>
      <w:r w:rsidRPr="003A3E06">
        <w:t>as part of the environments in which we live and belong – and the significant impact this has on the health and wellbeing of individuals, whānau, hapū, iwi and Māori communities. An environment that is compatible with good health reflects the need for Māori to have access to resources (</w:t>
      </w:r>
      <w:r>
        <w:t>that is</w:t>
      </w:r>
      <w:r w:rsidRPr="003A3E06">
        <w:t>, good housing, safe drinking water, clean air, healthy food) and to live in environments that support and sustain a strong flourishing mauri and a healthy and empowered whānau.</w:t>
      </w:r>
      <w:bookmarkStart w:id="63" w:name="_Toc71550034"/>
    </w:p>
    <w:p w14:paraId="4F664F2D" w14:textId="77777777" w:rsidR="002C2F26" w:rsidRDefault="002C2F26" w:rsidP="002C2F26"/>
    <w:p w14:paraId="4F664F2E" w14:textId="77777777" w:rsidR="00FA6A1F" w:rsidRPr="001D0077" w:rsidRDefault="00FA6A1F" w:rsidP="002C2F26">
      <w:r w:rsidRPr="008E20F2">
        <w:t>Pae ora</w:t>
      </w:r>
      <w:r w:rsidRPr="001D0077">
        <w:t xml:space="preserve"> inform</w:t>
      </w:r>
      <w:r>
        <w:t>s the</w:t>
      </w:r>
      <w:r w:rsidRPr="001D0077">
        <w:t xml:space="preserve"> four long-term outcomes outlined in</w:t>
      </w:r>
      <w:r>
        <w:rPr>
          <w:i/>
          <w:iCs/>
        </w:rPr>
        <w:t xml:space="preserve"> </w:t>
      </w:r>
      <w:r w:rsidRPr="001D0077">
        <w:rPr>
          <w:i/>
          <w:iCs/>
        </w:rPr>
        <w:t>Whakamaua</w:t>
      </w:r>
      <w:r>
        <w:rPr>
          <w:i/>
          <w:iCs/>
        </w:rPr>
        <w:t>.</w:t>
      </w:r>
    </w:p>
    <w:p w14:paraId="4F664F2F" w14:textId="77777777" w:rsidR="00FA6A1F" w:rsidRPr="0003777A" w:rsidRDefault="00FA6A1F" w:rsidP="002C2F26">
      <w:pPr>
        <w:pStyle w:val="Bullet"/>
      </w:pPr>
      <w:r w:rsidRPr="0003777A">
        <w:t>Iwi, hapū, whānau and Māori</w:t>
      </w:r>
      <w:r>
        <w:t xml:space="preserve"> c</w:t>
      </w:r>
      <w:r w:rsidRPr="0003777A">
        <w:t>ommunities can exercise their authority to improve their health and wellbeing.</w:t>
      </w:r>
    </w:p>
    <w:p w14:paraId="4F664F30" w14:textId="77777777" w:rsidR="00FA6A1F" w:rsidRPr="0003777A" w:rsidRDefault="00FA6A1F" w:rsidP="002C2F26">
      <w:pPr>
        <w:pStyle w:val="Bullet"/>
      </w:pPr>
      <w:r w:rsidRPr="0003777A">
        <w:t>The health and disability system is fair and sustainable and delivers more equitable outcomes for Māori.</w:t>
      </w:r>
    </w:p>
    <w:p w14:paraId="4F664F31" w14:textId="77777777" w:rsidR="00FA6A1F" w:rsidRPr="0003777A" w:rsidRDefault="00FA6A1F" w:rsidP="002C2F26">
      <w:pPr>
        <w:pStyle w:val="Bullet"/>
      </w:pPr>
      <w:r w:rsidRPr="0003777A">
        <w:t>The health and disability system addresses racism and discrimination in all their forms.</w:t>
      </w:r>
    </w:p>
    <w:p w14:paraId="4F664F32" w14:textId="77777777" w:rsidR="00FA6A1F" w:rsidRPr="0003777A" w:rsidRDefault="00FA6A1F" w:rsidP="002C2F26">
      <w:pPr>
        <w:pStyle w:val="Bullet"/>
      </w:pPr>
      <w:r>
        <w:t>M</w:t>
      </w:r>
      <w:r w:rsidRPr="0003777A">
        <w:t xml:space="preserve">ātauranga Māori </w:t>
      </w:r>
      <w:r>
        <w:t xml:space="preserve">is included and protected </w:t>
      </w:r>
      <w:r w:rsidRPr="0003777A">
        <w:t>throughout the health and disability system.</w:t>
      </w:r>
    </w:p>
    <w:p w14:paraId="4F664F33" w14:textId="77777777" w:rsidR="002C2F26" w:rsidRDefault="002C2F26" w:rsidP="002C2F26"/>
    <w:p w14:paraId="4F664F34" w14:textId="77777777" w:rsidR="00FA6A1F" w:rsidRDefault="00FA6A1F" w:rsidP="002C2F26">
      <w:pPr>
        <w:keepNext/>
      </w:pPr>
      <w:r>
        <w:t xml:space="preserve">The short-term objectives in </w:t>
      </w:r>
      <w:r w:rsidRPr="00280128">
        <w:rPr>
          <w:i/>
          <w:iCs/>
        </w:rPr>
        <w:t>Whakamaua</w:t>
      </w:r>
      <w:r>
        <w:t>, which have informed the objectives contained in the proposed strategic framework, work towards these outcomes.</w:t>
      </w:r>
    </w:p>
    <w:p w14:paraId="4F664F35" w14:textId="77777777" w:rsidR="00FA6A1F" w:rsidRPr="0003777A" w:rsidRDefault="00FA6A1F" w:rsidP="002C2F26">
      <w:pPr>
        <w:pStyle w:val="Bullet"/>
        <w:keepNext/>
      </w:pPr>
      <w:r w:rsidRPr="0003777A">
        <w:t xml:space="preserve">Accelerate and spread the delivery of </w:t>
      </w:r>
      <w:r>
        <w:t>k</w:t>
      </w:r>
      <w:r w:rsidRPr="0003777A">
        <w:t xml:space="preserve">aupapa Māori and services centred </w:t>
      </w:r>
      <w:r>
        <w:t xml:space="preserve">around the </w:t>
      </w:r>
      <w:r w:rsidRPr="0003777A">
        <w:t>whānau.</w:t>
      </w:r>
    </w:p>
    <w:p w14:paraId="4F664F36" w14:textId="77777777" w:rsidR="00FA6A1F" w:rsidRPr="0003777A" w:rsidRDefault="00FA6A1F" w:rsidP="002C2F26">
      <w:pPr>
        <w:pStyle w:val="Bullet"/>
        <w:keepNext/>
      </w:pPr>
      <w:r w:rsidRPr="0003777A">
        <w:t>Shift cultural and social norms.</w:t>
      </w:r>
    </w:p>
    <w:p w14:paraId="4F664F37" w14:textId="77777777" w:rsidR="00FA6A1F" w:rsidRPr="0003777A" w:rsidRDefault="00FA6A1F" w:rsidP="002C2F26">
      <w:pPr>
        <w:pStyle w:val="Bullet"/>
        <w:keepNext/>
      </w:pPr>
      <w:r w:rsidRPr="0003777A">
        <w:t>Reduce health inequities and health loss for Māori.</w:t>
      </w:r>
    </w:p>
    <w:p w14:paraId="4F664F38" w14:textId="77777777" w:rsidR="00FA6A1F" w:rsidRDefault="00FA6A1F" w:rsidP="002C2F26">
      <w:pPr>
        <w:pStyle w:val="Bullet"/>
      </w:pPr>
      <w:r w:rsidRPr="0003777A">
        <w:t>Strengthen system accountability setting.</w:t>
      </w:r>
    </w:p>
    <w:p w14:paraId="4F664F39" w14:textId="77777777" w:rsidR="002C2F26" w:rsidRDefault="002C2F26" w:rsidP="002C2F26"/>
    <w:p w14:paraId="4F664F3A" w14:textId="77777777" w:rsidR="00FA6A1F" w:rsidRPr="007F4B4C" w:rsidRDefault="00FA6A1F" w:rsidP="002C2F26">
      <w:pPr>
        <w:pStyle w:val="Heading2"/>
      </w:pPr>
      <w:bookmarkStart w:id="64" w:name="_Toc78882267"/>
      <w:bookmarkStart w:id="65" w:name="_Toc80965839"/>
      <w:r>
        <w:lastRenderedPageBreak/>
        <w:t>Strategic goal</w:t>
      </w:r>
      <w:bookmarkEnd w:id="63"/>
      <w:bookmarkEnd w:id="64"/>
      <w:bookmarkEnd w:id="65"/>
    </w:p>
    <w:p w14:paraId="4F664F3B" w14:textId="77777777" w:rsidR="008303C6" w:rsidRDefault="00FA6A1F" w:rsidP="002C2F26">
      <w:r>
        <w:t>The</w:t>
      </w:r>
      <w:r w:rsidRPr="00107824">
        <w:t xml:space="preserve"> </w:t>
      </w:r>
      <w:r>
        <w:t>draft</w:t>
      </w:r>
      <w:r w:rsidRPr="00107824">
        <w:t xml:space="preserve"> strategic goal </w:t>
      </w:r>
      <w:r>
        <w:t xml:space="preserve">proposed </w:t>
      </w:r>
      <w:r w:rsidRPr="00107824">
        <w:t xml:space="preserve">is </w:t>
      </w:r>
      <w:r w:rsidR="008303C6">
        <w:t>‘</w:t>
      </w:r>
      <w:r>
        <w:t>To p</w:t>
      </w:r>
      <w:r w:rsidRPr="00107824">
        <w:t>romote equity and wellbeing by preventing and reducing gambling-related harm</w:t>
      </w:r>
      <w:r w:rsidR="008303C6">
        <w:t>’</w:t>
      </w:r>
      <w:r w:rsidRPr="00107824">
        <w:t>.</w:t>
      </w:r>
    </w:p>
    <w:p w14:paraId="4F664F3C" w14:textId="77777777" w:rsidR="002C2F26" w:rsidRDefault="002C2F26" w:rsidP="002C2F26"/>
    <w:p w14:paraId="4F664F3D" w14:textId="77777777" w:rsidR="00FA6A1F" w:rsidRPr="00107824" w:rsidRDefault="00FA6A1F" w:rsidP="002C2F26">
      <w:r w:rsidRPr="00107824">
        <w:t>We have selected this goal for the following reasons</w:t>
      </w:r>
      <w:r>
        <w:t>.</w:t>
      </w:r>
    </w:p>
    <w:p w14:paraId="4F664F3E" w14:textId="77777777" w:rsidR="008303C6" w:rsidRDefault="00FA6A1F" w:rsidP="002C2F26">
      <w:pPr>
        <w:pStyle w:val="Bullet"/>
      </w:pPr>
      <w:r w:rsidRPr="0003777A">
        <w:t xml:space="preserve">It supports the four </w:t>
      </w:r>
      <w:r w:rsidRPr="0026650E">
        <w:rPr>
          <w:i/>
          <w:iCs/>
        </w:rPr>
        <w:t>Whakamaua</w:t>
      </w:r>
      <w:r w:rsidRPr="0003777A">
        <w:t xml:space="preserve"> outcomes, and thus </w:t>
      </w:r>
      <w:r>
        <w:t>pae ora</w:t>
      </w:r>
      <w:r w:rsidRPr="0003777A">
        <w:t xml:space="preserve">, to be realised through </w:t>
      </w:r>
      <w:r>
        <w:t>adapting</w:t>
      </w:r>
      <w:r w:rsidRPr="0003777A">
        <w:t xml:space="preserve"> the </w:t>
      </w:r>
      <w:r w:rsidRPr="0026650E">
        <w:rPr>
          <w:i/>
          <w:iCs/>
        </w:rPr>
        <w:t>Whakamaua</w:t>
      </w:r>
      <w:r w:rsidRPr="0003777A">
        <w:t xml:space="preserve"> objectives </w:t>
      </w:r>
      <w:r>
        <w:t>to suit</w:t>
      </w:r>
      <w:r w:rsidRPr="0003777A">
        <w:t xml:space="preserve"> the specific arena of prevention and minimisation of gambling harm</w:t>
      </w:r>
      <w:r>
        <w:t>.</w:t>
      </w:r>
    </w:p>
    <w:p w14:paraId="4F664F3F" w14:textId="77777777" w:rsidR="00FA6A1F" w:rsidRPr="008D754D" w:rsidRDefault="00FA6A1F" w:rsidP="002C2F26">
      <w:pPr>
        <w:pStyle w:val="Bullet"/>
      </w:pPr>
      <w:r w:rsidRPr="008D754D">
        <w:t>It prioritises equity and wellbeing, which are also core aspects of the public health approach</w:t>
      </w:r>
      <w:r>
        <w:t>.</w:t>
      </w:r>
    </w:p>
    <w:p w14:paraId="4F664F40" w14:textId="77777777" w:rsidR="00FA6A1F" w:rsidRPr="008D754D" w:rsidRDefault="00FA6A1F" w:rsidP="002C2F26">
      <w:pPr>
        <w:pStyle w:val="Bullet"/>
      </w:pPr>
      <w:r w:rsidRPr="008D754D">
        <w:t>It is system wide and inclusive of the efforts of other agencies</w:t>
      </w:r>
      <w:r>
        <w:t>,</w:t>
      </w:r>
      <w:r w:rsidRPr="008D754D">
        <w:t xml:space="preserve"> such as DIA, Te Hiringa Hauora, local government, non-government</w:t>
      </w:r>
      <w:r>
        <w:t>al</w:t>
      </w:r>
      <w:r w:rsidRPr="008D754D">
        <w:t xml:space="preserve"> organisations</w:t>
      </w:r>
      <w:r>
        <w:t xml:space="preserve"> (NGOs)</w:t>
      </w:r>
      <w:r w:rsidRPr="008D754D">
        <w:t>, communities and other groups.</w:t>
      </w:r>
    </w:p>
    <w:p w14:paraId="4F664F41" w14:textId="77777777" w:rsidR="00FA6A1F" w:rsidRDefault="00FA6A1F" w:rsidP="002C2F26">
      <w:pPr>
        <w:pStyle w:val="Bullet"/>
      </w:pPr>
      <w:r w:rsidRPr="008D754D">
        <w:t>It aligns with DIA</w:t>
      </w:r>
      <w:r w:rsidR="008303C6">
        <w:t>’</w:t>
      </w:r>
      <w:r w:rsidRPr="008D754D">
        <w:t>s strategic direction</w:t>
      </w:r>
      <w:r>
        <w:t xml:space="preserve"> (</w:t>
      </w:r>
      <w:r w:rsidRPr="008D754D">
        <w:t>announced in 202</w:t>
      </w:r>
      <w:r>
        <w:t>0), that is,</w:t>
      </w:r>
      <w:r w:rsidRPr="008D754D">
        <w:t xml:space="preserve"> </w:t>
      </w:r>
      <w:r w:rsidR="008303C6">
        <w:t>‘</w:t>
      </w:r>
      <w:r>
        <w:t>D</w:t>
      </w:r>
      <w:r w:rsidRPr="0003777A">
        <w:t>eliver</w:t>
      </w:r>
      <w:r>
        <w:t>ing</w:t>
      </w:r>
      <w:r w:rsidRPr="0003777A">
        <w:t xml:space="preserve"> community wellbeing through reducing gambling</w:t>
      </w:r>
      <w:r>
        <w:t>-</w:t>
      </w:r>
      <w:r w:rsidRPr="0003777A">
        <w:t>related harms</w:t>
      </w:r>
      <w:r w:rsidR="008303C6">
        <w:t>’</w:t>
      </w:r>
      <w:r>
        <w:t>.</w:t>
      </w:r>
    </w:p>
    <w:p w14:paraId="4F664F42" w14:textId="77777777" w:rsidR="002C2F26" w:rsidRDefault="002C2F26" w:rsidP="002C2F26"/>
    <w:p w14:paraId="4F664F43" w14:textId="77777777" w:rsidR="00FA6A1F" w:rsidRDefault="00FA6A1F" w:rsidP="002C2F26">
      <w:r>
        <w:t>This draft strategic</w:t>
      </w:r>
      <w:r w:rsidRPr="00107824">
        <w:t xml:space="preserve"> goal has been designed to encapsulate what the </w:t>
      </w:r>
      <w:r>
        <w:t>strategy</w:t>
      </w:r>
      <w:r w:rsidRPr="00107824">
        <w:t xml:space="preserve">, as a sector-specific guide for service delivery, can contribute to </w:t>
      </w:r>
      <w:r>
        <w:t>pae ora</w:t>
      </w:r>
      <w:r w:rsidRPr="00107824">
        <w:t xml:space="preserve"> via the four </w:t>
      </w:r>
      <w:r>
        <w:t>short-term objectives</w:t>
      </w:r>
      <w:r w:rsidRPr="00107824">
        <w:t xml:space="preserve"> in </w:t>
      </w:r>
      <w:r w:rsidRPr="00107824">
        <w:rPr>
          <w:i/>
          <w:iCs/>
        </w:rPr>
        <w:t>Whakamaua</w:t>
      </w:r>
      <w:r>
        <w:t>, as</w:t>
      </w:r>
      <w:r w:rsidRPr="00107824">
        <w:t xml:space="preserve"> set out above. It therefore relates to things that the Ministry, in conjunction with others, particularly DIA and service providers, can achieve</w:t>
      </w:r>
      <w:r>
        <w:t>, in both the health and disability system and the gambling regulatory system more broadly.</w:t>
      </w:r>
    </w:p>
    <w:p w14:paraId="4F664F44" w14:textId="77777777" w:rsidR="002C2F26" w:rsidRPr="008D754D" w:rsidRDefault="002C2F26" w:rsidP="002C2F26"/>
    <w:p w14:paraId="4F664F45" w14:textId="77777777" w:rsidR="00FA6A1F" w:rsidRPr="007F4B4C" w:rsidRDefault="00FA6A1F" w:rsidP="002C2F26">
      <w:pPr>
        <w:pStyle w:val="Heading2"/>
      </w:pPr>
      <w:bookmarkStart w:id="66" w:name="_Toc71550035"/>
      <w:bookmarkStart w:id="67" w:name="_Toc78882268"/>
      <w:bookmarkStart w:id="68" w:name="_Toc80965840"/>
      <w:r>
        <w:t>Principles</w:t>
      </w:r>
      <w:bookmarkEnd w:id="66"/>
      <w:bookmarkEnd w:id="67"/>
      <w:bookmarkEnd w:id="68"/>
    </w:p>
    <w:p w14:paraId="4F664F46" w14:textId="77777777" w:rsidR="00FA6A1F" w:rsidRPr="002C2F26" w:rsidRDefault="00FA6A1F" w:rsidP="002C2F26">
      <w:pPr>
        <w:keepNext/>
        <w:rPr>
          <w:rFonts w:cs="Segoe UI"/>
          <w:iCs/>
          <w:sz w:val="20"/>
          <w:lang w:eastAsia="en-NZ"/>
        </w:rPr>
      </w:pPr>
      <w:r>
        <w:t>We have adopted the following</w:t>
      </w:r>
      <w:r w:rsidRPr="00242F90">
        <w:t xml:space="preserve"> principles</w:t>
      </w:r>
      <w:r>
        <w:t>, which are part of the mental wellbeing framework a</w:t>
      </w:r>
      <w:r w:rsidRPr="002E5BE3">
        <w:t xml:space="preserve">rticulated in </w:t>
      </w:r>
      <w:r w:rsidRPr="002B04C4">
        <w:rPr>
          <w:rFonts w:cs="Segoe UI"/>
          <w:i/>
          <w:iCs/>
          <w:sz w:val="20"/>
          <w:lang w:eastAsia="en-NZ"/>
        </w:rPr>
        <w:t>Kia Kaha, Kia Māia, Kia Ora Aotearoa: COVID-19 Psychosocial and Mental Wellbeing Plan</w:t>
      </w:r>
      <w:r w:rsidR="002C2F26">
        <w:rPr>
          <w:rFonts w:cs="Segoe UI"/>
          <w:iCs/>
          <w:sz w:val="20"/>
          <w:lang w:eastAsia="en-NZ"/>
        </w:rPr>
        <w:t>:</w:t>
      </w:r>
    </w:p>
    <w:p w14:paraId="4F664F47" w14:textId="77777777" w:rsidR="00FA6A1F" w:rsidRDefault="00FA6A1F" w:rsidP="002C2F26">
      <w:pPr>
        <w:pStyle w:val="Bullet"/>
        <w:keepNext/>
      </w:pPr>
      <w:r>
        <w:t xml:space="preserve">Upholding </w:t>
      </w:r>
      <w:r w:rsidRPr="00242F90">
        <w:t>Te Tiriti</w:t>
      </w:r>
    </w:p>
    <w:p w14:paraId="4F664F48" w14:textId="77777777" w:rsidR="00FA6A1F" w:rsidRDefault="00FA6A1F" w:rsidP="002C2F26">
      <w:pPr>
        <w:pStyle w:val="Bullet"/>
        <w:keepNext/>
      </w:pPr>
      <w:r>
        <w:t>E</w:t>
      </w:r>
      <w:r w:rsidRPr="00242F90">
        <w:t>quity</w:t>
      </w:r>
    </w:p>
    <w:p w14:paraId="4F664F49" w14:textId="77777777" w:rsidR="00FA6A1F" w:rsidRDefault="00FA6A1F" w:rsidP="002C2F26">
      <w:pPr>
        <w:pStyle w:val="Bullet"/>
        <w:keepNext/>
      </w:pPr>
      <w:r>
        <w:t>P</w:t>
      </w:r>
      <w:r w:rsidRPr="00242F90">
        <w:t>eople and whānau at the centre</w:t>
      </w:r>
    </w:p>
    <w:p w14:paraId="4F664F4A" w14:textId="77777777" w:rsidR="00FA6A1F" w:rsidRDefault="00FA6A1F" w:rsidP="002C2F26">
      <w:pPr>
        <w:pStyle w:val="Bullet"/>
        <w:keepNext/>
      </w:pPr>
      <w:r>
        <w:t>C</w:t>
      </w:r>
      <w:r w:rsidRPr="00242F90">
        <w:t>ommunity focus</w:t>
      </w:r>
    </w:p>
    <w:p w14:paraId="4F664F4B" w14:textId="77777777" w:rsidR="00FA6A1F" w:rsidRDefault="00FA6A1F" w:rsidP="002C2F26">
      <w:pPr>
        <w:pStyle w:val="Bullet"/>
      </w:pPr>
      <w:r>
        <w:t>C</w:t>
      </w:r>
      <w:r w:rsidRPr="00242F90">
        <w:t>ollaboration</w:t>
      </w:r>
    </w:p>
    <w:p w14:paraId="4F664F4C" w14:textId="77777777" w:rsidR="008303C6" w:rsidRDefault="00FA6A1F" w:rsidP="002C2F26">
      <w:pPr>
        <w:pStyle w:val="Bullet"/>
      </w:pPr>
      <w:r>
        <w:t>I</w:t>
      </w:r>
      <w:r w:rsidRPr="00242F90">
        <w:t>nnovation</w:t>
      </w:r>
      <w:r>
        <w:t>.</w:t>
      </w:r>
      <w:r w:rsidR="003A45D7">
        <w:rPr>
          <w:rStyle w:val="FootnoteReference"/>
        </w:rPr>
        <w:footnoteReference w:id="13"/>
      </w:r>
    </w:p>
    <w:p w14:paraId="4F664F4D" w14:textId="77777777" w:rsidR="002C2F26" w:rsidRDefault="002C2F26" w:rsidP="002C2F26"/>
    <w:p w14:paraId="4F664F4E" w14:textId="77777777" w:rsidR="00FA6A1F" w:rsidRDefault="00FA6A1F" w:rsidP="002C2F26">
      <w:r>
        <w:t>These principles will be visible in everything we do: from the strategic framework itself to the service plan, our service commissioning and monitoring approaches, and in the way that we work with others. They will drive not only our activities, but the way we deliver our activities.</w:t>
      </w:r>
    </w:p>
    <w:p w14:paraId="4F664F4F" w14:textId="77777777" w:rsidR="002C2F26" w:rsidRDefault="002C2F26" w:rsidP="002C2F26"/>
    <w:p w14:paraId="4F664F50" w14:textId="77777777" w:rsidR="008303C6" w:rsidRDefault="00FA6A1F" w:rsidP="002C2F26">
      <w:pPr>
        <w:pStyle w:val="Heading2"/>
      </w:pPr>
      <w:bookmarkStart w:id="69" w:name="_Toc78882269"/>
      <w:bookmarkStart w:id="70" w:name="_Toc80965841"/>
      <w:r>
        <w:t>Outcomes</w:t>
      </w:r>
      <w:bookmarkEnd w:id="69"/>
      <w:bookmarkEnd w:id="70"/>
    </w:p>
    <w:p w14:paraId="4F664F51" w14:textId="77777777" w:rsidR="00FA6A1F" w:rsidRPr="00BB0ECA" w:rsidRDefault="00FA6A1F" w:rsidP="002C2F26">
      <w:r>
        <w:t xml:space="preserve">Our new draft strategic framework has four new outcomes that are based on </w:t>
      </w:r>
      <w:r w:rsidRPr="000251AA">
        <w:rPr>
          <w:i/>
          <w:iCs/>
        </w:rPr>
        <w:t>Whakamaua</w:t>
      </w:r>
      <w:r>
        <w:t>, with some adjustments to make them applicable to the broader population of Aotearoa New Zealand. These four outcomes are as follows.</w:t>
      </w:r>
    </w:p>
    <w:p w14:paraId="4F664F52" w14:textId="77777777" w:rsidR="00FA6A1F" w:rsidRPr="00D47DDC" w:rsidRDefault="00FA6A1F" w:rsidP="003A45D7">
      <w:pPr>
        <w:pStyle w:val="Bullet"/>
      </w:pPr>
      <w:bookmarkStart w:id="71" w:name="_Hlk78533405"/>
      <w:r>
        <w:t>[</w:t>
      </w:r>
      <w:r w:rsidRPr="00D47DDC">
        <w:t xml:space="preserve">Iwi, hapū, whānau </w:t>
      </w:r>
      <w:bookmarkEnd w:id="71"/>
      <w:r w:rsidRPr="00D47DDC">
        <w:t>and Māori</w:t>
      </w:r>
      <w:r>
        <w:t>] C</w:t>
      </w:r>
      <w:r w:rsidRPr="00C30DCA">
        <w:t xml:space="preserve">ommunities </w:t>
      </w:r>
      <w:r>
        <w:t>c</w:t>
      </w:r>
      <w:r w:rsidRPr="00C30DCA">
        <w:t>an exercise their authority to improve their health and wellbeing</w:t>
      </w:r>
      <w:r>
        <w:t>.</w:t>
      </w:r>
    </w:p>
    <w:p w14:paraId="4F664F53" w14:textId="77777777" w:rsidR="00FA6A1F" w:rsidRPr="00C30DCA" w:rsidRDefault="00FA6A1F" w:rsidP="003A45D7">
      <w:pPr>
        <w:pStyle w:val="Bullet"/>
      </w:pPr>
      <w:r w:rsidRPr="00D47DDC">
        <w:t xml:space="preserve">The health and disability </w:t>
      </w:r>
      <w:r>
        <w:t xml:space="preserve">system </w:t>
      </w:r>
      <w:r w:rsidRPr="00D47DDC">
        <w:t>and wider system</w:t>
      </w:r>
      <w:r>
        <w:t xml:space="preserve"> to prevent and minimise gambling harm</w:t>
      </w:r>
      <w:r w:rsidRPr="00D47DDC">
        <w:t xml:space="preserve"> is fair and sustainable and delivers more equitable outcomes</w:t>
      </w:r>
      <w:r>
        <w:t xml:space="preserve"> for all.</w:t>
      </w:r>
    </w:p>
    <w:p w14:paraId="4F664F54" w14:textId="77777777" w:rsidR="008303C6" w:rsidRDefault="00FA6A1F" w:rsidP="003A45D7">
      <w:pPr>
        <w:pStyle w:val="Bullet"/>
      </w:pPr>
      <w:r w:rsidRPr="00C30DCA">
        <w:t xml:space="preserve">The health and disability </w:t>
      </w:r>
      <w:r>
        <w:t xml:space="preserve">system </w:t>
      </w:r>
      <w:r w:rsidRPr="00D47DDC">
        <w:t>and wider system</w:t>
      </w:r>
      <w:r>
        <w:t xml:space="preserve"> to prevent and minimise gambling harm</w:t>
      </w:r>
      <w:r w:rsidRPr="00D47DDC">
        <w:t xml:space="preserve"> </w:t>
      </w:r>
      <w:r w:rsidRPr="00C30DCA">
        <w:t xml:space="preserve">addresses racism and discrimination in all </w:t>
      </w:r>
      <w:r>
        <w:t>their</w:t>
      </w:r>
      <w:r w:rsidRPr="00D47DDC">
        <w:t xml:space="preserve"> forms</w:t>
      </w:r>
      <w:r>
        <w:t>.</w:t>
      </w:r>
    </w:p>
    <w:p w14:paraId="4F664F55" w14:textId="77777777" w:rsidR="00FA6A1F" w:rsidRDefault="00FA6A1F" w:rsidP="003A45D7">
      <w:pPr>
        <w:pStyle w:val="Bullet"/>
      </w:pPr>
      <w:r w:rsidRPr="00D47DDC">
        <w:t xml:space="preserve">The inclusion and protection of </w:t>
      </w:r>
      <w:r w:rsidRPr="00C30DCA">
        <w:t xml:space="preserve">mātauranga Māori </w:t>
      </w:r>
      <w:r w:rsidRPr="00773386">
        <w:t>throughout the health and disability system.</w:t>
      </w:r>
    </w:p>
    <w:p w14:paraId="4F664F56" w14:textId="77777777" w:rsidR="003A45D7" w:rsidRPr="00773386" w:rsidRDefault="003A45D7" w:rsidP="003A45D7"/>
    <w:p w14:paraId="4F664F57" w14:textId="77777777" w:rsidR="00FA6A1F" w:rsidRPr="007F4B4C" w:rsidRDefault="00FA6A1F" w:rsidP="003A45D7">
      <w:pPr>
        <w:pStyle w:val="Heading2"/>
      </w:pPr>
      <w:bookmarkStart w:id="72" w:name="_Toc78882270"/>
      <w:bookmarkStart w:id="73" w:name="_Toc80965842"/>
      <w:r>
        <w:t>Objectives</w:t>
      </w:r>
      <w:bookmarkEnd w:id="72"/>
      <w:bookmarkEnd w:id="73"/>
    </w:p>
    <w:p w14:paraId="4F664F58" w14:textId="77777777" w:rsidR="008303C6" w:rsidRDefault="00FA6A1F" w:rsidP="003A45D7">
      <w:pPr>
        <w:keepNext/>
      </w:pPr>
      <w:r>
        <w:t xml:space="preserve">We propose four objectives to shape our strategic approach and service plan. These objectives provide a framework that other groups or organisations, including other Government agencies, local government, community organisations and civil society might find useful. The four proposed objectives align with the eleven strategic objectives of the current strategy (see </w:t>
      </w:r>
      <w:hyperlink w:anchor="_Appendix_4:_Key" w:history="1">
        <w:r w:rsidR="00953E89" w:rsidRPr="00953E89">
          <w:rPr>
            <w:rStyle w:val="Hyperlink"/>
            <w:b w:val="0"/>
            <w:color w:val="auto"/>
          </w:rPr>
          <w:t>Appendix 4</w:t>
        </w:r>
      </w:hyperlink>
      <w:r w:rsidRPr="00107824">
        <w:t>).</w:t>
      </w:r>
    </w:p>
    <w:p w14:paraId="4F664F59" w14:textId="77777777" w:rsidR="003A45D7" w:rsidRDefault="003A45D7" w:rsidP="003A45D7"/>
    <w:p w14:paraId="4F664F5A" w14:textId="77777777" w:rsidR="008303C6" w:rsidRDefault="00FA6A1F" w:rsidP="003A45D7">
      <w:r w:rsidRPr="00107824">
        <w:t xml:space="preserve">All four </w:t>
      </w:r>
      <w:r>
        <w:t>objectives</w:t>
      </w:r>
      <w:r w:rsidRPr="00107824">
        <w:t xml:space="preserve"> have been designed to align and enable the five </w:t>
      </w:r>
      <w:r w:rsidRPr="00D0622A">
        <w:rPr>
          <w:i/>
          <w:iCs/>
          <w:color w:val="000000"/>
          <w:lang w:eastAsia="en-NZ"/>
        </w:rPr>
        <w:t>Hauora</w:t>
      </w:r>
      <w:r w:rsidRPr="00107824">
        <w:t xml:space="preserve"> principles (tino rangatiratanga, partnership, equity, active protection, </w:t>
      </w:r>
      <w:r>
        <w:t xml:space="preserve">and </w:t>
      </w:r>
      <w:r w:rsidRPr="00107824">
        <w:t>options) to be implemented in the arena of the prevention and minimisation of gambling harm.</w:t>
      </w:r>
    </w:p>
    <w:p w14:paraId="4F664F5B" w14:textId="77777777" w:rsidR="003A45D7" w:rsidRDefault="003A45D7" w:rsidP="003A45D7">
      <w:pPr>
        <w:rPr>
          <w:i/>
          <w:iCs/>
        </w:rPr>
      </w:pPr>
    </w:p>
    <w:p w14:paraId="4F664F5C" w14:textId="77777777" w:rsidR="008303C6" w:rsidRDefault="00FA6A1F" w:rsidP="003A45D7">
      <w:pPr>
        <w:pStyle w:val="Heading3"/>
      </w:pPr>
      <w:bookmarkStart w:id="74" w:name="_Toc78882271"/>
      <w:r w:rsidRPr="00586349">
        <w:t>Objective</w:t>
      </w:r>
      <w:r w:rsidRPr="00932454">
        <w:t xml:space="preserve"> </w:t>
      </w:r>
      <w:r>
        <w:t>1</w:t>
      </w:r>
      <w:r w:rsidRPr="00932454">
        <w:t>: Create a full spectrum of services and supports</w:t>
      </w:r>
      <w:bookmarkEnd w:id="74"/>
    </w:p>
    <w:p w14:paraId="4F664F5D" w14:textId="77777777" w:rsidR="00FA6A1F" w:rsidRDefault="00FA6A1F" w:rsidP="003A45D7">
      <w:r>
        <w:t>This objective acknowledges that one of the Ministry</w:t>
      </w:r>
      <w:r w:rsidR="008303C6">
        <w:t>’</w:t>
      </w:r>
      <w:r>
        <w:t>s key statutory roles is to provide services and supports that prevent and minimise gambling-related harm. It incorporates the public health concept that the needs and strengths of a population lie along a continuum or spectrum, and therefore support, including service responses, should as well.</w:t>
      </w:r>
    </w:p>
    <w:p w14:paraId="4F664F5E" w14:textId="77777777" w:rsidR="003A45D7" w:rsidRDefault="003A45D7" w:rsidP="003A45D7"/>
    <w:p w14:paraId="4F664F5F" w14:textId="77777777" w:rsidR="00FA6A1F" w:rsidRDefault="00FA6A1F" w:rsidP="003A45D7">
      <w:r>
        <w:t>The 2021 needs assessment supported the Ministry continuing to address gaps in the spectrum of services and supports that are currently provided, particularly in the areas of peer support and residential treatment and for specific groups, such as people who have relapsed and for families and wh</w:t>
      </w:r>
      <w:r>
        <w:rPr>
          <w:rFonts w:cstheme="minorHAnsi"/>
        </w:rPr>
        <w:t>ā</w:t>
      </w:r>
      <w:r>
        <w:t>nau who are affected by gambling.</w:t>
      </w:r>
    </w:p>
    <w:p w14:paraId="4F664F60" w14:textId="77777777" w:rsidR="003A45D7" w:rsidRDefault="003A45D7" w:rsidP="003A45D7"/>
    <w:p w14:paraId="4F664F61" w14:textId="77777777" w:rsidR="00FA6A1F" w:rsidRPr="00932454" w:rsidRDefault="00FA6A1F" w:rsidP="003A45D7">
      <w:pPr>
        <w:pStyle w:val="Heading3"/>
      </w:pPr>
      <w:bookmarkStart w:id="75" w:name="_Toc78882272"/>
      <w:r w:rsidRPr="00932454">
        <w:lastRenderedPageBreak/>
        <w:t xml:space="preserve">Objective </w:t>
      </w:r>
      <w:r>
        <w:t>2</w:t>
      </w:r>
      <w:r w:rsidRPr="00932454">
        <w:t>: Shift cultural and social norms</w:t>
      </w:r>
      <w:bookmarkEnd w:id="75"/>
    </w:p>
    <w:p w14:paraId="4F664F62" w14:textId="77777777" w:rsidR="00FA6A1F" w:rsidRDefault="00FA6A1F" w:rsidP="003A45D7">
      <w:r>
        <w:t xml:space="preserve">This reflects a key objective of </w:t>
      </w:r>
      <w:r w:rsidRPr="00E2622A">
        <w:rPr>
          <w:i/>
          <w:iCs/>
        </w:rPr>
        <w:t>Whakamaua</w:t>
      </w:r>
      <w:r>
        <w:t xml:space="preserve"> that is directly relevant to gambling harm prevention and minimisation and reflects a core aspect of the public health approach: a focus on building healthy environments through a range of methods, including public policy, health promotion and direct engagement with people. This objective is also informed by research findings that gambling behaviour, help-seeking behaviour and the concept of harm are all informed by cultural and social norms, attitudes and beliefs.</w:t>
      </w:r>
    </w:p>
    <w:p w14:paraId="4F664F63" w14:textId="77777777" w:rsidR="003A45D7" w:rsidRDefault="003A45D7" w:rsidP="003A45D7"/>
    <w:p w14:paraId="4F664F64" w14:textId="77777777" w:rsidR="008303C6" w:rsidRDefault="00FA6A1F" w:rsidP="003A45D7">
      <w:r>
        <w:t>The needs assessment found that there is a need to increase public awareness about the nature of harmful gambling and how to provide support for those with gambling problems, including de-stigmatisation. In this objective, the Ministry will be working closely with other agencies and interested parties.</w:t>
      </w:r>
    </w:p>
    <w:p w14:paraId="4F664F65" w14:textId="77777777" w:rsidR="003A45D7" w:rsidRDefault="003A45D7" w:rsidP="003A45D7"/>
    <w:p w14:paraId="4F664F66" w14:textId="77777777" w:rsidR="00FA6A1F" w:rsidRPr="00932454" w:rsidRDefault="00FA6A1F" w:rsidP="003A45D7">
      <w:pPr>
        <w:pStyle w:val="Heading3"/>
      </w:pPr>
      <w:bookmarkStart w:id="76" w:name="_Toc78882273"/>
      <w:r w:rsidRPr="00932454">
        <w:t xml:space="preserve">Objective </w:t>
      </w:r>
      <w:r>
        <w:t>3</w:t>
      </w:r>
      <w:r w:rsidRPr="00932454">
        <w:t>: Strengthen leadership and accountability to achieve equity</w:t>
      </w:r>
      <w:bookmarkEnd w:id="76"/>
    </w:p>
    <w:p w14:paraId="4F664F67" w14:textId="77777777" w:rsidR="008303C6" w:rsidRDefault="00FA6A1F" w:rsidP="003A45D7">
      <w:r>
        <w:t xml:space="preserve">This reflects a key objective of </w:t>
      </w:r>
      <w:r w:rsidRPr="002F13FB">
        <w:rPr>
          <w:i/>
          <w:iCs/>
        </w:rPr>
        <w:t>Whakamau</w:t>
      </w:r>
      <w:r>
        <w:rPr>
          <w:i/>
          <w:iCs/>
        </w:rPr>
        <w:t xml:space="preserve">a. </w:t>
      </w:r>
      <w:r w:rsidRPr="00F44432">
        <w:t>A</w:t>
      </w:r>
      <w:r w:rsidRPr="0094789D">
        <w:t xml:space="preserve">ll </w:t>
      </w:r>
      <w:r>
        <w:t xml:space="preserve">systems require </w:t>
      </w:r>
      <w:r w:rsidRPr="001C3F2E">
        <w:t>leadership</w:t>
      </w:r>
      <w:r>
        <w:t>, especially complex systems, such as harm prevention and minimisation. Without leadership, any system tends to decay into disorganisation, leading to confusion, duplication and gaps, lost opportunities, increased risks and reduced benefits.</w:t>
      </w:r>
      <w:r>
        <w:rPr>
          <w:i/>
          <w:iCs/>
        </w:rPr>
        <w:t xml:space="preserve"> </w:t>
      </w:r>
      <w:r w:rsidRPr="006A6704">
        <w:t xml:space="preserve">The Ministry </w:t>
      </w:r>
      <w:r>
        <w:t>is</w:t>
      </w:r>
      <w:r w:rsidRPr="006A6704">
        <w:t xml:space="preserve"> responsib</w:t>
      </w:r>
      <w:r>
        <w:t>le</w:t>
      </w:r>
      <w:r w:rsidRPr="006A6704">
        <w:t xml:space="preserve"> for </w:t>
      </w:r>
      <w:r>
        <w:t xml:space="preserve">the overall system that relates to health services to </w:t>
      </w:r>
      <w:r w:rsidRPr="006A6704">
        <w:t>prevent and minimis</w:t>
      </w:r>
      <w:r>
        <w:t xml:space="preserve">e gambling harm, </w:t>
      </w:r>
      <w:r w:rsidRPr="006A6704">
        <w:t>which</w:t>
      </w:r>
      <w:r>
        <w:t xml:space="preserve"> includes components covering s</w:t>
      </w:r>
      <w:r w:rsidRPr="006A6704">
        <w:t>trateg</w:t>
      </w:r>
      <w:r>
        <w:t>y</w:t>
      </w:r>
      <w:r w:rsidRPr="006A6704">
        <w:t>, policies</w:t>
      </w:r>
      <w:r>
        <w:t>, research,</w:t>
      </w:r>
      <w:r w:rsidRPr="006A6704">
        <w:t xml:space="preserve"> and services</w:t>
      </w:r>
      <w:r>
        <w:t xml:space="preserve"> and workforce. This system itself is </w:t>
      </w:r>
      <w:r w:rsidRPr="006A6704">
        <w:t>part of the broader mental health and addiction and wellbeing sectors.</w:t>
      </w:r>
    </w:p>
    <w:p w14:paraId="4F664F68" w14:textId="77777777" w:rsidR="003A45D7" w:rsidRDefault="003A45D7" w:rsidP="003A45D7"/>
    <w:p w14:paraId="4F664F69" w14:textId="77777777" w:rsidR="008303C6" w:rsidRDefault="00FA6A1F" w:rsidP="003A45D7">
      <w:r>
        <w:t>The needs assessment found the Ministry could do more to d</w:t>
      </w:r>
      <w:r w:rsidRPr="00383FBA">
        <w:t>evelop and maintain mutually respectful partnerships and relationships</w:t>
      </w:r>
      <w:r>
        <w:t>, to c</w:t>
      </w:r>
      <w:r w:rsidRPr="00383FBA">
        <w:t>onsult</w:t>
      </w:r>
      <w:r>
        <w:t xml:space="preserve"> </w:t>
      </w:r>
      <w:r w:rsidRPr="00383FBA">
        <w:t xml:space="preserve">and engage </w:t>
      </w:r>
      <w:r>
        <w:t xml:space="preserve">with </w:t>
      </w:r>
      <w:r w:rsidRPr="00383FBA">
        <w:t xml:space="preserve">gambling harm services, </w:t>
      </w:r>
      <w:r>
        <w:t xml:space="preserve">gambling operators, </w:t>
      </w:r>
      <w:r w:rsidRPr="00383FBA">
        <w:t>researchers and communities</w:t>
      </w:r>
      <w:r>
        <w:t>, and to d</w:t>
      </w:r>
      <w:r w:rsidRPr="009937F5">
        <w:t xml:space="preserve">evelop stronger leadership </w:t>
      </w:r>
      <w:r>
        <w:t xml:space="preserve">in </w:t>
      </w:r>
      <w:r w:rsidRPr="009937F5">
        <w:t>gambling</w:t>
      </w:r>
      <w:r>
        <w:t xml:space="preserve"> </w:t>
      </w:r>
      <w:r w:rsidRPr="009937F5">
        <w:t xml:space="preserve">harm </w:t>
      </w:r>
      <w:r>
        <w:t xml:space="preserve">prevention and reduction. This objective recognises the importance of strong system leadership to improve outcomes and </w:t>
      </w:r>
      <w:r w:rsidRPr="004339D7">
        <w:t>complements</w:t>
      </w:r>
      <w:r w:rsidRPr="002F13FB">
        <w:t xml:space="preserve"> DIA</w:t>
      </w:r>
      <w:r w:rsidR="008303C6">
        <w:t>’</w:t>
      </w:r>
      <w:r w:rsidRPr="002F13FB">
        <w:t xml:space="preserve">s </w:t>
      </w:r>
      <w:r>
        <w:t>focus on leadership of the gambling regulatory system</w:t>
      </w:r>
      <w:r w:rsidRPr="002F13FB">
        <w:t>.</w:t>
      </w:r>
    </w:p>
    <w:p w14:paraId="4F664F6A" w14:textId="77777777" w:rsidR="003A45D7" w:rsidRDefault="003A45D7" w:rsidP="003A45D7"/>
    <w:p w14:paraId="4F664F6B" w14:textId="77777777" w:rsidR="00FA6A1F" w:rsidRPr="00932454" w:rsidRDefault="00FA6A1F" w:rsidP="003A45D7">
      <w:pPr>
        <w:pStyle w:val="Heading3"/>
      </w:pPr>
      <w:bookmarkStart w:id="77" w:name="_Toc78882274"/>
      <w:r w:rsidRPr="00932454">
        <w:t xml:space="preserve">Objective </w:t>
      </w:r>
      <w:r>
        <w:t>4</w:t>
      </w:r>
      <w:r w:rsidRPr="00932454">
        <w:t>: Strengthen the health and health equity of Māori, Pacific</w:t>
      </w:r>
      <w:r>
        <w:t xml:space="preserve"> peoples,</w:t>
      </w:r>
      <w:r w:rsidRPr="00932454">
        <w:t xml:space="preserve"> Asian</w:t>
      </w:r>
      <w:r>
        <w:t xml:space="preserve"> peoples,</w:t>
      </w:r>
      <w:r w:rsidRPr="00932454">
        <w:t xml:space="preserve"> and young people</w:t>
      </w:r>
      <w:r>
        <w:t xml:space="preserve"> </w:t>
      </w:r>
      <w:r w:rsidRPr="00932454">
        <w:t>/</w:t>
      </w:r>
      <w:r>
        <w:t xml:space="preserve"> </w:t>
      </w:r>
      <w:r w:rsidRPr="00932454">
        <w:t>rangatahi</w:t>
      </w:r>
      <w:bookmarkEnd w:id="77"/>
    </w:p>
    <w:p w14:paraId="4F664F6C" w14:textId="77777777" w:rsidR="00FA6A1F" w:rsidRDefault="00FA6A1F" w:rsidP="003A45D7">
      <w:r w:rsidRPr="00653588">
        <w:t>Again, this objective is derived from</w:t>
      </w:r>
      <w:r w:rsidRPr="00927967">
        <w:t xml:space="preserve"> </w:t>
      </w:r>
      <w:r w:rsidRPr="00774900">
        <w:rPr>
          <w:i/>
          <w:iCs/>
        </w:rPr>
        <w:t>Whakamaua</w:t>
      </w:r>
      <w:r w:rsidRPr="00927967">
        <w:t xml:space="preserve"> and reinforces the commitment to address health inequities and risks of harm </w:t>
      </w:r>
      <w:r>
        <w:t xml:space="preserve">from gambling </w:t>
      </w:r>
      <w:r w:rsidRPr="00927967">
        <w:t xml:space="preserve">that research shows </w:t>
      </w:r>
      <w:r>
        <w:t>have and continue to</w:t>
      </w:r>
      <w:r w:rsidRPr="00927967">
        <w:t xml:space="preserve"> disproportionately a</w:t>
      </w:r>
      <w:r>
        <w:t>f</w:t>
      </w:r>
      <w:r w:rsidRPr="00927967">
        <w:t xml:space="preserve">fect </w:t>
      </w:r>
      <w:r w:rsidRPr="00653588">
        <w:t>Māori and Pacific peoples</w:t>
      </w:r>
      <w:r w:rsidRPr="00927967">
        <w:t xml:space="preserve"> for some time </w:t>
      </w:r>
      <w:r>
        <w:t>(</w:t>
      </w:r>
      <w:r w:rsidRPr="00927967">
        <w:t xml:space="preserve">compared with </w:t>
      </w:r>
      <w:r w:rsidRPr="00653588">
        <w:t>European/</w:t>
      </w:r>
      <w:r>
        <w:t xml:space="preserve"> </w:t>
      </w:r>
      <w:r w:rsidRPr="00653588">
        <w:t>Other New Zealanders</w:t>
      </w:r>
      <w:r>
        <w:rPr>
          <w:i/>
          <w:iCs/>
        </w:rPr>
        <w:t xml:space="preserve">. </w:t>
      </w:r>
      <w:r>
        <w:t xml:space="preserve">The </w:t>
      </w:r>
      <w:r w:rsidRPr="009A4A7B">
        <w:t xml:space="preserve">2018 HLS estimates indicated that Māori were </w:t>
      </w:r>
      <w:r>
        <w:t>four</w:t>
      </w:r>
      <w:r w:rsidRPr="009A4A7B">
        <w:t xml:space="preserve"> times </w:t>
      </w:r>
      <w:r>
        <w:t>more</w:t>
      </w:r>
      <w:r w:rsidRPr="009A4A7B">
        <w:t xml:space="preserve"> likely to be moderate</w:t>
      </w:r>
      <w:r>
        <w:t>-</w:t>
      </w:r>
      <w:r w:rsidRPr="009A4A7B">
        <w:t>risk or problem gamblers than non-Māori and that Pacific</w:t>
      </w:r>
      <w:r>
        <w:t xml:space="preserve"> peoples</w:t>
      </w:r>
      <w:r w:rsidRPr="009A4A7B">
        <w:t xml:space="preserve"> were </w:t>
      </w:r>
      <w:r w:rsidR="003A45D7">
        <w:t>1.5</w:t>
      </w:r>
      <w:r w:rsidRPr="009A4A7B">
        <w:t xml:space="preserve"> times </w:t>
      </w:r>
      <w:r>
        <w:t xml:space="preserve">more </w:t>
      </w:r>
      <w:r w:rsidRPr="009A4A7B">
        <w:t>likely to be moderate</w:t>
      </w:r>
      <w:r>
        <w:t>-</w:t>
      </w:r>
      <w:r w:rsidRPr="009A4A7B">
        <w:t>risk or problem gamblers than non-Pacific</w:t>
      </w:r>
      <w:r>
        <w:t xml:space="preserve"> peoples</w:t>
      </w:r>
      <w:r w:rsidRPr="009A4A7B">
        <w:t>.</w:t>
      </w:r>
    </w:p>
    <w:p w14:paraId="4F664F6D" w14:textId="77777777" w:rsidR="003A45D7" w:rsidRDefault="003A45D7" w:rsidP="003A45D7"/>
    <w:p w14:paraId="4F664F6E" w14:textId="77777777" w:rsidR="00FA6A1F" w:rsidRDefault="00FA6A1F" w:rsidP="003A45D7">
      <w:pPr>
        <w:rPr>
          <w:lang w:eastAsia="en-NZ"/>
        </w:rPr>
      </w:pPr>
      <w:r>
        <w:lastRenderedPageBreak/>
        <w:t>Similarly, an analysis of research over several years</w:t>
      </w:r>
      <w:r w:rsidR="008303C6">
        <w:t>’</w:t>
      </w:r>
      <w:r>
        <w:t xml:space="preserve"> HLS, accounting for ethnicity, gender and socioeconomic deprivation, has found that compared with European/other New Zealanders, of those who gamble the Asian group</w:t>
      </w:r>
      <w:r w:rsidR="008303C6">
        <w:t>’</w:t>
      </w:r>
      <w:r>
        <w:t xml:space="preserve">s risk factor is 9.5 times higher. </w:t>
      </w:r>
      <w:r w:rsidRPr="00512CD6">
        <w:t xml:space="preserve">The </w:t>
      </w:r>
      <w:r>
        <w:t xml:space="preserve">2021 </w:t>
      </w:r>
      <w:r w:rsidRPr="00512CD6">
        <w:t xml:space="preserve">needs assessment notes that </w:t>
      </w:r>
      <w:r>
        <w:t>i</w:t>
      </w:r>
      <w:r w:rsidRPr="00466237">
        <w:rPr>
          <w:lang w:eastAsia="en-NZ"/>
        </w:rPr>
        <w:t>nternationally, the risk factors for developing harmful gambling include: being male, being young</w:t>
      </w:r>
      <w:r w:rsidRPr="00466237">
        <w:rPr>
          <w:b/>
          <w:bCs/>
          <w:lang w:eastAsia="en-NZ"/>
        </w:rPr>
        <w:t>,</w:t>
      </w:r>
      <w:r w:rsidRPr="00466237">
        <w:rPr>
          <w:lang w:eastAsia="en-NZ"/>
        </w:rPr>
        <w:t xml:space="preserve"> belonging to a particular ethnic group, single marital status, low educational and/or occupational status and residence in urban areas</w:t>
      </w:r>
      <w:r>
        <w:rPr>
          <w:lang w:eastAsia="en-NZ"/>
        </w:rPr>
        <w:t>.</w:t>
      </w:r>
    </w:p>
    <w:p w14:paraId="4F664F6F" w14:textId="77777777" w:rsidR="003A45D7" w:rsidRPr="009A4A7B" w:rsidRDefault="003A45D7" w:rsidP="003A45D7"/>
    <w:p w14:paraId="4F664F70" w14:textId="77777777" w:rsidR="00FA6A1F" w:rsidRDefault="00FA6A1F" w:rsidP="003A45D7">
      <w:pPr>
        <w:pStyle w:val="Heading2"/>
      </w:pPr>
      <w:bookmarkStart w:id="78" w:name="_Toc71550037"/>
      <w:bookmarkStart w:id="79" w:name="_Toc78882275"/>
      <w:bookmarkStart w:id="80" w:name="_Toc80965843"/>
      <w:r>
        <w:t>Priority action areas</w:t>
      </w:r>
      <w:bookmarkEnd w:id="78"/>
      <w:bookmarkEnd w:id="79"/>
      <w:bookmarkEnd w:id="80"/>
    </w:p>
    <w:p w14:paraId="4F664F71" w14:textId="77777777" w:rsidR="008303C6" w:rsidRDefault="00FA6A1F" w:rsidP="003A45D7">
      <w:pPr>
        <w:keepLines/>
      </w:pPr>
      <w:r>
        <w:t>The priority action areas have been designed to reflect the main actions that need to be taken to achieve the corresponding objective. These are drawn from the 2021 needs assessment, build on previous strategy consultations and are expected to be reviewed after six years.</w:t>
      </w:r>
    </w:p>
    <w:p w14:paraId="4F664F72" w14:textId="77777777" w:rsidR="003A45D7" w:rsidRDefault="003A45D7" w:rsidP="003A45D7"/>
    <w:p w14:paraId="4F664F73" w14:textId="77777777" w:rsidR="00FA6A1F" w:rsidRDefault="00FA6A1F" w:rsidP="003A45D7">
      <w:r>
        <w:t>The priority action areas reflect the contributions of DIA and Te Hiringa Hauora because their activities in the gambling arena influence the Ministry</w:t>
      </w:r>
      <w:r w:rsidR="008303C6">
        <w:t>’</w:t>
      </w:r>
      <w:r>
        <w:t>s ability to achieve our goals. The proposed priority action areas are as follows.</w:t>
      </w:r>
    </w:p>
    <w:p w14:paraId="4F664F74" w14:textId="77777777" w:rsidR="003A45D7" w:rsidRDefault="003A45D7" w:rsidP="003A45D7"/>
    <w:p w14:paraId="4F664F75" w14:textId="77777777" w:rsidR="00FA6A1F" w:rsidRPr="00932454" w:rsidRDefault="00FA6A1F" w:rsidP="003A45D7">
      <w:pPr>
        <w:pStyle w:val="Heading3"/>
      </w:pPr>
      <w:bookmarkStart w:id="81" w:name="_Toc78882276"/>
      <w:r w:rsidRPr="00932454">
        <w:t xml:space="preserve">Objective </w:t>
      </w:r>
      <w:r>
        <w:t>1</w:t>
      </w:r>
      <w:r w:rsidRPr="00932454">
        <w:t>: Create a full spectrum of services and supports</w:t>
      </w:r>
      <w:bookmarkEnd w:id="81"/>
    </w:p>
    <w:p w14:paraId="4F664F76" w14:textId="77777777" w:rsidR="00FA6A1F" w:rsidRPr="0003777A" w:rsidRDefault="00FA6A1F" w:rsidP="003A45D7">
      <w:pPr>
        <w:pStyle w:val="Bullet"/>
      </w:pPr>
      <w:r w:rsidRPr="0003777A">
        <w:t>Identify barriers to accessing gambling</w:t>
      </w:r>
      <w:r>
        <w:t>-</w:t>
      </w:r>
      <w:r w:rsidRPr="0003777A">
        <w:t>harm minimisation services and supports (including identifying gaps) (Ministry of Health).</w:t>
      </w:r>
    </w:p>
    <w:p w14:paraId="4F664F77" w14:textId="77777777" w:rsidR="00FA6A1F" w:rsidRPr="0003777A" w:rsidRDefault="00FA6A1F" w:rsidP="003A45D7">
      <w:pPr>
        <w:pStyle w:val="Bullet"/>
      </w:pPr>
      <w:r w:rsidRPr="0003777A">
        <w:t>Design and deliver quality gambling</w:t>
      </w:r>
      <w:r>
        <w:t>-</w:t>
      </w:r>
      <w:r w:rsidRPr="0003777A">
        <w:t>harm minimisation services and supports (Ministry of Health).</w:t>
      </w:r>
    </w:p>
    <w:p w14:paraId="4F664F78" w14:textId="77777777" w:rsidR="00FA6A1F" w:rsidRPr="0003777A" w:rsidRDefault="00FA6A1F" w:rsidP="003A45D7">
      <w:pPr>
        <w:pStyle w:val="Bullet"/>
      </w:pPr>
      <w:r w:rsidRPr="0003777A">
        <w:t>Develop a skilled</w:t>
      </w:r>
      <w:r>
        <w:t>,</w:t>
      </w:r>
      <w:r w:rsidRPr="0003777A">
        <w:t xml:space="preserve"> enabled </w:t>
      </w:r>
      <w:r w:rsidRPr="00927967">
        <w:t xml:space="preserve">culturally responsive </w:t>
      </w:r>
      <w:r w:rsidRPr="0003777A">
        <w:t>workforce (Ministry of Health).</w:t>
      </w:r>
    </w:p>
    <w:p w14:paraId="4F664F79" w14:textId="77777777" w:rsidR="003A45D7" w:rsidRDefault="003A45D7" w:rsidP="003A45D7">
      <w:pPr>
        <w:rPr>
          <w:lang w:eastAsia="en-NZ"/>
        </w:rPr>
      </w:pPr>
    </w:p>
    <w:p w14:paraId="4F664F7A" w14:textId="77777777" w:rsidR="00FA6A1F" w:rsidRDefault="00FA6A1F" w:rsidP="003A45D7">
      <w:r w:rsidRPr="0003777A">
        <w:rPr>
          <w:lang w:eastAsia="en-NZ"/>
        </w:rPr>
        <w:t xml:space="preserve">The actions in this area align to the </w:t>
      </w:r>
      <w:r w:rsidRPr="006851F2">
        <w:rPr>
          <w:i/>
          <w:iCs/>
          <w:lang w:eastAsia="en-NZ"/>
        </w:rPr>
        <w:t>Hauora</w:t>
      </w:r>
      <w:r w:rsidRPr="0003777A">
        <w:rPr>
          <w:lang w:eastAsia="en-NZ"/>
        </w:rPr>
        <w:t xml:space="preserve"> principles of equity and options</w:t>
      </w:r>
      <w:r w:rsidRPr="00236885">
        <w:rPr>
          <w:lang w:eastAsia="en-NZ"/>
        </w:rPr>
        <w:t xml:space="preserve"> and</w:t>
      </w:r>
      <w:r w:rsidRPr="0003777A">
        <w:t xml:space="preserve"> enable the four </w:t>
      </w:r>
      <w:r w:rsidRPr="0003777A">
        <w:rPr>
          <w:i/>
          <w:iCs/>
        </w:rPr>
        <w:t>Whakamaua</w:t>
      </w:r>
      <w:r w:rsidRPr="0003777A">
        <w:t xml:space="preserve"> outcomes</w:t>
      </w:r>
      <w:r w:rsidRPr="00236885">
        <w:t>,</w:t>
      </w:r>
      <w:r w:rsidRPr="0003777A">
        <w:t xml:space="preserve"> a</w:t>
      </w:r>
      <w:r w:rsidRPr="00236885">
        <w:t>s well as</w:t>
      </w:r>
      <w:r w:rsidRPr="0003777A">
        <w:t xml:space="preserve"> </w:t>
      </w:r>
      <w:r>
        <w:t>p</w:t>
      </w:r>
      <w:r w:rsidRPr="0003777A">
        <w:t xml:space="preserve">ae </w:t>
      </w:r>
      <w:r w:rsidRPr="00236885">
        <w:t>o</w:t>
      </w:r>
      <w:r w:rsidRPr="0003777A">
        <w:t>ra</w:t>
      </w:r>
      <w:r w:rsidRPr="00236885">
        <w:t>,</w:t>
      </w:r>
      <w:r w:rsidRPr="0003777A">
        <w:t xml:space="preserve"> to be realised in </w:t>
      </w:r>
      <w:r w:rsidRPr="00236885">
        <w:t>the</w:t>
      </w:r>
      <w:r w:rsidRPr="0003777A">
        <w:t xml:space="preserve"> prevention and minimisation of gambling harm. </w:t>
      </w:r>
      <w:r w:rsidRPr="0003777A">
        <w:rPr>
          <w:lang w:eastAsia="en-NZ"/>
        </w:rPr>
        <w:t xml:space="preserve">Key </w:t>
      </w:r>
      <w:r>
        <w:rPr>
          <w:lang w:eastAsia="en-NZ"/>
        </w:rPr>
        <w:t>strategy</w:t>
      </w:r>
      <w:r w:rsidRPr="0003777A">
        <w:rPr>
          <w:lang w:eastAsia="en-NZ"/>
        </w:rPr>
        <w:t xml:space="preserve"> principles that will be activated </w:t>
      </w:r>
      <w:r>
        <w:rPr>
          <w:lang w:eastAsia="en-NZ"/>
        </w:rPr>
        <w:t>include</w:t>
      </w:r>
      <w:r w:rsidRPr="0003777A">
        <w:rPr>
          <w:lang w:eastAsia="en-NZ"/>
        </w:rPr>
        <w:t xml:space="preserve"> u</w:t>
      </w:r>
      <w:r w:rsidRPr="00236885">
        <w:t>pholding Te Tiriti;</w:t>
      </w:r>
      <w:r w:rsidRPr="0003777A">
        <w:rPr>
          <w:lang w:eastAsia="en-NZ"/>
        </w:rPr>
        <w:t xml:space="preserve"> </w:t>
      </w:r>
      <w:r w:rsidRPr="00236885">
        <w:t>equity; people and whānau at the centre; community focus; collaboration and innovation.</w:t>
      </w:r>
    </w:p>
    <w:p w14:paraId="4F664F7B" w14:textId="77777777" w:rsidR="003A45D7" w:rsidRDefault="003A45D7" w:rsidP="003A45D7"/>
    <w:p w14:paraId="4F664F7C" w14:textId="77777777" w:rsidR="00FA6A1F" w:rsidRPr="00932454" w:rsidRDefault="00FA6A1F" w:rsidP="003A45D7">
      <w:pPr>
        <w:pStyle w:val="Heading3"/>
      </w:pPr>
      <w:bookmarkStart w:id="82" w:name="_Toc78882277"/>
      <w:r w:rsidRPr="00932454">
        <w:t xml:space="preserve">Objective </w:t>
      </w:r>
      <w:r>
        <w:t>2</w:t>
      </w:r>
      <w:r w:rsidRPr="00932454">
        <w:t>: Shift cultural and social norms</w:t>
      </w:r>
      <w:bookmarkEnd w:id="82"/>
    </w:p>
    <w:p w14:paraId="4F664F7D" w14:textId="77777777" w:rsidR="00FA6A1F" w:rsidRPr="0003777A" w:rsidRDefault="00FA6A1F" w:rsidP="003A45D7">
      <w:pPr>
        <w:pStyle w:val="Bullet"/>
      </w:pPr>
      <w:r w:rsidRPr="0003777A">
        <w:t xml:space="preserve">Ensure that people have the information and support to make healthy choices about gambling for </w:t>
      </w:r>
      <w:r>
        <w:t xml:space="preserve">both </w:t>
      </w:r>
      <w:r w:rsidRPr="0003777A">
        <w:t>themselves and others (</w:t>
      </w:r>
      <w:r>
        <w:t>Ministry of Health and Te Hiringa Hauora</w:t>
      </w:r>
      <w:r w:rsidRPr="0003777A">
        <w:t>).</w:t>
      </w:r>
    </w:p>
    <w:p w14:paraId="4F664F7E" w14:textId="77777777" w:rsidR="00FA6A1F" w:rsidRPr="0003777A" w:rsidRDefault="00FA6A1F" w:rsidP="003A45D7">
      <w:pPr>
        <w:pStyle w:val="Bullet"/>
      </w:pPr>
      <w:r w:rsidRPr="0003777A">
        <w:t>Ensure equitable participation in community decision</w:t>
      </w:r>
      <w:r>
        <w:t>-</w:t>
      </w:r>
      <w:r w:rsidRPr="0003777A">
        <w:t>making (Ministry of Health and DIA).</w:t>
      </w:r>
    </w:p>
    <w:p w14:paraId="4F664F7F" w14:textId="77777777" w:rsidR="00FA6A1F" w:rsidRPr="00236885" w:rsidRDefault="00FA6A1F" w:rsidP="003A45D7">
      <w:pPr>
        <w:pStyle w:val="Bullet"/>
      </w:pPr>
      <w:r w:rsidRPr="00A56FD7">
        <w:t xml:space="preserve">Reduce the stigma attached to gambling harm that prevents </w:t>
      </w:r>
      <w:r>
        <w:t xml:space="preserve">people from </w:t>
      </w:r>
      <w:r w:rsidRPr="00A56FD7">
        <w:t>accessing services and supports</w:t>
      </w:r>
      <w:r>
        <w:t xml:space="preserve"> </w:t>
      </w:r>
      <w:r w:rsidRPr="00236885">
        <w:t>(</w:t>
      </w:r>
      <w:r w:rsidRPr="0003777A">
        <w:t>Ministry of Health</w:t>
      </w:r>
      <w:r w:rsidRPr="00236885">
        <w:t xml:space="preserve"> and Te Hiringa Hauora).</w:t>
      </w:r>
    </w:p>
    <w:p w14:paraId="4F664F80" w14:textId="77777777" w:rsidR="003A45D7" w:rsidRDefault="003A45D7" w:rsidP="003A45D7">
      <w:pPr>
        <w:rPr>
          <w:lang w:eastAsia="en-NZ"/>
        </w:rPr>
      </w:pPr>
    </w:p>
    <w:p w14:paraId="4F664F81" w14:textId="77777777" w:rsidR="00FA6A1F" w:rsidRDefault="00FA6A1F" w:rsidP="003A45D7">
      <w:r w:rsidRPr="0003777A">
        <w:rPr>
          <w:lang w:eastAsia="en-NZ"/>
        </w:rPr>
        <w:t xml:space="preserve">The actions in this area align to the </w:t>
      </w:r>
      <w:r w:rsidRPr="0003777A">
        <w:rPr>
          <w:i/>
          <w:iCs/>
          <w:lang w:eastAsia="en-NZ"/>
        </w:rPr>
        <w:t>Hauora</w:t>
      </w:r>
      <w:r w:rsidRPr="0003777A">
        <w:rPr>
          <w:lang w:eastAsia="en-NZ"/>
        </w:rPr>
        <w:t xml:space="preserve"> principles of active protection, equity and partnership </w:t>
      </w:r>
      <w:r w:rsidRPr="0003777A">
        <w:t xml:space="preserve">to be realised in the prevention and minimisation of gambling harm. </w:t>
      </w:r>
      <w:r w:rsidRPr="0003777A">
        <w:rPr>
          <w:lang w:eastAsia="en-NZ"/>
        </w:rPr>
        <w:t xml:space="preserve">Key </w:t>
      </w:r>
      <w:r>
        <w:rPr>
          <w:lang w:eastAsia="en-NZ"/>
        </w:rPr>
        <w:t>strategy</w:t>
      </w:r>
      <w:r w:rsidRPr="0003777A">
        <w:rPr>
          <w:lang w:eastAsia="en-NZ"/>
        </w:rPr>
        <w:t xml:space="preserve"> principles that will be activated are u</w:t>
      </w:r>
      <w:r w:rsidRPr="00236885">
        <w:t>pholding Te Tiriti; equity; people and whānau at the centre and community focus</w:t>
      </w:r>
      <w:r w:rsidRPr="00242F90">
        <w:t>.</w:t>
      </w:r>
    </w:p>
    <w:p w14:paraId="4F664F82" w14:textId="77777777" w:rsidR="003A45D7" w:rsidRDefault="003A45D7" w:rsidP="003A45D7"/>
    <w:p w14:paraId="4F664F83" w14:textId="77777777" w:rsidR="00FA6A1F" w:rsidRPr="00932454" w:rsidRDefault="00FA6A1F" w:rsidP="003A45D7">
      <w:pPr>
        <w:pStyle w:val="Heading3"/>
      </w:pPr>
      <w:bookmarkStart w:id="83" w:name="_Toc78882278"/>
      <w:r w:rsidRPr="00932454">
        <w:t xml:space="preserve">Objective </w:t>
      </w:r>
      <w:r>
        <w:t>3</w:t>
      </w:r>
      <w:r w:rsidRPr="00932454">
        <w:t>: Strengthen leadership and accountability</w:t>
      </w:r>
      <w:r>
        <w:t xml:space="preserve"> to achieve equity</w:t>
      </w:r>
      <w:bookmarkEnd w:id="83"/>
    </w:p>
    <w:p w14:paraId="4F664F84" w14:textId="77777777" w:rsidR="00FA6A1F" w:rsidRPr="00A56FD7" w:rsidRDefault="00FA6A1F" w:rsidP="003A45D7">
      <w:pPr>
        <w:pStyle w:val="Bullet"/>
      </w:pPr>
      <w:r w:rsidRPr="00A56FD7">
        <w:t>Support healthy polic</w:t>
      </w:r>
      <w:r>
        <w:t>ies</w:t>
      </w:r>
      <w:r w:rsidRPr="00A56FD7">
        <w:t xml:space="preserve"> at national, regional and local levels that prevent and minimise gambling harm</w:t>
      </w:r>
      <w:r>
        <w:t xml:space="preserve"> (</w:t>
      </w:r>
      <w:r w:rsidRPr="0003777A">
        <w:t>Ministry of Health</w:t>
      </w:r>
      <w:r>
        <w:t xml:space="preserve"> and DIA).</w:t>
      </w:r>
    </w:p>
    <w:p w14:paraId="4F664F85" w14:textId="77777777" w:rsidR="00FA6A1F" w:rsidRPr="00A56FD7" w:rsidRDefault="00FA6A1F" w:rsidP="003A45D7">
      <w:pPr>
        <w:pStyle w:val="Bullet"/>
      </w:pPr>
      <w:r w:rsidRPr="00A56FD7">
        <w:t>Identify improvements to the legislative and regulatory framework to reduce gambling-related harm</w:t>
      </w:r>
      <w:r>
        <w:t xml:space="preserve"> (DIA).</w:t>
      </w:r>
    </w:p>
    <w:p w14:paraId="4F664F86" w14:textId="77777777" w:rsidR="00FA6A1F" w:rsidRPr="00236885" w:rsidRDefault="00FA6A1F" w:rsidP="003A45D7">
      <w:pPr>
        <w:pStyle w:val="Bullet"/>
        <w:rPr>
          <w:i/>
          <w:iCs/>
        </w:rPr>
      </w:pPr>
      <w:r w:rsidRPr="00236885">
        <w:t>Ensure gambling operators are meeting their obligations to effectively prevent and minimise harm from gambling and support the improvement of harm minimisation practices</w:t>
      </w:r>
      <w:r w:rsidRPr="0003777A">
        <w:t xml:space="preserve"> </w:t>
      </w:r>
      <w:r w:rsidRPr="00236885">
        <w:t>(DIA).</w:t>
      </w:r>
    </w:p>
    <w:p w14:paraId="4F664F87" w14:textId="77777777" w:rsidR="003A45D7" w:rsidRDefault="003A45D7" w:rsidP="003A45D7">
      <w:pPr>
        <w:rPr>
          <w:lang w:eastAsia="en-NZ"/>
        </w:rPr>
      </w:pPr>
    </w:p>
    <w:p w14:paraId="4F664F88" w14:textId="77777777" w:rsidR="00FA6A1F" w:rsidRDefault="00FA6A1F" w:rsidP="003A45D7">
      <w:r w:rsidRPr="0003777A">
        <w:rPr>
          <w:lang w:eastAsia="en-NZ"/>
        </w:rPr>
        <w:t xml:space="preserve">The actions in this area align to the </w:t>
      </w:r>
      <w:r w:rsidRPr="0003777A">
        <w:rPr>
          <w:i/>
          <w:iCs/>
          <w:lang w:eastAsia="en-NZ"/>
        </w:rPr>
        <w:t>Hauora</w:t>
      </w:r>
      <w:r w:rsidRPr="0003777A" w:rsidDel="00986009">
        <w:rPr>
          <w:lang w:eastAsia="en-NZ"/>
        </w:rPr>
        <w:t xml:space="preserve"> </w:t>
      </w:r>
      <w:r w:rsidRPr="0003777A">
        <w:rPr>
          <w:lang w:eastAsia="en-NZ"/>
        </w:rPr>
        <w:t xml:space="preserve">principles of tino rangatiratanga, active protection and equity, and enable them </w:t>
      </w:r>
      <w:r w:rsidRPr="0003777A">
        <w:t xml:space="preserve">to be realised in </w:t>
      </w:r>
      <w:r>
        <w:t>the</w:t>
      </w:r>
      <w:r w:rsidRPr="0003777A">
        <w:t xml:space="preserve"> prevention and minimisation of gambling harm. </w:t>
      </w:r>
      <w:r w:rsidRPr="0003777A">
        <w:rPr>
          <w:lang w:eastAsia="en-NZ"/>
        </w:rPr>
        <w:t xml:space="preserve">Key </w:t>
      </w:r>
      <w:r>
        <w:rPr>
          <w:lang w:eastAsia="en-NZ"/>
        </w:rPr>
        <w:t>strategy</w:t>
      </w:r>
      <w:r w:rsidRPr="0003777A">
        <w:rPr>
          <w:lang w:eastAsia="en-NZ"/>
        </w:rPr>
        <w:t xml:space="preserve"> principles that will be activated are upholding </w:t>
      </w:r>
      <w:r w:rsidRPr="00236885">
        <w:t>Te Tiriti; equity; people and whānau at the centre; community focus; collaboration and innovation.</w:t>
      </w:r>
    </w:p>
    <w:p w14:paraId="4F664F89" w14:textId="77777777" w:rsidR="003A45D7" w:rsidRPr="00236885" w:rsidRDefault="003A45D7" w:rsidP="003A45D7"/>
    <w:p w14:paraId="4F664F8A" w14:textId="77777777" w:rsidR="00FA6A1F" w:rsidRPr="00932454" w:rsidRDefault="00FA6A1F" w:rsidP="003A45D7">
      <w:pPr>
        <w:pStyle w:val="Heading3"/>
      </w:pPr>
      <w:bookmarkStart w:id="84" w:name="_Toc78882279"/>
      <w:r w:rsidRPr="00932454">
        <w:t xml:space="preserve">Objective </w:t>
      </w:r>
      <w:r>
        <w:t>4</w:t>
      </w:r>
      <w:r w:rsidRPr="00932454">
        <w:t>: Strengthen the health and health equity of Māori, Pacific</w:t>
      </w:r>
      <w:r>
        <w:t xml:space="preserve"> peoples,</w:t>
      </w:r>
      <w:r w:rsidRPr="00932454">
        <w:t xml:space="preserve"> Asian </w:t>
      </w:r>
      <w:r>
        <w:t xml:space="preserve">peoples </w:t>
      </w:r>
      <w:r w:rsidRPr="00932454">
        <w:t>and young people</w:t>
      </w:r>
      <w:r>
        <w:t xml:space="preserve"> </w:t>
      </w:r>
      <w:r w:rsidRPr="00932454">
        <w:t>/</w:t>
      </w:r>
      <w:r>
        <w:t xml:space="preserve"> </w:t>
      </w:r>
      <w:r w:rsidRPr="00932454">
        <w:t>rangatahi</w:t>
      </w:r>
      <w:bookmarkEnd w:id="84"/>
    </w:p>
    <w:p w14:paraId="4F664F8B" w14:textId="77777777" w:rsidR="00FA6A1F" w:rsidRPr="00236885" w:rsidRDefault="00FA6A1F" w:rsidP="003A45D7">
      <w:pPr>
        <w:pStyle w:val="Bullet"/>
      </w:pPr>
      <w:r w:rsidRPr="0003777A">
        <w:t>Collaborat</w:t>
      </w:r>
      <w:r>
        <w:t>e</w:t>
      </w:r>
      <w:r w:rsidRPr="0003777A">
        <w:t xml:space="preserve"> and co-design with </w:t>
      </w:r>
      <w:r>
        <w:t>i</w:t>
      </w:r>
      <w:r w:rsidRPr="0003777A">
        <w:t xml:space="preserve">wi and other Māori organisations; Pacific </w:t>
      </w:r>
      <w:r>
        <w:t>and</w:t>
      </w:r>
      <w:r w:rsidRPr="0003777A">
        <w:t xml:space="preserve"> Asian communities; young people</w:t>
      </w:r>
      <w:r>
        <w:t xml:space="preserve"> </w:t>
      </w:r>
      <w:r w:rsidRPr="0003777A">
        <w:t>/</w:t>
      </w:r>
      <w:r>
        <w:t xml:space="preserve"> </w:t>
      </w:r>
      <w:r w:rsidRPr="0003777A">
        <w:t>rangatahi; and people with lived experience of gambling harm to prevent and minimise gambling harm (Ministry of Health).</w:t>
      </w:r>
    </w:p>
    <w:p w14:paraId="4F664F8C" w14:textId="77777777" w:rsidR="00FA6A1F" w:rsidRPr="00236885" w:rsidRDefault="00FA6A1F" w:rsidP="003A45D7">
      <w:pPr>
        <w:pStyle w:val="Bullet"/>
      </w:pPr>
      <w:r w:rsidRPr="00236885">
        <w:t xml:space="preserve">Accelerate and spread the development of </w:t>
      </w:r>
      <w:r>
        <w:t>k</w:t>
      </w:r>
      <w:r w:rsidRPr="00236885">
        <w:t>aupapa Māori and gambling</w:t>
      </w:r>
      <w:r>
        <w:t>-</w:t>
      </w:r>
      <w:r w:rsidRPr="00236885">
        <w:t xml:space="preserve">harm prevention and minimisation services centred </w:t>
      </w:r>
      <w:r>
        <w:t xml:space="preserve">around the </w:t>
      </w:r>
      <w:r w:rsidRPr="00236885">
        <w:t>whānau (</w:t>
      </w:r>
      <w:r w:rsidRPr="0003777A">
        <w:t>Ministry of Health</w:t>
      </w:r>
      <w:r w:rsidRPr="00236885">
        <w:t>)</w:t>
      </w:r>
      <w:r>
        <w:t>.</w:t>
      </w:r>
    </w:p>
    <w:p w14:paraId="4F664F8D" w14:textId="77777777" w:rsidR="00FA6A1F" w:rsidRPr="00236885" w:rsidRDefault="00FA6A1F" w:rsidP="003A45D7">
      <w:pPr>
        <w:pStyle w:val="Bullet"/>
      </w:pPr>
      <w:r w:rsidRPr="00236885">
        <w:t xml:space="preserve">Accelerate and spread the development of Pacific values-based </w:t>
      </w:r>
      <w:r>
        <w:t>gambling-</w:t>
      </w:r>
      <w:r w:rsidRPr="00236885">
        <w:t>harm prevention and minimisation services (</w:t>
      </w:r>
      <w:r w:rsidRPr="0003777A">
        <w:t>Ministry of Health</w:t>
      </w:r>
      <w:r w:rsidRPr="00236885">
        <w:t>)</w:t>
      </w:r>
      <w:r>
        <w:t>.</w:t>
      </w:r>
    </w:p>
    <w:p w14:paraId="4F664F8E" w14:textId="77777777" w:rsidR="003A45D7" w:rsidRDefault="003A45D7" w:rsidP="003A45D7">
      <w:pPr>
        <w:rPr>
          <w:lang w:eastAsia="en-NZ"/>
        </w:rPr>
      </w:pPr>
    </w:p>
    <w:p w14:paraId="4F664F8F" w14:textId="77777777" w:rsidR="00FA6A1F" w:rsidRPr="00236885" w:rsidRDefault="00FA6A1F" w:rsidP="003A45D7">
      <w:r w:rsidRPr="0003777A">
        <w:rPr>
          <w:lang w:eastAsia="en-NZ"/>
        </w:rPr>
        <w:t xml:space="preserve">The actions in this area align to the </w:t>
      </w:r>
      <w:r w:rsidRPr="0003777A">
        <w:rPr>
          <w:i/>
          <w:iCs/>
          <w:lang w:eastAsia="en-NZ"/>
        </w:rPr>
        <w:t>Hauora</w:t>
      </w:r>
      <w:r w:rsidRPr="0003777A" w:rsidDel="00986009">
        <w:rPr>
          <w:lang w:eastAsia="en-NZ"/>
        </w:rPr>
        <w:t xml:space="preserve"> </w:t>
      </w:r>
      <w:r w:rsidRPr="0003777A">
        <w:rPr>
          <w:lang w:eastAsia="en-NZ"/>
        </w:rPr>
        <w:t xml:space="preserve">principles of tino rangatiratanga, partnership, active protection, options and equity and enable them </w:t>
      </w:r>
      <w:r w:rsidRPr="0003777A">
        <w:t xml:space="preserve">to be realised in the prevention and minimisation of gambling harm. </w:t>
      </w:r>
      <w:r w:rsidRPr="0003777A">
        <w:rPr>
          <w:lang w:eastAsia="en-NZ"/>
        </w:rPr>
        <w:t xml:space="preserve">Key </w:t>
      </w:r>
      <w:r>
        <w:rPr>
          <w:lang w:eastAsia="en-NZ"/>
        </w:rPr>
        <w:t>strategy</w:t>
      </w:r>
      <w:r w:rsidRPr="0003777A">
        <w:rPr>
          <w:lang w:eastAsia="en-NZ"/>
        </w:rPr>
        <w:t xml:space="preserve"> principles that will be activated are</w:t>
      </w:r>
      <w:r>
        <w:rPr>
          <w:lang w:eastAsia="en-NZ"/>
        </w:rPr>
        <w:t xml:space="preserve"> upholding</w:t>
      </w:r>
      <w:r w:rsidRPr="0003777A">
        <w:rPr>
          <w:lang w:eastAsia="en-NZ"/>
        </w:rPr>
        <w:t xml:space="preserve"> </w:t>
      </w:r>
      <w:r w:rsidRPr="00236885">
        <w:t>Te Tiriti; equity; people and whānau at the centre; community focus; collaboration and innovation.</w:t>
      </w:r>
    </w:p>
    <w:p w14:paraId="4F664F90" w14:textId="77777777" w:rsidR="00FA6A1F" w:rsidRDefault="00FA6A1F" w:rsidP="00070816"/>
    <w:p w14:paraId="4F664F91" w14:textId="77777777" w:rsidR="00F10643" w:rsidRDefault="00F10643" w:rsidP="00070816">
      <w:pPr>
        <w:pStyle w:val="Figure"/>
        <w:sectPr w:rsidR="00F10643" w:rsidSect="002B7BEC">
          <w:footerReference w:type="even" r:id="rId35"/>
          <w:footerReference w:type="default" r:id="rId36"/>
          <w:pgSz w:w="11907" w:h="16834" w:code="9"/>
          <w:pgMar w:top="1418" w:right="1701" w:bottom="1134" w:left="1843" w:header="284" w:footer="425" w:gutter="284"/>
          <w:pgNumType w:start="1"/>
          <w:cols w:space="720"/>
          <w:docGrid w:linePitch="286"/>
        </w:sectPr>
      </w:pPr>
    </w:p>
    <w:p w14:paraId="4F664F92" w14:textId="491FDA85" w:rsidR="00FA6A1F" w:rsidRDefault="00070816" w:rsidP="005D5670">
      <w:pPr>
        <w:pStyle w:val="Figure"/>
        <w:spacing w:before="0"/>
      </w:pPr>
      <w:bookmarkStart w:id="85" w:name="_Ref80803188"/>
      <w:bookmarkStart w:id="86" w:name="_Toc80860343"/>
      <w:r>
        <w:lastRenderedPageBreak/>
        <w:t>Figure </w:t>
      </w:r>
      <w:fldSimple w:instr=" SEQ Figure \* ARABIC ">
        <w:r w:rsidR="00F65B3A">
          <w:rPr>
            <w:noProof/>
          </w:rPr>
          <w:t>2</w:t>
        </w:r>
      </w:fldSimple>
      <w:bookmarkEnd w:id="85"/>
      <w:r w:rsidR="00FA6A1F" w:rsidRPr="008810A4">
        <w:t xml:space="preserve">: Draft </w:t>
      </w:r>
      <w:r w:rsidR="00FA6A1F">
        <w:t>s</w:t>
      </w:r>
      <w:r w:rsidR="00FA6A1F" w:rsidRPr="008810A4">
        <w:t xml:space="preserve">trategic </w:t>
      </w:r>
      <w:r w:rsidR="00FA6A1F">
        <w:t>f</w:t>
      </w:r>
      <w:r w:rsidR="00FA6A1F" w:rsidRPr="008810A4">
        <w:t>ramework</w:t>
      </w:r>
      <w:bookmarkEnd w:id="86"/>
    </w:p>
    <w:tbl>
      <w:tblPr>
        <w:tblW w:w="14601" w:type="dxa"/>
        <w:tblInd w:w="57" w:type="dxa"/>
        <w:tblLayout w:type="fixed"/>
        <w:tblCellMar>
          <w:left w:w="57" w:type="dxa"/>
          <w:right w:w="57" w:type="dxa"/>
        </w:tblCellMar>
        <w:tblLook w:val="04A0" w:firstRow="1" w:lastRow="0" w:firstColumn="1" w:lastColumn="0" w:noHBand="0" w:noVBand="1"/>
      </w:tblPr>
      <w:tblGrid>
        <w:gridCol w:w="1985"/>
        <w:gridCol w:w="3154"/>
        <w:gridCol w:w="3154"/>
        <w:gridCol w:w="3154"/>
        <w:gridCol w:w="3154"/>
      </w:tblGrid>
      <w:tr w:rsidR="00FA6A1F" w:rsidRPr="00070816" w14:paraId="4F664F94" w14:textId="77777777" w:rsidTr="00F10643">
        <w:trPr>
          <w:cantSplit/>
        </w:trPr>
        <w:tc>
          <w:tcPr>
            <w:tcW w:w="14601" w:type="dxa"/>
            <w:gridSpan w:val="5"/>
            <w:shd w:val="clear" w:color="auto" w:fill="D9D9D9" w:themeFill="background1" w:themeFillShade="D9"/>
          </w:tcPr>
          <w:p w14:paraId="4F664F93" w14:textId="77777777" w:rsidR="00FA6A1F" w:rsidRPr="00070816" w:rsidRDefault="00FA6A1F" w:rsidP="005D5670">
            <w:pPr>
              <w:pStyle w:val="TableText"/>
              <w:jc w:val="center"/>
              <w:rPr>
                <w:b/>
              </w:rPr>
            </w:pPr>
            <w:r w:rsidRPr="00070816">
              <w:rPr>
                <w:b/>
              </w:rPr>
              <w:t>Population outcome: pae ora – healthy f</w:t>
            </w:r>
            <w:r w:rsidR="00070816" w:rsidRPr="00070816">
              <w:rPr>
                <w:b/>
              </w:rPr>
              <w:t>utures</w:t>
            </w:r>
          </w:p>
        </w:tc>
      </w:tr>
      <w:tr w:rsidR="00FA6A1F" w:rsidRPr="00070816" w14:paraId="4F664F96" w14:textId="77777777" w:rsidTr="00F10643">
        <w:trPr>
          <w:cantSplit/>
        </w:trPr>
        <w:tc>
          <w:tcPr>
            <w:tcW w:w="14601" w:type="dxa"/>
            <w:gridSpan w:val="5"/>
            <w:shd w:val="clear" w:color="auto" w:fill="D9D9D9" w:themeFill="background1" w:themeFillShade="D9"/>
          </w:tcPr>
          <w:p w14:paraId="4F664F95" w14:textId="77777777" w:rsidR="00FA6A1F" w:rsidRPr="00070816" w:rsidRDefault="00FA6A1F" w:rsidP="005D5670">
            <w:pPr>
              <w:pStyle w:val="TableText"/>
              <w:jc w:val="center"/>
              <w:rPr>
                <w:b/>
              </w:rPr>
            </w:pPr>
            <w:r w:rsidRPr="00070816">
              <w:rPr>
                <w:b/>
              </w:rPr>
              <w:t>Strategic goal:</w:t>
            </w:r>
            <w:r w:rsidR="00070816">
              <w:rPr>
                <w:b/>
              </w:rPr>
              <w:br/>
            </w:r>
            <w:r w:rsidRPr="00070816">
              <w:rPr>
                <w:b/>
              </w:rPr>
              <w:t>Promoting equity and wellbeing by preventing and reducing gambling-related harm</w:t>
            </w:r>
          </w:p>
        </w:tc>
      </w:tr>
      <w:tr w:rsidR="00FA6A1F" w:rsidRPr="00C84D9A" w14:paraId="4F664F99" w14:textId="77777777" w:rsidTr="00F10643">
        <w:trPr>
          <w:cantSplit/>
        </w:trPr>
        <w:tc>
          <w:tcPr>
            <w:tcW w:w="1985" w:type="dxa"/>
            <w:vMerge w:val="restart"/>
            <w:shd w:val="clear" w:color="auto" w:fill="F2F2F2" w:themeFill="background1" w:themeFillShade="F2"/>
          </w:tcPr>
          <w:p w14:paraId="4F664F97" w14:textId="77777777" w:rsidR="00FA6A1F" w:rsidRPr="00070816" w:rsidRDefault="00FA6A1F" w:rsidP="005D5670">
            <w:pPr>
              <w:pStyle w:val="TableText"/>
              <w:rPr>
                <w:b/>
              </w:rPr>
            </w:pPr>
            <w:r w:rsidRPr="00070816">
              <w:rPr>
                <w:b/>
              </w:rPr>
              <w:t>Focus areas</w:t>
            </w:r>
          </w:p>
        </w:tc>
        <w:tc>
          <w:tcPr>
            <w:tcW w:w="12616" w:type="dxa"/>
            <w:gridSpan w:val="4"/>
            <w:shd w:val="clear" w:color="auto" w:fill="F2F2F2" w:themeFill="background1" w:themeFillShade="F2"/>
          </w:tcPr>
          <w:p w14:paraId="4F664F98" w14:textId="77777777" w:rsidR="00FA6A1F" w:rsidRPr="00070816" w:rsidRDefault="00FA6A1F" w:rsidP="005D5670">
            <w:pPr>
              <w:pStyle w:val="TableText"/>
              <w:spacing w:after="30"/>
              <w:jc w:val="center"/>
              <w:rPr>
                <w:b/>
              </w:rPr>
            </w:pPr>
            <w:r w:rsidRPr="00070816">
              <w:rPr>
                <w:b/>
                <w:i/>
                <w:iCs/>
              </w:rPr>
              <w:t>Whakamaua</w:t>
            </w:r>
            <w:r w:rsidRPr="00070816">
              <w:rPr>
                <w:b/>
              </w:rPr>
              <w:t xml:space="preserve"> outcomes</w:t>
            </w:r>
          </w:p>
        </w:tc>
      </w:tr>
      <w:tr w:rsidR="00FA6A1F" w:rsidRPr="00F44432" w14:paraId="4F664F9F" w14:textId="77777777" w:rsidTr="005D5670">
        <w:trPr>
          <w:cantSplit/>
        </w:trPr>
        <w:tc>
          <w:tcPr>
            <w:tcW w:w="1985" w:type="dxa"/>
            <w:vMerge/>
            <w:tcBorders>
              <w:right w:val="single" w:sz="4" w:space="0" w:color="A6A6A6" w:themeColor="background1" w:themeShade="A6"/>
            </w:tcBorders>
          </w:tcPr>
          <w:p w14:paraId="4F664F9A" w14:textId="77777777" w:rsidR="00FA6A1F" w:rsidRPr="00F44432" w:rsidRDefault="00FA6A1F" w:rsidP="00070816">
            <w:pPr>
              <w:pStyle w:val="TableText"/>
            </w:pPr>
          </w:p>
        </w:tc>
        <w:tc>
          <w:tcPr>
            <w:tcW w:w="3154" w:type="dxa"/>
            <w:tcBorders>
              <w:left w:val="single" w:sz="4" w:space="0" w:color="A6A6A6" w:themeColor="background1" w:themeShade="A6"/>
              <w:right w:val="single" w:sz="4" w:space="0" w:color="A6A6A6" w:themeColor="background1" w:themeShade="A6"/>
            </w:tcBorders>
            <w:shd w:val="clear" w:color="auto" w:fill="F2F2F2" w:themeFill="background1" w:themeFillShade="F2"/>
          </w:tcPr>
          <w:p w14:paraId="4F664F9B" w14:textId="77777777" w:rsidR="00FA6A1F" w:rsidRPr="00927967" w:rsidRDefault="00FA6A1F" w:rsidP="00F10643">
            <w:pPr>
              <w:pStyle w:val="TableText"/>
              <w:spacing w:before="30"/>
              <w:jc w:val="center"/>
              <w:rPr>
                <w:color w:val="000000"/>
              </w:rPr>
            </w:pPr>
            <w:r w:rsidRPr="00927967">
              <w:rPr>
                <w:color w:val="000000"/>
              </w:rPr>
              <w:t>[Iwi, hapū, whānau and Māori] Communities can exercise their authority to imp</w:t>
            </w:r>
            <w:r w:rsidR="00070816">
              <w:rPr>
                <w:color w:val="000000"/>
              </w:rPr>
              <w:t>rove their health and wellbeing</w:t>
            </w:r>
          </w:p>
        </w:tc>
        <w:tc>
          <w:tcPr>
            <w:tcW w:w="3154" w:type="dxa"/>
            <w:tcBorders>
              <w:left w:val="single" w:sz="4" w:space="0" w:color="A6A6A6" w:themeColor="background1" w:themeShade="A6"/>
              <w:right w:val="single" w:sz="4" w:space="0" w:color="A6A6A6" w:themeColor="background1" w:themeShade="A6"/>
            </w:tcBorders>
            <w:shd w:val="clear" w:color="auto" w:fill="F2F2F2" w:themeFill="background1" w:themeFillShade="F2"/>
          </w:tcPr>
          <w:p w14:paraId="4F664F9C" w14:textId="77777777" w:rsidR="00FA6A1F" w:rsidRPr="00F44432" w:rsidRDefault="00FA6A1F" w:rsidP="00F10643">
            <w:pPr>
              <w:pStyle w:val="TableText"/>
              <w:spacing w:before="30"/>
              <w:jc w:val="center"/>
            </w:pPr>
            <w:r w:rsidRPr="00927967">
              <w:rPr>
                <w:color w:val="000000"/>
              </w:rPr>
              <w:t>The health and disability and wider system is fair and sustainable and delivers more equitable out</w:t>
            </w:r>
            <w:r w:rsidR="00070816">
              <w:rPr>
                <w:color w:val="000000"/>
              </w:rPr>
              <w:t>comes</w:t>
            </w:r>
          </w:p>
        </w:tc>
        <w:tc>
          <w:tcPr>
            <w:tcW w:w="3154" w:type="dxa"/>
            <w:tcBorders>
              <w:left w:val="single" w:sz="4" w:space="0" w:color="A6A6A6" w:themeColor="background1" w:themeShade="A6"/>
              <w:right w:val="single" w:sz="4" w:space="0" w:color="A6A6A6" w:themeColor="background1" w:themeShade="A6"/>
            </w:tcBorders>
            <w:shd w:val="clear" w:color="auto" w:fill="F2F2F2" w:themeFill="background1" w:themeFillShade="F2"/>
          </w:tcPr>
          <w:p w14:paraId="4F664F9D" w14:textId="77777777" w:rsidR="00FA6A1F" w:rsidRPr="00F44432" w:rsidRDefault="00FA6A1F" w:rsidP="00F10643">
            <w:pPr>
              <w:pStyle w:val="TableText"/>
              <w:spacing w:before="30"/>
              <w:jc w:val="center"/>
            </w:pPr>
            <w:r w:rsidRPr="00927967">
              <w:rPr>
                <w:color w:val="000000"/>
              </w:rPr>
              <w:t>The health and disability and wider system addresses racism and discrimination in all its forms</w:t>
            </w:r>
          </w:p>
        </w:tc>
        <w:tc>
          <w:tcPr>
            <w:tcW w:w="3154" w:type="dxa"/>
            <w:tcBorders>
              <w:left w:val="single" w:sz="4" w:space="0" w:color="A6A6A6" w:themeColor="background1" w:themeShade="A6"/>
            </w:tcBorders>
            <w:shd w:val="clear" w:color="auto" w:fill="F2F2F2" w:themeFill="background1" w:themeFillShade="F2"/>
          </w:tcPr>
          <w:p w14:paraId="4F664F9E" w14:textId="77777777" w:rsidR="00FA6A1F" w:rsidRPr="00F44432" w:rsidRDefault="00FA6A1F" w:rsidP="00F10643">
            <w:pPr>
              <w:pStyle w:val="TableText"/>
              <w:spacing w:before="30"/>
              <w:jc w:val="center"/>
            </w:pPr>
            <w:r w:rsidRPr="00927967">
              <w:rPr>
                <w:color w:val="000000"/>
              </w:rPr>
              <w:t>The inclusion and protection of mātauranga Māori throughout the health and disability system</w:t>
            </w:r>
          </w:p>
        </w:tc>
      </w:tr>
      <w:tr w:rsidR="00F10643" w:rsidRPr="00C84D9A" w14:paraId="4F664FA3" w14:textId="77777777" w:rsidTr="004F08FD">
        <w:trPr>
          <w:cantSplit/>
        </w:trPr>
        <w:tc>
          <w:tcPr>
            <w:tcW w:w="1985" w:type="dxa"/>
            <w:vMerge w:val="restart"/>
            <w:tcBorders>
              <w:right w:val="single" w:sz="4" w:space="0" w:color="A6A6A6" w:themeColor="background1" w:themeShade="A6"/>
            </w:tcBorders>
            <w:vAlign w:val="center"/>
          </w:tcPr>
          <w:p w14:paraId="4F664FA0" w14:textId="77777777" w:rsidR="00F10643" w:rsidRPr="00927967" w:rsidRDefault="00F10643" w:rsidP="005D5670">
            <w:pPr>
              <w:pStyle w:val="TableText"/>
            </w:pPr>
            <w:r w:rsidRPr="00927967">
              <w:t>Create a full spectrum of services and supports</w:t>
            </w:r>
          </w:p>
        </w:tc>
        <w:tc>
          <w:tcPr>
            <w:tcW w:w="9462" w:type="dxa"/>
            <w:gridSpan w:val="3"/>
            <w:tcBorders>
              <w:left w:val="single" w:sz="4" w:space="0" w:color="A6A6A6" w:themeColor="background1" w:themeShade="A6"/>
              <w:bottom w:val="single" w:sz="4" w:space="0" w:color="FFFFFF" w:themeColor="background1"/>
              <w:right w:val="single" w:sz="4" w:space="0" w:color="009CDE"/>
            </w:tcBorders>
            <w:shd w:val="clear" w:color="auto" w:fill="009CDE"/>
          </w:tcPr>
          <w:p w14:paraId="4F664FA1" w14:textId="77777777" w:rsidR="00F10643" w:rsidRPr="00F10643" w:rsidRDefault="00F10643" w:rsidP="00F10643">
            <w:pPr>
              <w:pStyle w:val="TableText"/>
              <w:jc w:val="center"/>
              <w:rPr>
                <w:color w:val="FFFFFF" w:themeColor="background1"/>
              </w:rPr>
            </w:pPr>
            <w:r w:rsidRPr="00F10643">
              <w:rPr>
                <w:color w:val="FFFFFF" w:themeColor="background1"/>
              </w:rPr>
              <w:t>Design and deliver quality gambling-harm minimisation services and supports</w:t>
            </w:r>
          </w:p>
        </w:tc>
        <w:tc>
          <w:tcPr>
            <w:tcW w:w="3154" w:type="dxa"/>
            <w:tcBorders>
              <w:left w:val="single" w:sz="4" w:space="0" w:color="009CDE"/>
              <w:bottom w:val="single" w:sz="4" w:space="0" w:color="FFFFFF" w:themeColor="background1"/>
            </w:tcBorders>
            <w:shd w:val="clear" w:color="auto" w:fill="auto"/>
          </w:tcPr>
          <w:p w14:paraId="4F664FA2" w14:textId="77777777" w:rsidR="00F10643" w:rsidRPr="00F10643" w:rsidRDefault="00F10643" w:rsidP="00F10643">
            <w:pPr>
              <w:pStyle w:val="TableText"/>
              <w:jc w:val="center"/>
            </w:pPr>
          </w:p>
        </w:tc>
      </w:tr>
      <w:tr w:rsidR="00FA6A1F" w:rsidRPr="00C84D9A" w14:paraId="4F664FA6" w14:textId="77777777" w:rsidTr="004F08FD">
        <w:trPr>
          <w:cantSplit/>
        </w:trPr>
        <w:tc>
          <w:tcPr>
            <w:tcW w:w="1985" w:type="dxa"/>
            <w:vMerge/>
            <w:tcBorders>
              <w:right w:val="single" w:sz="4" w:space="0" w:color="A6A6A6" w:themeColor="background1" w:themeShade="A6"/>
            </w:tcBorders>
            <w:vAlign w:val="center"/>
          </w:tcPr>
          <w:p w14:paraId="4F664FA4" w14:textId="77777777" w:rsidR="00FA6A1F" w:rsidRPr="00927967" w:rsidRDefault="00FA6A1F" w:rsidP="005D5670">
            <w:pPr>
              <w:pStyle w:val="TableText"/>
            </w:pPr>
          </w:p>
        </w:tc>
        <w:tc>
          <w:tcPr>
            <w:tcW w:w="12616" w:type="dxa"/>
            <w:gridSpan w:val="4"/>
            <w:tcBorders>
              <w:top w:val="single" w:sz="4" w:space="0" w:color="FFFFFF" w:themeColor="background1"/>
              <w:left w:val="single" w:sz="4" w:space="0" w:color="A6A6A6" w:themeColor="background1" w:themeShade="A6"/>
              <w:bottom w:val="single" w:sz="4" w:space="0" w:color="FFFFFF" w:themeColor="background1"/>
            </w:tcBorders>
            <w:shd w:val="clear" w:color="auto" w:fill="009CDE"/>
          </w:tcPr>
          <w:p w14:paraId="4F664FA5" w14:textId="77777777" w:rsidR="00FA6A1F" w:rsidRPr="00F10643" w:rsidRDefault="00FA6A1F" w:rsidP="00F10643">
            <w:pPr>
              <w:pStyle w:val="TableText"/>
              <w:jc w:val="center"/>
              <w:rPr>
                <w:color w:val="FFFFFF" w:themeColor="background1"/>
              </w:rPr>
            </w:pPr>
            <w:r w:rsidRPr="00F10643">
              <w:rPr>
                <w:color w:val="FFFFFF" w:themeColor="background1"/>
              </w:rPr>
              <w:t>Accelerate and spread the development of kaupapa Māori and gambling-harm prevention and minimisation services centred around the whānau</w:t>
            </w:r>
          </w:p>
        </w:tc>
      </w:tr>
      <w:tr w:rsidR="00F10643" w:rsidRPr="00C84D9A" w14:paraId="4F664FAA" w14:textId="77777777" w:rsidTr="004F08FD">
        <w:trPr>
          <w:cantSplit/>
        </w:trPr>
        <w:tc>
          <w:tcPr>
            <w:tcW w:w="1985" w:type="dxa"/>
            <w:vMerge/>
            <w:tcBorders>
              <w:bottom w:val="single" w:sz="4" w:space="0" w:color="A6A6A6" w:themeColor="background1" w:themeShade="A6"/>
              <w:right w:val="single" w:sz="4" w:space="0" w:color="A6A6A6" w:themeColor="background1" w:themeShade="A6"/>
            </w:tcBorders>
            <w:vAlign w:val="center"/>
          </w:tcPr>
          <w:p w14:paraId="4F664FA7" w14:textId="77777777" w:rsidR="00F10643" w:rsidRPr="00927967" w:rsidRDefault="00F10643" w:rsidP="005D5670">
            <w:pPr>
              <w:pStyle w:val="TableText"/>
            </w:pPr>
          </w:p>
        </w:tc>
        <w:tc>
          <w:tcPr>
            <w:tcW w:w="9462" w:type="dxa"/>
            <w:gridSpan w:val="3"/>
            <w:tcBorders>
              <w:top w:val="single" w:sz="4" w:space="0" w:color="FFFFFF" w:themeColor="background1"/>
              <w:left w:val="single" w:sz="4" w:space="0" w:color="A6A6A6" w:themeColor="background1" w:themeShade="A6"/>
            </w:tcBorders>
            <w:shd w:val="clear" w:color="auto" w:fill="009CDE"/>
          </w:tcPr>
          <w:p w14:paraId="4F664FA8" w14:textId="77777777" w:rsidR="00F10643" w:rsidRPr="00F10643" w:rsidRDefault="00F10643" w:rsidP="00F10643">
            <w:pPr>
              <w:pStyle w:val="TableText"/>
              <w:jc w:val="center"/>
              <w:rPr>
                <w:color w:val="FFFFFF" w:themeColor="background1"/>
              </w:rPr>
            </w:pPr>
            <w:r w:rsidRPr="00F10643">
              <w:rPr>
                <w:color w:val="FFFFFF" w:themeColor="background1"/>
              </w:rPr>
              <w:t>Accelerate and spread the development of Pacific values-based gambling-harm prevention and minimisation services</w:t>
            </w:r>
          </w:p>
        </w:tc>
        <w:tc>
          <w:tcPr>
            <w:tcW w:w="3154" w:type="dxa"/>
            <w:tcBorders>
              <w:top w:val="single" w:sz="4" w:space="0" w:color="FFFFFF" w:themeColor="background1"/>
              <w:left w:val="single" w:sz="4" w:space="0" w:color="A6A6A6" w:themeColor="background1" w:themeShade="A6"/>
              <w:bottom w:val="single" w:sz="4" w:space="0" w:color="A6A6A6" w:themeColor="background1" w:themeShade="A6"/>
            </w:tcBorders>
            <w:shd w:val="clear" w:color="auto" w:fill="auto"/>
          </w:tcPr>
          <w:p w14:paraId="4F664FA9" w14:textId="77777777" w:rsidR="00F10643" w:rsidRPr="00F10643" w:rsidRDefault="00F10643" w:rsidP="00F10643">
            <w:pPr>
              <w:pStyle w:val="TableText"/>
              <w:jc w:val="center"/>
            </w:pPr>
          </w:p>
        </w:tc>
      </w:tr>
      <w:tr w:rsidR="00F10643" w:rsidRPr="00C84D9A" w14:paraId="4F664FAF" w14:textId="77777777" w:rsidTr="005D5670">
        <w:trPr>
          <w:cantSplit/>
        </w:trPr>
        <w:tc>
          <w:tcPr>
            <w:tcW w:w="1985" w:type="dxa"/>
            <w:vMerge w:val="restart"/>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664FAB" w14:textId="77777777" w:rsidR="00F10643" w:rsidRPr="00927967" w:rsidRDefault="00F10643" w:rsidP="00070AD9">
            <w:pPr>
              <w:pStyle w:val="TableText"/>
              <w:ind w:right="113"/>
            </w:pPr>
            <w:r w:rsidRPr="00927967">
              <w:t>Shift cultural and social norms</w:t>
            </w:r>
          </w:p>
        </w:tc>
        <w:tc>
          <w:tcPr>
            <w:tcW w:w="3154" w:type="dxa"/>
            <w:tcBorders>
              <w:left w:val="single" w:sz="4" w:space="0" w:color="A6A6A6" w:themeColor="background1" w:themeShade="A6"/>
              <w:right w:val="single" w:sz="4" w:space="0" w:color="84A113"/>
            </w:tcBorders>
            <w:shd w:val="clear" w:color="auto" w:fill="auto"/>
          </w:tcPr>
          <w:p w14:paraId="4F664FAC" w14:textId="77777777" w:rsidR="00F10643" w:rsidRPr="00F10643" w:rsidRDefault="00F10643" w:rsidP="00F10643">
            <w:pPr>
              <w:pStyle w:val="TableText"/>
              <w:jc w:val="center"/>
            </w:pPr>
          </w:p>
        </w:tc>
        <w:tc>
          <w:tcPr>
            <w:tcW w:w="6308" w:type="dxa"/>
            <w:gridSpan w:val="2"/>
            <w:tcBorders>
              <w:left w:val="single" w:sz="4" w:space="0" w:color="84A113"/>
              <w:right w:val="single" w:sz="4" w:space="0" w:color="84A113"/>
            </w:tcBorders>
            <w:shd w:val="clear" w:color="auto" w:fill="84A113"/>
          </w:tcPr>
          <w:p w14:paraId="4F664FAD" w14:textId="77777777" w:rsidR="00F10643" w:rsidRPr="00F10643" w:rsidRDefault="00F10643" w:rsidP="00F10643">
            <w:pPr>
              <w:pStyle w:val="TableText"/>
              <w:jc w:val="center"/>
              <w:rPr>
                <w:color w:val="FFFFFF" w:themeColor="background1"/>
              </w:rPr>
            </w:pPr>
            <w:r w:rsidRPr="00F10643">
              <w:rPr>
                <w:color w:val="FFFFFF" w:themeColor="background1"/>
              </w:rPr>
              <w:t>Reduce the stigma attached to gambling harm that prevents people from accessing services and supports</w:t>
            </w:r>
          </w:p>
        </w:tc>
        <w:tc>
          <w:tcPr>
            <w:tcW w:w="3154" w:type="dxa"/>
            <w:tcBorders>
              <w:top w:val="single" w:sz="4" w:space="0" w:color="A6A6A6" w:themeColor="background1" w:themeShade="A6"/>
              <w:left w:val="single" w:sz="4" w:space="0" w:color="84A113"/>
            </w:tcBorders>
            <w:shd w:val="clear" w:color="auto" w:fill="auto"/>
          </w:tcPr>
          <w:p w14:paraId="4F664FAE" w14:textId="77777777" w:rsidR="00F10643" w:rsidRPr="00F10643" w:rsidRDefault="00F10643" w:rsidP="00F10643">
            <w:pPr>
              <w:pStyle w:val="TableText"/>
              <w:jc w:val="center"/>
            </w:pPr>
          </w:p>
        </w:tc>
      </w:tr>
      <w:tr w:rsidR="00FA6A1F" w:rsidRPr="00C84D9A" w14:paraId="4F664FB2" w14:textId="77777777" w:rsidTr="005D5670">
        <w:trPr>
          <w:cantSplit/>
        </w:trPr>
        <w:tc>
          <w:tcPr>
            <w:tcW w:w="1985" w:type="dxa"/>
            <w:vMerge/>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664FB0" w14:textId="77777777" w:rsidR="00FA6A1F" w:rsidRPr="00B3745E" w:rsidRDefault="00FA6A1F" w:rsidP="005D5670">
            <w:pPr>
              <w:pStyle w:val="TableText"/>
              <w:rPr>
                <w:i/>
                <w:iCs/>
              </w:rPr>
            </w:pPr>
          </w:p>
        </w:tc>
        <w:tc>
          <w:tcPr>
            <w:tcW w:w="12616" w:type="dxa"/>
            <w:gridSpan w:val="4"/>
            <w:tcBorders>
              <w:left w:val="single" w:sz="4" w:space="0" w:color="A6A6A6" w:themeColor="background1" w:themeShade="A6"/>
            </w:tcBorders>
            <w:shd w:val="clear" w:color="auto" w:fill="FAB900"/>
          </w:tcPr>
          <w:p w14:paraId="4F664FB1" w14:textId="77777777" w:rsidR="00FA6A1F" w:rsidRPr="00F10643" w:rsidRDefault="00FA6A1F" w:rsidP="00F10643">
            <w:pPr>
              <w:pStyle w:val="TableText"/>
              <w:jc w:val="center"/>
            </w:pPr>
            <w:r w:rsidRPr="00F10643">
              <w:t>Ensure equitable participation in community decision-making</w:t>
            </w:r>
          </w:p>
        </w:tc>
      </w:tr>
      <w:tr w:rsidR="00F10643" w:rsidRPr="00C84D9A" w14:paraId="4F664FB6" w14:textId="77777777" w:rsidTr="005D5670">
        <w:trPr>
          <w:cantSplit/>
        </w:trPr>
        <w:tc>
          <w:tcPr>
            <w:tcW w:w="1985" w:type="dxa"/>
            <w:vMerge/>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664FB3" w14:textId="77777777" w:rsidR="00F10643" w:rsidRPr="00B3745E" w:rsidRDefault="00F10643" w:rsidP="005D5670">
            <w:pPr>
              <w:pStyle w:val="TableText"/>
              <w:rPr>
                <w:i/>
                <w:iCs/>
              </w:rPr>
            </w:pPr>
          </w:p>
        </w:tc>
        <w:tc>
          <w:tcPr>
            <w:tcW w:w="3154" w:type="dxa"/>
            <w:tcBorders>
              <w:left w:val="single" w:sz="4" w:space="0" w:color="A6A6A6" w:themeColor="background1" w:themeShade="A6"/>
              <w:bottom w:val="single" w:sz="4" w:space="0" w:color="A6A6A6" w:themeColor="background1" w:themeShade="A6"/>
              <w:right w:val="single" w:sz="4" w:space="0" w:color="009CDE"/>
            </w:tcBorders>
            <w:shd w:val="clear" w:color="auto" w:fill="auto"/>
          </w:tcPr>
          <w:p w14:paraId="4F664FB4" w14:textId="77777777" w:rsidR="00F10643" w:rsidRPr="00F10643" w:rsidRDefault="00F10643" w:rsidP="00F10643">
            <w:pPr>
              <w:pStyle w:val="TableText"/>
              <w:jc w:val="center"/>
            </w:pPr>
          </w:p>
        </w:tc>
        <w:tc>
          <w:tcPr>
            <w:tcW w:w="9462" w:type="dxa"/>
            <w:gridSpan w:val="3"/>
            <w:tcBorders>
              <w:left w:val="single" w:sz="4" w:space="0" w:color="009CDE"/>
            </w:tcBorders>
            <w:shd w:val="clear" w:color="auto" w:fill="009CDE"/>
          </w:tcPr>
          <w:p w14:paraId="4F664FB5" w14:textId="77777777" w:rsidR="00F10643" w:rsidRPr="00F10643" w:rsidRDefault="00F10643" w:rsidP="00F10643">
            <w:pPr>
              <w:pStyle w:val="TableText"/>
              <w:jc w:val="center"/>
              <w:rPr>
                <w:color w:val="FFFFFF" w:themeColor="background1"/>
              </w:rPr>
            </w:pPr>
            <w:r w:rsidRPr="00F10643">
              <w:rPr>
                <w:color w:val="FFFFFF" w:themeColor="background1"/>
              </w:rPr>
              <w:t>Develop a skilled, enabled and culturally responsive</w:t>
            </w:r>
            <w:r w:rsidRPr="00F10643">
              <w:rPr>
                <w:rFonts w:ascii="Calibri Light" w:hAnsi="Calibri Light" w:cs="Calibri Light"/>
                <w:color w:val="FFFFFF" w:themeColor="background1"/>
              </w:rPr>
              <w:t xml:space="preserve"> </w:t>
            </w:r>
            <w:r w:rsidRPr="00F10643">
              <w:rPr>
                <w:color w:val="FFFFFF" w:themeColor="background1"/>
              </w:rPr>
              <w:t>workforce</w:t>
            </w:r>
          </w:p>
        </w:tc>
      </w:tr>
      <w:tr w:rsidR="00F10643" w:rsidRPr="00C84D9A" w14:paraId="4F664FBB" w14:textId="77777777" w:rsidTr="005D5670">
        <w:trPr>
          <w:cantSplit/>
        </w:trPr>
        <w:tc>
          <w:tcPr>
            <w:tcW w:w="1985" w:type="dxa"/>
            <w:vMerge/>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664FB7" w14:textId="77777777" w:rsidR="00F10643" w:rsidRPr="00B3745E" w:rsidRDefault="00F10643" w:rsidP="005D5670">
            <w:pPr>
              <w:pStyle w:val="TableText"/>
              <w:rPr>
                <w:i/>
                <w:iCs/>
              </w:rPr>
            </w:pPr>
          </w:p>
        </w:tc>
        <w:tc>
          <w:tcPr>
            <w:tcW w:w="3154" w:type="dxa"/>
            <w:tcBorders>
              <w:top w:val="single" w:sz="4" w:space="0" w:color="A6A6A6" w:themeColor="background1" w:themeShade="A6"/>
              <w:left w:val="single" w:sz="4" w:space="0" w:color="A6A6A6" w:themeColor="background1" w:themeShade="A6"/>
              <w:right w:val="single" w:sz="4" w:space="0" w:color="FAB900"/>
            </w:tcBorders>
            <w:shd w:val="clear" w:color="auto" w:fill="auto"/>
          </w:tcPr>
          <w:p w14:paraId="4F664FB8" w14:textId="77777777" w:rsidR="00F10643" w:rsidRPr="00F10643" w:rsidRDefault="00F10643" w:rsidP="00F10643">
            <w:pPr>
              <w:pStyle w:val="TableText"/>
              <w:jc w:val="center"/>
            </w:pPr>
          </w:p>
        </w:tc>
        <w:tc>
          <w:tcPr>
            <w:tcW w:w="6308" w:type="dxa"/>
            <w:gridSpan w:val="2"/>
            <w:tcBorders>
              <w:left w:val="single" w:sz="4" w:space="0" w:color="FAB900"/>
              <w:right w:val="single" w:sz="4" w:space="0" w:color="FAB900"/>
            </w:tcBorders>
            <w:shd w:val="clear" w:color="auto" w:fill="FAB900"/>
          </w:tcPr>
          <w:p w14:paraId="4F664FB9" w14:textId="77777777" w:rsidR="00F10643" w:rsidRPr="00F10643" w:rsidRDefault="00F10643" w:rsidP="00F10643">
            <w:pPr>
              <w:pStyle w:val="TableText"/>
              <w:jc w:val="center"/>
            </w:pPr>
            <w:r w:rsidRPr="00F10643">
              <w:t>Support healthy policies at national, regional and local levels that prevent and minimise gambling harm</w:t>
            </w:r>
          </w:p>
        </w:tc>
        <w:tc>
          <w:tcPr>
            <w:tcW w:w="3154" w:type="dxa"/>
            <w:tcBorders>
              <w:left w:val="single" w:sz="4" w:space="0" w:color="FAB900"/>
              <w:bottom w:val="single" w:sz="4" w:space="0" w:color="A6A6A6" w:themeColor="background1" w:themeShade="A6"/>
            </w:tcBorders>
            <w:shd w:val="clear" w:color="auto" w:fill="auto"/>
          </w:tcPr>
          <w:p w14:paraId="4F664FBA" w14:textId="77777777" w:rsidR="00F10643" w:rsidRPr="00F10643" w:rsidRDefault="00F10643" w:rsidP="00F10643">
            <w:pPr>
              <w:pStyle w:val="TableText"/>
              <w:jc w:val="center"/>
            </w:pPr>
          </w:p>
        </w:tc>
      </w:tr>
      <w:tr w:rsidR="005D5670" w:rsidRPr="00C84D9A" w14:paraId="4F664FC0" w14:textId="77777777" w:rsidTr="005D5670">
        <w:trPr>
          <w:cantSplit/>
        </w:trPr>
        <w:tc>
          <w:tcPr>
            <w:tcW w:w="1985"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664FBC" w14:textId="77777777" w:rsidR="005D5670" w:rsidRPr="00927967" w:rsidRDefault="005D5670" w:rsidP="005D5670">
            <w:pPr>
              <w:pStyle w:val="TableText"/>
            </w:pPr>
            <w:r w:rsidRPr="00927967">
              <w:t>Strengthen leadership and accountability</w:t>
            </w:r>
            <w:r>
              <w:t xml:space="preserve"> to achieve equity</w:t>
            </w:r>
          </w:p>
        </w:tc>
        <w:tc>
          <w:tcPr>
            <w:tcW w:w="3154" w:type="dxa"/>
            <w:tcBorders>
              <w:left w:val="single" w:sz="4" w:space="0" w:color="A6A6A6" w:themeColor="background1" w:themeShade="A6"/>
              <w:right w:val="single" w:sz="4" w:space="0" w:color="FFFFFF" w:themeColor="background1"/>
            </w:tcBorders>
            <w:shd w:val="clear" w:color="auto" w:fill="F18700"/>
          </w:tcPr>
          <w:p w14:paraId="4F664FBD" w14:textId="77777777" w:rsidR="005D5670" w:rsidRPr="005D5670" w:rsidRDefault="005D5670" w:rsidP="00F10643">
            <w:pPr>
              <w:pStyle w:val="TableText"/>
              <w:jc w:val="center"/>
              <w:rPr>
                <w:color w:val="FFFFFF" w:themeColor="background1"/>
              </w:rPr>
            </w:pPr>
            <w:r w:rsidRPr="005D5670">
              <w:rPr>
                <w:color w:val="FFFFFF" w:themeColor="background1"/>
              </w:rPr>
              <w:t>Identify improvements to the legislative and regulatory framework to reduce gambling-related harm</w:t>
            </w:r>
          </w:p>
        </w:tc>
        <w:tc>
          <w:tcPr>
            <w:tcW w:w="6308" w:type="dxa"/>
            <w:gridSpan w:val="2"/>
            <w:tcBorders>
              <w:left w:val="single" w:sz="4" w:space="0" w:color="FFFFFF" w:themeColor="background1"/>
            </w:tcBorders>
            <w:shd w:val="clear" w:color="auto" w:fill="F18700"/>
          </w:tcPr>
          <w:p w14:paraId="4F664FBE" w14:textId="77777777" w:rsidR="005D5670" w:rsidRPr="005D5670" w:rsidRDefault="005D5670" w:rsidP="00F10643">
            <w:pPr>
              <w:pStyle w:val="TableText"/>
              <w:jc w:val="center"/>
              <w:rPr>
                <w:color w:val="FFFFFF" w:themeColor="background1"/>
              </w:rPr>
            </w:pPr>
            <w:r w:rsidRPr="005D5670">
              <w:rPr>
                <w:color w:val="FFFFFF" w:themeColor="background1"/>
              </w:rPr>
              <w:t>Ensure gambling operators are meeting their obligations to effectively prevent and minimise harm from gambling and support the improvement of harm minimisation practices</w:t>
            </w:r>
          </w:p>
        </w:tc>
        <w:tc>
          <w:tcPr>
            <w:tcW w:w="3154" w:type="dxa"/>
            <w:tcBorders>
              <w:top w:val="single" w:sz="4" w:space="0" w:color="A6A6A6" w:themeColor="background1" w:themeShade="A6"/>
            </w:tcBorders>
            <w:shd w:val="clear" w:color="auto" w:fill="auto"/>
          </w:tcPr>
          <w:p w14:paraId="4F664FBF" w14:textId="77777777" w:rsidR="005D5670" w:rsidRPr="00F10643" w:rsidRDefault="005D5670" w:rsidP="00F10643">
            <w:pPr>
              <w:pStyle w:val="TableText"/>
              <w:jc w:val="center"/>
            </w:pPr>
          </w:p>
        </w:tc>
      </w:tr>
      <w:tr w:rsidR="00FA6A1F" w:rsidRPr="00C84D9A" w14:paraId="4F664FC3" w14:textId="77777777" w:rsidTr="005D5670">
        <w:trPr>
          <w:cantSplit/>
        </w:trPr>
        <w:tc>
          <w:tcPr>
            <w:tcW w:w="1985" w:type="dxa"/>
            <w:vMerge w:val="restart"/>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664FC1" w14:textId="77777777" w:rsidR="00FA6A1F" w:rsidRPr="00927967" w:rsidRDefault="00FA6A1F" w:rsidP="005D5670">
            <w:pPr>
              <w:pStyle w:val="TableText"/>
            </w:pPr>
            <w:r>
              <w:t>Strengthen the health and</w:t>
            </w:r>
            <w:r w:rsidRPr="00927967">
              <w:t xml:space="preserve"> health </w:t>
            </w:r>
            <w:r>
              <w:t>equity of</w:t>
            </w:r>
            <w:r w:rsidRPr="00927967">
              <w:t xml:space="preserve"> Māori, Pacific</w:t>
            </w:r>
            <w:r>
              <w:t xml:space="preserve"> peoples, </w:t>
            </w:r>
            <w:r w:rsidRPr="00927967">
              <w:t xml:space="preserve">Asian </w:t>
            </w:r>
            <w:r>
              <w:t xml:space="preserve">peoples </w:t>
            </w:r>
            <w:r w:rsidRPr="00927967">
              <w:t>and young people</w:t>
            </w:r>
            <w:r>
              <w:t xml:space="preserve"> / rangatahi</w:t>
            </w:r>
          </w:p>
        </w:tc>
        <w:tc>
          <w:tcPr>
            <w:tcW w:w="12616" w:type="dxa"/>
            <w:gridSpan w:val="4"/>
            <w:tcBorders>
              <w:left w:val="single" w:sz="4" w:space="0" w:color="A6A6A6" w:themeColor="background1" w:themeShade="A6"/>
            </w:tcBorders>
            <w:shd w:val="clear" w:color="auto" w:fill="009CDE"/>
          </w:tcPr>
          <w:p w14:paraId="4F664FC2" w14:textId="77777777" w:rsidR="00FA6A1F" w:rsidRPr="005D5670" w:rsidRDefault="00FA6A1F" w:rsidP="00F10643">
            <w:pPr>
              <w:pStyle w:val="TableText"/>
              <w:jc w:val="center"/>
              <w:rPr>
                <w:color w:val="FFFFFF" w:themeColor="background1"/>
              </w:rPr>
            </w:pPr>
            <w:r w:rsidRPr="005D5670">
              <w:rPr>
                <w:color w:val="FFFFFF" w:themeColor="background1"/>
              </w:rPr>
              <w:t>Collaborate and co-design with iwi and other Māori organisations; Pacific and Asian communities; young people / rangatahi; and people with lived experience of gambling harm to prevent and minimise gambling harm</w:t>
            </w:r>
          </w:p>
        </w:tc>
      </w:tr>
      <w:tr w:rsidR="005D5670" w:rsidRPr="00C84D9A" w14:paraId="4F664FC8" w14:textId="77777777" w:rsidTr="005D5670">
        <w:trPr>
          <w:cantSplit/>
        </w:trPr>
        <w:tc>
          <w:tcPr>
            <w:tcW w:w="1985" w:type="dxa"/>
            <w:vMerge/>
            <w:tcBorders>
              <w:bottom w:val="single" w:sz="4" w:space="0" w:color="A6A6A6" w:themeColor="background1" w:themeShade="A6"/>
              <w:right w:val="single" w:sz="4" w:space="0" w:color="A6A6A6" w:themeColor="background1" w:themeShade="A6"/>
            </w:tcBorders>
          </w:tcPr>
          <w:p w14:paraId="4F664FC4" w14:textId="77777777" w:rsidR="005D5670" w:rsidRPr="00C84D9A" w:rsidRDefault="005D5670" w:rsidP="00070816">
            <w:pPr>
              <w:pStyle w:val="TableText"/>
            </w:pPr>
          </w:p>
        </w:tc>
        <w:tc>
          <w:tcPr>
            <w:tcW w:w="6308" w:type="dxa"/>
            <w:gridSpan w:val="2"/>
            <w:tcBorders>
              <w:left w:val="single" w:sz="4" w:space="0" w:color="A6A6A6" w:themeColor="background1" w:themeShade="A6"/>
              <w:bottom w:val="single" w:sz="4" w:space="0" w:color="84A113"/>
              <w:right w:val="single" w:sz="4" w:space="0" w:color="84A113"/>
            </w:tcBorders>
            <w:shd w:val="clear" w:color="auto" w:fill="84A113"/>
            <w:vAlign w:val="center"/>
          </w:tcPr>
          <w:p w14:paraId="4F664FC5" w14:textId="77777777" w:rsidR="005D5670" w:rsidRPr="005D5670" w:rsidRDefault="005D5670" w:rsidP="005D5670">
            <w:pPr>
              <w:pStyle w:val="TableText"/>
              <w:jc w:val="center"/>
              <w:rPr>
                <w:color w:val="FFFFFF" w:themeColor="background1"/>
              </w:rPr>
            </w:pPr>
            <w:r w:rsidRPr="005D5670">
              <w:rPr>
                <w:color w:val="FFFFFF" w:themeColor="background1"/>
              </w:rPr>
              <w:t>Ensure that people have the information and support</w:t>
            </w:r>
            <w:r w:rsidRPr="005D5670">
              <w:rPr>
                <w:color w:val="FFFFFF" w:themeColor="background1"/>
              </w:rPr>
              <w:br/>
              <w:t>to make healthy choices about gambling for both themselves and others</w:t>
            </w:r>
          </w:p>
        </w:tc>
        <w:tc>
          <w:tcPr>
            <w:tcW w:w="3154" w:type="dxa"/>
            <w:tcBorders>
              <w:left w:val="single" w:sz="4" w:space="0" w:color="84A113"/>
              <w:bottom w:val="single" w:sz="4" w:space="0" w:color="A6A6A6" w:themeColor="background1" w:themeShade="A6"/>
            </w:tcBorders>
            <w:shd w:val="clear" w:color="auto" w:fill="auto"/>
            <w:vAlign w:val="center"/>
          </w:tcPr>
          <w:p w14:paraId="4F664FC6" w14:textId="77777777" w:rsidR="005D5670" w:rsidRPr="00F10643" w:rsidRDefault="005D5670" w:rsidP="005D5670">
            <w:pPr>
              <w:pStyle w:val="TableText"/>
              <w:jc w:val="center"/>
            </w:pPr>
          </w:p>
        </w:tc>
        <w:tc>
          <w:tcPr>
            <w:tcW w:w="3154" w:type="dxa"/>
            <w:tcBorders>
              <w:left w:val="single" w:sz="4" w:space="0" w:color="A6A6A6" w:themeColor="background1" w:themeShade="A6"/>
              <w:bottom w:val="single" w:sz="4" w:space="0" w:color="A6A6A6" w:themeColor="background1" w:themeShade="A6"/>
            </w:tcBorders>
            <w:shd w:val="clear" w:color="auto" w:fill="auto"/>
            <w:vAlign w:val="center"/>
          </w:tcPr>
          <w:p w14:paraId="4F664FC7" w14:textId="77777777" w:rsidR="005D5670" w:rsidRPr="00F10643" w:rsidRDefault="005D5670" w:rsidP="005D5670">
            <w:pPr>
              <w:pStyle w:val="TableText"/>
              <w:jc w:val="center"/>
            </w:pPr>
          </w:p>
        </w:tc>
      </w:tr>
    </w:tbl>
    <w:p w14:paraId="4F664FC9" w14:textId="77777777" w:rsidR="00FA6A1F" w:rsidRPr="005D5670" w:rsidRDefault="00FA6A1F" w:rsidP="00FA6A1F">
      <w:pPr>
        <w:rPr>
          <w:sz w:val="12"/>
          <w:szCs w:val="12"/>
        </w:rPr>
      </w:pPr>
    </w:p>
    <w:tbl>
      <w:tblPr>
        <w:tblW w:w="0" w:type="auto"/>
        <w:tblInd w:w="108" w:type="dxa"/>
        <w:tblLayout w:type="fixed"/>
        <w:tblLook w:val="04A0" w:firstRow="1" w:lastRow="0" w:firstColumn="1" w:lastColumn="0" w:noHBand="0" w:noVBand="1"/>
      </w:tblPr>
      <w:tblGrid>
        <w:gridCol w:w="1838"/>
        <w:gridCol w:w="4394"/>
      </w:tblGrid>
      <w:tr w:rsidR="00FA6A1F" w14:paraId="4F664FCC" w14:textId="77777777" w:rsidTr="00F10643">
        <w:trPr>
          <w:cantSplit/>
        </w:trPr>
        <w:tc>
          <w:tcPr>
            <w:tcW w:w="1838" w:type="dxa"/>
            <w:shd w:val="clear" w:color="auto" w:fill="009CDE"/>
          </w:tcPr>
          <w:p w14:paraId="4F664FCA" w14:textId="77777777" w:rsidR="00FA6A1F" w:rsidRDefault="00FA6A1F" w:rsidP="00F10643">
            <w:pPr>
              <w:pStyle w:val="TableText"/>
              <w:spacing w:before="30" w:after="30"/>
            </w:pPr>
          </w:p>
        </w:tc>
        <w:tc>
          <w:tcPr>
            <w:tcW w:w="4394" w:type="dxa"/>
          </w:tcPr>
          <w:p w14:paraId="4F664FCB" w14:textId="77777777" w:rsidR="00FA6A1F" w:rsidRDefault="00FA6A1F" w:rsidP="00F10643">
            <w:pPr>
              <w:pStyle w:val="TableText"/>
              <w:spacing w:before="30" w:after="30"/>
            </w:pPr>
            <w:r>
              <w:t>Ministry of Health</w:t>
            </w:r>
          </w:p>
        </w:tc>
      </w:tr>
      <w:tr w:rsidR="00FA6A1F" w14:paraId="4F664FCF" w14:textId="77777777" w:rsidTr="00F10643">
        <w:trPr>
          <w:cantSplit/>
        </w:trPr>
        <w:tc>
          <w:tcPr>
            <w:tcW w:w="1838" w:type="dxa"/>
            <w:shd w:val="clear" w:color="auto" w:fill="84A113"/>
          </w:tcPr>
          <w:p w14:paraId="4F664FCD" w14:textId="77777777" w:rsidR="00FA6A1F" w:rsidRDefault="00FA6A1F" w:rsidP="00F10643">
            <w:pPr>
              <w:pStyle w:val="TableText"/>
              <w:spacing w:before="30" w:after="30"/>
            </w:pPr>
          </w:p>
        </w:tc>
        <w:tc>
          <w:tcPr>
            <w:tcW w:w="4394" w:type="dxa"/>
          </w:tcPr>
          <w:p w14:paraId="4F664FCE" w14:textId="77777777" w:rsidR="00FA6A1F" w:rsidRDefault="00FA6A1F" w:rsidP="00F10643">
            <w:pPr>
              <w:pStyle w:val="TableText"/>
              <w:spacing w:before="30" w:after="30"/>
            </w:pPr>
            <w:r>
              <w:t>Ministry of Health and Te Hiringa Hauora</w:t>
            </w:r>
          </w:p>
        </w:tc>
      </w:tr>
      <w:tr w:rsidR="00FA6A1F" w14:paraId="4F664FD2" w14:textId="77777777" w:rsidTr="00AD673C">
        <w:trPr>
          <w:cantSplit/>
        </w:trPr>
        <w:tc>
          <w:tcPr>
            <w:tcW w:w="1838" w:type="dxa"/>
            <w:shd w:val="clear" w:color="auto" w:fill="FAB900"/>
          </w:tcPr>
          <w:p w14:paraId="4F664FD0" w14:textId="77777777" w:rsidR="00FA6A1F" w:rsidRDefault="00FA6A1F" w:rsidP="00F10643">
            <w:pPr>
              <w:pStyle w:val="TableText"/>
              <w:spacing w:before="30" w:after="30"/>
            </w:pPr>
          </w:p>
        </w:tc>
        <w:tc>
          <w:tcPr>
            <w:tcW w:w="4394" w:type="dxa"/>
          </w:tcPr>
          <w:p w14:paraId="4F664FD1" w14:textId="77777777" w:rsidR="00FA6A1F" w:rsidRDefault="00FA6A1F" w:rsidP="00F10643">
            <w:pPr>
              <w:pStyle w:val="TableText"/>
              <w:spacing w:before="30" w:after="30"/>
            </w:pPr>
            <w:r>
              <w:t>Ministry of Health and DIA</w:t>
            </w:r>
          </w:p>
        </w:tc>
      </w:tr>
      <w:tr w:rsidR="00FA6A1F" w14:paraId="4F664FD5" w14:textId="77777777" w:rsidTr="00AD673C">
        <w:trPr>
          <w:cantSplit/>
        </w:trPr>
        <w:tc>
          <w:tcPr>
            <w:tcW w:w="1838" w:type="dxa"/>
            <w:shd w:val="clear" w:color="auto" w:fill="F18700"/>
          </w:tcPr>
          <w:p w14:paraId="4F664FD3" w14:textId="77777777" w:rsidR="00FA6A1F" w:rsidRDefault="00FA6A1F" w:rsidP="00F10643">
            <w:pPr>
              <w:pStyle w:val="TableText"/>
              <w:spacing w:before="30" w:after="30"/>
            </w:pPr>
          </w:p>
        </w:tc>
        <w:tc>
          <w:tcPr>
            <w:tcW w:w="4394" w:type="dxa"/>
          </w:tcPr>
          <w:p w14:paraId="4F664FD4" w14:textId="77777777" w:rsidR="00FA6A1F" w:rsidRDefault="00FA6A1F" w:rsidP="00F10643">
            <w:pPr>
              <w:pStyle w:val="TableText"/>
              <w:spacing w:before="30" w:after="30"/>
            </w:pPr>
            <w:r>
              <w:t>DIA</w:t>
            </w:r>
          </w:p>
        </w:tc>
      </w:tr>
    </w:tbl>
    <w:p w14:paraId="4F664FD6" w14:textId="77777777" w:rsidR="00FA6A1F" w:rsidRPr="005D5670" w:rsidRDefault="00FA6A1F" w:rsidP="00F10643">
      <w:pPr>
        <w:rPr>
          <w:sz w:val="12"/>
          <w:szCs w:val="12"/>
        </w:rPr>
      </w:pPr>
    </w:p>
    <w:p w14:paraId="4F664FD7" w14:textId="77777777" w:rsidR="00F10643" w:rsidRDefault="00F10643" w:rsidP="00FA6A1F">
      <w:pPr>
        <w:pStyle w:val="Heading2"/>
        <w:sectPr w:rsidR="00F10643" w:rsidSect="005D5670">
          <w:footerReference w:type="default" r:id="rId37"/>
          <w:pgSz w:w="16834" w:h="11907" w:orient="landscape" w:code="9"/>
          <w:pgMar w:top="992" w:right="1134" w:bottom="992" w:left="1134" w:header="284" w:footer="425" w:gutter="0"/>
          <w:cols w:space="720"/>
          <w:docGrid w:linePitch="286"/>
        </w:sectPr>
      </w:pPr>
      <w:bookmarkStart w:id="87" w:name="_Toc71550038"/>
      <w:bookmarkStart w:id="88" w:name="_Toc78882280"/>
    </w:p>
    <w:p w14:paraId="4F664FD8" w14:textId="77777777" w:rsidR="00FA6A1F" w:rsidRDefault="00FA6A1F" w:rsidP="00F10643">
      <w:pPr>
        <w:pStyle w:val="Heading2"/>
        <w:spacing w:before="0"/>
      </w:pPr>
      <w:bookmarkStart w:id="89" w:name="_Toc80965844"/>
      <w:r>
        <w:lastRenderedPageBreak/>
        <w:t>Key continuities</w:t>
      </w:r>
      <w:bookmarkEnd w:id="87"/>
      <w:bookmarkEnd w:id="88"/>
      <w:bookmarkEnd w:id="89"/>
    </w:p>
    <w:p w14:paraId="4F664FD9" w14:textId="77777777" w:rsidR="008303C6" w:rsidRDefault="00FA6A1F" w:rsidP="00070AD9">
      <w:r>
        <w:t>The draft strategic framework re-frames the previous one to respond to environmental changes and lessons learnt over recent years. It is closely related to the previous strategic framework because the prevention and minimisation of gambling-related harm is a long-term activity.</w:t>
      </w:r>
    </w:p>
    <w:p w14:paraId="4F664FDA" w14:textId="77777777" w:rsidR="00070AD9" w:rsidRDefault="00070AD9" w:rsidP="00070AD9"/>
    <w:p w14:paraId="4F664FDB" w14:textId="77777777" w:rsidR="00FA6A1F" w:rsidRDefault="00FA6A1F" w:rsidP="00070AD9">
      <w:r>
        <w:t>Like many areas of health promotion, prevention and early intervention, the activities in this space need long-term continuity to address the needs of new cohorts of people coming through, as well as people having different needs at different times in their lives.</w:t>
      </w:r>
    </w:p>
    <w:p w14:paraId="4F664FDC" w14:textId="77777777" w:rsidR="00070AD9" w:rsidRDefault="00070AD9" w:rsidP="00070AD9"/>
    <w:p w14:paraId="4F664FDD" w14:textId="77777777" w:rsidR="00FA6A1F" w:rsidRDefault="00FA6A1F" w:rsidP="00070AD9">
      <w:r>
        <w:t xml:space="preserve">All </w:t>
      </w:r>
      <w:r w:rsidR="00070AD9">
        <w:t>11</w:t>
      </w:r>
      <w:r>
        <w:t xml:space="preserve"> strategic objectives from past strategies have been addressed under the four new draft objectives, as shown in </w:t>
      </w:r>
      <w:hyperlink w:anchor="_Appendix_4:_Key" w:history="1">
        <w:r w:rsidR="000A77BD" w:rsidRPr="000A77BD">
          <w:rPr>
            <w:rStyle w:val="Hyperlink"/>
          </w:rPr>
          <w:t>Appendix 4</w:t>
        </w:r>
      </w:hyperlink>
      <w:r>
        <w:t>.</w:t>
      </w:r>
    </w:p>
    <w:p w14:paraId="4F664FDE" w14:textId="77777777" w:rsidR="00070AD9" w:rsidRDefault="00070AD9" w:rsidP="00070AD9"/>
    <w:p w14:paraId="4F664FDF" w14:textId="77777777" w:rsidR="00FA6A1F" w:rsidRDefault="00FA6A1F" w:rsidP="00070AD9">
      <w:r w:rsidRPr="008D3CB4">
        <w:t xml:space="preserve">Service and research contracts initiated under the </w:t>
      </w:r>
      <w:r>
        <w:t xml:space="preserve">current </w:t>
      </w:r>
      <w:r w:rsidRPr="008D3CB4">
        <w:t>strateg</w:t>
      </w:r>
      <w:r>
        <w:t xml:space="preserve">y will </w:t>
      </w:r>
      <w:r w:rsidRPr="008D3CB4">
        <w:t>continue</w:t>
      </w:r>
      <w:r>
        <w:t>,</w:t>
      </w:r>
      <w:r w:rsidRPr="008D3CB4">
        <w:t xml:space="preserve"> but</w:t>
      </w:r>
      <w:r>
        <w:t>, as opportunities occur, these will</w:t>
      </w:r>
      <w:r w:rsidRPr="008D3CB4">
        <w:t xml:space="preserve"> be gradually </w:t>
      </w:r>
      <w:r>
        <w:t>aligned</w:t>
      </w:r>
      <w:r w:rsidRPr="008D3CB4">
        <w:t xml:space="preserve"> to the new </w:t>
      </w:r>
      <w:r>
        <w:t xml:space="preserve">strategic </w:t>
      </w:r>
      <w:r w:rsidRPr="008D3CB4">
        <w:t xml:space="preserve">framework </w:t>
      </w:r>
      <w:r>
        <w:t>that will apply from 1 July 2022, for example, through the contract renewal or tender processes.</w:t>
      </w:r>
    </w:p>
    <w:p w14:paraId="4F664FE0" w14:textId="77777777" w:rsidR="00070AD9" w:rsidRPr="00070AD9" w:rsidRDefault="00070AD9" w:rsidP="00070AD9">
      <w:pPr>
        <w:rPr>
          <w:rFonts w:eastAsiaTheme="majorEastAsia"/>
        </w:rPr>
      </w:pPr>
    </w:p>
    <w:p w14:paraId="4F664FE1" w14:textId="77777777" w:rsidR="00FA6A1F" w:rsidRPr="00FA1985" w:rsidRDefault="00FA6A1F" w:rsidP="00070AD9">
      <w:pPr>
        <w:pStyle w:val="Heading2"/>
      </w:pPr>
      <w:bookmarkStart w:id="90" w:name="_Toc78882281"/>
      <w:bookmarkStart w:id="91" w:name="_Toc74309759"/>
      <w:bookmarkStart w:id="92" w:name="_Toc80965845"/>
      <w:r w:rsidRPr="00FA1985">
        <w:t>Priority populations</w:t>
      </w:r>
      <w:bookmarkEnd w:id="90"/>
      <w:bookmarkEnd w:id="92"/>
    </w:p>
    <w:p w14:paraId="4F664FE2" w14:textId="77777777" w:rsidR="008303C6" w:rsidRDefault="00FA6A1F" w:rsidP="00070AD9">
      <w:r w:rsidRPr="00FA1985">
        <w:t>Based on the research and evidence</w:t>
      </w:r>
      <w:r>
        <w:t xml:space="preserve">, as outlined in </w:t>
      </w:r>
      <w:r w:rsidR="000756FF">
        <w:t>Ap</w:t>
      </w:r>
      <w:r>
        <w:t xml:space="preserve">pendix </w:t>
      </w:r>
      <w:r w:rsidRPr="002F47CC">
        <w:t>6</w:t>
      </w:r>
      <w:r>
        <w:t>: Overview of g</w:t>
      </w:r>
      <w:r w:rsidRPr="00A251E1">
        <w:t xml:space="preserve">ambling </w:t>
      </w:r>
      <w:r>
        <w:t>h</w:t>
      </w:r>
      <w:r w:rsidRPr="00A251E1">
        <w:t xml:space="preserve">arm </w:t>
      </w:r>
      <w:r>
        <w:t xml:space="preserve">from </w:t>
      </w:r>
      <w:r w:rsidRPr="00A251E1">
        <w:t>2019/20 to 2020/21</w:t>
      </w:r>
      <w:r>
        <w:rPr>
          <w:i/>
          <w:iCs/>
        </w:rPr>
        <w:t>,</w:t>
      </w:r>
      <w:r w:rsidRPr="00FA1985">
        <w:t xml:space="preserve"> the priority populations for this </w:t>
      </w:r>
      <w:r>
        <w:t>strategy</w:t>
      </w:r>
      <w:r w:rsidRPr="00FA1985">
        <w:t xml:space="preserve"> are M</w:t>
      </w:r>
      <w:r w:rsidRPr="00FA1985">
        <w:rPr>
          <w:rFonts w:cstheme="minorHAnsi"/>
        </w:rPr>
        <w:t>ā</w:t>
      </w:r>
      <w:r w:rsidRPr="00FA1985">
        <w:t>ori, Pacific</w:t>
      </w:r>
      <w:r>
        <w:t xml:space="preserve"> peoples</w:t>
      </w:r>
      <w:r w:rsidRPr="00FA1985">
        <w:t>, Asian</w:t>
      </w:r>
      <w:r>
        <w:t xml:space="preserve"> people</w:t>
      </w:r>
      <w:r w:rsidRPr="00FA1985">
        <w:t xml:space="preserve"> and young people</w:t>
      </w:r>
      <w:r>
        <w:t xml:space="preserve"> </w:t>
      </w:r>
      <w:r w:rsidRPr="00FA1985">
        <w:t>/</w:t>
      </w:r>
      <w:r>
        <w:t xml:space="preserve"> </w:t>
      </w:r>
      <w:r w:rsidRPr="00FA1985">
        <w:t xml:space="preserve">rangatahi. The first three groups were priority populations for the previous </w:t>
      </w:r>
      <w:r>
        <w:t>strategy</w:t>
      </w:r>
      <w:r w:rsidRPr="00FA1985">
        <w:t>, and their risk has not reduced to a level that would suggest a population-neutral or universal approach be taken.</w:t>
      </w:r>
    </w:p>
    <w:p w14:paraId="4F664FE3" w14:textId="77777777" w:rsidR="00070AD9" w:rsidRDefault="00070AD9" w:rsidP="00070AD9"/>
    <w:p w14:paraId="4F664FE4" w14:textId="77777777" w:rsidR="008303C6" w:rsidRDefault="00FA6A1F" w:rsidP="00070AD9">
      <w:r w:rsidRPr="00FA1985">
        <w:t>Young people</w:t>
      </w:r>
      <w:r>
        <w:t xml:space="preserve"> </w:t>
      </w:r>
      <w:r w:rsidRPr="00FA1985">
        <w:t>/</w:t>
      </w:r>
      <w:r>
        <w:t xml:space="preserve"> </w:t>
      </w:r>
      <w:r w:rsidRPr="00FA1985">
        <w:t>rangatahi</w:t>
      </w:r>
      <w:r w:rsidRPr="00070AD9">
        <w:rPr>
          <w:rStyle w:val="FootnoteReference"/>
          <w:rFonts w:eastAsia="MS Gothic"/>
        </w:rPr>
        <w:footnoteReference w:id="14"/>
      </w:r>
      <w:r w:rsidRPr="00FA1985">
        <w:t xml:space="preserve"> have been added </w:t>
      </w:r>
      <w:r>
        <w:t xml:space="preserve">because </w:t>
      </w:r>
      <w:r w:rsidRPr="00FA1985">
        <w:t xml:space="preserve">of </w:t>
      </w:r>
      <w:r>
        <w:t xml:space="preserve">growing </w:t>
      </w:r>
      <w:r w:rsidRPr="00FA1985">
        <w:t xml:space="preserve">research evidence </w:t>
      </w:r>
      <w:r>
        <w:t xml:space="preserve">shows </w:t>
      </w:r>
      <w:r w:rsidRPr="00FA1985">
        <w:t xml:space="preserve">that online gambling </w:t>
      </w:r>
      <w:r>
        <w:t xml:space="preserve">can </w:t>
      </w:r>
      <w:r w:rsidRPr="00FA1985">
        <w:t>increas</w:t>
      </w:r>
      <w:r>
        <w:t xml:space="preserve">e their </w:t>
      </w:r>
      <w:r w:rsidRPr="00FA1985">
        <w:t xml:space="preserve">vulnerability to gambling harm. Adding this group </w:t>
      </w:r>
      <w:r>
        <w:t xml:space="preserve">aligns </w:t>
      </w:r>
      <w:r w:rsidRPr="00FA1985">
        <w:t xml:space="preserve">with the Child and Youth Wellbeing </w:t>
      </w:r>
      <w:r>
        <w:t>Strategy</w:t>
      </w:r>
      <w:r w:rsidRPr="00FA1985">
        <w:t xml:space="preserve"> (CYWS). For example, supporting whānau to address gambling harm </w:t>
      </w:r>
      <w:r>
        <w:t xml:space="preserve">contributes to </w:t>
      </w:r>
      <w:r w:rsidRPr="00FA1985">
        <w:t xml:space="preserve">ensuring children and </w:t>
      </w:r>
      <w:r>
        <w:t>young people / rangatahi</w:t>
      </w:r>
      <w:r w:rsidRPr="00FA1985">
        <w:t xml:space="preserve"> </w:t>
      </w:r>
      <w:r w:rsidR="008303C6">
        <w:t>‘</w:t>
      </w:r>
      <w:r w:rsidRPr="00FA1985">
        <w:t>are loved, safe and nurtured</w:t>
      </w:r>
      <w:r w:rsidR="008303C6">
        <w:t>’</w:t>
      </w:r>
      <w:r w:rsidRPr="00C32407">
        <w:t xml:space="preserve"> </w:t>
      </w:r>
      <w:r>
        <w:t>(</w:t>
      </w:r>
      <w:r w:rsidRPr="00FA1985">
        <w:t xml:space="preserve">CYWS outcome </w:t>
      </w:r>
      <w:r>
        <w:t>1). Similarly, wh</w:t>
      </w:r>
      <w:r w:rsidRPr="00FA1985">
        <w:t xml:space="preserve">en gambling does not negatively impact on the material wellbeing of the </w:t>
      </w:r>
      <w:r>
        <w:t>whānau, c</w:t>
      </w:r>
      <w:r w:rsidRPr="00FA1985">
        <w:t xml:space="preserve">hildren and </w:t>
      </w:r>
      <w:r>
        <w:t>young people / rangatahi</w:t>
      </w:r>
      <w:r w:rsidRPr="00FA1985">
        <w:t xml:space="preserve"> </w:t>
      </w:r>
      <w:r>
        <w:t xml:space="preserve">are more likely to </w:t>
      </w:r>
      <w:r w:rsidR="008303C6">
        <w:t>‘</w:t>
      </w:r>
      <w:r w:rsidRPr="00FA1985">
        <w:t>have what they need</w:t>
      </w:r>
      <w:r w:rsidR="008303C6">
        <w:t>’</w:t>
      </w:r>
      <w:r w:rsidRPr="00FA1985">
        <w:t xml:space="preserve"> (</w:t>
      </w:r>
      <w:r>
        <w:t xml:space="preserve">CYWS </w:t>
      </w:r>
      <w:r w:rsidRPr="00FA1985">
        <w:t>outcome 2)</w:t>
      </w:r>
      <w:r>
        <w:t xml:space="preserve">, and </w:t>
      </w:r>
      <w:r w:rsidRPr="00FA1985">
        <w:t>when their own mental wellbeing is supported to address and prevent gambling harm</w:t>
      </w:r>
      <w:r>
        <w:t>,</w:t>
      </w:r>
      <w:r w:rsidRPr="00FA1985">
        <w:t xml:space="preserve"> children and </w:t>
      </w:r>
      <w:r>
        <w:t>young people / rangatahi</w:t>
      </w:r>
      <w:r w:rsidRPr="00FA1985">
        <w:t xml:space="preserve"> are </w:t>
      </w:r>
      <w:r w:rsidR="008303C6">
        <w:t>‘</w:t>
      </w:r>
      <w:r w:rsidRPr="00FA1985">
        <w:t>happy and healthy</w:t>
      </w:r>
      <w:r w:rsidR="008303C6">
        <w:t>’</w:t>
      </w:r>
      <w:r w:rsidRPr="00FA1985">
        <w:t xml:space="preserve"> (</w:t>
      </w:r>
      <w:r>
        <w:t xml:space="preserve">CYWS </w:t>
      </w:r>
      <w:r w:rsidRPr="00FA1985">
        <w:t>outcome 3).</w:t>
      </w:r>
    </w:p>
    <w:p w14:paraId="4F664FE5" w14:textId="77777777" w:rsidR="00BB1771" w:rsidRDefault="00BB1771" w:rsidP="00BB1771"/>
    <w:p w14:paraId="4F664FE6" w14:textId="77777777" w:rsidR="008303C6" w:rsidRPr="00BB1771" w:rsidRDefault="00FA6A1F" w:rsidP="00BB1771">
      <w:pPr>
        <w:rPr>
          <w:spacing w:val="-2"/>
        </w:rPr>
      </w:pPr>
      <w:r w:rsidRPr="00BB1771">
        <w:rPr>
          <w:spacing w:val="-2"/>
        </w:rPr>
        <w:t>We note that there is significant crossover in these groups, for example, M</w:t>
      </w:r>
      <w:r w:rsidRPr="00BB1771">
        <w:rPr>
          <w:rFonts w:cstheme="minorHAnsi"/>
          <w:spacing w:val="-2"/>
        </w:rPr>
        <w:t>ā</w:t>
      </w:r>
      <w:r w:rsidRPr="00BB1771">
        <w:rPr>
          <w:spacing w:val="-2"/>
        </w:rPr>
        <w:t>ori and Pacific populations are youthful, more likely to have low incomes and disproportionately experience gambling harm. Disability is also associated with lower incomes.</w:t>
      </w:r>
    </w:p>
    <w:p w14:paraId="4F664FE7" w14:textId="77777777" w:rsidR="00EF6F8E" w:rsidRDefault="00EF6F8E" w:rsidP="00BB1771"/>
    <w:p w14:paraId="4F664FE8" w14:textId="77777777" w:rsidR="008303C6" w:rsidRDefault="00FA6A1F" w:rsidP="00EF6F8E">
      <w:pPr>
        <w:pStyle w:val="Heading2"/>
      </w:pPr>
      <w:bookmarkStart w:id="93" w:name="_Toc78882282"/>
      <w:bookmarkStart w:id="94" w:name="_Toc80965846"/>
      <w:r>
        <w:lastRenderedPageBreak/>
        <w:t>What needs to change</w:t>
      </w:r>
      <w:bookmarkEnd w:id="91"/>
      <w:bookmarkEnd w:id="93"/>
      <w:bookmarkEnd w:id="94"/>
    </w:p>
    <w:p w14:paraId="4F664FE9" w14:textId="77777777" w:rsidR="008303C6" w:rsidRDefault="00FA6A1F" w:rsidP="00EF6F8E">
      <w:r>
        <w:t>The following changes are based on the principles, focus and action areas of the new strategic framework outlined above.</w:t>
      </w:r>
    </w:p>
    <w:p w14:paraId="4F664FEA" w14:textId="77777777" w:rsidR="008303C6" w:rsidRDefault="00FA6A1F" w:rsidP="00DA41CC">
      <w:pPr>
        <w:pStyle w:val="Bullet"/>
      </w:pPr>
      <w:r>
        <w:t>A s</w:t>
      </w:r>
      <w:r w:rsidRPr="00163202">
        <w:t>tronger focus on</w:t>
      </w:r>
      <w:r>
        <w:t xml:space="preserve"> supporting priority populations (</w:t>
      </w:r>
      <w:r w:rsidRPr="00163202">
        <w:t xml:space="preserve">Māori, Pacific </w:t>
      </w:r>
      <w:r>
        <w:t>and Asian communities, young people / rangatahi), and people with lived experience of gambling harm to lead, c</w:t>
      </w:r>
      <w:r w:rsidRPr="00163202">
        <w:t>ollaborat</w:t>
      </w:r>
      <w:r>
        <w:t>e</w:t>
      </w:r>
      <w:r w:rsidR="008303C6">
        <w:t xml:space="preserve"> </w:t>
      </w:r>
      <w:r w:rsidRPr="00163202">
        <w:t xml:space="preserve">and co-design </w:t>
      </w:r>
      <w:r>
        <w:t>gambling harm support and prevention requirements with the gambling harm prevention and minimisation sector, including service providers and workforce, researchers and communities</w:t>
      </w:r>
      <w:r w:rsidR="00DA41CC">
        <w:t>.</w:t>
      </w:r>
    </w:p>
    <w:p w14:paraId="4F664FEB" w14:textId="77777777" w:rsidR="00FA6A1F" w:rsidRPr="001F52DF" w:rsidRDefault="00FA6A1F" w:rsidP="00DA41CC">
      <w:pPr>
        <w:pStyle w:val="Bullet"/>
      </w:pPr>
      <w:r>
        <w:t>Greater use of evidence to target investment decisions to better address inequities</w:t>
      </w:r>
      <w:r w:rsidR="00DA41CC">
        <w:t>.</w:t>
      </w:r>
    </w:p>
    <w:p w14:paraId="4F664FEC" w14:textId="77777777" w:rsidR="00FA6A1F" w:rsidRPr="002A381D" w:rsidRDefault="00FA6A1F" w:rsidP="00DA41CC">
      <w:pPr>
        <w:pStyle w:val="Bullet"/>
      </w:pPr>
      <w:r>
        <w:t>A clear focus on reducing the stigma attached to gambling and gambling harm, through health promotion campaigns informed through co-design with people form the priority populations and people with lived experience of gambling harm</w:t>
      </w:r>
      <w:r w:rsidR="00DA41CC">
        <w:t>.</w:t>
      </w:r>
    </w:p>
    <w:p w14:paraId="4F664FED" w14:textId="77777777" w:rsidR="00FA6A1F" w:rsidRPr="00BD320C" w:rsidRDefault="00FA6A1F" w:rsidP="00DA41CC">
      <w:pPr>
        <w:pStyle w:val="Bullet"/>
      </w:pPr>
      <w:r>
        <w:t>Fostering opportunities for local co-design of services and supports, including applying learning from the new service and innovation pilots to prevent and minimise gambling harm.</w:t>
      </w:r>
    </w:p>
    <w:p w14:paraId="4F664FEE" w14:textId="77777777" w:rsidR="00FA6A1F" w:rsidRDefault="00FA6A1F" w:rsidP="00DA41CC">
      <w:pPr>
        <w:pStyle w:val="Bullet"/>
      </w:pPr>
      <w:r>
        <w:t>An i</w:t>
      </w:r>
      <w:r w:rsidRPr="00BD320C">
        <w:t xml:space="preserve">ncreased </w:t>
      </w:r>
      <w:r>
        <w:t xml:space="preserve">focus on creating a skilled, culturally appropriate </w:t>
      </w:r>
      <w:r w:rsidRPr="00BD320C">
        <w:t>workforce</w:t>
      </w:r>
      <w:r>
        <w:t>, including supporting entry into the workforce for Māori, Pacific peoples, Asian peoples, young people / rangatahi and people with lived experience</w:t>
      </w:r>
      <w:r w:rsidR="00DA41CC">
        <w:t>.</w:t>
      </w:r>
    </w:p>
    <w:p w14:paraId="4F664FEF" w14:textId="77777777" w:rsidR="008303C6" w:rsidRDefault="00FA6A1F" w:rsidP="00DA41CC">
      <w:pPr>
        <w:pStyle w:val="Bullet"/>
      </w:pPr>
      <w:r>
        <w:t>People are better able to access appropriate</w:t>
      </w:r>
      <w:r w:rsidRPr="009279AA">
        <w:t xml:space="preserve"> information and support to make healthy choices a</w:t>
      </w:r>
      <w:r>
        <w:t>bout</w:t>
      </w:r>
      <w:r w:rsidRPr="009279AA">
        <w:t xml:space="preserve"> gambling for </w:t>
      </w:r>
      <w:r>
        <w:t xml:space="preserve">both </w:t>
      </w:r>
      <w:r w:rsidRPr="009279AA">
        <w:t>themselves and others</w:t>
      </w:r>
      <w:r w:rsidR="00DA41CC">
        <w:t>.</w:t>
      </w:r>
    </w:p>
    <w:p w14:paraId="4F664FF0" w14:textId="77777777" w:rsidR="00FA6A1F" w:rsidRDefault="00FA6A1F" w:rsidP="00DA41CC">
      <w:pPr>
        <w:pStyle w:val="Bullet"/>
      </w:pPr>
      <w:r>
        <w:t>Better sharing of information and evidence from research and evaluations to ensure more robust, evidence-based decisions about policy, commissioning and service delivery.</w:t>
      </w:r>
    </w:p>
    <w:p w14:paraId="4F664FF1" w14:textId="77777777" w:rsidR="00DA41CC" w:rsidRDefault="00DA41CC" w:rsidP="00DA41CC"/>
    <w:p w14:paraId="4F664FF2" w14:textId="77777777" w:rsidR="00FA6A1F" w:rsidRPr="00184C84" w:rsidRDefault="00FA6A1F" w:rsidP="00DA41CC">
      <w:r>
        <w:t>These shifts in focus, together with the principle</w:t>
      </w:r>
      <w:r w:rsidRPr="00B92935">
        <w:t xml:space="preserve"> </w:t>
      </w:r>
      <w:r w:rsidR="008303C6">
        <w:t>‘</w:t>
      </w:r>
      <w:r w:rsidRPr="00D3474B">
        <w:t>put people and communities at the centre</w:t>
      </w:r>
      <w:r w:rsidR="008303C6">
        <w:t>’</w:t>
      </w:r>
      <w:r>
        <w:t>, will enable us to better address inequities for priority populations, for example:</w:t>
      </w:r>
    </w:p>
    <w:p w14:paraId="4F664FF3" w14:textId="77777777" w:rsidR="00FA6A1F" w:rsidRDefault="00FA6A1F" w:rsidP="00DA41CC">
      <w:pPr>
        <w:pStyle w:val="Bullet"/>
      </w:pPr>
      <w:r>
        <w:t>ensuring that all contracts reflect the new strategic framework and its principles</w:t>
      </w:r>
    </w:p>
    <w:p w14:paraId="4F664FF4" w14:textId="77777777" w:rsidR="00FA6A1F" w:rsidRDefault="00FA6A1F" w:rsidP="00DA41CC">
      <w:pPr>
        <w:pStyle w:val="Bullet"/>
      </w:pPr>
      <w:r>
        <w:t xml:space="preserve">greater use of collaboration </w:t>
      </w:r>
      <w:r w:rsidRPr="00163202">
        <w:t>and co-design</w:t>
      </w:r>
      <w:r>
        <w:t>, for example, when commissioning dedicated Māori, Pacific and Asian public health and clinical intervention services</w:t>
      </w:r>
    </w:p>
    <w:p w14:paraId="4F664FF5" w14:textId="77777777" w:rsidR="008303C6" w:rsidRDefault="00FA6A1F" w:rsidP="00DA41CC">
      <w:pPr>
        <w:pStyle w:val="Bullet"/>
      </w:pPr>
      <w:r>
        <w:t>increasing services in te reo Māori, Pacific, and Asian languages, inviting Māori and Pacific tenders for Māori and Pacific services and supporting cultural awareness, competency and safety training for the gambling-harm workforce</w:t>
      </w:r>
    </w:p>
    <w:p w14:paraId="4F664FF6" w14:textId="77777777" w:rsidR="00FA6A1F" w:rsidRDefault="00FA6A1F" w:rsidP="00DA41CC">
      <w:pPr>
        <w:pStyle w:val="Bullet"/>
      </w:pPr>
      <w:r>
        <w:t>continuing to develop public health campaigns focused on priority populations, informed by co-design with these communities, funding public health services to engage with and be culturally responsive to Māori, Pacific, and Asian communities and taking a whānau ora approach wherever possible</w:t>
      </w:r>
    </w:p>
    <w:p w14:paraId="4F664FF7" w14:textId="77777777" w:rsidR="00FA6A1F" w:rsidRDefault="00FA6A1F" w:rsidP="00DA41CC">
      <w:pPr>
        <w:pStyle w:val="Bullet"/>
      </w:pPr>
      <w:r>
        <w:t>enhancing engagement with young people / rangatahi, for example, by adding representation to the Prevention and Minimisation of Gambling Harm Expert Advisory Group and Lived Experience Expert Advisory Group, and/or engaging with young people / rangatahi in wider forums</w:t>
      </w:r>
    </w:p>
    <w:p w14:paraId="4F664FF8" w14:textId="77777777" w:rsidR="00FA6A1F" w:rsidRDefault="00FA6A1F" w:rsidP="00DA41CC">
      <w:pPr>
        <w:pStyle w:val="Bullet"/>
        <w:keepNext/>
      </w:pPr>
      <w:r>
        <w:t>making evidence-based service i</w:t>
      </w:r>
      <w:r w:rsidRPr="00A94182">
        <w:t>nvestment</w:t>
      </w:r>
      <w:r>
        <w:t xml:space="preserve"> decisions to address inequities for priority populations, using new evidence from research and evaluation and </w:t>
      </w:r>
      <w:r>
        <w:lastRenderedPageBreak/>
        <w:t>learnings from new service and innovation pilots to continually improve our approach to addressing inequities</w:t>
      </w:r>
    </w:p>
    <w:p w14:paraId="4F664FF9" w14:textId="77777777" w:rsidR="00FA6A1F" w:rsidRDefault="00FA6A1F" w:rsidP="00DA41CC">
      <w:pPr>
        <w:pStyle w:val="Bullet"/>
      </w:pPr>
      <w:r>
        <w:t>ensuring the development and testing of technological solutions to prevent and minimise gambling harm (via a technology innovation fund) includes a focus on addressing inequities, including cultural and responsiveness and accessibility</w:t>
      </w:r>
    </w:p>
    <w:p w14:paraId="4F664FFA" w14:textId="77777777" w:rsidR="00FA6A1F" w:rsidRDefault="00FA6A1F" w:rsidP="00DA41CC">
      <w:pPr>
        <w:pStyle w:val="Bullet"/>
      </w:pPr>
      <w:r>
        <w:t>encouraging ongoing research and evaluation i</w:t>
      </w:r>
      <w:r w:rsidRPr="00483631">
        <w:t xml:space="preserve">nto reducing inequities in gambling harm, </w:t>
      </w:r>
      <w:r>
        <w:t>reducing</w:t>
      </w:r>
      <w:r w:rsidRPr="00483631">
        <w:t xml:space="preserve"> barriers to </w:t>
      </w:r>
      <w:r>
        <w:t xml:space="preserve">priority populations accessing </w:t>
      </w:r>
      <w:r w:rsidRPr="00483631">
        <w:t>gambling</w:t>
      </w:r>
      <w:r>
        <w:t>-</w:t>
      </w:r>
      <w:r w:rsidRPr="00483631">
        <w:t xml:space="preserve">harm minimisation services and </w:t>
      </w:r>
      <w:r>
        <w:t xml:space="preserve">collecting </w:t>
      </w:r>
      <w:r w:rsidRPr="00483631">
        <w:t xml:space="preserve">evidence for </w:t>
      </w:r>
      <w:r>
        <w:t xml:space="preserve">the efficacy of </w:t>
      </w:r>
      <w:r w:rsidRPr="00483631">
        <w:t>gambling</w:t>
      </w:r>
      <w:r>
        <w:t>-</w:t>
      </w:r>
      <w:r w:rsidRPr="00483631">
        <w:t>harm minimisation service</w:t>
      </w:r>
      <w:r>
        <w:t>s</w:t>
      </w:r>
      <w:r w:rsidRPr="00483631">
        <w:t xml:space="preserve"> for these </w:t>
      </w:r>
      <w:r>
        <w:t xml:space="preserve">priority </w:t>
      </w:r>
      <w:r w:rsidRPr="00483631">
        <w:t>population groups</w:t>
      </w:r>
      <w:r>
        <w:t>.</w:t>
      </w:r>
    </w:p>
    <w:p w14:paraId="4F664FFB" w14:textId="77777777" w:rsidR="00DA41CC" w:rsidRDefault="00DA41CC" w:rsidP="00DA41CC"/>
    <w:p w14:paraId="4F664FFC" w14:textId="77777777" w:rsidR="00FA6A1F" w:rsidRDefault="00FA6A1F" w:rsidP="00DA41CC">
      <w:r>
        <w:t>Please refer to the draft service plan for further information about proposed services.</w:t>
      </w:r>
    </w:p>
    <w:p w14:paraId="4F664FFD" w14:textId="77777777" w:rsidR="00DA41CC" w:rsidRDefault="00DA41CC" w:rsidP="00DA41CC">
      <w:bookmarkStart w:id="95" w:name="_Toc74309761"/>
    </w:p>
    <w:p w14:paraId="4F664FFE" w14:textId="77777777" w:rsidR="008303C6" w:rsidRDefault="00FA6A1F" w:rsidP="00DA41CC">
      <w:r w:rsidRPr="00AF6974">
        <w:t xml:space="preserve">Whether an individual experiences harm from their </w:t>
      </w:r>
      <w:r>
        <w:t xml:space="preserve">own </w:t>
      </w:r>
      <w:r w:rsidRPr="00AF6974">
        <w:t>or someone else</w:t>
      </w:r>
      <w:r w:rsidR="008303C6">
        <w:t>’</w:t>
      </w:r>
      <w:r w:rsidRPr="00AF6974">
        <w:t>s gambling and how this harm is experienced at a whānau and community level results from many factors.</w:t>
      </w:r>
      <w:r w:rsidR="00DA41CC">
        <w:t xml:space="preserve"> </w:t>
      </w:r>
      <w:r w:rsidRPr="00AF6974">
        <w:t>This includes the wider determinants of health and wellbeing, the design and planning of built environments and the nature of the gambling environment. The latter of these is largely determined by regulations under the Act.</w:t>
      </w:r>
    </w:p>
    <w:p w14:paraId="4F664FFF" w14:textId="77777777" w:rsidR="00DA41CC" w:rsidRDefault="00DA41CC" w:rsidP="00DA41CC"/>
    <w:p w14:paraId="4F665000" w14:textId="77777777" w:rsidR="00FA6A1F" w:rsidRPr="000251AA" w:rsidRDefault="00FA6A1F" w:rsidP="00DA41CC">
      <w:pPr>
        <w:pStyle w:val="Heading2"/>
      </w:pPr>
      <w:bookmarkStart w:id="96" w:name="_Toc78882283"/>
      <w:bookmarkStart w:id="97" w:name="_Toc80965847"/>
      <w:r w:rsidRPr="000251AA">
        <w:t>How we will measure progress</w:t>
      </w:r>
      <w:bookmarkEnd w:id="95"/>
      <w:bookmarkEnd w:id="96"/>
      <w:bookmarkEnd w:id="97"/>
    </w:p>
    <w:p w14:paraId="4F665001" w14:textId="77777777" w:rsidR="00FA6A1F" w:rsidRDefault="00FA6A1F" w:rsidP="00DA41CC">
      <w:r w:rsidRPr="00CF49C5">
        <w:t xml:space="preserve">We will know if we have made a difference by listening to </w:t>
      </w:r>
      <w:r>
        <w:t>the feedback we receive,</w:t>
      </w:r>
      <w:r w:rsidRPr="00CF49C5">
        <w:t xml:space="preserve"> for example, </w:t>
      </w:r>
      <w:r>
        <w:t xml:space="preserve">from </w:t>
      </w:r>
      <w:r w:rsidRPr="00CF49C5">
        <w:t xml:space="preserve">our communities, service providers and </w:t>
      </w:r>
      <w:r>
        <w:t>e</w:t>
      </w:r>
      <w:r w:rsidRPr="00CF49C5">
        <w:t xml:space="preserve">xpert </w:t>
      </w:r>
      <w:r>
        <w:t>a</w:t>
      </w:r>
      <w:r w:rsidRPr="00CF49C5">
        <w:t xml:space="preserve">dvisory and </w:t>
      </w:r>
      <w:r>
        <w:t>l</w:t>
      </w:r>
      <w:r w:rsidRPr="00CF49C5">
        <w:t xml:space="preserve">ived </w:t>
      </w:r>
      <w:r>
        <w:t>e</w:t>
      </w:r>
      <w:r w:rsidRPr="00CF49C5">
        <w:t xml:space="preserve">xperience </w:t>
      </w:r>
      <w:r>
        <w:t>g</w:t>
      </w:r>
      <w:r w:rsidRPr="00CF49C5">
        <w:t>roups</w:t>
      </w:r>
      <w:r>
        <w:t>,</w:t>
      </w:r>
      <w:r w:rsidRPr="00CF49C5">
        <w:t xml:space="preserve"> and through analysing data and evidence, including research, evaluation and service data</w:t>
      </w:r>
      <w:r>
        <w:t>.</w:t>
      </w:r>
    </w:p>
    <w:p w14:paraId="4F665002" w14:textId="77777777" w:rsidR="00DA41CC" w:rsidRPr="00CF49C5" w:rsidRDefault="00DA41CC" w:rsidP="00DA41CC"/>
    <w:p w14:paraId="4F665003" w14:textId="77777777" w:rsidR="00FA6A1F" w:rsidRPr="000251AA" w:rsidRDefault="00FA6A1F" w:rsidP="00DA41CC">
      <w:r w:rsidRPr="000251AA">
        <w:t xml:space="preserve">We will measure and report on progress </w:t>
      </w:r>
      <w:r>
        <w:t>by</w:t>
      </w:r>
      <w:r w:rsidRPr="000251AA">
        <w:t>:</w:t>
      </w:r>
    </w:p>
    <w:p w14:paraId="4F665004" w14:textId="77777777" w:rsidR="008303C6" w:rsidRDefault="00FA6A1F" w:rsidP="00DA41CC">
      <w:pPr>
        <w:pStyle w:val="Bullet"/>
      </w:pPr>
      <w:r w:rsidRPr="0003439F">
        <w:t xml:space="preserve">publishing data, evidence and research, including clear </w:t>
      </w:r>
      <w:r>
        <w:t xml:space="preserve">accessible </w:t>
      </w:r>
      <w:r w:rsidRPr="0003439F">
        <w:t xml:space="preserve">summaries of key findings. </w:t>
      </w:r>
      <w:r>
        <w:t>We</w:t>
      </w:r>
      <w:r w:rsidRPr="000251AA">
        <w:t xml:space="preserve"> currently publish research and evaluation reports</w:t>
      </w:r>
      <w:r>
        <w:t xml:space="preserve">, clinical service data, prevalence data, as well as information about </w:t>
      </w:r>
      <w:r w:rsidRPr="000251AA">
        <w:t>service</w:t>
      </w:r>
      <w:r>
        <w:t>s on the Gambling webpage of our</w:t>
      </w:r>
      <w:r w:rsidRPr="000251AA">
        <w:t xml:space="preserve"> website</w:t>
      </w:r>
      <w:r>
        <w:t>,</w:t>
      </w:r>
      <w:r w:rsidRPr="000251AA">
        <w:t xml:space="preserve"> at: </w:t>
      </w:r>
      <w:hyperlink r:id="rId38" w:history="1">
        <w:r w:rsidRPr="00CF56A6">
          <w:rPr>
            <w:rStyle w:val="Hyperlink"/>
          </w:rPr>
          <w:t>www.health.govt.nz/our-work/mental-health-and-addiction/addiction/gambling</w:t>
        </w:r>
      </w:hyperlink>
    </w:p>
    <w:p w14:paraId="4F665005" w14:textId="77777777" w:rsidR="00FA6A1F" w:rsidRDefault="00FA6A1F" w:rsidP="00DA41CC">
      <w:pPr>
        <w:pStyle w:val="Bullet"/>
      </w:pPr>
      <w:r w:rsidRPr="000251AA">
        <w:t xml:space="preserve">commissioning and publishing a </w:t>
      </w:r>
      <w:r>
        <w:t>needs assessment</w:t>
      </w:r>
      <w:r w:rsidRPr="000251AA">
        <w:t xml:space="preserve"> every three years. </w:t>
      </w:r>
      <w:r>
        <w:t xml:space="preserve">The next </w:t>
      </w:r>
      <w:r w:rsidRPr="00DD32D8">
        <w:t xml:space="preserve">needs </w:t>
      </w:r>
      <w:r w:rsidRPr="007F69B8">
        <w:t>assessment</w:t>
      </w:r>
      <w:r>
        <w:t>, due to be commissioned in 2023, will consider the impact of the strategy including any of</w:t>
      </w:r>
      <w:r w:rsidRPr="007F69B8">
        <w:t xml:space="preserve"> proposed changes outlined in this </w:t>
      </w:r>
      <w:r>
        <w:t xml:space="preserve">draft that are </w:t>
      </w:r>
      <w:r w:rsidRPr="007F69B8">
        <w:t>adopted.</w:t>
      </w:r>
    </w:p>
    <w:p w14:paraId="4F665006" w14:textId="77777777" w:rsidR="00DA41CC" w:rsidRDefault="00DA41CC" w:rsidP="00DA41CC"/>
    <w:p w14:paraId="4F665007" w14:textId="77777777" w:rsidR="008303C6" w:rsidRDefault="00FA6A1F" w:rsidP="00DA41CC">
      <w:r w:rsidRPr="000251AA">
        <w:t>We will also explore the development of a set of service</w:t>
      </w:r>
      <w:r>
        <w:t>-</w:t>
      </w:r>
      <w:r w:rsidRPr="000251AA">
        <w:t xml:space="preserve"> and system-leve</w:t>
      </w:r>
      <w:r>
        <w:t>l</w:t>
      </w:r>
      <w:r w:rsidRPr="000251AA">
        <w:t xml:space="preserve"> indicators for gambling harm. These </w:t>
      </w:r>
      <w:r>
        <w:t xml:space="preserve">indicators </w:t>
      </w:r>
      <w:r w:rsidRPr="000251AA">
        <w:t>could include rates of harm and service access with an equity lens</w:t>
      </w:r>
      <w:r>
        <w:t>, for example,</w:t>
      </w:r>
      <w:r w:rsidRPr="000251AA">
        <w:t xml:space="preserve"> by population group and geographical location. We do not intend these to be regarded as indicators that measure population outcomes or the experiences of individuals. Th</w:t>
      </w:r>
      <w:r>
        <w:t xml:space="preserve">ey </w:t>
      </w:r>
      <w:r w:rsidRPr="000251AA">
        <w:t>will take account</w:t>
      </w:r>
      <w:r>
        <w:t xml:space="preserve"> of </w:t>
      </w:r>
      <w:r w:rsidRPr="000251AA">
        <w:t xml:space="preserve">work </w:t>
      </w:r>
      <w:r>
        <w:t>currently being done by</w:t>
      </w:r>
      <w:r w:rsidRPr="000251AA">
        <w:t xml:space="preserve"> the Ministry and Mental Health and Wellbeing Commission </w:t>
      </w:r>
      <w:r>
        <w:t>as well as</w:t>
      </w:r>
      <w:r w:rsidRPr="000251AA">
        <w:t xml:space="preserve"> the transformation of the </w:t>
      </w:r>
      <w:r>
        <w:t>h</w:t>
      </w:r>
      <w:r w:rsidRPr="000251AA">
        <w:t xml:space="preserve">ealth and </w:t>
      </w:r>
      <w:r>
        <w:t>d</w:t>
      </w:r>
      <w:r w:rsidRPr="000251AA">
        <w:t xml:space="preserve">isability </w:t>
      </w:r>
      <w:r>
        <w:t>s</w:t>
      </w:r>
      <w:r w:rsidRPr="000251AA">
        <w:t>ystem.</w:t>
      </w:r>
    </w:p>
    <w:p w14:paraId="4F665008" w14:textId="77777777" w:rsidR="00DA41CC" w:rsidRDefault="00DA41CC" w:rsidP="00DA41CC"/>
    <w:p w14:paraId="4F665009" w14:textId="77777777" w:rsidR="00FA6A1F" w:rsidRPr="000251AA" w:rsidRDefault="00FA6A1F" w:rsidP="00DA41CC">
      <w:pPr>
        <w:pStyle w:val="Heading2"/>
      </w:pPr>
      <w:bookmarkStart w:id="98" w:name="_Toc78882284"/>
      <w:bookmarkStart w:id="99" w:name="_Toc80965848"/>
      <w:r w:rsidRPr="000251AA">
        <w:lastRenderedPageBreak/>
        <w:t>Questions for you</w:t>
      </w:r>
      <w:r>
        <w:t xml:space="preserve"> to consider</w:t>
      </w:r>
      <w:bookmarkEnd w:id="98"/>
      <w:bookmarkEnd w:id="99"/>
    </w:p>
    <w:p w14:paraId="4F66500A" w14:textId="77777777" w:rsidR="008303C6" w:rsidRDefault="00DA41CC" w:rsidP="00DA41CC">
      <w:pPr>
        <w:pStyle w:val="Box"/>
        <w:ind w:left="851" w:hanging="567"/>
      </w:pPr>
      <w:bookmarkStart w:id="100" w:name="_Hlk75179961"/>
      <w:r>
        <w:t>1.</w:t>
      </w:r>
      <w:r>
        <w:tab/>
      </w:r>
      <w:r w:rsidR="00FA6A1F" w:rsidRPr="000251AA">
        <w:t>Do you agree with the proposed strategic goal, objective</w:t>
      </w:r>
      <w:r w:rsidR="00FA6A1F">
        <w:t>s</w:t>
      </w:r>
      <w:r w:rsidR="00FA6A1F" w:rsidRPr="000251AA">
        <w:t xml:space="preserve"> and </w:t>
      </w:r>
      <w:r w:rsidR="00FA6A1F">
        <w:t xml:space="preserve">priority </w:t>
      </w:r>
      <w:r w:rsidR="00FA6A1F" w:rsidRPr="000251AA">
        <w:t>action areas?</w:t>
      </w:r>
    </w:p>
    <w:p w14:paraId="4F66500B" w14:textId="77777777" w:rsidR="00FA6A1F" w:rsidRPr="000251AA" w:rsidRDefault="00DA41CC" w:rsidP="00DA41CC">
      <w:pPr>
        <w:pStyle w:val="Box"/>
        <w:ind w:left="851" w:hanging="567"/>
      </w:pPr>
      <w:r>
        <w:t>2.</w:t>
      </w:r>
      <w:r>
        <w:tab/>
      </w:r>
      <w:r w:rsidR="00FA6A1F" w:rsidRPr="000251AA">
        <w:t>Does the draft strategic plan adequately reflect changes in the gambling environment?</w:t>
      </w:r>
    </w:p>
    <w:p w14:paraId="4F66500C" w14:textId="77777777" w:rsidR="00FA6A1F" w:rsidRPr="000251AA" w:rsidRDefault="00DA41CC" w:rsidP="00DA41CC">
      <w:pPr>
        <w:pStyle w:val="Box"/>
        <w:ind w:left="851" w:hanging="567"/>
      </w:pPr>
      <w:r>
        <w:t>3.</w:t>
      </w:r>
      <w:r>
        <w:tab/>
      </w:r>
      <w:r w:rsidR="00FA6A1F" w:rsidRPr="000251AA">
        <w:t>Do you have any comments to make on the priority populations</w:t>
      </w:r>
      <w:r w:rsidR="00FA6A1F">
        <w:t>,</w:t>
      </w:r>
      <w:r w:rsidR="00FA6A1F" w:rsidRPr="000251AA">
        <w:t xml:space="preserve"> including how we will address inequities?</w:t>
      </w:r>
    </w:p>
    <w:p w14:paraId="4F66500D" w14:textId="77777777" w:rsidR="008303C6" w:rsidRDefault="00DA41CC" w:rsidP="00DA41CC">
      <w:pPr>
        <w:pStyle w:val="Box"/>
        <w:ind w:left="851" w:hanging="567"/>
      </w:pPr>
      <w:r>
        <w:t>4.</w:t>
      </w:r>
      <w:r>
        <w:tab/>
      </w:r>
      <w:r w:rsidR="00FA6A1F" w:rsidRPr="000251AA">
        <w:t xml:space="preserve">Do you have any comment to make on the </w:t>
      </w:r>
      <w:r w:rsidR="00FA6A1F">
        <w:t xml:space="preserve">matters under </w:t>
      </w:r>
      <w:r w:rsidR="008303C6">
        <w:t>‘</w:t>
      </w:r>
      <w:r w:rsidR="00FA6A1F">
        <w:t>what needs to change</w:t>
      </w:r>
      <w:r w:rsidR="008303C6">
        <w:t>’</w:t>
      </w:r>
      <w:r w:rsidR="00FA6A1F" w:rsidRPr="000251AA">
        <w:t>?</w:t>
      </w:r>
    </w:p>
    <w:bookmarkEnd w:id="100"/>
    <w:p w14:paraId="4F66500E" w14:textId="77777777" w:rsidR="00FA6A1F" w:rsidRDefault="00FA6A1F" w:rsidP="00DA41CC"/>
    <w:p w14:paraId="4F66500F" w14:textId="77777777" w:rsidR="00FA6A1F" w:rsidRPr="0003777A" w:rsidRDefault="00FA6A1F" w:rsidP="00DA41CC">
      <w:pPr>
        <w:pStyle w:val="Heading1"/>
      </w:pPr>
      <w:bookmarkStart w:id="101" w:name="_3_Draft_service"/>
      <w:bookmarkStart w:id="102" w:name="_Toc71102155"/>
      <w:bookmarkStart w:id="103" w:name="_Toc78882285"/>
      <w:bookmarkStart w:id="104" w:name="_Toc80965849"/>
      <w:bookmarkEnd w:id="101"/>
      <w:r>
        <w:lastRenderedPageBreak/>
        <w:t>3</w:t>
      </w:r>
      <w:r w:rsidRPr="00D70A45">
        <w:tab/>
        <w:t xml:space="preserve">Draft </w:t>
      </w:r>
      <w:r>
        <w:t>s</w:t>
      </w:r>
      <w:r w:rsidRPr="00D70A45">
        <w:t xml:space="preserve">ervice </w:t>
      </w:r>
      <w:r>
        <w:t>p</w:t>
      </w:r>
      <w:r w:rsidRPr="00D70A45">
        <w:t>lan</w:t>
      </w:r>
      <w:bookmarkEnd w:id="102"/>
      <w:r>
        <w:t xml:space="preserve"> </w:t>
      </w:r>
      <w:r w:rsidRPr="00D70A45">
        <w:t>2022/23 to 2024/25</w:t>
      </w:r>
      <w:bookmarkEnd w:id="103"/>
      <w:bookmarkEnd w:id="104"/>
    </w:p>
    <w:p w14:paraId="4F665010" w14:textId="77777777" w:rsidR="00FA6A1F" w:rsidRPr="00483631" w:rsidRDefault="00FA6A1F" w:rsidP="00DA41CC">
      <w:pPr>
        <w:pStyle w:val="Heading2"/>
      </w:pPr>
      <w:bookmarkStart w:id="105" w:name="_Toc71102156"/>
      <w:bookmarkStart w:id="106" w:name="_Toc78882286"/>
      <w:bookmarkStart w:id="107" w:name="_Toc80965850"/>
      <w:r w:rsidRPr="00483631">
        <w:t xml:space="preserve">Purpose of the </w:t>
      </w:r>
      <w:r>
        <w:t>s</w:t>
      </w:r>
      <w:r w:rsidRPr="00483631">
        <w:t xml:space="preserve">ervice </w:t>
      </w:r>
      <w:r>
        <w:t>p</w:t>
      </w:r>
      <w:r w:rsidRPr="00483631">
        <w:t>lan</w:t>
      </w:r>
      <w:bookmarkEnd w:id="105"/>
      <w:bookmarkEnd w:id="106"/>
      <w:bookmarkEnd w:id="107"/>
    </w:p>
    <w:p w14:paraId="4F665011" w14:textId="77777777" w:rsidR="008303C6" w:rsidRDefault="00FA6A1F" w:rsidP="00DA41CC">
      <w:bookmarkStart w:id="108" w:name="_Toc71102157"/>
      <w:r w:rsidRPr="00262521">
        <w:t>This draft service plan sets out the Ministry</w:t>
      </w:r>
      <w:r w:rsidR="008303C6">
        <w:t>’</w:t>
      </w:r>
      <w:r w:rsidRPr="00262521">
        <w:t xml:space="preserve">s service and investment priorities and budgets for the three years from 1 July 2022 to 30 June 2025. </w:t>
      </w:r>
      <w:r>
        <w:t>It builds on progress and lessons taken from the current service plan, the needs assessment and other available research (</w:t>
      </w:r>
      <w:r w:rsidR="000756FF">
        <w:t>r</w:t>
      </w:r>
      <w:r>
        <w:t>efer to Appendix 6 for more information).</w:t>
      </w:r>
    </w:p>
    <w:p w14:paraId="4F665012" w14:textId="77777777" w:rsidR="00DA41CC" w:rsidRDefault="00DA41CC" w:rsidP="00DA41CC"/>
    <w:p w14:paraId="4F665013" w14:textId="77777777" w:rsidR="00FA6A1F" w:rsidRDefault="00FA6A1F" w:rsidP="00DA41CC">
      <w:r>
        <w:t>Societal and cultural change of the kind required to achieve our</w:t>
      </w:r>
      <w:r w:rsidRPr="00483631">
        <w:t xml:space="preserve"> strategic </w:t>
      </w:r>
      <w:r>
        <w:t xml:space="preserve">goal: </w:t>
      </w:r>
      <w:r w:rsidR="008303C6">
        <w:t>‘</w:t>
      </w:r>
      <w:r>
        <w:t>promoting equity and wellbeing by preventing and reducing gambling-related harm</w:t>
      </w:r>
      <w:r w:rsidR="008303C6">
        <w:t>’</w:t>
      </w:r>
      <w:r>
        <w:t>, will take time to impact on our priority populations (Māori, Pacific peoples, Asian peoples and young people / rangatahi); as do changes to enablers such as service models and workforce mix, capacity and capability. However, we acknowledge the findings of the needs assessment that more progress needs to be made in this area, and this draft service plan includes proposed new investments to address identified gaps and priorities.</w:t>
      </w:r>
    </w:p>
    <w:p w14:paraId="4F665014" w14:textId="77777777" w:rsidR="00DA41CC" w:rsidRDefault="00DA41CC" w:rsidP="00DA41CC"/>
    <w:p w14:paraId="4F665015" w14:textId="77777777" w:rsidR="00FA6A1F" w:rsidRDefault="00FA6A1F" w:rsidP="00DA41CC">
      <w:pPr>
        <w:pStyle w:val="Heading2"/>
      </w:pPr>
      <w:bookmarkStart w:id="109" w:name="_Toc78882287"/>
      <w:bookmarkStart w:id="110" w:name="_Toc80965851"/>
      <w:bookmarkEnd w:id="108"/>
      <w:r>
        <w:t>Overview of the service plan and budget</w:t>
      </w:r>
      <w:bookmarkEnd w:id="109"/>
      <w:bookmarkEnd w:id="110"/>
    </w:p>
    <w:p w14:paraId="4F665016" w14:textId="087AE4D2" w:rsidR="00FA6A1F" w:rsidRDefault="00FA6A1F" w:rsidP="00DA41CC">
      <w:r>
        <w:t>This draft service plan outlines an investment package of $67.374 million over three years, which is a proposed increase of $7.035 million from the current levy period. The proposed costs include activities that were planned for the current levy period but were delayed due to impacts from COVID-19 restrictions and contributing to a forecast underspend of $5.602 million approximately. This will be carried forward and spent in the 2022/23</w:t>
      </w:r>
      <w:r w:rsidR="00DA41CC">
        <w:t>–</w:t>
      </w:r>
      <w:r>
        <w:t>2024/25 period.</w:t>
      </w:r>
      <w:r w:rsidRPr="00DA41CC">
        <w:rPr>
          <w:rStyle w:val="FootnoteReference"/>
          <w:rFonts w:eastAsia="MS Gothic"/>
        </w:rPr>
        <w:footnoteReference w:id="15"/>
      </w:r>
      <w:r>
        <w:t xml:space="preserve"> </w:t>
      </w:r>
      <w:r w:rsidR="00DA41CC">
        <w:fldChar w:fldCharType="begin"/>
      </w:r>
      <w:r w:rsidR="00DA41CC">
        <w:instrText xml:space="preserve"> REF _Ref80792225 \h </w:instrText>
      </w:r>
      <w:r w:rsidR="00DA41CC">
        <w:fldChar w:fldCharType="separate"/>
      </w:r>
      <w:r w:rsidR="00F65B3A">
        <w:t>Table </w:t>
      </w:r>
      <w:r w:rsidR="00F65B3A">
        <w:rPr>
          <w:noProof/>
        </w:rPr>
        <w:t>1</w:t>
      </w:r>
      <w:r w:rsidR="00DA41CC">
        <w:fldChar w:fldCharType="end"/>
      </w:r>
      <w:r>
        <w:t xml:space="preserve"> lists the service plan proposals and their relevant action area.</w:t>
      </w:r>
    </w:p>
    <w:p w14:paraId="4F665017" w14:textId="77777777" w:rsidR="00DA41CC" w:rsidRDefault="00DA41CC" w:rsidP="00DA41CC"/>
    <w:p w14:paraId="4F665018" w14:textId="0A58B885" w:rsidR="00FA6A1F" w:rsidRDefault="00DA41CC" w:rsidP="00DA41CC">
      <w:pPr>
        <w:pStyle w:val="Table"/>
        <w:rPr>
          <w:rFonts w:cstheme="minorHAnsi"/>
        </w:rPr>
      </w:pPr>
      <w:bookmarkStart w:id="111" w:name="_Ref80792225"/>
      <w:bookmarkStart w:id="112" w:name="_Toc80860345"/>
      <w:r>
        <w:lastRenderedPageBreak/>
        <w:t>Table </w:t>
      </w:r>
      <w:fldSimple w:instr=" SEQ Table \* ARABIC ">
        <w:r w:rsidR="00F65B3A">
          <w:rPr>
            <w:noProof/>
          </w:rPr>
          <w:t>1</w:t>
        </w:r>
      </w:fldSimple>
      <w:bookmarkEnd w:id="111"/>
      <w:r w:rsidR="00FA6A1F">
        <w:t>: Service plan action areas</w:t>
      </w:r>
      <w:bookmarkEnd w:id="112"/>
    </w:p>
    <w:tbl>
      <w:tblPr>
        <w:tblW w:w="8080" w:type="dxa"/>
        <w:tblInd w:w="57" w:type="dxa"/>
        <w:tblLayout w:type="fixed"/>
        <w:tblCellMar>
          <w:left w:w="57" w:type="dxa"/>
          <w:right w:w="57" w:type="dxa"/>
        </w:tblCellMar>
        <w:tblLook w:val="04A0" w:firstRow="1" w:lastRow="0" w:firstColumn="1" w:lastColumn="0" w:noHBand="0" w:noVBand="1"/>
      </w:tblPr>
      <w:tblGrid>
        <w:gridCol w:w="3256"/>
        <w:gridCol w:w="4824"/>
      </w:tblGrid>
      <w:tr w:rsidR="00FA6A1F" w:rsidRPr="00DA41CC" w14:paraId="4F66501B" w14:textId="77777777" w:rsidTr="00CC0844">
        <w:trPr>
          <w:cantSplit/>
          <w:tblHeader/>
        </w:trPr>
        <w:tc>
          <w:tcPr>
            <w:tcW w:w="3256" w:type="dxa"/>
            <w:shd w:val="clear" w:color="auto" w:fill="D9D9D9" w:themeFill="background1" w:themeFillShade="D9"/>
          </w:tcPr>
          <w:p w14:paraId="4F665019" w14:textId="77777777" w:rsidR="00FA6A1F" w:rsidRPr="00DA41CC" w:rsidRDefault="00FA6A1F" w:rsidP="00DA41CC">
            <w:pPr>
              <w:pStyle w:val="TableText"/>
              <w:keepNext/>
              <w:ind w:right="113"/>
              <w:rPr>
                <w:b/>
              </w:rPr>
            </w:pPr>
            <w:r w:rsidRPr="00DA41CC">
              <w:rPr>
                <w:b/>
              </w:rPr>
              <w:t>Service plan proposal</w:t>
            </w:r>
          </w:p>
        </w:tc>
        <w:tc>
          <w:tcPr>
            <w:tcW w:w="4824" w:type="dxa"/>
            <w:shd w:val="clear" w:color="auto" w:fill="D9D9D9" w:themeFill="background1" w:themeFillShade="D9"/>
          </w:tcPr>
          <w:p w14:paraId="4F66501A" w14:textId="77777777" w:rsidR="00FA6A1F" w:rsidRPr="00DA41CC" w:rsidRDefault="00FA6A1F" w:rsidP="00DA41CC">
            <w:pPr>
              <w:pStyle w:val="TableText"/>
              <w:keepNext/>
              <w:rPr>
                <w:b/>
              </w:rPr>
            </w:pPr>
            <w:r w:rsidRPr="00DA41CC">
              <w:rPr>
                <w:b/>
              </w:rPr>
              <w:t>Action areas</w:t>
            </w:r>
          </w:p>
        </w:tc>
      </w:tr>
      <w:tr w:rsidR="00FA6A1F" w14:paraId="4F665021" w14:textId="77777777" w:rsidTr="00CC0844">
        <w:trPr>
          <w:cantSplit/>
        </w:trPr>
        <w:tc>
          <w:tcPr>
            <w:tcW w:w="3256" w:type="dxa"/>
            <w:tcBorders>
              <w:bottom w:val="single" w:sz="4" w:space="0" w:color="A6A6A6" w:themeColor="background1" w:themeShade="A6"/>
            </w:tcBorders>
          </w:tcPr>
          <w:p w14:paraId="4F66501C" w14:textId="77777777" w:rsidR="00FA6A1F" w:rsidRDefault="00FA6A1F" w:rsidP="00DA41CC">
            <w:pPr>
              <w:pStyle w:val="TableText"/>
              <w:ind w:right="113"/>
            </w:pPr>
            <w:r w:rsidRPr="0003777A">
              <w:t>Design and deliver quality gambling</w:t>
            </w:r>
            <w:r>
              <w:t>-</w:t>
            </w:r>
            <w:r w:rsidRPr="0003777A">
              <w:t>harm minimisation services and supports</w:t>
            </w:r>
          </w:p>
          <w:p w14:paraId="4F66501D" w14:textId="77777777" w:rsidR="00FA6A1F" w:rsidRPr="0003777A" w:rsidRDefault="00FA6A1F" w:rsidP="00DA41CC">
            <w:pPr>
              <w:pStyle w:val="TableText"/>
              <w:ind w:right="113"/>
              <w:rPr>
                <w:sz w:val="20"/>
              </w:rPr>
            </w:pPr>
            <w:r>
              <w:t>A</w:t>
            </w:r>
            <w:r w:rsidRPr="0003777A">
              <w:t xml:space="preserve">ccelerate and spread the development of </w:t>
            </w:r>
            <w:r>
              <w:t>k</w:t>
            </w:r>
            <w:r w:rsidRPr="0003777A">
              <w:t xml:space="preserve">aupapa Māori, </w:t>
            </w:r>
            <w:r>
              <w:t>gambling-</w:t>
            </w:r>
            <w:r w:rsidRPr="0003777A">
              <w:t xml:space="preserve">harm </w:t>
            </w:r>
            <w:r>
              <w:t xml:space="preserve">prevention and </w:t>
            </w:r>
            <w:r w:rsidRPr="0003777A">
              <w:t xml:space="preserve">minimisation services centred </w:t>
            </w:r>
            <w:r>
              <w:t xml:space="preserve">around the </w:t>
            </w:r>
            <w:r w:rsidRPr="0003777A">
              <w:t>whānau and Pacific values-based gambling</w:t>
            </w:r>
            <w:r>
              <w:t>-</w:t>
            </w:r>
            <w:r w:rsidRPr="0003777A">
              <w:t xml:space="preserve">harm </w:t>
            </w:r>
            <w:r>
              <w:t xml:space="preserve">prevention and </w:t>
            </w:r>
            <w:r w:rsidRPr="0003777A">
              <w:t>minimisation services</w:t>
            </w:r>
          </w:p>
        </w:tc>
        <w:tc>
          <w:tcPr>
            <w:tcW w:w="4824" w:type="dxa"/>
            <w:tcBorders>
              <w:bottom w:val="single" w:sz="4" w:space="0" w:color="A6A6A6" w:themeColor="background1" w:themeShade="A6"/>
            </w:tcBorders>
          </w:tcPr>
          <w:p w14:paraId="4F66501E" w14:textId="77777777" w:rsidR="008303C6" w:rsidRDefault="00FA6A1F" w:rsidP="00DA41CC">
            <w:pPr>
              <w:pStyle w:val="TableBullet"/>
            </w:pPr>
            <w:r>
              <w:t>D</w:t>
            </w:r>
            <w:r w:rsidRPr="0003777A">
              <w:t xml:space="preserve">elivering high-quality public health and clinical services with a strengthened focus on service delivery based on </w:t>
            </w:r>
            <w:r>
              <w:t>k</w:t>
            </w:r>
            <w:r w:rsidRPr="0003777A">
              <w:t>aupapa Māori, Pacific and Asian world views</w:t>
            </w:r>
          </w:p>
          <w:p w14:paraId="4F66501F" w14:textId="77777777" w:rsidR="00FA6A1F" w:rsidRPr="0003777A" w:rsidRDefault="00FA6A1F" w:rsidP="00DA41CC">
            <w:pPr>
              <w:pStyle w:val="TableBullet"/>
            </w:pPr>
            <w:r>
              <w:t>E</w:t>
            </w:r>
            <w:r w:rsidRPr="0003777A">
              <w:t>nhancing lived experience representation and input</w:t>
            </w:r>
          </w:p>
          <w:p w14:paraId="4F665020" w14:textId="77777777" w:rsidR="00FA6A1F" w:rsidRPr="0003777A" w:rsidRDefault="00FA6A1F" w:rsidP="00DA41CC">
            <w:pPr>
              <w:pStyle w:val="TableBullet"/>
            </w:pPr>
            <w:r>
              <w:t>E</w:t>
            </w:r>
            <w:r w:rsidRPr="0003777A">
              <w:t>nsuring funding is consistent across gambling</w:t>
            </w:r>
            <w:r>
              <w:t>-</w:t>
            </w:r>
            <w:r w:rsidRPr="0003777A">
              <w:t>harm public health and intervention services to enable sustainabili</w:t>
            </w:r>
            <w:r w:rsidR="00CC0844">
              <w:t>ty</w:t>
            </w:r>
          </w:p>
        </w:tc>
      </w:tr>
      <w:tr w:rsidR="00FA6A1F" w14:paraId="4F665026" w14:textId="77777777" w:rsidTr="00CC0844">
        <w:trPr>
          <w:cantSplit/>
        </w:trPr>
        <w:tc>
          <w:tcPr>
            <w:tcW w:w="3256" w:type="dxa"/>
            <w:tcBorders>
              <w:top w:val="single" w:sz="4" w:space="0" w:color="A6A6A6" w:themeColor="background1" w:themeShade="A6"/>
              <w:bottom w:val="single" w:sz="4" w:space="0" w:color="A6A6A6" w:themeColor="background1" w:themeShade="A6"/>
            </w:tcBorders>
          </w:tcPr>
          <w:p w14:paraId="4F665022" w14:textId="77777777" w:rsidR="00FA6A1F" w:rsidRPr="0003777A" w:rsidRDefault="00FA6A1F" w:rsidP="00DA41CC">
            <w:pPr>
              <w:pStyle w:val="TableText"/>
              <w:ind w:right="113"/>
            </w:pPr>
            <w:r w:rsidRPr="0003777A">
              <w:t>Develop a skilled, enabled and culturally responsive workforce</w:t>
            </w:r>
          </w:p>
        </w:tc>
        <w:tc>
          <w:tcPr>
            <w:tcW w:w="4824" w:type="dxa"/>
            <w:tcBorders>
              <w:top w:val="single" w:sz="4" w:space="0" w:color="A6A6A6" w:themeColor="background1" w:themeShade="A6"/>
              <w:bottom w:val="single" w:sz="4" w:space="0" w:color="A6A6A6" w:themeColor="background1" w:themeShade="A6"/>
            </w:tcBorders>
          </w:tcPr>
          <w:p w14:paraId="4F665023" w14:textId="77777777" w:rsidR="00FA6A1F" w:rsidRPr="0003777A" w:rsidRDefault="00FA6A1F" w:rsidP="00DA41CC">
            <w:pPr>
              <w:pStyle w:val="TableBullet"/>
            </w:pPr>
            <w:r>
              <w:t>E</w:t>
            </w:r>
            <w:r w:rsidRPr="0003777A">
              <w:t>xpanding the peer support workforce</w:t>
            </w:r>
          </w:p>
          <w:p w14:paraId="4F665024" w14:textId="77777777" w:rsidR="00FA6A1F" w:rsidRPr="0003777A" w:rsidRDefault="00FA6A1F" w:rsidP="00DA41CC">
            <w:pPr>
              <w:pStyle w:val="TableBullet"/>
            </w:pPr>
            <w:r>
              <w:t>I</w:t>
            </w:r>
            <w:r w:rsidRPr="0003777A">
              <w:t>nvesting in gambling</w:t>
            </w:r>
            <w:r>
              <w:t>-</w:t>
            </w:r>
            <w:r w:rsidRPr="0003777A">
              <w:t xml:space="preserve">harm workforce development and cultural safety, including scholarships to support access to the workforce for Māori, Pacific </w:t>
            </w:r>
            <w:r>
              <w:t>peoples,</w:t>
            </w:r>
            <w:r w:rsidRPr="0003777A">
              <w:t xml:space="preserve"> Asian people</w:t>
            </w:r>
            <w:r>
              <w:t>s</w:t>
            </w:r>
            <w:r w:rsidRPr="0003777A">
              <w:t>, young people</w:t>
            </w:r>
            <w:r>
              <w:t xml:space="preserve"> </w:t>
            </w:r>
            <w:r w:rsidRPr="0003777A">
              <w:t>/</w:t>
            </w:r>
            <w:r>
              <w:t xml:space="preserve"> </w:t>
            </w:r>
            <w:r w:rsidRPr="0003777A">
              <w:t>rangatahi and people with lived experience of gambling harm</w:t>
            </w:r>
          </w:p>
          <w:p w14:paraId="4F665025" w14:textId="77777777" w:rsidR="00FA6A1F" w:rsidRPr="0003777A" w:rsidRDefault="00FA6A1F" w:rsidP="00DA41CC">
            <w:pPr>
              <w:pStyle w:val="TableBullet"/>
            </w:pPr>
            <w:r>
              <w:t>F</w:t>
            </w:r>
            <w:r w:rsidRPr="0003777A">
              <w:t>unding the development of a pathway for the clinical gambling</w:t>
            </w:r>
            <w:r>
              <w:t>-</w:t>
            </w:r>
            <w:r w:rsidRPr="0003777A">
              <w:t xml:space="preserve">harm workforce to attain New Zealand Qualifications Authority (NZQA) level </w:t>
            </w:r>
            <w:r>
              <w:t>7</w:t>
            </w:r>
            <w:r w:rsidRPr="0003777A">
              <w:t xml:space="preserve"> qualifications that include a gambling</w:t>
            </w:r>
            <w:r>
              <w:t>-</w:t>
            </w:r>
            <w:r w:rsidRPr="0003777A">
              <w:t>harm</w:t>
            </w:r>
            <w:r w:rsidR="00CC0844">
              <w:t xml:space="preserve"> element</w:t>
            </w:r>
          </w:p>
        </w:tc>
      </w:tr>
      <w:tr w:rsidR="00FA6A1F" w14:paraId="4F66502B" w14:textId="77777777" w:rsidTr="00CC0844">
        <w:trPr>
          <w:cantSplit/>
        </w:trPr>
        <w:tc>
          <w:tcPr>
            <w:tcW w:w="3256" w:type="dxa"/>
            <w:tcBorders>
              <w:top w:val="single" w:sz="4" w:space="0" w:color="A6A6A6" w:themeColor="background1" w:themeShade="A6"/>
              <w:bottom w:val="single" w:sz="4" w:space="0" w:color="A6A6A6" w:themeColor="background1" w:themeShade="A6"/>
            </w:tcBorders>
          </w:tcPr>
          <w:p w14:paraId="4F665027" w14:textId="77777777" w:rsidR="008303C6" w:rsidRDefault="00FA6A1F" w:rsidP="00DA41CC">
            <w:pPr>
              <w:pStyle w:val="TableText"/>
              <w:ind w:right="113"/>
            </w:pPr>
            <w:r w:rsidRPr="0003777A">
              <w:t xml:space="preserve">Ensure that people have the information and support to make healthy choices </w:t>
            </w:r>
            <w:r>
              <w:t>about</w:t>
            </w:r>
            <w:r w:rsidRPr="0003777A">
              <w:t xml:space="preserve"> gambling for </w:t>
            </w:r>
            <w:r>
              <w:t xml:space="preserve">both </w:t>
            </w:r>
            <w:r w:rsidRPr="0003777A">
              <w:t>themselves and others</w:t>
            </w:r>
          </w:p>
          <w:p w14:paraId="4F665028" w14:textId="77777777" w:rsidR="00FA6A1F" w:rsidRPr="0003777A" w:rsidRDefault="00FA6A1F" w:rsidP="00DA41CC">
            <w:pPr>
              <w:pStyle w:val="TableText"/>
              <w:ind w:right="113"/>
            </w:pPr>
            <w:r>
              <w:t>R</w:t>
            </w:r>
            <w:r w:rsidRPr="0003777A">
              <w:t xml:space="preserve">educe the stigma attached to gambling harm that prevents </w:t>
            </w:r>
            <w:r>
              <w:t xml:space="preserve">people from </w:t>
            </w:r>
            <w:r w:rsidRPr="0003777A">
              <w:t>accessing services and supports</w:t>
            </w:r>
          </w:p>
        </w:tc>
        <w:tc>
          <w:tcPr>
            <w:tcW w:w="4824" w:type="dxa"/>
            <w:tcBorders>
              <w:top w:val="single" w:sz="4" w:space="0" w:color="A6A6A6" w:themeColor="background1" w:themeShade="A6"/>
              <w:bottom w:val="single" w:sz="4" w:space="0" w:color="A6A6A6" w:themeColor="background1" w:themeShade="A6"/>
            </w:tcBorders>
          </w:tcPr>
          <w:p w14:paraId="4F665029" w14:textId="77777777" w:rsidR="00FA6A1F" w:rsidRDefault="00FA6A1F" w:rsidP="00DA41CC">
            <w:pPr>
              <w:pStyle w:val="TableBullet"/>
            </w:pPr>
            <w:r>
              <w:t>I</w:t>
            </w:r>
            <w:r w:rsidRPr="0003777A">
              <w:t>nvesting in an initiative to address the stigma associated with gambling harm</w:t>
            </w:r>
          </w:p>
          <w:p w14:paraId="4F66502A" w14:textId="77777777" w:rsidR="00FA6A1F" w:rsidRPr="0003777A" w:rsidRDefault="00FA6A1F" w:rsidP="00CC0844">
            <w:pPr>
              <w:pStyle w:val="TableBullet"/>
            </w:pPr>
            <w:r>
              <w:t>C</w:t>
            </w:r>
            <w:r w:rsidRPr="0003777A">
              <w:t>ontinuing to invest in public health services and an e</w:t>
            </w:r>
            <w:r w:rsidR="00CC0844">
              <w:t>ducation and awareness campaign</w:t>
            </w:r>
          </w:p>
        </w:tc>
      </w:tr>
      <w:tr w:rsidR="00FA6A1F" w14:paraId="4F665030" w14:textId="77777777" w:rsidTr="00CC0844">
        <w:trPr>
          <w:cantSplit/>
        </w:trPr>
        <w:tc>
          <w:tcPr>
            <w:tcW w:w="3256" w:type="dxa"/>
            <w:tcBorders>
              <w:top w:val="single" w:sz="4" w:space="0" w:color="A6A6A6" w:themeColor="background1" w:themeShade="A6"/>
              <w:bottom w:val="single" w:sz="4" w:space="0" w:color="A6A6A6" w:themeColor="background1" w:themeShade="A6"/>
            </w:tcBorders>
          </w:tcPr>
          <w:p w14:paraId="4F66502C" w14:textId="77777777" w:rsidR="00FA6A1F" w:rsidRPr="0003777A" w:rsidRDefault="00FA6A1F" w:rsidP="00DA41CC">
            <w:pPr>
              <w:pStyle w:val="TableText"/>
              <w:ind w:right="113"/>
            </w:pPr>
            <w:r w:rsidRPr="0003777A">
              <w:t>Collaborat</w:t>
            </w:r>
            <w:r>
              <w:t>e</w:t>
            </w:r>
            <w:r w:rsidRPr="0003777A">
              <w:t xml:space="preserve"> and co-design with iwi and other Māori organisations; Pacific </w:t>
            </w:r>
            <w:r>
              <w:t>and</w:t>
            </w:r>
            <w:r w:rsidRPr="0003777A">
              <w:t xml:space="preserve"> Asian communities; young people</w:t>
            </w:r>
            <w:r>
              <w:t xml:space="preserve"> </w:t>
            </w:r>
            <w:r w:rsidRPr="0003777A">
              <w:t>/</w:t>
            </w:r>
            <w:r>
              <w:t xml:space="preserve"> </w:t>
            </w:r>
            <w:r w:rsidRPr="0003777A">
              <w:t>rangatahi; and people with lived experience of gambling harm to prevent and minimise gambling harm</w:t>
            </w:r>
          </w:p>
        </w:tc>
        <w:tc>
          <w:tcPr>
            <w:tcW w:w="4824" w:type="dxa"/>
            <w:tcBorders>
              <w:top w:val="single" w:sz="4" w:space="0" w:color="A6A6A6" w:themeColor="background1" w:themeShade="A6"/>
              <w:bottom w:val="single" w:sz="4" w:space="0" w:color="A6A6A6" w:themeColor="background1" w:themeShade="A6"/>
            </w:tcBorders>
          </w:tcPr>
          <w:p w14:paraId="4F66502D" w14:textId="77777777" w:rsidR="00FA6A1F" w:rsidRPr="0003777A" w:rsidRDefault="00FA6A1F" w:rsidP="00DA41CC">
            <w:pPr>
              <w:pStyle w:val="TableBullet"/>
            </w:pPr>
            <w:r>
              <w:t>E</w:t>
            </w:r>
            <w:r w:rsidRPr="0003777A">
              <w:t>nabling meaningful and genuine engagement and relationships between the Crown, iwi and ethnic-specific services</w:t>
            </w:r>
          </w:p>
          <w:p w14:paraId="4F66502E" w14:textId="77777777" w:rsidR="00FA6A1F" w:rsidRPr="0003777A" w:rsidRDefault="00FA6A1F" w:rsidP="00DA41CC">
            <w:pPr>
              <w:pStyle w:val="TableBullet"/>
            </w:pPr>
            <w:r>
              <w:t>C</w:t>
            </w:r>
            <w:r w:rsidRPr="0003777A">
              <w:t>ontinuing to invest in pilots to address inequit</w:t>
            </w:r>
            <w:r>
              <w:t>ies</w:t>
            </w:r>
            <w:r w:rsidRPr="0003777A">
              <w:t>, with a focus on Māori, Pacific peoples and people within isolated rural communities</w:t>
            </w:r>
          </w:p>
          <w:p w14:paraId="4F66502F" w14:textId="77777777" w:rsidR="00FA6A1F" w:rsidRPr="0003777A" w:rsidRDefault="00FA6A1F" w:rsidP="00CC0844">
            <w:pPr>
              <w:pStyle w:val="TableBullet"/>
            </w:pPr>
            <w:r>
              <w:t>U</w:t>
            </w:r>
            <w:r w:rsidRPr="0003777A">
              <w:t>ndertaking Māori and Pacific tenders for Māori and Pacific public health and clinical intervention services (with services to begin on 1</w:t>
            </w:r>
            <w:r w:rsidR="00CC0844">
              <w:t> </w:t>
            </w:r>
            <w:r w:rsidRPr="0003777A">
              <w:t>July 2022). The Ministry will also tender for Asian public health and clinical intervention</w:t>
            </w:r>
            <w:r w:rsidR="00CC0844">
              <w:t xml:space="preserve"> services and general services</w:t>
            </w:r>
          </w:p>
        </w:tc>
      </w:tr>
      <w:tr w:rsidR="00FA6A1F" w14:paraId="4F665034" w14:textId="77777777" w:rsidTr="00CC0844">
        <w:trPr>
          <w:cantSplit/>
        </w:trPr>
        <w:tc>
          <w:tcPr>
            <w:tcW w:w="3256" w:type="dxa"/>
            <w:tcBorders>
              <w:top w:val="single" w:sz="4" w:space="0" w:color="A6A6A6" w:themeColor="background1" w:themeShade="A6"/>
              <w:bottom w:val="single" w:sz="4" w:space="0" w:color="A6A6A6" w:themeColor="background1" w:themeShade="A6"/>
            </w:tcBorders>
          </w:tcPr>
          <w:p w14:paraId="4F665031" w14:textId="77777777" w:rsidR="00FA6A1F" w:rsidRPr="0003777A" w:rsidRDefault="00FA6A1F" w:rsidP="00DA41CC">
            <w:pPr>
              <w:pStyle w:val="TableText"/>
              <w:ind w:right="113"/>
            </w:pPr>
            <w:r w:rsidRPr="0003777A">
              <w:t>Support health</w:t>
            </w:r>
            <w:r>
              <w:t>y</w:t>
            </w:r>
            <w:r w:rsidRPr="0003777A">
              <w:t xml:space="preserve"> polic</w:t>
            </w:r>
            <w:r>
              <w:t>ies</w:t>
            </w:r>
            <w:r w:rsidRPr="0003777A">
              <w:t xml:space="preserve"> at national, regional and local levels that prevent and minimise gambling harm</w:t>
            </w:r>
          </w:p>
        </w:tc>
        <w:tc>
          <w:tcPr>
            <w:tcW w:w="4824" w:type="dxa"/>
            <w:tcBorders>
              <w:top w:val="single" w:sz="4" w:space="0" w:color="A6A6A6" w:themeColor="background1" w:themeShade="A6"/>
              <w:bottom w:val="single" w:sz="4" w:space="0" w:color="A6A6A6" w:themeColor="background1" w:themeShade="A6"/>
            </w:tcBorders>
          </w:tcPr>
          <w:p w14:paraId="4F665032" w14:textId="77777777" w:rsidR="00FA6A1F" w:rsidRPr="0003777A" w:rsidRDefault="00FA6A1F" w:rsidP="00DA41CC">
            <w:pPr>
              <w:pStyle w:val="TableBullet"/>
            </w:pPr>
            <w:r>
              <w:t>D</w:t>
            </w:r>
            <w:r w:rsidRPr="0003777A">
              <w:t>eveloping strong gambling</w:t>
            </w:r>
            <w:r>
              <w:t>-</w:t>
            </w:r>
            <w:r w:rsidRPr="0003777A">
              <w:t>harm sector leadership and stakeholder relationships by promoting collaboration within and across the gambling</w:t>
            </w:r>
            <w:r>
              <w:t>-</w:t>
            </w:r>
            <w:r w:rsidRPr="0003777A">
              <w:t>harm sector, the gambling industry and government</w:t>
            </w:r>
            <w:r>
              <w:t xml:space="preserve"> (t</w:t>
            </w:r>
            <w:r w:rsidRPr="0003777A">
              <w:t xml:space="preserve">his will include an </w:t>
            </w:r>
            <w:r>
              <w:t>i</w:t>
            </w:r>
            <w:r w:rsidRPr="0003777A">
              <w:t xml:space="preserve">nternational </w:t>
            </w:r>
            <w:r>
              <w:t>g</w:t>
            </w:r>
            <w:r w:rsidRPr="0003777A">
              <w:t xml:space="preserve">ambling </w:t>
            </w:r>
            <w:r>
              <w:t>c</w:t>
            </w:r>
            <w:r w:rsidRPr="0003777A">
              <w:t xml:space="preserve">onference and </w:t>
            </w:r>
            <w:r>
              <w:t>t</w:t>
            </w:r>
            <w:r w:rsidRPr="0003777A">
              <w:t xml:space="preserve">hink </w:t>
            </w:r>
            <w:r>
              <w:t>t</w:t>
            </w:r>
            <w:r w:rsidRPr="0003777A">
              <w:t>ank, sector hui and communication of accessible research and evaluation findings</w:t>
            </w:r>
            <w:r>
              <w:t>)</w:t>
            </w:r>
          </w:p>
          <w:p w14:paraId="4F665033" w14:textId="77777777" w:rsidR="00FA6A1F" w:rsidRPr="0003777A" w:rsidRDefault="00FA6A1F" w:rsidP="00DA41CC">
            <w:pPr>
              <w:pStyle w:val="TableBullet"/>
            </w:pPr>
            <w:r>
              <w:t>F</w:t>
            </w:r>
            <w:r w:rsidRPr="0003777A">
              <w:t xml:space="preserve">unding public health services to include policy development and implementation, working with </w:t>
            </w:r>
            <w:r w:rsidR="00CC0844">
              <w:t>local communities and agencies</w:t>
            </w:r>
          </w:p>
        </w:tc>
      </w:tr>
      <w:tr w:rsidR="00FA6A1F" w14:paraId="4F665038" w14:textId="77777777" w:rsidTr="00CC0844">
        <w:trPr>
          <w:cantSplit/>
        </w:trPr>
        <w:tc>
          <w:tcPr>
            <w:tcW w:w="3256" w:type="dxa"/>
            <w:tcBorders>
              <w:top w:val="single" w:sz="4" w:space="0" w:color="A6A6A6" w:themeColor="background1" w:themeShade="A6"/>
              <w:bottom w:val="single" w:sz="4" w:space="0" w:color="A6A6A6" w:themeColor="background1" w:themeShade="A6"/>
            </w:tcBorders>
          </w:tcPr>
          <w:p w14:paraId="4F665035" w14:textId="77777777" w:rsidR="00FA6A1F" w:rsidRPr="0003777A" w:rsidRDefault="00FA6A1F" w:rsidP="00DA41CC">
            <w:pPr>
              <w:pStyle w:val="TableText"/>
              <w:ind w:right="113"/>
            </w:pPr>
            <w:r w:rsidRPr="0003777A">
              <w:lastRenderedPageBreak/>
              <w:t>Commission and use research and evidence</w:t>
            </w:r>
          </w:p>
        </w:tc>
        <w:tc>
          <w:tcPr>
            <w:tcW w:w="4824" w:type="dxa"/>
            <w:tcBorders>
              <w:top w:val="single" w:sz="4" w:space="0" w:color="A6A6A6" w:themeColor="background1" w:themeShade="A6"/>
              <w:bottom w:val="single" w:sz="4" w:space="0" w:color="A6A6A6" w:themeColor="background1" w:themeShade="A6"/>
            </w:tcBorders>
          </w:tcPr>
          <w:p w14:paraId="4F665036" w14:textId="77777777" w:rsidR="00FA6A1F" w:rsidRPr="0003777A" w:rsidRDefault="00FA6A1F" w:rsidP="00DA41CC">
            <w:pPr>
              <w:pStyle w:val="TableBullet"/>
            </w:pPr>
            <w:r>
              <w:t>C</w:t>
            </w:r>
            <w:r w:rsidRPr="0003777A">
              <w:t>ontinuing the new service and innovation pilots and appl</w:t>
            </w:r>
            <w:r>
              <w:t>ying</w:t>
            </w:r>
            <w:r w:rsidRPr="0003777A">
              <w:t xml:space="preserve"> evaluation findings to expand our service mix to provide more accessible and equitable services and supports</w:t>
            </w:r>
          </w:p>
          <w:p w14:paraId="4F665037" w14:textId="77777777" w:rsidR="00FA6A1F" w:rsidRPr="0003777A" w:rsidRDefault="00FA6A1F" w:rsidP="00DA41CC">
            <w:pPr>
              <w:pStyle w:val="TableBullet"/>
            </w:pPr>
            <w:r>
              <w:t>F</w:t>
            </w:r>
            <w:r w:rsidRPr="0003777A">
              <w:t xml:space="preserve">unding a research and evaluation programme and ensuring the dissemination </w:t>
            </w:r>
            <w:r w:rsidR="00DA41CC">
              <w:t>of accessible data and evidence</w:t>
            </w:r>
          </w:p>
        </w:tc>
      </w:tr>
    </w:tbl>
    <w:p w14:paraId="4F665039" w14:textId="77777777" w:rsidR="00DA41CC" w:rsidRDefault="00DA41CC" w:rsidP="00CC0844"/>
    <w:p w14:paraId="4F66503A" w14:textId="77777777" w:rsidR="00FA6A1F" w:rsidRPr="007F4B4C" w:rsidRDefault="00FA6A1F" w:rsidP="00CC0844">
      <w:pPr>
        <w:pStyle w:val="Heading2"/>
      </w:pPr>
      <w:bookmarkStart w:id="113" w:name="_Toc78882288"/>
      <w:bookmarkStart w:id="114" w:name="_Toc71102162"/>
      <w:bookmarkStart w:id="115" w:name="_Toc71102171"/>
      <w:bookmarkStart w:id="116" w:name="_Toc80965852"/>
      <w:r w:rsidRPr="00483631">
        <w:t xml:space="preserve">Indicative </w:t>
      </w:r>
      <w:bookmarkStart w:id="117" w:name="_Toc156877681"/>
      <w:r w:rsidRPr="00483631">
        <w:t>budget for 2022/23 to 2024/25</w:t>
      </w:r>
      <w:bookmarkEnd w:id="113"/>
      <w:bookmarkEnd w:id="116"/>
    </w:p>
    <w:p w14:paraId="4F66503B" w14:textId="77777777" w:rsidR="008303C6" w:rsidRDefault="00FA6A1F" w:rsidP="00CC0844">
      <w:r>
        <w:t>The draft service plan outlines the services that the Ministry considers it will require for the 2022/23 to 2024/25 levy period to make further progress towards the strategy</w:t>
      </w:r>
      <w:r w:rsidR="008303C6">
        <w:t>’</w:t>
      </w:r>
      <w:r>
        <w:t>s objectives. The plan also sets out the estimated costs of providing the activities to prevent and minimise gambling harm.</w:t>
      </w:r>
    </w:p>
    <w:p w14:paraId="4F66503C" w14:textId="77777777" w:rsidR="00CC0844" w:rsidRDefault="00CC0844" w:rsidP="00CC0844"/>
    <w:p w14:paraId="4F66503D" w14:textId="77777777" w:rsidR="00FA6A1F" w:rsidRDefault="00FA6A1F" w:rsidP="00CC0844">
      <w:r>
        <w:t>These costs cover the four nominal budget areas, plus a line item for new services and innovation pilots:</w:t>
      </w:r>
    </w:p>
    <w:p w14:paraId="4F66503E" w14:textId="77777777" w:rsidR="00FA6A1F" w:rsidRPr="00483631" w:rsidRDefault="00FA6A1F" w:rsidP="00CC0844">
      <w:pPr>
        <w:pStyle w:val="Bullet"/>
      </w:pPr>
      <w:r w:rsidRPr="00483631">
        <w:t>public health services</w:t>
      </w:r>
    </w:p>
    <w:p w14:paraId="4F66503F" w14:textId="77777777" w:rsidR="00FA6A1F" w:rsidRPr="00483631" w:rsidRDefault="00FA6A1F" w:rsidP="00CC0844">
      <w:pPr>
        <w:pStyle w:val="Bullet"/>
      </w:pPr>
      <w:r>
        <w:t xml:space="preserve">clinical </w:t>
      </w:r>
      <w:r w:rsidRPr="00483631">
        <w:t xml:space="preserve">intervention </w:t>
      </w:r>
      <w:r>
        <w:t xml:space="preserve">and support </w:t>
      </w:r>
      <w:r w:rsidRPr="00483631">
        <w:t>services</w:t>
      </w:r>
    </w:p>
    <w:p w14:paraId="4F665040" w14:textId="77777777" w:rsidR="008303C6" w:rsidRDefault="00FA6A1F" w:rsidP="00CC0844">
      <w:pPr>
        <w:pStyle w:val="Bullet"/>
      </w:pPr>
      <w:r w:rsidRPr="00483631">
        <w:t>research and evaluation</w:t>
      </w:r>
    </w:p>
    <w:p w14:paraId="4F665041" w14:textId="77777777" w:rsidR="008303C6" w:rsidRDefault="00FA6A1F" w:rsidP="00CC0844">
      <w:pPr>
        <w:pStyle w:val="Bullet"/>
      </w:pPr>
      <w:r w:rsidRPr="0003777A">
        <w:t>new services, innovation pilots and investments</w:t>
      </w:r>
    </w:p>
    <w:p w14:paraId="4F665042" w14:textId="77777777" w:rsidR="00FA6A1F" w:rsidRPr="00483631" w:rsidRDefault="00FA6A1F" w:rsidP="00CC0844">
      <w:pPr>
        <w:pStyle w:val="Bullet"/>
      </w:pPr>
      <w:r w:rsidRPr="00483631">
        <w:t>Ministry operating costs.</w:t>
      </w:r>
    </w:p>
    <w:bookmarkEnd w:id="117"/>
    <w:p w14:paraId="4F665043" w14:textId="77777777" w:rsidR="00CC0844" w:rsidRDefault="00CC0844" w:rsidP="00CC0844"/>
    <w:p w14:paraId="4F665044" w14:textId="378E54AE" w:rsidR="008303C6" w:rsidRDefault="00CC0844" w:rsidP="00CC0844">
      <w:r>
        <w:fldChar w:fldCharType="begin"/>
      </w:r>
      <w:r>
        <w:instrText xml:space="preserve"> REF _Ref80792473 \h </w:instrText>
      </w:r>
      <w:r>
        <w:fldChar w:fldCharType="separate"/>
      </w:r>
      <w:r w:rsidR="00F65B3A">
        <w:t>Table </w:t>
      </w:r>
      <w:r w:rsidR="00F65B3A">
        <w:rPr>
          <w:noProof/>
        </w:rPr>
        <w:t>2</w:t>
      </w:r>
      <w:r>
        <w:fldChar w:fldCharType="end"/>
      </w:r>
      <w:r w:rsidR="00FA6A1F">
        <w:t xml:space="preserve"> below shows the budgeted costs for 2022/23 to 2024/25.</w:t>
      </w:r>
    </w:p>
    <w:p w14:paraId="4F665045" w14:textId="77777777" w:rsidR="00CC0844" w:rsidRDefault="00CC0844" w:rsidP="00CC0844"/>
    <w:p w14:paraId="4F665046" w14:textId="40311E36" w:rsidR="00FA6A1F" w:rsidRDefault="00CC0844" w:rsidP="00CC0844">
      <w:pPr>
        <w:pStyle w:val="Table"/>
      </w:pPr>
      <w:bookmarkStart w:id="118" w:name="_Ref80792473"/>
      <w:bookmarkStart w:id="119" w:name="_Toc8398933"/>
      <w:bookmarkStart w:id="120" w:name="_Toc4156633"/>
      <w:bookmarkStart w:id="121" w:name="_Toc80860346"/>
      <w:r>
        <w:t>Table </w:t>
      </w:r>
      <w:fldSimple w:instr=" SEQ Table \* ARABIC ">
        <w:r w:rsidR="00F65B3A">
          <w:rPr>
            <w:noProof/>
          </w:rPr>
          <w:t>2</w:t>
        </w:r>
      </w:fldSimple>
      <w:bookmarkEnd w:id="118"/>
      <w:r w:rsidR="00FA6A1F">
        <w:t>: Budget to prevent and minimise gambling harm (GST exclusive), 2022/23 to 2024/</w:t>
      </w:r>
      <w:bookmarkEnd w:id="119"/>
      <w:bookmarkEnd w:id="120"/>
      <w:r w:rsidR="00FA6A1F">
        <w:t>25</w:t>
      </w:r>
      <w:bookmarkEnd w:id="121"/>
    </w:p>
    <w:tbl>
      <w:tblPr>
        <w:tblW w:w="8080" w:type="dxa"/>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3969"/>
        <w:gridCol w:w="1027"/>
        <w:gridCol w:w="1028"/>
        <w:gridCol w:w="1028"/>
        <w:gridCol w:w="1028"/>
      </w:tblGrid>
      <w:tr w:rsidR="00FA6A1F" w:rsidRPr="00CC0844" w14:paraId="4F66504C" w14:textId="77777777" w:rsidTr="00CC0844">
        <w:trPr>
          <w:cantSplit/>
        </w:trPr>
        <w:tc>
          <w:tcPr>
            <w:tcW w:w="3969" w:type="dxa"/>
            <w:tcBorders>
              <w:top w:val="nil"/>
              <w:left w:val="nil"/>
              <w:bottom w:val="nil"/>
              <w:right w:val="nil"/>
            </w:tcBorders>
            <w:shd w:val="clear" w:color="auto" w:fill="D9D9D9" w:themeFill="background1" w:themeFillShade="D9"/>
            <w:noWrap/>
            <w:hideMark/>
          </w:tcPr>
          <w:p w14:paraId="4F665047" w14:textId="77777777" w:rsidR="00FA6A1F" w:rsidRPr="00CC0844" w:rsidRDefault="00FA6A1F" w:rsidP="00CC0844">
            <w:pPr>
              <w:pStyle w:val="TableText"/>
              <w:rPr>
                <w:b/>
              </w:rPr>
            </w:pPr>
            <w:r w:rsidRPr="00CC0844">
              <w:rPr>
                <w:b/>
              </w:rPr>
              <w:t>Service area</w:t>
            </w:r>
          </w:p>
        </w:tc>
        <w:tc>
          <w:tcPr>
            <w:tcW w:w="1027" w:type="dxa"/>
            <w:tcBorders>
              <w:top w:val="nil"/>
              <w:left w:val="nil"/>
              <w:bottom w:val="nil"/>
              <w:right w:val="nil"/>
            </w:tcBorders>
            <w:shd w:val="clear" w:color="auto" w:fill="D9D9D9" w:themeFill="background1" w:themeFillShade="D9"/>
            <w:noWrap/>
            <w:hideMark/>
          </w:tcPr>
          <w:p w14:paraId="4F665048" w14:textId="77777777" w:rsidR="00FA6A1F" w:rsidRPr="00CC0844" w:rsidRDefault="00FA6A1F" w:rsidP="00CC0844">
            <w:pPr>
              <w:pStyle w:val="TableText"/>
              <w:jc w:val="center"/>
              <w:rPr>
                <w:b/>
              </w:rPr>
            </w:pPr>
            <w:r w:rsidRPr="00CC0844">
              <w:rPr>
                <w:b/>
              </w:rPr>
              <w:t>2022/23</w:t>
            </w:r>
            <w:r w:rsidRPr="00CC0844">
              <w:rPr>
                <w:b/>
              </w:rPr>
              <w:br/>
              <w:t>($m)</w:t>
            </w:r>
          </w:p>
        </w:tc>
        <w:tc>
          <w:tcPr>
            <w:tcW w:w="1028" w:type="dxa"/>
            <w:tcBorders>
              <w:top w:val="nil"/>
              <w:left w:val="nil"/>
              <w:bottom w:val="nil"/>
              <w:right w:val="nil"/>
            </w:tcBorders>
            <w:shd w:val="clear" w:color="auto" w:fill="D9D9D9" w:themeFill="background1" w:themeFillShade="D9"/>
            <w:noWrap/>
            <w:hideMark/>
          </w:tcPr>
          <w:p w14:paraId="4F665049" w14:textId="77777777" w:rsidR="00FA6A1F" w:rsidRPr="00CC0844" w:rsidRDefault="00FA6A1F" w:rsidP="00CC0844">
            <w:pPr>
              <w:pStyle w:val="TableText"/>
              <w:jc w:val="center"/>
              <w:rPr>
                <w:b/>
              </w:rPr>
            </w:pPr>
            <w:r w:rsidRPr="00CC0844">
              <w:rPr>
                <w:b/>
              </w:rPr>
              <w:t>2023/24</w:t>
            </w:r>
            <w:r w:rsidRPr="00CC0844">
              <w:rPr>
                <w:b/>
              </w:rPr>
              <w:br/>
              <w:t>($m)</w:t>
            </w:r>
          </w:p>
        </w:tc>
        <w:tc>
          <w:tcPr>
            <w:tcW w:w="1028" w:type="dxa"/>
            <w:tcBorders>
              <w:top w:val="nil"/>
              <w:left w:val="nil"/>
              <w:bottom w:val="nil"/>
              <w:right w:val="nil"/>
            </w:tcBorders>
            <w:shd w:val="clear" w:color="auto" w:fill="D9D9D9" w:themeFill="background1" w:themeFillShade="D9"/>
            <w:noWrap/>
            <w:hideMark/>
          </w:tcPr>
          <w:p w14:paraId="4F66504A" w14:textId="77777777" w:rsidR="00FA6A1F" w:rsidRPr="00CC0844" w:rsidRDefault="00FA6A1F" w:rsidP="00CC0844">
            <w:pPr>
              <w:pStyle w:val="TableText"/>
              <w:jc w:val="center"/>
              <w:rPr>
                <w:b/>
              </w:rPr>
            </w:pPr>
            <w:r w:rsidRPr="00CC0844">
              <w:rPr>
                <w:b/>
              </w:rPr>
              <w:t>2024/25</w:t>
            </w:r>
            <w:r w:rsidRPr="00CC0844">
              <w:rPr>
                <w:b/>
              </w:rPr>
              <w:br/>
              <w:t>($m)</w:t>
            </w:r>
          </w:p>
        </w:tc>
        <w:tc>
          <w:tcPr>
            <w:tcW w:w="1028" w:type="dxa"/>
            <w:tcBorders>
              <w:top w:val="nil"/>
              <w:left w:val="nil"/>
              <w:bottom w:val="nil"/>
              <w:right w:val="nil"/>
            </w:tcBorders>
            <w:shd w:val="clear" w:color="auto" w:fill="D9D9D9" w:themeFill="background1" w:themeFillShade="D9"/>
            <w:hideMark/>
          </w:tcPr>
          <w:p w14:paraId="4F66504B" w14:textId="77777777" w:rsidR="00FA6A1F" w:rsidRPr="00CC0844" w:rsidRDefault="00FA6A1F" w:rsidP="00CC0844">
            <w:pPr>
              <w:pStyle w:val="TableText"/>
              <w:jc w:val="center"/>
              <w:rPr>
                <w:b/>
              </w:rPr>
            </w:pPr>
            <w:r w:rsidRPr="00CC0844">
              <w:rPr>
                <w:b/>
              </w:rPr>
              <w:t>Total</w:t>
            </w:r>
            <w:r w:rsidRPr="00CC0844">
              <w:rPr>
                <w:b/>
              </w:rPr>
              <w:br/>
              <w:t>($m)</w:t>
            </w:r>
          </w:p>
        </w:tc>
      </w:tr>
      <w:tr w:rsidR="00FA6A1F" w14:paraId="4F665052" w14:textId="77777777" w:rsidTr="00CC0844">
        <w:trPr>
          <w:cantSplit/>
        </w:trPr>
        <w:tc>
          <w:tcPr>
            <w:tcW w:w="3969" w:type="dxa"/>
            <w:tcBorders>
              <w:top w:val="nil"/>
              <w:left w:val="nil"/>
              <w:bottom w:val="single" w:sz="4" w:space="0" w:color="A6A6A6" w:themeColor="background1" w:themeShade="A6"/>
              <w:right w:val="nil"/>
            </w:tcBorders>
            <w:noWrap/>
            <w:hideMark/>
          </w:tcPr>
          <w:p w14:paraId="4F66504D" w14:textId="77777777" w:rsidR="00FA6A1F" w:rsidRDefault="00FA6A1F" w:rsidP="00CC0844">
            <w:pPr>
              <w:pStyle w:val="TableText"/>
            </w:pPr>
            <w:r>
              <w:t>Public health services (harm prevention and minimisation)</w:t>
            </w:r>
          </w:p>
        </w:tc>
        <w:tc>
          <w:tcPr>
            <w:tcW w:w="1027" w:type="dxa"/>
            <w:tcBorders>
              <w:top w:val="nil"/>
              <w:left w:val="nil"/>
              <w:bottom w:val="single" w:sz="4" w:space="0" w:color="A6A6A6" w:themeColor="background1" w:themeShade="A6"/>
              <w:right w:val="nil"/>
            </w:tcBorders>
            <w:shd w:val="clear" w:color="auto" w:fill="FFFFFF"/>
            <w:noWrap/>
            <w:hideMark/>
          </w:tcPr>
          <w:p w14:paraId="4F66504E" w14:textId="77777777" w:rsidR="00FA6A1F" w:rsidRDefault="00FA6A1F" w:rsidP="00CC0844">
            <w:pPr>
              <w:pStyle w:val="TableText"/>
              <w:tabs>
                <w:tab w:val="decimal" w:pos="397"/>
              </w:tabs>
              <w:rPr>
                <w:rFonts w:eastAsia="Arial Unicode MS"/>
                <w:lang w:eastAsia="en-NZ"/>
              </w:rPr>
            </w:pPr>
            <w:r>
              <w:rPr>
                <w:rFonts w:eastAsia="Arial Unicode MS"/>
                <w:lang w:eastAsia="en-NZ"/>
              </w:rPr>
              <w:t>7.168</w:t>
            </w:r>
          </w:p>
        </w:tc>
        <w:tc>
          <w:tcPr>
            <w:tcW w:w="1028" w:type="dxa"/>
            <w:tcBorders>
              <w:top w:val="nil"/>
              <w:left w:val="nil"/>
              <w:bottom w:val="single" w:sz="4" w:space="0" w:color="A6A6A6" w:themeColor="background1" w:themeShade="A6"/>
              <w:right w:val="nil"/>
            </w:tcBorders>
            <w:shd w:val="clear" w:color="auto" w:fill="FFFFFF"/>
            <w:noWrap/>
            <w:hideMark/>
          </w:tcPr>
          <w:p w14:paraId="4F66504F" w14:textId="77777777" w:rsidR="00FA6A1F" w:rsidRDefault="00FA6A1F" w:rsidP="00CC0844">
            <w:pPr>
              <w:pStyle w:val="TableText"/>
              <w:tabs>
                <w:tab w:val="decimal" w:pos="397"/>
              </w:tabs>
              <w:rPr>
                <w:rFonts w:eastAsia="Arial Unicode MS"/>
                <w:lang w:eastAsia="en-NZ"/>
              </w:rPr>
            </w:pPr>
            <w:r>
              <w:rPr>
                <w:rFonts w:eastAsia="Arial Unicode MS"/>
                <w:lang w:eastAsia="en-NZ"/>
              </w:rPr>
              <w:t>7.490</w:t>
            </w:r>
          </w:p>
        </w:tc>
        <w:tc>
          <w:tcPr>
            <w:tcW w:w="1028" w:type="dxa"/>
            <w:tcBorders>
              <w:top w:val="nil"/>
              <w:left w:val="nil"/>
              <w:bottom w:val="single" w:sz="4" w:space="0" w:color="A6A6A6" w:themeColor="background1" w:themeShade="A6"/>
              <w:right w:val="nil"/>
            </w:tcBorders>
            <w:shd w:val="clear" w:color="auto" w:fill="FFFFFF"/>
            <w:noWrap/>
            <w:hideMark/>
          </w:tcPr>
          <w:p w14:paraId="4F665050" w14:textId="77777777" w:rsidR="00FA6A1F" w:rsidRDefault="00FA6A1F" w:rsidP="00CC0844">
            <w:pPr>
              <w:pStyle w:val="TableText"/>
              <w:tabs>
                <w:tab w:val="decimal" w:pos="397"/>
              </w:tabs>
              <w:rPr>
                <w:rFonts w:eastAsia="Arial Unicode MS"/>
                <w:lang w:eastAsia="en-NZ"/>
              </w:rPr>
            </w:pPr>
            <w:r>
              <w:rPr>
                <w:rFonts w:eastAsia="Arial Unicode MS"/>
                <w:lang w:eastAsia="en-NZ"/>
              </w:rPr>
              <w:t>7.482</w:t>
            </w:r>
          </w:p>
        </w:tc>
        <w:tc>
          <w:tcPr>
            <w:tcW w:w="1028" w:type="dxa"/>
            <w:tcBorders>
              <w:top w:val="nil"/>
              <w:left w:val="nil"/>
              <w:bottom w:val="single" w:sz="4" w:space="0" w:color="A6A6A6" w:themeColor="background1" w:themeShade="A6"/>
              <w:right w:val="nil"/>
            </w:tcBorders>
            <w:shd w:val="clear" w:color="auto" w:fill="FFFFFF"/>
            <w:hideMark/>
          </w:tcPr>
          <w:p w14:paraId="4F665051" w14:textId="77777777" w:rsidR="00FA6A1F" w:rsidRDefault="00FA6A1F" w:rsidP="00CC0844">
            <w:pPr>
              <w:pStyle w:val="TableText"/>
              <w:tabs>
                <w:tab w:val="decimal" w:pos="397"/>
              </w:tabs>
              <w:rPr>
                <w:rFonts w:eastAsia="Arial Unicode MS"/>
                <w:lang w:eastAsia="en-NZ"/>
              </w:rPr>
            </w:pPr>
            <w:r>
              <w:rPr>
                <w:rFonts w:eastAsia="Arial Unicode MS"/>
                <w:lang w:eastAsia="en-NZ"/>
              </w:rPr>
              <w:t>22.140</w:t>
            </w:r>
          </w:p>
        </w:tc>
      </w:tr>
      <w:tr w:rsidR="00FA6A1F" w14:paraId="4F665058" w14:textId="77777777" w:rsidTr="00CC0844">
        <w:trPr>
          <w:cantSplit/>
        </w:trPr>
        <w:tc>
          <w:tcPr>
            <w:tcW w:w="3969" w:type="dxa"/>
            <w:tcBorders>
              <w:top w:val="single" w:sz="4" w:space="0" w:color="A6A6A6" w:themeColor="background1" w:themeShade="A6"/>
              <w:left w:val="nil"/>
              <w:bottom w:val="single" w:sz="4" w:space="0" w:color="A6A6A6" w:themeColor="background1" w:themeShade="A6"/>
              <w:right w:val="nil"/>
            </w:tcBorders>
            <w:noWrap/>
            <w:hideMark/>
          </w:tcPr>
          <w:p w14:paraId="4F665053" w14:textId="77777777" w:rsidR="00FA6A1F" w:rsidRDefault="00FA6A1F" w:rsidP="00CC0844">
            <w:pPr>
              <w:pStyle w:val="TableText"/>
            </w:pPr>
            <w:r>
              <w:t>Clinical intervention and support services (to treat and help problem gamblers and their families and whānau)</w:t>
            </w:r>
          </w:p>
        </w:tc>
        <w:tc>
          <w:tcPr>
            <w:tcW w:w="1027" w:type="dxa"/>
            <w:tcBorders>
              <w:top w:val="single" w:sz="4" w:space="0" w:color="A6A6A6" w:themeColor="background1" w:themeShade="A6"/>
              <w:left w:val="nil"/>
              <w:bottom w:val="single" w:sz="4" w:space="0" w:color="A6A6A6" w:themeColor="background1" w:themeShade="A6"/>
              <w:right w:val="nil"/>
            </w:tcBorders>
            <w:noWrap/>
            <w:hideMark/>
          </w:tcPr>
          <w:p w14:paraId="4F665054" w14:textId="77777777" w:rsidR="00FA6A1F" w:rsidRDefault="00FA6A1F" w:rsidP="00CC0844">
            <w:pPr>
              <w:pStyle w:val="TableText"/>
              <w:tabs>
                <w:tab w:val="decimal" w:pos="397"/>
              </w:tabs>
              <w:rPr>
                <w:rFonts w:eastAsia="Arial Unicode MS"/>
                <w:lang w:eastAsia="en-NZ"/>
              </w:rPr>
            </w:pPr>
            <w:r w:rsidRPr="00FF5A23">
              <w:rPr>
                <w:rFonts w:eastAsia="Arial Unicode MS"/>
                <w:lang w:eastAsia="en-NZ"/>
              </w:rPr>
              <w:t>10.571</w:t>
            </w:r>
          </w:p>
        </w:tc>
        <w:tc>
          <w:tcPr>
            <w:tcW w:w="1028" w:type="dxa"/>
            <w:tcBorders>
              <w:top w:val="single" w:sz="4" w:space="0" w:color="A6A6A6" w:themeColor="background1" w:themeShade="A6"/>
              <w:left w:val="nil"/>
              <w:bottom w:val="single" w:sz="4" w:space="0" w:color="A6A6A6" w:themeColor="background1" w:themeShade="A6"/>
              <w:right w:val="nil"/>
            </w:tcBorders>
            <w:noWrap/>
            <w:hideMark/>
          </w:tcPr>
          <w:p w14:paraId="4F665055" w14:textId="77777777" w:rsidR="00FA6A1F" w:rsidRDefault="00FA6A1F" w:rsidP="00CC0844">
            <w:pPr>
              <w:pStyle w:val="TableText"/>
              <w:tabs>
                <w:tab w:val="decimal" w:pos="397"/>
              </w:tabs>
              <w:rPr>
                <w:rFonts w:eastAsia="Arial Unicode MS"/>
                <w:lang w:eastAsia="en-NZ"/>
              </w:rPr>
            </w:pPr>
            <w:r w:rsidRPr="00FF5A23">
              <w:rPr>
                <w:rFonts w:eastAsia="Arial Unicode MS"/>
                <w:lang w:eastAsia="en-NZ"/>
              </w:rPr>
              <w:t>10.571</w:t>
            </w:r>
          </w:p>
        </w:tc>
        <w:tc>
          <w:tcPr>
            <w:tcW w:w="1028" w:type="dxa"/>
            <w:tcBorders>
              <w:top w:val="single" w:sz="4" w:space="0" w:color="A6A6A6" w:themeColor="background1" w:themeShade="A6"/>
              <w:left w:val="nil"/>
              <w:bottom w:val="single" w:sz="4" w:space="0" w:color="A6A6A6" w:themeColor="background1" w:themeShade="A6"/>
              <w:right w:val="nil"/>
            </w:tcBorders>
            <w:noWrap/>
            <w:hideMark/>
          </w:tcPr>
          <w:p w14:paraId="4F665056" w14:textId="77777777" w:rsidR="00FA6A1F" w:rsidRDefault="00FA6A1F" w:rsidP="00CC0844">
            <w:pPr>
              <w:pStyle w:val="TableText"/>
              <w:tabs>
                <w:tab w:val="decimal" w:pos="397"/>
              </w:tabs>
              <w:rPr>
                <w:rFonts w:eastAsia="Arial Unicode MS"/>
                <w:lang w:eastAsia="en-NZ"/>
              </w:rPr>
            </w:pPr>
            <w:r w:rsidRPr="00FF5A23">
              <w:rPr>
                <w:rFonts w:eastAsia="Arial Unicode MS"/>
                <w:lang w:eastAsia="en-NZ"/>
              </w:rPr>
              <w:t>10.897</w:t>
            </w:r>
          </w:p>
        </w:tc>
        <w:tc>
          <w:tcPr>
            <w:tcW w:w="1028" w:type="dxa"/>
            <w:tcBorders>
              <w:top w:val="single" w:sz="4" w:space="0" w:color="A6A6A6" w:themeColor="background1" w:themeShade="A6"/>
              <w:left w:val="nil"/>
              <w:bottom w:val="single" w:sz="4" w:space="0" w:color="A6A6A6" w:themeColor="background1" w:themeShade="A6"/>
              <w:right w:val="nil"/>
            </w:tcBorders>
            <w:hideMark/>
          </w:tcPr>
          <w:p w14:paraId="4F665057" w14:textId="77777777" w:rsidR="00FA6A1F" w:rsidRDefault="00FA6A1F" w:rsidP="00CC0844">
            <w:pPr>
              <w:pStyle w:val="TableText"/>
              <w:tabs>
                <w:tab w:val="decimal" w:pos="397"/>
              </w:tabs>
              <w:rPr>
                <w:rFonts w:eastAsia="Arial Unicode MS"/>
                <w:lang w:eastAsia="en-NZ"/>
              </w:rPr>
            </w:pPr>
            <w:r w:rsidRPr="00FF5A23">
              <w:rPr>
                <w:rFonts w:eastAsia="Arial Unicode MS"/>
                <w:lang w:eastAsia="en-NZ"/>
              </w:rPr>
              <w:t>32.039</w:t>
            </w:r>
          </w:p>
        </w:tc>
      </w:tr>
      <w:tr w:rsidR="00FA6A1F" w14:paraId="4F66505E" w14:textId="77777777" w:rsidTr="00CC0844">
        <w:trPr>
          <w:cantSplit/>
        </w:trPr>
        <w:tc>
          <w:tcPr>
            <w:tcW w:w="3969" w:type="dxa"/>
            <w:tcBorders>
              <w:top w:val="single" w:sz="4" w:space="0" w:color="A6A6A6" w:themeColor="background1" w:themeShade="A6"/>
              <w:left w:val="nil"/>
              <w:bottom w:val="single" w:sz="4" w:space="0" w:color="A6A6A6" w:themeColor="background1" w:themeShade="A6"/>
              <w:right w:val="nil"/>
            </w:tcBorders>
            <w:noWrap/>
            <w:hideMark/>
          </w:tcPr>
          <w:p w14:paraId="4F665059" w14:textId="77777777" w:rsidR="00FA6A1F" w:rsidRDefault="00FA6A1F" w:rsidP="00CC0844">
            <w:pPr>
              <w:pStyle w:val="TableText"/>
            </w:pPr>
            <w:r>
              <w:t>Research and evaluation</w:t>
            </w:r>
          </w:p>
        </w:tc>
        <w:tc>
          <w:tcPr>
            <w:tcW w:w="1027" w:type="dxa"/>
            <w:tcBorders>
              <w:top w:val="single" w:sz="4" w:space="0" w:color="A6A6A6" w:themeColor="background1" w:themeShade="A6"/>
              <w:left w:val="nil"/>
              <w:bottom w:val="single" w:sz="4" w:space="0" w:color="A6A6A6" w:themeColor="background1" w:themeShade="A6"/>
              <w:right w:val="nil"/>
            </w:tcBorders>
            <w:noWrap/>
            <w:hideMark/>
          </w:tcPr>
          <w:p w14:paraId="4F66505A" w14:textId="77777777" w:rsidR="00FA6A1F" w:rsidRDefault="00FA6A1F" w:rsidP="00CC0844">
            <w:pPr>
              <w:pStyle w:val="TableText"/>
              <w:tabs>
                <w:tab w:val="decimal" w:pos="397"/>
              </w:tabs>
              <w:rPr>
                <w:rFonts w:eastAsia="Arial Unicode MS"/>
                <w:lang w:eastAsia="en-NZ"/>
              </w:rPr>
            </w:pPr>
            <w:r>
              <w:rPr>
                <w:rFonts w:eastAsia="Arial Unicode MS"/>
                <w:lang w:eastAsia="en-NZ"/>
              </w:rPr>
              <w:t>1.079</w:t>
            </w:r>
          </w:p>
        </w:tc>
        <w:tc>
          <w:tcPr>
            <w:tcW w:w="1028" w:type="dxa"/>
            <w:tcBorders>
              <w:top w:val="single" w:sz="4" w:space="0" w:color="A6A6A6" w:themeColor="background1" w:themeShade="A6"/>
              <w:left w:val="nil"/>
              <w:bottom w:val="single" w:sz="4" w:space="0" w:color="A6A6A6" w:themeColor="background1" w:themeShade="A6"/>
              <w:right w:val="nil"/>
            </w:tcBorders>
            <w:noWrap/>
            <w:hideMark/>
          </w:tcPr>
          <w:p w14:paraId="4F66505B" w14:textId="77777777" w:rsidR="00FA6A1F" w:rsidRDefault="00FA6A1F" w:rsidP="00CC0844">
            <w:pPr>
              <w:pStyle w:val="TableText"/>
              <w:tabs>
                <w:tab w:val="decimal" w:pos="397"/>
              </w:tabs>
              <w:rPr>
                <w:rFonts w:eastAsia="Arial Unicode MS"/>
                <w:lang w:eastAsia="en-NZ"/>
              </w:rPr>
            </w:pPr>
            <w:r>
              <w:rPr>
                <w:rFonts w:eastAsia="Arial Unicode MS"/>
                <w:lang w:eastAsia="en-NZ"/>
              </w:rPr>
              <w:t>1.383</w:t>
            </w:r>
          </w:p>
        </w:tc>
        <w:tc>
          <w:tcPr>
            <w:tcW w:w="1028" w:type="dxa"/>
            <w:tcBorders>
              <w:top w:val="single" w:sz="4" w:space="0" w:color="A6A6A6" w:themeColor="background1" w:themeShade="A6"/>
              <w:left w:val="nil"/>
              <w:bottom w:val="single" w:sz="4" w:space="0" w:color="A6A6A6" w:themeColor="background1" w:themeShade="A6"/>
              <w:right w:val="nil"/>
            </w:tcBorders>
            <w:noWrap/>
            <w:hideMark/>
          </w:tcPr>
          <w:p w14:paraId="4F66505C" w14:textId="77777777" w:rsidR="00FA6A1F" w:rsidRDefault="00FA6A1F" w:rsidP="00CC0844">
            <w:pPr>
              <w:pStyle w:val="TableText"/>
              <w:tabs>
                <w:tab w:val="decimal" w:pos="397"/>
              </w:tabs>
              <w:rPr>
                <w:rFonts w:eastAsia="Arial Unicode MS"/>
                <w:lang w:eastAsia="en-NZ"/>
              </w:rPr>
            </w:pPr>
            <w:r>
              <w:rPr>
                <w:rFonts w:eastAsia="Arial Unicode MS"/>
                <w:lang w:eastAsia="en-NZ"/>
              </w:rPr>
              <w:t>1.370</w:t>
            </w:r>
          </w:p>
        </w:tc>
        <w:tc>
          <w:tcPr>
            <w:tcW w:w="1028" w:type="dxa"/>
            <w:tcBorders>
              <w:top w:val="single" w:sz="4" w:space="0" w:color="A6A6A6" w:themeColor="background1" w:themeShade="A6"/>
              <w:left w:val="nil"/>
              <w:bottom w:val="single" w:sz="4" w:space="0" w:color="A6A6A6" w:themeColor="background1" w:themeShade="A6"/>
              <w:right w:val="nil"/>
            </w:tcBorders>
            <w:hideMark/>
          </w:tcPr>
          <w:p w14:paraId="4F66505D" w14:textId="77777777" w:rsidR="00FA6A1F" w:rsidRDefault="00FA6A1F" w:rsidP="00CC0844">
            <w:pPr>
              <w:pStyle w:val="TableText"/>
              <w:tabs>
                <w:tab w:val="decimal" w:pos="397"/>
              </w:tabs>
              <w:rPr>
                <w:rFonts w:eastAsia="Arial Unicode MS"/>
                <w:lang w:eastAsia="en-NZ"/>
              </w:rPr>
            </w:pPr>
            <w:r>
              <w:rPr>
                <w:rFonts w:eastAsia="Arial Unicode MS"/>
                <w:lang w:eastAsia="en-NZ"/>
              </w:rPr>
              <w:t>3.832</w:t>
            </w:r>
          </w:p>
        </w:tc>
      </w:tr>
      <w:tr w:rsidR="00FA6A1F" w14:paraId="4F665064" w14:textId="77777777" w:rsidTr="00CC0844">
        <w:trPr>
          <w:cantSplit/>
        </w:trPr>
        <w:tc>
          <w:tcPr>
            <w:tcW w:w="3969" w:type="dxa"/>
            <w:tcBorders>
              <w:top w:val="single" w:sz="4" w:space="0" w:color="A6A6A6" w:themeColor="background1" w:themeShade="A6"/>
              <w:left w:val="nil"/>
              <w:bottom w:val="single" w:sz="4" w:space="0" w:color="A6A6A6" w:themeColor="background1" w:themeShade="A6"/>
              <w:right w:val="nil"/>
            </w:tcBorders>
            <w:noWrap/>
            <w:hideMark/>
          </w:tcPr>
          <w:p w14:paraId="4F66505F" w14:textId="77777777" w:rsidR="00FA6A1F" w:rsidRDefault="00FA6A1F" w:rsidP="00CC0844">
            <w:pPr>
              <w:pStyle w:val="TableText"/>
            </w:pPr>
            <w:r>
              <w:t>New services, innovation pilots and investments</w:t>
            </w:r>
          </w:p>
        </w:tc>
        <w:tc>
          <w:tcPr>
            <w:tcW w:w="1027" w:type="dxa"/>
            <w:tcBorders>
              <w:top w:val="single" w:sz="4" w:space="0" w:color="A6A6A6" w:themeColor="background1" w:themeShade="A6"/>
              <w:left w:val="nil"/>
              <w:bottom w:val="single" w:sz="4" w:space="0" w:color="A6A6A6" w:themeColor="background1" w:themeShade="A6"/>
              <w:right w:val="nil"/>
            </w:tcBorders>
            <w:noWrap/>
            <w:hideMark/>
          </w:tcPr>
          <w:p w14:paraId="4F665060" w14:textId="77777777" w:rsidR="00FA6A1F" w:rsidRDefault="00FA6A1F" w:rsidP="00CC0844">
            <w:pPr>
              <w:pStyle w:val="TableText"/>
              <w:tabs>
                <w:tab w:val="decimal" w:pos="397"/>
              </w:tabs>
              <w:rPr>
                <w:rFonts w:eastAsia="Arial Unicode MS"/>
                <w:lang w:eastAsia="en-NZ"/>
              </w:rPr>
            </w:pPr>
            <w:r>
              <w:rPr>
                <w:rFonts w:eastAsia="Arial Unicode MS"/>
                <w:lang w:eastAsia="en-NZ"/>
              </w:rPr>
              <w:t>2.477</w:t>
            </w:r>
          </w:p>
        </w:tc>
        <w:tc>
          <w:tcPr>
            <w:tcW w:w="1028" w:type="dxa"/>
            <w:tcBorders>
              <w:top w:val="single" w:sz="4" w:space="0" w:color="A6A6A6" w:themeColor="background1" w:themeShade="A6"/>
              <w:left w:val="nil"/>
              <w:bottom w:val="single" w:sz="4" w:space="0" w:color="A6A6A6" w:themeColor="background1" w:themeShade="A6"/>
              <w:right w:val="nil"/>
            </w:tcBorders>
            <w:noWrap/>
            <w:hideMark/>
          </w:tcPr>
          <w:p w14:paraId="4F665061" w14:textId="77777777" w:rsidR="00FA6A1F" w:rsidRDefault="00FA6A1F" w:rsidP="00CC0844">
            <w:pPr>
              <w:pStyle w:val="TableText"/>
              <w:tabs>
                <w:tab w:val="decimal" w:pos="397"/>
              </w:tabs>
              <w:rPr>
                <w:rFonts w:eastAsia="Arial Unicode MS"/>
                <w:lang w:eastAsia="en-NZ"/>
              </w:rPr>
            </w:pPr>
            <w:r>
              <w:rPr>
                <w:rFonts w:eastAsia="Arial Unicode MS"/>
                <w:lang w:eastAsia="en-NZ"/>
              </w:rPr>
              <w:t>2.257</w:t>
            </w:r>
          </w:p>
        </w:tc>
        <w:tc>
          <w:tcPr>
            <w:tcW w:w="1028" w:type="dxa"/>
            <w:tcBorders>
              <w:top w:val="single" w:sz="4" w:space="0" w:color="A6A6A6" w:themeColor="background1" w:themeShade="A6"/>
              <w:left w:val="nil"/>
              <w:bottom w:val="single" w:sz="4" w:space="0" w:color="A6A6A6" w:themeColor="background1" w:themeShade="A6"/>
              <w:right w:val="nil"/>
            </w:tcBorders>
            <w:noWrap/>
            <w:hideMark/>
          </w:tcPr>
          <w:p w14:paraId="4F665062" w14:textId="77777777" w:rsidR="00FA6A1F" w:rsidRDefault="00FA6A1F" w:rsidP="00CC0844">
            <w:pPr>
              <w:pStyle w:val="TableText"/>
              <w:tabs>
                <w:tab w:val="decimal" w:pos="397"/>
              </w:tabs>
              <w:rPr>
                <w:rFonts w:eastAsia="Arial Unicode MS"/>
                <w:lang w:eastAsia="en-NZ"/>
              </w:rPr>
            </w:pPr>
            <w:r>
              <w:rPr>
                <w:rFonts w:eastAsia="Arial Unicode MS"/>
                <w:lang w:eastAsia="en-NZ"/>
              </w:rPr>
              <w:t>1.691</w:t>
            </w:r>
          </w:p>
        </w:tc>
        <w:tc>
          <w:tcPr>
            <w:tcW w:w="1028" w:type="dxa"/>
            <w:tcBorders>
              <w:top w:val="single" w:sz="4" w:space="0" w:color="A6A6A6" w:themeColor="background1" w:themeShade="A6"/>
              <w:left w:val="nil"/>
              <w:bottom w:val="single" w:sz="4" w:space="0" w:color="A6A6A6" w:themeColor="background1" w:themeShade="A6"/>
              <w:right w:val="nil"/>
            </w:tcBorders>
            <w:hideMark/>
          </w:tcPr>
          <w:p w14:paraId="4F665063" w14:textId="77777777" w:rsidR="00FA6A1F" w:rsidRDefault="00FA6A1F" w:rsidP="00CC0844">
            <w:pPr>
              <w:pStyle w:val="TableText"/>
              <w:tabs>
                <w:tab w:val="decimal" w:pos="397"/>
              </w:tabs>
              <w:rPr>
                <w:rFonts w:eastAsia="Arial Unicode MS"/>
                <w:lang w:eastAsia="en-NZ"/>
              </w:rPr>
            </w:pPr>
            <w:r>
              <w:rPr>
                <w:rFonts w:eastAsia="Arial Unicode MS"/>
                <w:lang w:eastAsia="en-NZ"/>
              </w:rPr>
              <w:t>6.426</w:t>
            </w:r>
          </w:p>
        </w:tc>
      </w:tr>
      <w:tr w:rsidR="00FA6A1F" w14:paraId="4F66506A" w14:textId="77777777" w:rsidTr="00CC0844">
        <w:trPr>
          <w:cantSplit/>
        </w:trPr>
        <w:tc>
          <w:tcPr>
            <w:tcW w:w="3969" w:type="dxa"/>
            <w:tcBorders>
              <w:top w:val="single" w:sz="4" w:space="0" w:color="A6A6A6" w:themeColor="background1" w:themeShade="A6"/>
              <w:left w:val="nil"/>
              <w:bottom w:val="single" w:sz="4" w:space="0" w:color="A6A6A6" w:themeColor="background1" w:themeShade="A6"/>
              <w:right w:val="nil"/>
            </w:tcBorders>
            <w:noWrap/>
            <w:hideMark/>
          </w:tcPr>
          <w:p w14:paraId="4F665065" w14:textId="77777777" w:rsidR="00FA6A1F" w:rsidRDefault="00FA6A1F" w:rsidP="00CC0844">
            <w:pPr>
              <w:pStyle w:val="TableText"/>
            </w:pPr>
            <w:r>
              <w:t>Ministry operating costs</w:t>
            </w:r>
          </w:p>
        </w:tc>
        <w:tc>
          <w:tcPr>
            <w:tcW w:w="1027" w:type="dxa"/>
            <w:tcBorders>
              <w:top w:val="single" w:sz="4" w:space="0" w:color="A6A6A6" w:themeColor="background1" w:themeShade="A6"/>
              <w:left w:val="nil"/>
              <w:bottom w:val="single" w:sz="4" w:space="0" w:color="A6A6A6" w:themeColor="background1" w:themeShade="A6"/>
              <w:right w:val="nil"/>
            </w:tcBorders>
            <w:noWrap/>
            <w:hideMark/>
          </w:tcPr>
          <w:p w14:paraId="4F665066" w14:textId="77777777" w:rsidR="00FA6A1F" w:rsidRDefault="00FA6A1F" w:rsidP="00CC0844">
            <w:pPr>
              <w:pStyle w:val="TableText"/>
              <w:tabs>
                <w:tab w:val="decimal" w:pos="397"/>
              </w:tabs>
            </w:pPr>
            <w:r>
              <w:t>0.957</w:t>
            </w:r>
          </w:p>
        </w:tc>
        <w:tc>
          <w:tcPr>
            <w:tcW w:w="1028" w:type="dxa"/>
            <w:tcBorders>
              <w:top w:val="single" w:sz="4" w:space="0" w:color="A6A6A6" w:themeColor="background1" w:themeShade="A6"/>
              <w:left w:val="nil"/>
              <w:bottom w:val="single" w:sz="4" w:space="0" w:color="A6A6A6" w:themeColor="background1" w:themeShade="A6"/>
              <w:right w:val="nil"/>
            </w:tcBorders>
            <w:noWrap/>
            <w:hideMark/>
          </w:tcPr>
          <w:p w14:paraId="4F665067" w14:textId="77777777" w:rsidR="00FA6A1F" w:rsidRDefault="00FA6A1F" w:rsidP="00CC0844">
            <w:pPr>
              <w:pStyle w:val="TableText"/>
              <w:tabs>
                <w:tab w:val="decimal" w:pos="397"/>
              </w:tabs>
            </w:pPr>
            <w:r>
              <w:t>0.990</w:t>
            </w:r>
          </w:p>
        </w:tc>
        <w:tc>
          <w:tcPr>
            <w:tcW w:w="1028" w:type="dxa"/>
            <w:tcBorders>
              <w:top w:val="single" w:sz="4" w:space="0" w:color="A6A6A6" w:themeColor="background1" w:themeShade="A6"/>
              <w:left w:val="nil"/>
              <w:bottom w:val="single" w:sz="4" w:space="0" w:color="A6A6A6" w:themeColor="background1" w:themeShade="A6"/>
              <w:right w:val="nil"/>
            </w:tcBorders>
            <w:noWrap/>
            <w:hideMark/>
          </w:tcPr>
          <w:p w14:paraId="4F665068" w14:textId="77777777" w:rsidR="00FA6A1F" w:rsidRDefault="00FA6A1F" w:rsidP="00CC0844">
            <w:pPr>
              <w:pStyle w:val="TableText"/>
              <w:tabs>
                <w:tab w:val="decimal" w:pos="397"/>
              </w:tabs>
            </w:pPr>
            <w:r>
              <w:t>0.990</w:t>
            </w:r>
          </w:p>
        </w:tc>
        <w:tc>
          <w:tcPr>
            <w:tcW w:w="1028" w:type="dxa"/>
            <w:tcBorders>
              <w:top w:val="single" w:sz="4" w:space="0" w:color="A6A6A6" w:themeColor="background1" w:themeShade="A6"/>
              <w:left w:val="nil"/>
              <w:bottom w:val="single" w:sz="4" w:space="0" w:color="A6A6A6" w:themeColor="background1" w:themeShade="A6"/>
              <w:right w:val="nil"/>
            </w:tcBorders>
            <w:hideMark/>
          </w:tcPr>
          <w:p w14:paraId="4F665069" w14:textId="77777777" w:rsidR="00FA6A1F" w:rsidRDefault="00FA6A1F" w:rsidP="00CC0844">
            <w:pPr>
              <w:pStyle w:val="TableText"/>
              <w:tabs>
                <w:tab w:val="decimal" w:pos="397"/>
              </w:tabs>
            </w:pPr>
            <w:r>
              <w:t>2.937</w:t>
            </w:r>
          </w:p>
        </w:tc>
      </w:tr>
      <w:tr w:rsidR="00FA6A1F" w:rsidRPr="00CC0844" w14:paraId="4F665070" w14:textId="77777777" w:rsidTr="00CC0844">
        <w:trPr>
          <w:cantSplit/>
        </w:trPr>
        <w:tc>
          <w:tcPr>
            <w:tcW w:w="3969" w:type="dxa"/>
            <w:tcBorders>
              <w:top w:val="single" w:sz="4" w:space="0" w:color="A6A6A6" w:themeColor="background1" w:themeShade="A6"/>
              <w:left w:val="nil"/>
              <w:bottom w:val="single" w:sz="4" w:space="0" w:color="A6A6A6" w:themeColor="background1" w:themeShade="A6"/>
              <w:right w:val="nil"/>
            </w:tcBorders>
            <w:noWrap/>
            <w:hideMark/>
          </w:tcPr>
          <w:p w14:paraId="4F66506B" w14:textId="77777777" w:rsidR="00FA6A1F" w:rsidRPr="00CC0844" w:rsidRDefault="00FA6A1F" w:rsidP="00CC0844">
            <w:pPr>
              <w:pStyle w:val="TableText"/>
              <w:rPr>
                <w:b/>
              </w:rPr>
            </w:pPr>
            <w:r w:rsidRPr="00CC0844">
              <w:rPr>
                <w:b/>
              </w:rPr>
              <w:t>Total ($m)</w:t>
            </w:r>
          </w:p>
        </w:tc>
        <w:tc>
          <w:tcPr>
            <w:tcW w:w="1027" w:type="dxa"/>
            <w:tcBorders>
              <w:top w:val="single" w:sz="4" w:space="0" w:color="A6A6A6" w:themeColor="background1" w:themeShade="A6"/>
              <w:left w:val="nil"/>
              <w:bottom w:val="single" w:sz="4" w:space="0" w:color="A6A6A6" w:themeColor="background1" w:themeShade="A6"/>
              <w:right w:val="nil"/>
            </w:tcBorders>
            <w:noWrap/>
            <w:hideMark/>
          </w:tcPr>
          <w:p w14:paraId="4F66506C" w14:textId="77777777" w:rsidR="00FA6A1F" w:rsidRPr="00CC0844" w:rsidRDefault="00FA6A1F" w:rsidP="00CC0844">
            <w:pPr>
              <w:pStyle w:val="TableText"/>
              <w:tabs>
                <w:tab w:val="decimal" w:pos="397"/>
              </w:tabs>
              <w:rPr>
                <w:rFonts w:eastAsia="Arial Unicode MS"/>
                <w:b/>
                <w:lang w:eastAsia="en-NZ"/>
              </w:rPr>
            </w:pPr>
            <w:r w:rsidRPr="00CC0844">
              <w:rPr>
                <w:rFonts w:eastAsia="Arial Unicode MS"/>
                <w:b/>
                <w:lang w:eastAsia="en-NZ"/>
              </w:rPr>
              <w:t>22.252</w:t>
            </w:r>
          </w:p>
        </w:tc>
        <w:tc>
          <w:tcPr>
            <w:tcW w:w="1028" w:type="dxa"/>
            <w:tcBorders>
              <w:top w:val="single" w:sz="4" w:space="0" w:color="A6A6A6" w:themeColor="background1" w:themeShade="A6"/>
              <w:left w:val="nil"/>
              <w:bottom w:val="single" w:sz="4" w:space="0" w:color="A6A6A6" w:themeColor="background1" w:themeShade="A6"/>
              <w:right w:val="nil"/>
            </w:tcBorders>
            <w:noWrap/>
            <w:hideMark/>
          </w:tcPr>
          <w:p w14:paraId="4F66506D" w14:textId="77777777" w:rsidR="00FA6A1F" w:rsidRPr="00CC0844" w:rsidRDefault="00FA6A1F" w:rsidP="00CC0844">
            <w:pPr>
              <w:pStyle w:val="TableText"/>
              <w:tabs>
                <w:tab w:val="decimal" w:pos="397"/>
              </w:tabs>
              <w:rPr>
                <w:rFonts w:eastAsia="Arial Unicode MS"/>
                <w:b/>
                <w:lang w:eastAsia="en-NZ"/>
              </w:rPr>
            </w:pPr>
            <w:r w:rsidRPr="00CC0844">
              <w:rPr>
                <w:rFonts w:eastAsia="Arial Unicode MS"/>
                <w:b/>
                <w:lang w:eastAsia="en-NZ"/>
              </w:rPr>
              <w:t>22.691</w:t>
            </w:r>
          </w:p>
        </w:tc>
        <w:tc>
          <w:tcPr>
            <w:tcW w:w="1028" w:type="dxa"/>
            <w:tcBorders>
              <w:top w:val="single" w:sz="4" w:space="0" w:color="A6A6A6" w:themeColor="background1" w:themeShade="A6"/>
              <w:left w:val="nil"/>
              <w:bottom w:val="single" w:sz="4" w:space="0" w:color="A6A6A6" w:themeColor="background1" w:themeShade="A6"/>
              <w:right w:val="nil"/>
            </w:tcBorders>
            <w:noWrap/>
            <w:hideMark/>
          </w:tcPr>
          <w:p w14:paraId="4F66506E" w14:textId="77777777" w:rsidR="00FA6A1F" w:rsidRPr="00CC0844" w:rsidRDefault="00FA6A1F" w:rsidP="00CC0844">
            <w:pPr>
              <w:pStyle w:val="TableText"/>
              <w:tabs>
                <w:tab w:val="decimal" w:pos="397"/>
              </w:tabs>
              <w:rPr>
                <w:rFonts w:eastAsia="Arial Unicode MS"/>
                <w:b/>
                <w:lang w:eastAsia="en-NZ"/>
              </w:rPr>
            </w:pPr>
            <w:r w:rsidRPr="00CC0844">
              <w:rPr>
                <w:rFonts w:eastAsia="Arial Unicode MS"/>
                <w:b/>
                <w:lang w:eastAsia="en-NZ"/>
              </w:rPr>
              <w:t>22.430</w:t>
            </w:r>
          </w:p>
        </w:tc>
        <w:tc>
          <w:tcPr>
            <w:tcW w:w="1028" w:type="dxa"/>
            <w:tcBorders>
              <w:top w:val="single" w:sz="4" w:space="0" w:color="A6A6A6" w:themeColor="background1" w:themeShade="A6"/>
              <w:left w:val="nil"/>
              <w:bottom w:val="single" w:sz="4" w:space="0" w:color="A6A6A6" w:themeColor="background1" w:themeShade="A6"/>
              <w:right w:val="nil"/>
            </w:tcBorders>
            <w:hideMark/>
          </w:tcPr>
          <w:p w14:paraId="4F66506F" w14:textId="77777777" w:rsidR="00FA6A1F" w:rsidRPr="00CC0844" w:rsidRDefault="00FA6A1F" w:rsidP="00CC0844">
            <w:pPr>
              <w:pStyle w:val="TableText"/>
              <w:tabs>
                <w:tab w:val="decimal" w:pos="397"/>
              </w:tabs>
              <w:rPr>
                <w:rFonts w:eastAsia="Arial Unicode MS"/>
                <w:b/>
                <w:lang w:eastAsia="en-NZ"/>
              </w:rPr>
            </w:pPr>
            <w:r w:rsidRPr="00CC0844">
              <w:rPr>
                <w:rFonts w:eastAsia="Arial Unicode MS"/>
                <w:b/>
                <w:lang w:eastAsia="en-NZ"/>
              </w:rPr>
              <w:t>67.374</w:t>
            </w:r>
          </w:p>
        </w:tc>
      </w:tr>
    </w:tbl>
    <w:p w14:paraId="4F665071" w14:textId="77777777" w:rsidR="00FA6A1F" w:rsidRDefault="00FA6A1F" w:rsidP="00CC0844">
      <w:pPr>
        <w:pStyle w:val="Note"/>
      </w:pPr>
      <w:r>
        <w:t>Note: The service areas are discussed in more detail later in this document.</w:t>
      </w:r>
    </w:p>
    <w:p w14:paraId="4F665072" w14:textId="77777777" w:rsidR="00CC0844" w:rsidRDefault="00CC0844" w:rsidP="00CC0844"/>
    <w:p w14:paraId="4F665073" w14:textId="77777777" w:rsidR="00FA6A1F" w:rsidRPr="007F4B4C" w:rsidRDefault="00FA6A1F" w:rsidP="00CC0844">
      <w:pPr>
        <w:pStyle w:val="Heading3"/>
      </w:pPr>
      <w:bookmarkStart w:id="122" w:name="_Toc78882289"/>
      <w:r>
        <w:lastRenderedPageBreak/>
        <w:t>Rationale for additional investment</w:t>
      </w:r>
      <w:bookmarkEnd w:id="122"/>
    </w:p>
    <w:p w14:paraId="4F665074" w14:textId="77777777" w:rsidR="00FA6A1F" w:rsidRDefault="00FA6A1F" w:rsidP="00CC0844">
      <w:r>
        <w:t>The strategy provides for a $7.035 million increase in three-year funding compared with the current levy period in order to increase</w:t>
      </w:r>
      <w:r w:rsidRPr="00610F5A">
        <w:t xml:space="preserve"> investment to address inequities in gambling harm and stigma. </w:t>
      </w:r>
      <w:r>
        <w:t>The drivers of this additional investment are discussed below.</w:t>
      </w:r>
    </w:p>
    <w:p w14:paraId="4F665075" w14:textId="77777777" w:rsidR="00CC0844" w:rsidRDefault="00CC0844" w:rsidP="00CC0844"/>
    <w:p w14:paraId="4F665076" w14:textId="77777777" w:rsidR="00FA6A1F" w:rsidRDefault="00FA6A1F" w:rsidP="00CC0844">
      <w:pPr>
        <w:pStyle w:val="Heading4"/>
      </w:pPr>
      <w:r w:rsidRPr="001F7253">
        <w:t>New initiatives</w:t>
      </w:r>
    </w:p>
    <w:p w14:paraId="4F665077" w14:textId="77777777" w:rsidR="00FA6A1F" w:rsidRPr="00610F5A" w:rsidRDefault="00FA6A1F" w:rsidP="00CC0844">
      <w:r>
        <w:rPr>
          <w:rFonts w:cstheme="minorHAnsi"/>
        </w:rPr>
        <w:t>This service plan contains</w:t>
      </w:r>
      <w:r w:rsidRPr="00610F5A">
        <w:t xml:space="preserve"> proposals for a national de-stigmatisation campaign and </w:t>
      </w:r>
      <w:r w:rsidRPr="00D14DF8">
        <w:t>an investment package to enable a skilled, enabled and culturally responsive workforce</w:t>
      </w:r>
      <w:r>
        <w:t>,</w:t>
      </w:r>
      <w:r w:rsidRPr="00D14DF8">
        <w:t xml:space="preserve"> </w:t>
      </w:r>
      <w:r>
        <w:rPr>
          <w:rFonts w:cstheme="minorHAnsi"/>
        </w:rPr>
        <w:t>including</w:t>
      </w:r>
      <w:r w:rsidRPr="00610F5A">
        <w:t>:</w:t>
      </w:r>
    </w:p>
    <w:p w14:paraId="4F665078" w14:textId="77777777" w:rsidR="00FA6A1F" w:rsidRPr="00483631" w:rsidRDefault="00FA6A1F" w:rsidP="00CC0844">
      <w:pPr>
        <w:pStyle w:val="Bullet"/>
      </w:pPr>
      <w:r w:rsidRPr="00483631">
        <w:t>expanding the gambling</w:t>
      </w:r>
      <w:r>
        <w:t>-</w:t>
      </w:r>
      <w:r w:rsidRPr="00483631">
        <w:t>harm peer workforce in clinical and public health services</w:t>
      </w:r>
    </w:p>
    <w:p w14:paraId="4F665079" w14:textId="77777777" w:rsidR="00FA6A1F" w:rsidRPr="00483631" w:rsidRDefault="00FA6A1F" w:rsidP="00CC0844">
      <w:pPr>
        <w:pStyle w:val="Bullet"/>
      </w:pPr>
      <w:r>
        <w:t xml:space="preserve">providing </w:t>
      </w:r>
      <w:r w:rsidRPr="00483631">
        <w:t xml:space="preserve">scholarships to enable Māori, Pacific </w:t>
      </w:r>
      <w:r>
        <w:t>peoples,</w:t>
      </w:r>
      <w:r w:rsidRPr="00483631">
        <w:t xml:space="preserve"> Asian people</w:t>
      </w:r>
      <w:r>
        <w:t>s</w:t>
      </w:r>
      <w:r w:rsidRPr="00483631">
        <w:t xml:space="preserve"> and people with lived experience of gambling harm (peers) to undertake addiction relevant tertiary stud</w:t>
      </w:r>
      <w:r>
        <w:t>ies</w:t>
      </w:r>
      <w:r w:rsidRPr="00483631">
        <w:t xml:space="preserve"> to support them to enter the gambling</w:t>
      </w:r>
      <w:r>
        <w:t>-</w:t>
      </w:r>
      <w:r w:rsidRPr="00483631">
        <w:t>harm workforce</w:t>
      </w:r>
    </w:p>
    <w:p w14:paraId="4F66507A" w14:textId="77777777" w:rsidR="00FA6A1F" w:rsidRDefault="00FA6A1F" w:rsidP="00CC0844">
      <w:pPr>
        <w:pStyle w:val="Bullet"/>
      </w:pPr>
      <w:r>
        <w:t>providing f</w:t>
      </w:r>
      <w:r w:rsidRPr="00483631">
        <w:t>unding to develop a pathway for the clinical gambling</w:t>
      </w:r>
      <w:r>
        <w:t>-</w:t>
      </w:r>
      <w:r w:rsidRPr="00483631">
        <w:t xml:space="preserve">harm workforce to attain New Zealand Qualifications Authority (NZQA) level </w:t>
      </w:r>
      <w:r>
        <w:t>7</w:t>
      </w:r>
      <w:r w:rsidRPr="00483631">
        <w:t xml:space="preserve"> qualifications that include</w:t>
      </w:r>
      <w:r>
        <w:t xml:space="preserve"> training in</w:t>
      </w:r>
      <w:r w:rsidRPr="00483631">
        <w:t xml:space="preserve"> gambling harm.</w:t>
      </w:r>
    </w:p>
    <w:p w14:paraId="4F66507B" w14:textId="77777777" w:rsidR="00CC0844" w:rsidRPr="00483631" w:rsidRDefault="00CC0844" w:rsidP="00CC0844"/>
    <w:p w14:paraId="4F66507C" w14:textId="77777777" w:rsidR="00FA6A1F" w:rsidRDefault="00FA6A1F" w:rsidP="00CC0844">
      <w:pPr>
        <w:pStyle w:val="Heading4"/>
        <w:rPr>
          <w:rFonts w:eastAsiaTheme="minorHAnsi"/>
          <w:lang w:eastAsia="en-US"/>
        </w:rPr>
      </w:pPr>
      <w:r w:rsidRPr="001F7253">
        <w:rPr>
          <w:rFonts w:eastAsiaTheme="minorHAnsi"/>
          <w:lang w:eastAsia="en-US"/>
        </w:rPr>
        <w:t>Increas</w:t>
      </w:r>
      <w:r>
        <w:rPr>
          <w:rFonts w:eastAsiaTheme="minorHAnsi"/>
          <w:lang w:eastAsia="en-US"/>
        </w:rPr>
        <w:t>ing</w:t>
      </w:r>
      <w:r w:rsidRPr="001F7253">
        <w:rPr>
          <w:rFonts w:eastAsiaTheme="minorHAnsi"/>
          <w:lang w:eastAsia="en-US"/>
        </w:rPr>
        <w:t xml:space="preserve"> the full-time equivalent rate for gambling</w:t>
      </w:r>
      <w:r>
        <w:rPr>
          <w:rFonts w:eastAsiaTheme="minorHAnsi"/>
          <w:lang w:eastAsia="en-US"/>
        </w:rPr>
        <w:t>-</w:t>
      </w:r>
      <w:r w:rsidRPr="001F7253">
        <w:rPr>
          <w:rFonts w:eastAsiaTheme="minorHAnsi"/>
          <w:lang w:eastAsia="en-US"/>
        </w:rPr>
        <w:t>harm</w:t>
      </w:r>
      <w:r>
        <w:rPr>
          <w:rFonts w:eastAsiaTheme="minorHAnsi"/>
          <w:lang w:eastAsia="en-US"/>
        </w:rPr>
        <w:t xml:space="preserve"> clinical</w:t>
      </w:r>
      <w:r w:rsidRPr="001F7253">
        <w:rPr>
          <w:rFonts w:eastAsiaTheme="minorHAnsi"/>
          <w:lang w:eastAsia="en-US"/>
        </w:rPr>
        <w:t xml:space="preserve"> intervention services</w:t>
      </w:r>
    </w:p>
    <w:p w14:paraId="4F66507D" w14:textId="77777777" w:rsidR="00FA6A1F" w:rsidRDefault="00FA6A1F" w:rsidP="00CC0844">
      <w:r w:rsidRPr="00F24B14">
        <w:t>This funding will enable full-time equivalent (FTE) rates to be aligned with other Ministry funded mental health and addiction clinical FTE rates. This will help address long</w:t>
      </w:r>
      <w:r w:rsidR="00CC0844">
        <w:noBreakHyphen/>
      </w:r>
      <w:r w:rsidRPr="00F24B14">
        <w:t>standing issues in recruitment and retention in the gambling-harm sector and enable the development of a sustainable and quality workforce.</w:t>
      </w:r>
    </w:p>
    <w:p w14:paraId="4F66507E" w14:textId="77777777" w:rsidR="00CC0844" w:rsidRPr="00F24B14" w:rsidRDefault="00CC0844" w:rsidP="00CC0844"/>
    <w:p w14:paraId="4F66507F" w14:textId="77777777" w:rsidR="00FA6A1F" w:rsidRDefault="00FA6A1F" w:rsidP="00CC0844">
      <w:pPr>
        <w:pStyle w:val="Heading4"/>
      </w:pPr>
      <w:r w:rsidRPr="001F7253">
        <w:t>Learning from our past activities</w:t>
      </w:r>
    </w:p>
    <w:p w14:paraId="4F665080" w14:textId="77777777" w:rsidR="00FA6A1F" w:rsidRDefault="00FA6A1F" w:rsidP="00E844E9">
      <w:r w:rsidRPr="00610F5A">
        <w:t>The Ministry will</w:t>
      </w:r>
      <w:r w:rsidRPr="001F7253">
        <w:rPr>
          <w:rFonts w:cstheme="minorHAnsi"/>
        </w:rPr>
        <w:t xml:space="preserve"> </w:t>
      </w:r>
      <w:r w:rsidRPr="00610F5A">
        <w:t xml:space="preserve">continue to pilot and enable innovative solutions, services and technologies to address areas of systemic, persistent gambling harm and inequities. </w:t>
      </w:r>
      <w:r w:rsidRPr="001F7253">
        <w:rPr>
          <w:rFonts w:cstheme="minorHAnsi"/>
        </w:rPr>
        <w:t xml:space="preserve">It is important we </w:t>
      </w:r>
      <w:r>
        <w:rPr>
          <w:rFonts w:cstheme="minorHAnsi"/>
        </w:rPr>
        <w:t>apply the learning from these innovations</w:t>
      </w:r>
      <w:r w:rsidRPr="001F7253">
        <w:rPr>
          <w:rFonts w:cstheme="minorHAnsi"/>
        </w:rPr>
        <w:t xml:space="preserve">, </w:t>
      </w:r>
      <w:r>
        <w:rPr>
          <w:rFonts w:cstheme="minorHAnsi"/>
        </w:rPr>
        <w:t>and for this reason</w:t>
      </w:r>
      <w:r w:rsidRPr="001F7253">
        <w:rPr>
          <w:rFonts w:cstheme="minorHAnsi"/>
        </w:rPr>
        <w:t xml:space="preserve"> the</w:t>
      </w:r>
      <w:r w:rsidRPr="00610F5A">
        <w:t xml:space="preserve"> draft service plan includes additional funding to apply </w:t>
      </w:r>
      <w:r>
        <w:t xml:space="preserve">pilot </w:t>
      </w:r>
      <w:r w:rsidRPr="00610F5A">
        <w:t>evaluation findings to continue or expand promising approache</w:t>
      </w:r>
      <w:r>
        <w:rPr>
          <w:rFonts w:cstheme="minorHAnsi"/>
        </w:rPr>
        <w:t>s. This includes</w:t>
      </w:r>
      <w:r w:rsidRPr="00610F5A">
        <w:t xml:space="preserve"> ongoing funding to roll out technology-based innovation</w:t>
      </w:r>
      <w:r>
        <w:t>s</w:t>
      </w:r>
      <w:r w:rsidRPr="00610F5A">
        <w:t xml:space="preserve"> to prevent and minimise gambling harm.</w:t>
      </w:r>
    </w:p>
    <w:p w14:paraId="4F665081" w14:textId="77777777" w:rsidR="00E844E9" w:rsidRPr="00610F5A" w:rsidRDefault="00E844E9" w:rsidP="00E844E9"/>
    <w:p w14:paraId="4F665082" w14:textId="77777777" w:rsidR="00FA6A1F" w:rsidRDefault="00FA6A1F" w:rsidP="00E844E9">
      <w:pPr>
        <w:pStyle w:val="Heading4"/>
        <w:rPr>
          <w:rFonts w:eastAsiaTheme="minorHAnsi" w:cstheme="minorHAnsi"/>
          <w:szCs w:val="22"/>
          <w:lang w:eastAsia="en-US"/>
        </w:rPr>
      </w:pPr>
      <w:r w:rsidRPr="00483631">
        <w:rPr>
          <w:rFonts w:eastAsiaTheme="minorHAnsi"/>
        </w:rPr>
        <w:t xml:space="preserve">Dedicated funding for </w:t>
      </w:r>
      <w:r>
        <w:rPr>
          <w:rFonts w:eastAsiaTheme="minorHAnsi"/>
        </w:rPr>
        <w:t>the M</w:t>
      </w:r>
      <w:r w:rsidRPr="00483631">
        <w:rPr>
          <w:rFonts w:eastAsiaTheme="minorHAnsi"/>
        </w:rPr>
        <w:t xml:space="preserve">ulti-venue </w:t>
      </w:r>
      <w:r>
        <w:rPr>
          <w:rFonts w:eastAsiaTheme="minorHAnsi"/>
        </w:rPr>
        <w:t>E</w:t>
      </w:r>
      <w:r w:rsidRPr="00483631">
        <w:rPr>
          <w:rFonts w:eastAsiaTheme="minorHAnsi"/>
        </w:rPr>
        <w:t xml:space="preserve">xclusion </w:t>
      </w:r>
      <w:r>
        <w:rPr>
          <w:rFonts w:eastAsiaTheme="minorHAnsi"/>
        </w:rPr>
        <w:t>A</w:t>
      </w:r>
      <w:r w:rsidRPr="00483631">
        <w:rPr>
          <w:rFonts w:eastAsiaTheme="minorHAnsi"/>
        </w:rPr>
        <w:t xml:space="preserve">dministration </w:t>
      </w:r>
      <w:r>
        <w:rPr>
          <w:rFonts w:eastAsiaTheme="minorHAnsi"/>
        </w:rPr>
        <w:t>S</w:t>
      </w:r>
      <w:r w:rsidRPr="00483631">
        <w:rPr>
          <w:rFonts w:eastAsiaTheme="minorHAnsi"/>
        </w:rPr>
        <w:t>ervice and database</w:t>
      </w:r>
    </w:p>
    <w:p w14:paraId="4F665083" w14:textId="77777777" w:rsidR="00FA6A1F" w:rsidRDefault="00FA6A1F" w:rsidP="00E844E9">
      <w:r w:rsidRPr="00F24B14">
        <w:t>The national Multi-</w:t>
      </w:r>
      <w:r>
        <w:t>V</w:t>
      </w:r>
      <w:r w:rsidRPr="00F24B14">
        <w:t>enue Exclusion (MVE) Administration Service and database were previously funded from the primary prevention (public health action) budget. This provides for surety of funding and an improved line of sight for this spend.</w:t>
      </w:r>
    </w:p>
    <w:p w14:paraId="4F665084" w14:textId="77777777" w:rsidR="00E844E9" w:rsidRPr="00F24B14" w:rsidRDefault="00E844E9" w:rsidP="00E844E9"/>
    <w:p w14:paraId="4F665085" w14:textId="77777777" w:rsidR="00FA6A1F" w:rsidRDefault="00FA6A1F" w:rsidP="00E844E9">
      <w:pPr>
        <w:pStyle w:val="Heading2"/>
      </w:pPr>
      <w:bookmarkStart w:id="123" w:name="_Toc78882290"/>
      <w:bookmarkStart w:id="124" w:name="_Toc80965853"/>
      <w:r w:rsidRPr="001F7253">
        <w:lastRenderedPageBreak/>
        <w:t xml:space="preserve">Public </w:t>
      </w:r>
      <w:r>
        <w:t>h</w:t>
      </w:r>
      <w:r w:rsidRPr="001F7253">
        <w:t>ealth services</w:t>
      </w:r>
      <w:bookmarkEnd w:id="123"/>
      <w:bookmarkEnd w:id="124"/>
    </w:p>
    <w:p w14:paraId="4F665086" w14:textId="77777777" w:rsidR="008303C6" w:rsidRDefault="00FA6A1F" w:rsidP="00E844E9">
      <w:r>
        <w:t>Internationally, Aotearoa New Zealand</w:t>
      </w:r>
      <w:r w:rsidR="008303C6">
        <w:t>’</w:t>
      </w:r>
      <w:r>
        <w:t>s public health approach to preventing and minimising gambling harm is seen as a strength of our integrated strategy. Public health services are focused on enabling people to be healthy and improving the health of populations. These services cover health promotion; engaging with local community groups; including iwi; increasing community action; raising community awareness about gambling and gambling harm; working with territorial authorities on their gambling venue policies; and supporting the public health awareness and education programmes at a local and regional level.</w:t>
      </w:r>
    </w:p>
    <w:p w14:paraId="4F665087" w14:textId="77777777" w:rsidR="00E844E9" w:rsidRDefault="00E844E9" w:rsidP="00E844E9"/>
    <w:p w14:paraId="4F665088" w14:textId="034F21DA" w:rsidR="00FA6A1F" w:rsidRDefault="00FA6A1F" w:rsidP="00E844E9">
      <w:r>
        <w:t>This draft service plan proposes an overall budget increase for public health services of $1.</w:t>
      </w:r>
      <w:r w:rsidRPr="00D62EF8">
        <w:t xml:space="preserve">610 million </w:t>
      </w:r>
      <w:r w:rsidRPr="008810A4">
        <w:t xml:space="preserve">(see </w:t>
      </w:r>
      <w:r w:rsidR="00E844E9">
        <w:fldChar w:fldCharType="begin"/>
      </w:r>
      <w:r w:rsidR="00E844E9">
        <w:instrText xml:space="preserve"> REF _Ref80792473 \h </w:instrText>
      </w:r>
      <w:r w:rsidR="00E844E9">
        <w:fldChar w:fldCharType="separate"/>
      </w:r>
      <w:r w:rsidR="00F65B3A">
        <w:t>Table </w:t>
      </w:r>
      <w:r w:rsidR="00F65B3A">
        <w:rPr>
          <w:noProof/>
        </w:rPr>
        <w:t>2</w:t>
      </w:r>
      <w:r w:rsidR="00E844E9">
        <w:fldChar w:fldCharType="end"/>
      </w:r>
      <w:r w:rsidRPr="008810A4">
        <w:t>)</w:t>
      </w:r>
      <w:r>
        <w:t>,</w:t>
      </w:r>
      <w:r w:rsidRPr="008810A4">
        <w:t xml:space="preserve"> </w:t>
      </w:r>
      <w:r>
        <w:t xml:space="preserve">which we intend to direct to actions as shown in </w:t>
      </w:r>
      <w:r w:rsidR="00E844E9">
        <w:fldChar w:fldCharType="begin"/>
      </w:r>
      <w:r w:rsidR="00E844E9">
        <w:instrText xml:space="preserve"> REF _Ref80792735 \h </w:instrText>
      </w:r>
      <w:r w:rsidR="00E844E9">
        <w:fldChar w:fldCharType="separate"/>
      </w:r>
      <w:r w:rsidR="00F65B3A">
        <w:t>Table </w:t>
      </w:r>
      <w:r w:rsidR="00F65B3A">
        <w:rPr>
          <w:noProof/>
        </w:rPr>
        <w:t>3</w:t>
      </w:r>
      <w:r w:rsidR="00E844E9">
        <w:fldChar w:fldCharType="end"/>
      </w:r>
      <w:r>
        <w:t xml:space="preserve"> below.</w:t>
      </w:r>
    </w:p>
    <w:p w14:paraId="4F665089" w14:textId="77777777" w:rsidR="00E844E9" w:rsidRDefault="00E844E9" w:rsidP="00E844E9"/>
    <w:p w14:paraId="4F66508A" w14:textId="6CD6B955" w:rsidR="00FA6A1F" w:rsidRDefault="00E844E9" w:rsidP="00E844E9">
      <w:pPr>
        <w:pStyle w:val="Table"/>
      </w:pPr>
      <w:bookmarkStart w:id="125" w:name="_Ref80792735"/>
      <w:bookmarkStart w:id="126" w:name="_Toc80860347"/>
      <w:r>
        <w:t>Table </w:t>
      </w:r>
      <w:fldSimple w:instr=" SEQ Table \* ARABIC ">
        <w:r w:rsidR="00F65B3A">
          <w:rPr>
            <w:noProof/>
          </w:rPr>
          <w:t>3</w:t>
        </w:r>
      </w:fldSimple>
      <w:bookmarkEnd w:id="125"/>
      <w:r w:rsidR="00FA6A1F">
        <w:t>: Investment area actions</w:t>
      </w:r>
      <w:bookmarkEnd w:id="126"/>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127"/>
        <w:gridCol w:w="5953"/>
      </w:tblGrid>
      <w:tr w:rsidR="00FA6A1F" w:rsidRPr="00E844E9" w14:paraId="4F66508D" w14:textId="77777777" w:rsidTr="00E844E9">
        <w:trPr>
          <w:cantSplit/>
          <w:tblHeader/>
        </w:trPr>
        <w:tc>
          <w:tcPr>
            <w:tcW w:w="2127" w:type="dxa"/>
            <w:tcBorders>
              <w:top w:val="nil"/>
              <w:bottom w:val="nil"/>
            </w:tcBorders>
            <w:shd w:val="clear" w:color="auto" w:fill="D9D9D9" w:themeFill="background1" w:themeFillShade="D9"/>
          </w:tcPr>
          <w:p w14:paraId="4F66508B" w14:textId="77777777" w:rsidR="00FA6A1F" w:rsidRPr="00E844E9" w:rsidRDefault="00FA6A1F" w:rsidP="00E844E9">
            <w:pPr>
              <w:pStyle w:val="TableText"/>
              <w:ind w:right="113"/>
              <w:rPr>
                <w:b/>
                <w:lang w:eastAsia="en-NZ"/>
              </w:rPr>
            </w:pPr>
            <w:r w:rsidRPr="00E844E9">
              <w:rPr>
                <w:b/>
                <w:lang w:eastAsia="en-NZ"/>
              </w:rPr>
              <w:t>Investment area</w:t>
            </w:r>
          </w:p>
        </w:tc>
        <w:tc>
          <w:tcPr>
            <w:tcW w:w="5953" w:type="dxa"/>
            <w:tcBorders>
              <w:top w:val="nil"/>
              <w:bottom w:val="nil"/>
            </w:tcBorders>
            <w:shd w:val="clear" w:color="auto" w:fill="D9D9D9" w:themeFill="background1" w:themeFillShade="D9"/>
          </w:tcPr>
          <w:p w14:paraId="4F66508C" w14:textId="77777777" w:rsidR="00FA6A1F" w:rsidRPr="00E844E9" w:rsidRDefault="00FA6A1F" w:rsidP="00E844E9">
            <w:pPr>
              <w:pStyle w:val="TableText"/>
              <w:rPr>
                <w:b/>
                <w:lang w:eastAsia="en-NZ"/>
              </w:rPr>
            </w:pPr>
            <w:r w:rsidRPr="00E844E9">
              <w:rPr>
                <w:b/>
                <w:lang w:eastAsia="en-NZ"/>
              </w:rPr>
              <w:t>Actions</w:t>
            </w:r>
          </w:p>
        </w:tc>
      </w:tr>
      <w:tr w:rsidR="00FA6A1F" w14:paraId="4F665091" w14:textId="77777777" w:rsidTr="00E844E9">
        <w:trPr>
          <w:cantSplit/>
        </w:trPr>
        <w:tc>
          <w:tcPr>
            <w:tcW w:w="2127" w:type="dxa"/>
            <w:tcBorders>
              <w:top w:val="nil"/>
            </w:tcBorders>
          </w:tcPr>
          <w:p w14:paraId="4F66508E" w14:textId="77777777" w:rsidR="00FA6A1F" w:rsidRPr="0003777A" w:rsidRDefault="00FA6A1F" w:rsidP="00E844E9">
            <w:pPr>
              <w:pStyle w:val="TableText"/>
              <w:ind w:right="113"/>
            </w:pPr>
            <w:r w:rsidRPr="0003777A">
              <w:t>Develop quality gambling harm minimisation services and supports</w:t>
            </w:r>
          </w:p>
        </w:tc>
        <w:tc>
          <w:tcPr>
            <w:tcW w:w="5953" w:type="dxa"/>
            <w:tcBorders>
              <w:top w:val="nil"/>
            </w:tcBorders>
          </w:tcPr>
          <w:p w14:paraId="4F66508F" w14:textId="77777777" w:rsidR="00FA6A1F" w:rsidRPr="0003777A" w:rsidRDefault="00FA6A1F" w:rsidP="00E844E9">
            <w:pPr>
              <w:pStyle w:val="TableBullet"/>
            </w:pPr>
            <w:r>
              <w:t>C</w:t>
            </w:r>
            <w:r w:rsidRPr="0003777A">
              <w:t>ontinuing investment in primary prevention (public health services) to empower people and communities to take control of their health and wellbeing to reduce gambling</w:t>
            </w:r>
            <w:r>
              <w:t>-</w:t>
            </w:r>
            <w:r w:rsidRPr="0003777A">
              <w:t>related harm</w:t>
            </w:r>
            <w:r>
              <w:t xml:space="preserve"> (a</w:t>
            </w:r>
            <w:r w:rsidRPr="0003777A">
              <w:t>s noted above, the FTE rates for workers in gambling public health services will be standardised</w:t>
            </w:r>
            <w:r>
              <w:t>)</w:t>
            </w:r>
            <w:r w:rsidR="00E844E9">
              <w:t>.</w:t>
            </w:r>
          </w:p>
          <w:p w14:paraId="4F665090" w14:textId="77777777" w:rsidR="00FA6A1F" w:rsidRPr="0003777A" w:rsidRDefault="00FA6A1F" w:rsidP="00E844E9">
            <w:pPr>
              <w:pStyle w:val="TableBullet"/>
            </w:pPr>
            <w:r>
              <w:t>E</w:t>
            </w:r>
            <w:r w:rsidRPr="0003777A">
              <w:t>nabling and embedding lived experience representation and input through the Gambling Harm L</w:t>
            </w:r>
            <w:r w:rsidR="00E844E9">
              <w:t>ived Experience Advisory Group.</w:t>
            </w:r>
          </w:p>
        </w:tc>
      </w:tr>
      <w:tr w:rsidR="00FA6A1F" w14:paraId="4F665095" w14:textId="77777777" w:rsidTr="00E844E9">
        <w:trPr>
          <w:cantSplit/>
        </w:trPr>
        <w:tc>
          <w:tcPr>
            <w:tcW w:w="2127" w:type="dxa"/>
          </w:tcPr>
          <w:p w14:paraId="4F665092" w14:textId="77777777" w:rsidR="00FA6A1F" w:rsidRPr="0003777A" w:rsidRDefault="00FA6A1F" w:rsidP="00E844E9">
            <w:pPr>
              <w:pStyle w:val="TableText"/>
              <w:ind w:right="113"/>
            </w:pPr>
            <w:r w:rsidRPr="0003777A">
              <w:t>Develop a skilled, enabled and culturally responsive workforce</w:t>
            </w:r>
          </w:p>
        </w:tc>
        <w:tc>
          <w:tcPr>
            <w:tcW w:w="5953" w:type="dxa"/>
          </w:tcPr>
          <w:p w14:paraId="4F665093" w14:textId="77777777" w:rsidR="00FA6A1F" w:rsidRPr="00E844E9" w:rsidRDefault="00FA6A1F" w:rsidP="00E844E9">
            <w:pPr>
              <w:pStyle w:val="TableBullet"/>
              <w:rPr>
                <w:spacing w:val="-2"/>
              </w:rPr>
            </w:pPr>
            <w:r w:rsidRPr="00E844E9">
              <w:rPr>
                <w:spacing w:val="-2"/>
              </w:rPr>
              <w:t>Continuing investment in primary prevention (public health services) to empower people and communities to take control of their health and wellbeing to reduce gambling-related harm (includes standardising FTE rates for workers in gambling public health services)</w:t>
            </w:r>
            <w:r w:rsidR="00E844E9" w:rsidRPr="00E844E9">
              <w:rPr>
                <w:spacing w:val="-2"/>
              </w:rPr>
              <w:t>.</w:t>
            </w:r>
          </w:p>
          <w:p w14:paraId="4F665094" w14:textId="77777777" w:rsidR="00FA6A1F" w:rsidRPr="0003777A" w:rsidRDefault="00FA6A1F" w:rsidP="00E844E9">
            <w:pPr>
              <w:pStyle w:val="TableBullet"/>
            </w:pPr>
            <w:r>
              <w:t>E</w:t>
            </w:r>
            <w:r w:rsidRPr="0003777A">
              <w:t>nabling and embedding lived experience representation and input through the Gambling Harm L</w:t>
            </w:r>
            <w:r w:rsidR="00E844E9">
              <w:t>ived Experience Advisory Group.</w:t>
            </w:r>
          </w:p>
        </w:tc>
      </w:tr>
      <w:tr w:rsidR="00FA6A1F" w14:paraId="4F665098" w14:textId="77777777" w:rsidTr="00E844E9">
        <w:trPr>
          <w:cantSplit/>
        </w:trPr>
        <w:tc>
          <w:tcPr>
            <w:tcW w:w="2127" w:type="dxa"/>
          </w:tcPr>
          <w:p w14:paraId="4F665096" w14:textId="77777777" w:rsidR="00FA6A1F" w:rsidRPr="0003777A" w:rsidRDefault="00FA6A1F" w:rsidP="00E844E9">
            <w:pPr>
              <w:pStyle w:val="TableText"/>
              <w:ind w:right="113"/>
            </w:pPr>
            <w:r>
              <w:t>Ensure that p</w:t>
            </w:r>
            <w:r w:rsidRPr="0003777A">
              <w:t xml:space="preserve">eople have the information and support to make healthy choices </w:t>
            </w:r>
            <w:r>
              <w:t>about</w:t>
            </w:r>
            <w:r w:rsidRPr="0003777A">
              <w:t xml:space="preserve"> gambling for </w:t>
            </w:r>
            <w:r>
              <w:t xml:space="preserve">both </w:t>
            </w:r>
            <w:r w:rsidRPr="0003777A">
              <w:t>themselves and others</w:t>
            </w:r>
          </w:p>
        </w:tc>
        <w:tc>
          <w:tcPr>
            <w:tcW w:w="5953" w:type="dxa"/>
          </w:tcPr>
          <w:p w14:paraId="4F665097" w14:textId="77777777" w:rsidR="00FA6A1F" w:rsidRPr="0003777A" w:rsidRDefault="00FA6A1F" w:rsidP="00E844E9">
            <w:pPr>
              <w:pStyle w:val="TableBullet"/>
            </w:pPr>
            <w:r>
              <w:t>C</w:t>
            </w:r>
            <w:r w:rsidRPr="0003777A">
              <w:t>ontinuing to invest in a health promotion programme to raise awareness and educate people about the signs and risks of harmful gambling and how they can respond and seek help.</w:t>
            </w:r>
          </w:p>
        </w:tc>
      </w:tr>
      <w:tr w:rsidR="00FA6A1F" w14:paraId="4F66509B" w14:textId="77777777" w:rsidTr="00E844E9">
        <w:trPr>
          <w:cantSplit/>
        </w:trPr>
        <w:tc>
          <w:tcPr>
            <w:tcW w:w="2127" w:type="dxa"/>
          </w:tcPr>
          <w:p w14:paraId="4F665099" w14:textId="77777777" w:rsidR="00FA6A1F" w:rsidRPr="0003777A" w:rsidRDefault="00FA6A1F" w:rsidP="00E844E9">
            <w:pPr>
              <w:pStyle w:val="TableText"/>
              <w:ind w:right="113"/>
            </w:pPr>
            <w:r w:rsidRPr="0003777A">
              <w:t xml:space="preserve">Reduce the stigma attached to gambling harm that prevents </w:t>
            </w:r>
            <w:r>
              <w:t xml:space="preserve">people from </w:t>
            </w:r>
            <w:r w:rsidRPr="0003777A">
              <w:t>accessing services and support</w:t>
            </w:r>
          </w:p>
        </w:tc>
        <w:tc>
          <w:tcPr>
            <w:tcW w:w="5953" w:type="dxa"/>
          </w:tcPr>
          <w:p w14:paraId="4F66509A" w14:textId="77777777" w:rsidR="00FA6A1F" w:rsidRDefault="00FA6A1F" w:rsidP="00E844E9">
            <w:pPr>
              <w:pStyle w:val="TableBullet"/>
              <w:rPr>
                <w:lang w:eastAsia="en-NZ"/>
              </w:rPr>
            </w:pPr>
            <w:r>
              <w:t>I</w:t>
            </w:r>
            <w:r w:rsidRPr="0003777A">
              <w:t>nvesting in a de-stigmatisation initiative focused on priority populations to reduce the stigma attached to gambling harm and encourage people to access services and supports.</w:t>
            </w:r>
          </w:p>
        </w:tc>
      </w:tr>
      <w:tr w:rsidR="00FA6A1F" w14:paraId="4F6650A0" w14:textId="77777777" w:rsidTr="00E844E9">
        <w:trPr>
          <w:cantSplit/>
        </w:trPr>
        <w:tc>
          <w:tcPr>
            <w:tcW w:w="2127" w:type="dxa"/>
          </w:tcPr>
          <w:p w14:paraId="4F66509C" w14:textId="77777777" w:rsidR="00FA6A1F" w:rsidRPr="0003777A" w:rsidRDefault="00FA6A1F" w:rsidP="00E844E9">
            <w:pPr>
              <w:pStyle w:val="TableText"/>
              <w:ind w:right="113"/>
            </w:pPr>
            <w:r w:rsidRPr="0003777A">
              <w:t>Support healthy polic</w:t>
            </w:r>
            <w:r>
              <w:t>ies</w:t>
            </w:r>
            <w:r w:rsidRPr="0003777A">
              <w:t xml:space="preserve"> at national, regional and local levels that prevent and minimise gambling harm</w:t>
            </w:r>
          </w:p>
        </w:tc>
        <w:tc>
          <w:tcPr>
            <w:tcW w:w="5953" w:type="dxa"/>
          </w:tcPr>
          <w:p w14:paraId="4F66509D" w14:textId="77777777" w:rsidR="00FA6A1F" w:rsidRPr="0003777A" w:rsidRDefault="00FA6A1F" w:rsidP="00E844E9">
            <w:pPr>
              <w:pStyle w:val="TableBullet"/>
            </w:pPr>
            <w:r>
              <w:t>E</w:t>
            </w:r>
            <w:r w:rsidRPr="0003777A">
              <w:t xml:space="preserve">nabling collaboration and leadership across the gambling sector by continuing investment in </w:t>
            </w:r>
            <w:r>
              <w:t>the N</w:t>
            </w:r>
            <w:r w:rsidRPr="0003777A">
              <w:t xml:space="preserve">ational </w:t>
            </w:r>
            <w:r>
              <w:t>C</w:t>
            </w:r>
            <w:r w:rsidRPr="0003777A">
              <w:t xml:space="preserve">oordination </w:t>
            </w:r>
            <w:r>
              <w:t>S</w:t>
            </w:r>
            <w:r w:rsidRPr="0003777A">
              <w:t xml:space="preserve">ervice and </w:t>
            </w:r>
            <w:r>
              <w:t>i</w:t>
            </w:r>
            <w:r w:rsidRPr="0003777A">
              <w:t xml:space="preserve">nternational </w:t>
            </w:r>
            <w:r>
              <w:t>g</w:t>
            </w:r>
            <w:r w:rsidRPr="0003777A">
              <w:t xml:space="preserve">ambling </w:t>
            </w:r>
            <w:r>
              <w:t>c</w:t>
            </w:r>
            <w:r w:rsidRPr="0003777A">
              <w:t xml:space="preserve">onference and </w:t>
            </w:r>
            <w:r>
              <w:t>t</w:t>
            </w:r>
            <w:r w:rsidRPr="0003777A">
              <w:t xml:space="preserve">hink </w:t>
            </w:r>
            <w:r>
              <w:t>t</w:t>
            </w:r>
            <w:r w:rsidRPr="0003777A">
              <w:t>ank</w:t>
            </w:r>
            <w:r w:rsidR="00E844E9">
              <w:t>.</w:t>
            </w:r>
          </w:p>
          <w:p w14:paraId="4F66509E" w14:textId="77777777" w:rsidR="00FA6A1F" w:rsidRPr="0003777A" w:rsidRDefault="00FA6A1F" w:rsidP="00E844E9">
            <w:pPr>
              <w:pStyle w:val="TableBullet"/>
            </w:pPr>
            <w:r>
              <w:t>C</w:t>
            </w:r>
            <w:r w:rsidRPr="0003777A">
              <w:t xml:space="preserve">ontinuing to fund the </w:t>
            </w:r>
            <w:r>
              <w:t>MVE</w:t>
            </w:r>
            <w:r w:rsidRPr="0003777A">
              <w:t xml:space="preserve"> </w:t>
            </w:r>
            <w:r>
              <w:t>d</w:t>
            </w:r>
            <w:r w:rsidRPr="0003777A">
              <w:t xml:space="preserve">atabase and </w:t>
            </w:r>
            <w:r>
              <w:t>a</w:t>
            </w:r>
            <w:r w:rsidRPr="0003777A">
              <w:t xml:space="preserve">dministration service to support people who have opted to </w:t>
            </w:r>
            <w:r>
              <w:t>avoid</w:t>
            </w:r>
            <w:r w:rsidRPr="0003777A">
              <w:t xml:space="preserve"> gambling venues</w:t>
            </w:r>
            <w:r w:rsidR="00E844E9">
              <w:t>.</w:t>
            </w:r>
          </w:p>
          <w:p w14:paraId="4F66509F" w14:textId="77777777" w:rsidR="00FA6A1F" w:rsidRDefault="00FA6A1F" w:rsidP="00E844E9">
            <w:pPr>
              <w:pStyle w:val="TableBullet"/>
              <w:rPr>
                <w:lang w:eastAsia="en-NZ"/>
              </w:rPr>
            </w:pPr>
            <w:r>
              <w:t>E</w:t>
            </w:r>
            <w:r w:rsidRPr="0003777A">
              <w:t>nabling and embedding lived experience representation and input through the Gambling Harm L</w:t>
            </w:r>
            <w:r w:rsidR="00E844E9">
              <w:t>ived Experience Advisory Group.</w:t>
            </w:r>
          </w:p>
        </w:tc>
      </w:tr>
    </w:tbl>
    <w:p w14:paraId="4F6650A1" w14:textId="77777777" w:rsidR="00E844E9" w:rsidRDefault="00E844E9" w:rsidP="00E844E9">
      <w:bookmarkStart w:id="127" w:name="_Toc56522599"/>
      <w:bookmarkStart w:id="128" w:name="_Toc59414783"/>
    </w:p>
    <w:p w14:paraId="4F6650A2" w14:textId="354D8FB7" w:rsidR="00FA6A1F" w:rsidRDefault="00E844E9" w:rsidP="00E844E9">
      <w:pPr>
        <w:pStyle w:val="Table"/>
      </w:pPr>
      <w:bookmarkStart w:id="129" w:name="_Ref80793260"/>
      <w:bookmarkStart w:id="130" w:name="_Toc80860348"/>
      <w:r>
        <w:lastRenderedPageBreak/>
        <w:t>Table </w:t>
      </w:r>
      <w:fldSimple w:instr=" SEQ Table \* ARABIC ">
        <w:r w:rsidR="00F65B3A">
          <w:rPr>
            <w:noProof/>
          </w:rPr>
          <w:t>4</w:t>
        </w:r>
      </w:fldSimple>
      <w:bookmarkEnd w:id="129"/>
      <w:r w:rsidR="00FA6A1F">
        <w:t xml:space="preserve">: Public health </w:t>
      </w:r>
      <w:r w:rsidR="00FA6A1F" w:rsidRPr="00030FAB">
        <w:t>budget</w:t>
      </w:r>
      <w:r w:rsidR="00FA6A1F">
        <w:t xml:space="preserve"> (GST exclusive), by service area, 2022/23 to 2024/25</w:t>
      </w:r>
      <w:bookmarkEnd w:id="130"/>
    </w:p>
    <w:tbl>
      <w:tblPr>
        <w:tblW w:w="8080"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4253"/>
        <w:gridCol w:w="956"/>
        <w:gridCol w:w="957"/>
        <w:gridCol w:w="957"/>
        <w:gridCol w:w="957"/>
      </w:tblGrid>
      <w:tr w:rsidR="00FA6A1F" w:rsidRPr="00F46EA9" w14:paraId="4F6650A8" w14:textId="77777777" w:rsidTr="00F46EA9">
        <w:trPr>
          <w:cantSplit/>
          <w:trHeight w:val="388"/>
        </w:trPr>
        <w:tc>
          <w:tcPr>
            <w:tcW w:w="4253" w:type="dxa"/>
            <w:tcBorders>
              <w:top w:val="nil"/>
              <w:bottom w:val="nil"/>
            </w:tcBorders>
            <w:shd w:val="clear" w:color="auto" w:fill="D9D9D9" w:themeFill="background1" w:themeFillShade="D9"/>
            <w:noWrap/>
            <w:hideMark/>
          </w:tcPr>
          <w:p w14:paraId="4F6650A3" w14:textId="77777777" w:rsidR="00FA6A1F" w:rsidRPr="00F46EA9" w:rsidRDefault="00FA6A1F" w:rsidP="00F46EA9">
            <w:pPr>
              <w:pStyle w:val="TableText"/>
              <w:ind w:right="113"/>
              <w:rPr>
                <w:b/>
                <w:lang w:eastAsia="en-US"/>
              </w:rPr>
            </w:pPr>
            <w:r w:rsidRPr="00F46EA9">
              <w:rPr>
                <w:b/>
              </w:rPr>
              <w:t>Service area</w:t>
            </w:r>
          </w:p>
        </w:tc>
        <w:tc>
          <w:tcPr>
            <w:tcW w:w="956" w:type="dxa"/>
            <w:tcBorders>
              <w:top w:val="nil"/>
              <w:bottom w:val="nil"/>
            </w:tcBorders>
            <w:shd w:val="clear" w:color="auto" w:fill="D9D9D9" w:themeFill="background1" w:themeFillShade="D9"/>
            <w:noWrap/>
            <w:hideMark/>
          </w:tcPr>
          <w:p w14:paraId="4F6650A4" w14:textId="77777777" w:rsidR="00FA6A1F" w:rsidRPr="00F46EA9" w:rsidRDefault="00FA6A1F" w:rsidP="00F46EA9">
            <w:pPr>
              <w:pStyle w:val="TableText"/>
              <w:jc w:val="center"/>
              <w:rPr>
                <w:b/>
                <w:lang w:eastAsia="en-US"/>
              </w:rPr>
            </w:pPr>
            <w:r w:rsidRPr="00F46EA9">
              <w:rPr>
                <w:b/>
              </w:rPr>
              <w:t>2022/23</w:t>
            </w:r>
            <w:r w:rsidRPr="00F46EA9">
              <w:rPr>
                <w:b/>
              </w:rPr>
              <w:br/>
              <w:t>($m)</w:t>
            </w:r>
          </w:p>
        </w:tc>
        <w:tc>
          <w:tcPr>
            <w:tcW w:w="957" w:type="dxa"/>
            <w:tcBorders>
              <w:top w:val="nil"/>
              <w:bottom w:val="nil"/>
            </w:tcBorders>
            <w:shd w:val="clear" w:color="auto" w:fill="D9D9D9" w:themeFill="background1" w:themeFillShade="D9"/>
            <w:noWrap/>
            <w:hideMark/>
          </w:tcPr>
          <w:p w14:paraId="4F6650A5" w14:textId="77777777" w:rsidR="00FA6A1F" w:rsidRPr="00F46EA9" w:rsidRDefault="00FA6A1F" w:rsidP="00F46EA9">
            <w:pPr>
              <w:pStyle w:val="TableText"/>
              <w:jc w:val="center"/>
              <w:rPr>
                <w:b/>
                <w:lang w:eastAsia="en-US"/>
              </w:rPr>
            </w:pPr>
            <w:r w:rsidRPr="00F46EA9">
              <w:rPr>
                <w:b/>
              </w:rPr>
              <w:t>2023/24</w:t>
            </w:r>
            <w:r w:rsidRPr="00F46EA9">
              <w:rPr>
                <w:b/>
              </w:rPr>
              <w:br/>
              <w:t>($m)</w:t>
            </w:r>
          </w:p>
        </w:tc>
        <w:tc>
          <w:tcPr>
            <w:tcW w:w="957" w:type="dxa"/>
            <w:tcBorders>
              <w:top w:val="nil"/>
              <w:bottom w:val="nil"/>
            </w:tcBorders>
            <w:shd w:val="clear" w:color="auto" w:fill="D9D9D9" w:themeFill="background1" w:themeFillShade="D9"/>
            <w:noWrap/>
            <w:hideMark/>
          </w:tcPr>
          <w:p w14:paraId="4F6650A6" w14:textId="77777777" w:rsidR="00FA6A1F" w:rsidRPr="00F46EA9" w:rsidRDefault="00FA6A1F" w:rsidP="00F46EA9">
            <w:pPr>
              <w:pStyle w:val="TableText"/>
              <w:jc w:val="center"/>
              <w:rPr>
                <w:b/>
                <w:lang w:eastAsia="en-US"/>
              </w:rPr>
            </w:pPr>
            <w:r w:rsidRPr="00F46EA9">
              <w:rPr>
                <w:b/>
              </w:rPr>
              <w:t>2024/25</w:t>
            </w:r>
            <w:r w:rsidRPr="00F46EA9">
              <w:rPr>
                <w:b/>
              </w:rPr>
              <w:br/>
              <w:t>($m)</w:t>
            </w:r>
          </w:p>
        </w:tc>
        <w:tc>
          <w:tcPr>
            <w:tcW w:w="957" w:type="dxa"/>
            <w:tcBorders>
              <w:top w:val="nil"/>
              <w:bottom w:val="nil"/>
            </w:tcBorders>
            <w:shd w:val="clear" w:color="auto" w:fill="D9D9D9" w:themeFill="background1" w:themeFillShade="D9"/>
            <w:hideMark/>
          </w:tcPr>
          <w:p w14:paraId="4F6650A7" w14:textId="77777777" w:rsidR="00FA6A1F" w:rsidRPr="00F46EA9" w:rsidRDefault="00FA6A1F" w:rsidP="00F46EA9">
            <w:pPr>
              <w:pStyle w:val="TableText"/>
              <w:jc w:val="center"/>
              <w:rPr>
                <w:b/>
                <w:lang w:eastAsia="en-US"/>
              </w:rPr>
            </w:pPr>
            <w:r w:rsidRPr="00F46EA9">
              <w:rPr>
                <w:b/>
              </w:rPr>
              <w:t>Total</w:t>
            </w:r>
            <w:r w:rsidRPr="00F46EA9">
              <w:rPr>
                <w:b/>
              </w:rPr>
              <w:br/>
              <w:t>($m)</w:t>
            </w:r>
          </w:p>
        </w:tc>
      </w:tr>
      <w:tr w:rsidR="00FA6A1F" w14:paraId="4F6650AE" w14:textId="77777777" w:rsidTr="00F46EA9">
        <w:trPr>
          <w:cantSplit/>
          <w:trHeight w:val="230"/>
        </w:trPr>
        <w:tc>
          <w:tcPr>
            <w:tcW w:w="4253" w:type="dxa"/>
            <w:tcBorders>
              <w:top w:val="nil"/>
            </w:tcBorders>
            <w:noWrap/>
            <w:hideMark/>
          </w:tcPr>
          <w:p w14:paraId="4F6650A9" w14:textId="77777777" w:rsidR="00FA6A1F" w:rsidRDefault="00FA6A1F" w:rsidP="00F46EA9">
            <w:pPr>
              <w:pStyle w:val="TableText"/>
              <w:ind w:right="113"/>
              <w:rPr>
                <w:lang w:eastAsia="en-US"/>
              </w:rPr>
            </w:pPr>
            <w:r>
              <w:t>Primary prevention (public health services)</w:t>
            </w:r>
          </w:p>
        </w:tc>
        <w:tc>
          <w:tcPr>
            <w:tcW w:w="956" w:type="dxa"/>
            <w:tcBorders>
              <w:top w:val="nil"/>
            </w:tcBorders>
            <w:noWrap/>
            <w:vAlign w:val="center"/>
            <w:hideMark/>
          </w:tcPr>
          <w:p w14:paraId="4F6650AA" w14:textId="77777777" w:rsidR="00FA6A1F" w:rsidRDefault="00FA6A1F" w:rsidP="00F46EA9">
            <w:pPr>
              <w:pStyle w:val="TableText"/>
              <w:tabs>
                <w:tab w:val="decimal" w:pos="284"/>
              </w:tabs>
              <w:rPr>
                <w:color w:val="000000"/>
              </w:rPr>
            </w:pPr>
            <w:r>
              <w:rPr>
                <w:color w:val="000000"/>
              </w:rPr>
              <w:t>4.700</w:t>
            </w:r>
          </w:p>
        </w:tc>
        <w:tc>
          <w:tcPr>
            <w:tcW w:w="957" w:type="dxa"/>
            <w:tcBorders>
              <w:top w:val="nil"/>
            </w:tcBorders>
            <w:noWrap/>
            <w:vAlign w:val="center"/>
            <w:hideMark/>
          </w:tcPr>
          <w:p w14:paraId="4F6650AB" w14:textId="77777777" w:rsidR="00FA6A1F" w:rsidRDefault="00FA6A1F" w:rsidP="00F46EA9">
            <w:pPr>
              <w:pStyle w:val="TableText"/>
              <w:tabs>
                <w:tab w:val="decimal" w:pos="284"/>
              </w:tabs>
              <w:rPr>
                <w:color w:val="000000"/>
              </w:rPr>
            </w:pPr>
            <w:r>
              <w:rPr>
                <w:color w:val="000000"/>
              </w:rPr>
              <w:t>4.700</w:t>
            </w:r>
          </w:p>
        </w:tc>
        <w:tc>
          <w:tcPr>
            <w:tcW w:w="957" w:type="dxa"/>
            <w:tcBorders>
              <w:top w:val="nil"/>
            </w:tcBorders>
            <w:noWrap/>
            <w:vAlign w:val="center"/>
            <w:hideMark/>
          </w:tcPr>
          <w:p w14:paraId="4F6650AC" w14:textId="77777777" w:rsidR="00FA6A1F" w:rsidRDefault="00FA6A1F" w:rsidP="00F46EA9">
            <w:pPr>
              <w:pStyle w:val="TableText"/>
              <w:tabs>
                <w:tab w:val="decimal" w:pos="284"/>
              </w:tabs>
              <w:rPr>
                <w:color w:val="000000"/>
              </w:rPr>
            </w:pPr>
            <w:r>
              <w:rPr>
                <w:color w:val="000000"/>
              </w:rPr>
              <w:t>4.950</w:t>
            </w:r>
          </w:p>
        </w:tc>
        <w:tc>
          <w:tcPr>
            <w:tcW w:w="957" w:type="dxa"/>
            <w:tcBorders>
              <w:top w:val="nil"/>
            </w:tcBorders>
            <w:vAlign w:val="center"/>
            <w:hideMark/>
          </w:tcPr>
          <w:p w14:paraId="4F6650AD" w14:textId="77777777" w:rsidR="00FA6A1F" w:rsidRDefault="00FA6A1F" w:rsidP="00F46EA9">
            <w:pPr>
              <w:pStyle w:val="TableText"/>
              <w:tabs>
                <w:tab w:val="decimal" w:pos="284"/>
              </w:tabs>
              <w:rPr>
                <w:rFonts w:eastAsia="Arial Unicode MS"/>
              </w:rPr>
            </w:pPr>
            <w:r>
              <w:rPr>
                <w:color w:val="000000"/>
              </w:rPr>
              <w:t>14.350</w:t>
            </w:r>
          </w:p>
        </w:tc>
      </w:tr>
      <w:tr w:rsidR="00FA6A1F" w14:paraId="4F6650B4" w14:textId="77777777" w:rsidTr="00F46EA9">
        <w:trPr>
          <w:cantSplit/>
          <w:trHeight w:val="220"/>
        </w:trPr>
        <w:tc>
          <w:tcPr>
            <w:tcW w:w="4253" w:type="dxa"/>
            <w:noWrap/>
            <w:hideMark/>
          </w:tcPr>
          <w:p w14:paraId="4F6650AF" w14:textId="77777777" w:rsidR="00FA6A1F" w:rsidRDefault="00FA6A1F" w:rsidP="00F46EA9">
            <w:pPr>
              <w:pStyle w:val="TableText"/>
              <w:ind w:right="113"/>
              <w:rPr>
                <w:lang w:eastAsia="en-US"/>
              </w:rPr>
            </w:pPr>
            <w:r>
              <w:t>Workforce development (public health)</w:t>
            </w:r>
          </w:p>
        </w:tc>
        <w:tc>
          <w:tcPr>
            <w:tcW w:w="956" w:type="dxa"/>
            <w:noWrap/>
            <w:vAlign w:val="center"/>
            <w:hideMark/>
          </w:tcPr>
          <w:p w14:paraId="4F6650B0" w14:textId="77777777" w:rsidR="00FA6A1F" w:rsidRDefault="00FA6A1F" w:rsidP="00F46EA9">
            <w:pPr>
              <w:pStyle w:val="TableText"/>
              <w:tabs>
                <w:tab w:val="decimal" w:pos="284"/>
              </w:tabs>
              <w:rPr>
                <w:rFonts w:eastAsia="Arial Unicode MS"/>
              </w:rPr>
            </w:pPr>
            <w:r>
              <w:rPr>
                <w:color w:val="000000"/>
              </w:rPr>
              <w:t>0.130</w:t>
            </w:r>
          </w:p>
        </w:tc>
        <w:tc>
          <w:tcPr>
            <w:tcW w:w="957" w:type="dxa"/>
            <w:noWrap/>
            <w:vAlign w:val="center"/>
            <w:hideMark/>
          </w:tcPr>
          <w:p w14:paraId="4F6650B1" w14:textId="77777777" w:rsidR="00FA6A1F" w:rsidRDefault="00FA6A1F" w:rsidP="00F46EA9">
            <w:pPr>
              <w:pStyle w:val="TableText"/>
              <w:tabs>
                <w:tab w:val="decimal" w:pos="284"/>
              </w:tabs>
              <w:rPr>
                <w:rFonts w:eastAsia="Arial Unicode MS"/>
              </w:rPr>
            </w:pPr>
            <w:r>
              <w:rPr>
                <w:color w:val="000000"/>
              </w:rPr>
              <w:t>0.130</w:t>
            </w:r>
          </w:p>
        </w:tc>
        <w:tc>
          <w:tcPr>
            <w:tcW w:w="957" w:type="dxa"/>
            <w:noWrap/>
            <w:vAlign w:val="center"/>
            <w:hideMark/>
          </w:tcPr>
          <w:p w14:paraId="4F6650B2" w14:textId="77777777" w:rsidR="00FA6A1F" w:rsidRDefault="00FA6A1F" w:rsidP="00F46EA9">
            <w:pPr>
              <w:pStyle w:val="TableText"/>
              <w:tabs>
                <w:tab w:val="decimal" w:pos="284"/>
              </w:tabs>
              <w:rPr>
                <w:rFonts w:eastAsia="Arial Unicode MS"/>
              </w:rPr>
            </w:pPr>
            <w:r>
              <w:rPr>
                <w:color w:val="000000"/>
              </w:rPr>
              <w:t>0.130</w:t>
            </w:r>
          </w:p>
        </w:tc>
        <w:tc>
          <w:tcPr>
            <w:tcW w:w="957" w:type="dxa"/>
            <w:vAlign w:val="center"/>
            <w:hideMark/>
          </w:tcPr>
          <w:p w14:paraId="4F6650B3" w14:textId="77777777" w:rsidR="00FA6A1F" w:rsidRDefault="00FA6A1F" w:rsidP="00F46EA9">
            <w:pPr>
              <w:pStyle w:val="TableText"/>
              <w:tabs>
                <w:tab w:val="decimal" w:pos="284"/>
              </w:tabs>
              <w:rPr>
                <w:rFonts w:eastAsia="Arial Unicode MS"/>
              </w:rPr>
            </w:pPr>
            <w:r>
              <w:rPr>
                <w:color w:val="000000"/>
              </w:rPr>
              <w:t>0.390</w:t>
            </w:r>
          </w:p>
        </w:tc>
      </w:tr>
      <w:tr w:rsidR="00FA6A1F" w14:paraId="4F6650BA" w14:textId="77777777" w:rsidTr="00F46EA9">
        <w:trPr>
          <w:cantSplit/>
          <w:trHeight w:val="230"/>
        </w:trPr>
        <w:tc>
          <w:tcPr>
            <w:tcW w:w="4253" w:type="dxa"/>
            <w:noWrap/>
            <w:hideMark/>
          </w:tcPr>
          <w:p w14:paraId="4F6650B5" w14:textId="77777777" w:rsidR="00FA6A1F" w:rsidRDefault="00FA6A1F" w:rsidP="00F46EA9">
            <w:pPr>
              <w:pStyle w:val="TableText"/>
              <w:ind w:right="113"/>
              <w:rPr>
                <w:lang w:eastAsia="en-US"/>
              </w:rPr>
            </w:pPr>
            <w:r>
              <w:t>Awareness and education programme</w:t>
            </w:r>
          </w:p>
        </w:tc>
        <w:tc>
          <w:tcPr>
            <w:tcW w:w="956" w:type="dxa"/>
            <w:noWrap/>
            <w:vAlign w:val="center"/>
            <w:hideMark/>
          </w:tcPr>
          <w:p w14:paraId="4F6650B6" w14:textId="77777777" w:rsidR="00FA6A1F" w:rsidRDefault="00FA6A1F" w:rsidP="00F46EA9">
            <w:pPr>
              <w:pStyle w:val="TableText"/>
              <w:tabs>
                <w:tab w:val="decimal" w:pos="284"/>
              </w:tabs>
              <w:rPr>
                <w:rFonts w:eastAsia="Arial Unicode MS"/>
              </w:rPr>
            </w:pPr>
            <w:r>
              <w:rPr>
                <w:color w:val="000000"/>
              </w:rPr>
              <w:t>1.680</w:t>
            </w:r>
          </w:p>
        </w:tc>
        <w:tc>
          <w:tcPr>
            <w:tcW w:w="957" w:type="dxa"/>
            <w:noWrap/>
            <w:vAlign w:val="center"/>
            <w:hideMark/>
          </w:tcPr>
          <w:p w14:paraId="4F6650B7" w14:textId="77777777" w:rsidR="00FA6A1F" w:rsidRDefault="00FA6A1F" w:rsidP="00F46EA9">
            <w:pPr>
              <w:pStyle w:val="TableText"/>
              <w:tabs>
                <w:tab w:val="decimal" w:pos="284"/>
              </w:tabs>
              <w:rPr>
                <w:rFonts w:eastAsia="Arial Unicode MS"/>
              </w:rPr>
            </w:pPr>
            <w:r>
              <w:rPr>
                <w:color w:val="000000"/>
              </w:rPr>
              <w:t>1.680</w:t>
            </w:r>
          </w:p>
        </w:tc>
        <w:tc>
          <w:tcPr>
            <w:tcW w:w="957" w:type="dxa"/>
            <w:noWrap/>
            <w:vAlign w:val="center"/>
            <w:hideMark/>
          </w:tcPr>
          <w:p w14:paraId="4F6650B8" w14:textId="77777777" w:rsidR="00FA6A1F" w:rsidRDefault="00FA6A1F" w:rsidP="00F46EA9">
            <w:pPr>
              <w:pStyle w:val="TableText"/>
              <w:tabs>
                <w:tab w:val="decimal" w:pos="284"/>
              </w:tabs>
              <w:rPr>
                <w:rFonts w:eastAsia="Arial Unicode MS"/>
              </w:rPr>
            </w:pPr>
            <w:r>
              <w:rPr>
                <w:color w:val="000000"/>
              </w:rPr>
              <w:t>1.680</w:t>
            </w:r>
          </w:p>
        </w:tc>
        <w:tc>
          <w:tcPr>
            <w:tcW w:w="957" w:type="dxa"/>
            <w:vAlign w:val="center"/>
            <w:hideMark/>
          </w:tcPr>
          <w:p w14:paraId="4F6650B9" w14:textId="77777777" w:rsidR="00FA6A1F" w:rsidRDefault="00FA6A1F" w:rsidP="00F46EA9">
            <w:pPr>
              <w:pStyle w:val="TableText"/>
              <w:tabs>
                <w:tab w:val="decimal" w:pos="284"/>
              </w:tabs>
              <w:rPr>
                <w:rFonts w:eastAsia="Arial Unicode MS"/>
              </w:rPr>
            </w:pPr>
            <w:r>
              <w:rPr>
                <w:color w:val="000000"/>
              </w:rPr>
              <w:t>5.040</w:t>
            </w:r>
          </w:p>
        </w:tc>
      </w:tr>
      <w:tr w:rsidR="00FA6A1F" w14:paraId="4F6650C0" w14:textId="77777777" w:rsidTr="00F46EA9">
        <w:trPr>
          <w:cantSplit/>
          <w:trHeight w:val="220"/>
        </w:trPr>
        <w:tc>
          <w:tcPr>
            <w:tcW w:w="4253" w:type="dxa"/>
            <w:noWrap/>
            <w:hideMark/>
          </w:tcPr>
          <w:p w14:paraId="4F6650BB" w14:textId="77777777" w:rsidR="00FA6A1F" w:rsidRDefault="00FA6A1F" w:rsidP="00F46EA9">
            <w:pPr>
              <w:pStyle w:val="TableText"/>
              <w:ind w:right="113"/>
            </w:pPr>
            <w:r>
              <w:t>De-stigmatisation initiative</w:t>
            </w:r>
          </w:p>
        </w:tc>
        <w:tc>
          <w:tcPr>
            <w:tcW w:w="956" w:type="dxa"/>
            <w:noWrap/>
            <w:vAlign w:val="center"/>
            <w:hideMark/>
          </w:tcPr>
          <w:p w14:paraId="4F6650BC" w14:textId="77777777" w:rsidR="00FA6A1F" w:rsidRDefault="00FA6A1F" w:rsidP="00F46EA9">
            <w:pPr>
              <w:pStyle w:val="TableText"/>
              <w:tabs>
                <w:tab w:val="decimal" w:pos="284"/>
              </w:tabs>
              <w:rPr>
                <w:color w:val="000000"/>
              </w:rPr>
            </w:pPr>
            <w:r>
              <w:rPr>
                <w:color w:val="000000"/>
              </w:rPr>
              <w:t>0.218</w:t>
            </w:r>
          </w:p>
        </w:tc>
        <w:tc>
          <w:tcPr>
            <w:tcW w:w="957" w:type="dxa"/>
            <w:noWrap/>
            <w:vAlign w:val="center"/>
            <w:hideMark/>
          </w:tcPr>
          <w:p w14:paraId="4F6650BD" w14:textId="77777777" w:rsidR="00FA6A1F" w:rsidRDefault="00FA6A1F" w:rsidP="00F46EA9">
            <w:pPr>
              <w:pStyle w:val="TableText"/>
              <w:tabs>
                <w:tab w:val="decimal" w:pos="284"/>
              </w:tabs>
              <w:rPr>
                <w:color w:val="000000"/>
              </w:rPr>
            </w:pPr>
            <w:r>
              <w:rPr>
                <w:color w:val="000000"/>
              </w:rPr>
              <w:t>0.330</w:t>
            </w:r>
          </w:p>
        </w:tc>
        <w:tc>
          <w:tcPr>
            <w:tcW w:w="957" w:type="dxa"/>
            <w:noWrap/>
            <w:vAlign w:val="center"/>
            <w:hideMark/>
          </w:tcPr>
          <w:p w14:paraId="4F6650BE" w14:textId="77777777" w:rsidR="00FA6A1F" w:rsidRDefault="00FA6A1F" w:rsidP="00F46EA9">
            <w:pPr>
              <w:pStyle w:val="TableText"/>
              <w:tabs>
                <w:tab w:val="decimal" w:pos="284"/>
              </w:tabs>
              <w:rPr>
                <w:color w:val="000000"/>
              </w:rPr>
            </w:pPr>
            <w:r>
              <w:rPr>
                <w:color w:val="000000"/>
              </w:rPr>
              <w:t>0.152</w:t>
            </w:r>
          </w:p>
        </w:tc>
        <w:tc>
          <w:tcPr>
            <w:tcW w:w="957" w:type="dxa"/>
            <w:vAlign w:val="center"/>
            <w:hideMark/>
          </w:tcPr>
          <w:p w14:paraId="4F6650BF" w14:textId="77777777" w:rsidR="00FA6A1F" w:rsidRDefault="00FA6A1F" w:rsidP="00F46EA9">
            <w:pPr>
              <w:pStyle w:val="TableText"/>
              <w:tabs>
                <w:tab w:val="decimal" w:pos="284"/>
              </w:tabs>
              <w:rPr>
                <w:color w:val="000000"/>
              </w:rPr>
            </w:pPr>
            <w:r>
              <w:rPr>
                <w:color w:val="000000"/>
              </w:rPr>
              <w:t>0.700</w:t>
            </w:r>
          </w:p>
        </w:tc>
      </w:tr>
      <w:tr w:rsidR="00FA6A1F" w14:paraId="4F6650C6" w14:textId="77777777" w:rsidTr="00F46EA9">
        <w:trPr>
          <w:cantSplit/>
          <w:trHeight w:val="230"/>
        </w:trPr>
        <w:tc>
          <w:tcPr>
            <w:tcW w:w="4253" w:type="dxa"/>
            <w:noWrap/>
            <w:hideMark/>
          </w:tcPr>
          <w:p w14:paraId="4F6650C1" w14:textId="77777777" w:rsidR="00FA6A1F" w:rsidRDefault="00FA6A1F" w:rsidP="00F46EA9">
            <w:pPr>
              <w:pStyle w:val="TableText"/>
              <w:ind w:right="113"/>
              <w:rPr>
                <w:lang w:eastAsia="en-US"/>
              </w:rPr>
            </w:pPr>
            <w:r>
              <w:t>National Coordination Service</w:t>
            </w:r>
          </w:p>
        </w:tc>
        <w:tc>
          <w:tcPr>
            <w:tcW w:w="956" w:type="dxa"/>
            <w:noWrap/>
            <w:vAlign w:val="center"/>
            <w:hideMark/>
          </w:tcPr>
          <w:p w14:paraId="4F6650C2" w14:textId="77777777" w:rsidR="00FA6A1F" w:rsidRDefault="00FA6A1F" w:rsidP="00F46EA9">
            <w:pPr>
              <w:pStyle w:val="TableText"/>
              <w:tabs>
                <w:tab w:val="decimal" w:pos="284"/>
              </w:tabs>
              <w:rPr>
                <w:rFonts w:eastAsia="Arial Unicode MS"/>
              </w:rPr>
            </w:pPr>
            <w:r>
              <w:rPr>
                <w:color w:val="000000"/>
              </w:rPr>
              <w:t>0.130</w:t>
            </w:r>
          </w:p>
        </w:tc>
        <w:tc>
          <w:tcPr>
            <w:tcW w:w="957" w:type="dxa"/>
            <w:noWrap/>
            <w:vAlign w:val="center"/>
            <w:hideMark/>
          </w:tcPr>
          <w:p w14:paraId="4F6650C3" w14:textId="77777777" w:rsidR="00FA6A1F" w:rsidRDefault="00FA6A1F" w:rsidP="00F46EA9">
            <w:pPr>
              <w:pStyle w:val="TableText"/>
              <w:tabs>
                <w:tab w:val="decimal" w:pos="284"/>
              </w:tabs>
              <w:rPr>
                <w:rFonts w:eastAsia="Arial Unicode MS"/>
              </w:rPr>
            </w:pPr>
            <w:r>
              <w:rPr>
                <w:color w:val="000000"/>
              </w:rPr>
              <w:t>0.130</w:t>
            </w:r>
          </w:p>
        </w:tc>
        <w:tc>
          <w:tcPr>
            <w:tcW w:w="957" w:type="dxa"/>
            <w:noWrap/>
            <w:vAlign w:val="center"/>
            <w:hideMark/>
          </w:tcPr>
          <w:p w14:paraId="4F6650C4" w14:textId="77777777" w:rsidR="00FA6A1F" w:rsidRDefault="00FA6A1F" w:rsidP="00F46EA9">
            <w:pPr>
              <w:pStyle w:val="TableText"/>
              <w:tabs>
                <w:tab w:val="decimal" w:pos="284"/>
              </w:tabs>
              <w:rPr>
                <w:rFonts w:eastAsia="Arial Unicode MS"/>
              </w:rPr>
            </w:pPr>
            <w:r>
              <w:rPr>
                <w:color w:val="000000"/>
              </w:rPr>
              <w:t>0.130</w:t>
            </w:r>
          </w:p>
        </w:tc>
        <w:tc>
          <w:tcPr>
            <w:tcW w:w="957" w:type="dxa"/>
            <w:vAlign w:val="center"/>
            <w:hideMark/>
          </w:tcPr>
          <w:p w14:paraId="4F6650C5" w14:textId="77777777" w:rsidR="00FA6A1F" w:rsidRDefault="00FA6A1F" w:rsidP="00F46EA9">
            <w:pPr>
              <w:pStyle w:val="TableText"/>
              <w:tabs>
                <w:tab w:val="decimal" w:pos="284"/>
              </w:tabs>
              <w:rPr>
                <w:rFonts w:eastAsia="Arial Unicode MS"/>
              </w:rPr>
            </w:pPr>
            <w:r>
              <w:rPr>
                <w:color w:val="000000"/>
              </w:rPr>
              <w:t>0.390</w:t>
            </w:r>
          </w:p>
        </w:tc>
      </w:tr>
      <w:tr w:rsidR="00FA6A1F" w14:paraId="4F6650CC" w14:textId="77777777" w:rsidTr="00F46EA9">
        <w:trPr>
          <w:cantSplit/>
          <w:trHeight w:val="388"/>
        </w:trPr>
        <w:tc>
          <w:tcPr>
            <w:tcW w:w="4253" w:type="dxa"/>
            <w:noWrap/>
            <w:hideMark/>
          </w:tcPr>
          <w:p w14:paraId="4F6650C7" w14:textId="77777777" w:rsidR="00FA6A1F" w:rsidRDefault="00FA6A1F" w:rsidP="00F46EA9">
            <w:pPr>
              <w:pStyle w:val="TableText"/>
              <w:ind w:right="113"/>
            </w:pPr>
            <w:r>
              <w:t>Gambling Harm Lived Experience Advisory Group</w:t>
            </w:r>
          </w:p>
        </w:tc>
        <w:tc>
          <w:tcPr>
            <w:tcW w:w="956" w:type="dxa"/>
            <w:noWrap/>
            <w:vAlign w:val="center"/>
            <w:hideMark/>
          </w:tcPr>
          <w:p w14:paraId="4F6650C8" w14:textId="77777777" w:rsidR="00FA6A1F" w:rsidRDefault="00FA6A1F" w:rsidP="00F46EA9">
            <w:pPr>
              <w:pStyle w:val="TableText"/>
              <w:tabs>
                <w:tab w:val="decimal" w:pos="284"/>
              </w:tabs>
              <w:rPr>
                <w:rFonts w:eastAsia="Arial Unicode MS"/>
              </w:rPr>
            </w:pPr>
            <w:r>
              <w:rPr>
                <w:color w:val="000000"/>
              </w:rPr>
              <w:t>0.130</w:t>
            </w:r>
          </w:p>
        </w:tc>
        <w:tc>
          <w:tcPr>
            <w:tcW w:w="957" w:type="dxa"/>
            <w:noWrap/>
            <w:vAlign w:val="center"/>
            <w:hideMark/>
          </w:tcPr>
          <w:p w14:paraId="4F6650C9" w14:textId="77777777" w:rsidR="00FA6A1F" w:rsidRDefault="00FA6A1F" w:rsidP="00F46EA9">
            <w:pPr>
              <w:pStyle w:val="TableText"/>
              <w:tabs>
                <w:tab w:val="decimal" w:pos="284"/>
              </w:tabs>
              <w:rPr>
                <w:rFonts w:eastAsia="Arial Unicode MS"/>
              </w:rPr>
            </w:pPr>
            <w:r>
              <w:rPr>
                <w:color w:val="000000"/>
              </w:rPr>
              <w:t>0.130</w:t>
            </w:r>
          </w:p>
        </w:tc>
        <w:tc>
          <w:tcPr>
            <w:tcW w:w="957" w:type="dxa"/>
            <w:noWrap/>
            <w:vAlign w:val="center"/>
            <w:hideMark/>
          </w:tcPr>
          <w:p w14:paraId="4F6650CA" w14:textId="77777777" w:rsidR="00FA6A1F" w:rsidRDefault="00FA6A1F" w:rsidP="00F46EA9">
            <w:pPr>
              <w:pStyle w:val="TableText"/>
              <w:tabs>
                <w:tab w:val="decimal" w:pos="284"/>
              </w:tabs>
              <w:rPr>
                <w:rFonts w:eastAsia="Arial Unicode MS"/>
              </w:rPr>
            </w:pPr>
            <w:r>
              <w:rPr>
                <w:color w:val="000000"/>
              </w:rPr>
              <w:t>0.130</w:t>
            </w:r>
          </w:p>
        </w:tc>
        <w:tc>
          <w:tcPr>
            <w:tcW w:w="957" w:type="dxa"/>
            <w:vAlign w:val="center"/>
            <w:hideMark/>
          </w:tcPr>
          <w:p w14:paraId="4F6650CB" w14:textId="77777777" w:rsidR="00FA6A1F" w:rsidRDefault="00FA6A1F" w:rsidP="00F46EA9">
            <w:pPr>
              <w:pStyle w:val="TableText"/>
              <w:tabs>
                <w:tab w:val="decimal" w:pos="284"/>
              </w:tabs>
              <w:rPr>
                <w:rFonts w:eastAsia="Arial Unicode MS"/>
              </w:rPr>
            </w:pPr>
            <w:r>
              <w:rPr>
                <w:color w:val="000000"/>
              </w:rPr>
              <w:t>0.390</w:t>
            </w:r>
          </w:p>
        </w:tc>
      </w:tr>
      <w:tr w:rsidR="00FA6A1F" w14:paraId="4F6650D2" w14:textId="77777777" w:rsidTr="00F46EA9">
        <w:trPr>
          <w:cantSplit/>
          <w:trHeight w:val="220"/>
        </w:trPr>
        <w:tc>
          <w:tcPr>
            <w:tcW w:w="4253" w:type="dxa"/>
            <w:noWrap/>
            <w:hideMark/>
          </w:tcPr>
          <w:p w14:paraId="4F6650CD" w14:textId="77777777" w:rsidR="00FA6A1F" w:rsidRDefault="00FA6A1F" w:rsidP="00F46EA9">
            <w:pPr>
              <w:pStyle w:val="TableText"/>
              <w:ind w:right="113"/>
            </w:pPr>
            <w:r>
              <w:t xml:space="preserve">MVE administration service </w:t>
            </w:r>
            <w:r w:rsidR="00F46EA9">
              <w:t>and</w:t>
            </w:r>
            <w:r>
              <w:t xml:space="preserve"> database</w:t>
            </w:r>
          </w:p>
        </w:tc>
        <w:tc>
          <w:tcPr>
            <w:tcW w:w="956" w:type="dxa"/>
            <w:noWrap/>
            <w:vAlign w:val="center"/>
            <w:hideMark/>
          </w:tcPr>
          <w:p w14:paraId="4F6650CE" w14:textId="77777777" w:rsidR="00FA6A1F" w:rsidRDefault="00FA6A1F" w:rsidP="00F46EA9">
            <w:pPr>
              <w:pStyle w:val="TableText"/>
              <w:tabs>
                <w:tab w:val="decimal" w:pos="284"/>
              </w:tabs>
              <w:rPr>
                <w:color w:val="000000"/>
              </w:rPr>
            </w:pPr>
            <w:r>
              <w:rPr>
                <w:color w:val="000000"/>
              </w:rPr>
              <w:t>0.180</w:t>
            </w:r>
          </w:p>
        </w:tc>
        <w:tc>
          <w:tcPr>
            <w:tcW w:w="957" w:type="dxa"/>
            <w:noWrap/>
            <w:vAlign w:val="center"/>
            <w:hideMark/>
          </w:tcPr>
          <w:p w14:paraId="4F6650CF" w14:textId="77777777" w:rsidR="00FA6A1F" w:rsidRDefault="00FA6A1F" w:rsidP="00F46EA9">
            <w:pPr>
              <w:pStyle w:val="TableText"/>
              <w:tabs>
                <w:tab w:val="decimal" w:pos="284"/>
              </w:tabs>
              <w:rPr>
                <w:color w:val="000000"/>
              </w:rPr>
            </w:pPr>
            <w:r>
              <w:rPr>
                <w:color w:val="000000"/>
              </w:rPr>
              <w:t>0.310</w:t>
            </w:r>
          </w:p>
        </w:tc>
        <w:tc>
          <w:tcPr>
            <w:tcW w:w="957" w:type="dxa"/>
            <w:noWrap/>
            <w:vAlign w:val="center"/>
            <w:hideMark/>
          </w:tcPr>
          <w:p w14:paraId="4F6650D0" w14:textId="77777777" w:rsidR="00FA6A1F" w:rsidRDefault="00FA6A1F" w:rsidP="00F46EA9">
            <w:pPr>
              <w:pStyle w:val="TableText"/>
              <w:tabs>
                <w:tab w:val="decimal" w:pos="284"/>
              </w:tabs>
              <w:rPr>
                <w:color w:val="000000"/>
              </w:rPr>
            </w:pPr>
            <w:r>
              <w:rPr>
                <w:color w:val="000000"/>
              </w:rPr>
              <w:t>0.310</w:t>
            </w:r>
          </w:p>
        </w:tc>
        <w:tc>
          <w:tcPr>
            <w:tcW w:w="957" w:type="dxa"/>
            <w:vAlign w:val="center"/>
            <w:hideMark/>
          </w:tcPr>
          <w:p w14:paraId="4F6650D1" w14:textId="77777777" w:rsidR="00FA6A1F" w:rsidRDefault="00FA6A1F" w:rsidP="00F46EA9">
            <w:pPr>
              <w:pStyle w:val="TableText"/>
              <w:tabs>
                <w:tab w:val="decimal" w:pos="284"/>
              </w:tabs>
              <w:rPr>
                <w:color w:val="000000"/>
              </w:rPr>
            </w:pPr>
            <w:r>
              <w:rPr>
                <w:color w:val="000000"/>
              </w:rPr>
              <w:t>0.800</w:t>
            </w:r>
          </w:p>
        </w:tc>
      </w:tr>
      <w:tr w:rsidR="00FA6A1F" w14:paraId="4F6650D8" w14:textId="77777777" w:rsidTr="00F46EA9">
        <w:trPr>
          <w:cantSplit/>
          <w:trHeight w:val="230"/>
        </w:trPr>
        <w:tc>
          <w:tcPr>
            <w:tcW w:w="4253" w:type="dxa"/>
            <w:noWrap/>
            <w:hideMark/>
          </w:tcPr>
          <w:p w14:paraId="4F6650D3" w14:textId="77777777" w:rsidR="00FA6A1F" w:rsidRDefault="00FA6A1F" w:rsidP="00F46EA9">
            <w:pPr>
              <w:pStyle w:val="TableText"/>
              <w:ind w:right="113"/>
            </w:pPr>
            <w:r>
              <w:t>Conference support</w:t>
            </w:r>
          </w:p>
        </w:tc>
        <w:tc>
          <w:tcPr>
            <w:tcW w:w="956" w:type="dxa"/>
            <w:noWrap/>
            <w:vAlign w:val="center"/>
            <w:hideMark/>
          </w:tcPr>
          <w:p w14:paraId="4F6650D4" w14:textId="77777777" w:rsidR="00FA6A1F" w:rsidRDefault="00FA6A1F" w:rsidP="00F46EA9">
            <w:pPr>
              <w:pStyle w:val="TableText"/>
              <w:tabs>
                <w:tab w:val="decimal" w:pos="284"/>
              </w:tabs>
              <w:rPr>
                <w:rFonts w:eastAsia="Arial Unicode MS"/>
              </w:rPr>
            </w:pPr>
            <w:r>
              <w:rPr>
                <w:color w:val="000000"/>
              </w:rPr>
              <w:t>0.000</w:t>
            </w:r>
          </w:p>
        </w:tc>
        <w:tc>
          <w:tcPr>
            <w:tcW w:w="957" w:type="dxa"/>
            <w:noWrap/>
            <w:vAlign w:val="center"/>
            <w:hideMark/>
          </w:tcPr>
          <w:p w14:paraId="4F6650D5" w14:textId="77777777" w:rsidR="00FA6A1F" w:rsidRDefault="00FA6A1F" w:rsidP="00F46EA9">
            <w:pPr>
              <w:pStyle w:val="TableText"/>
              <w:tabs>
                <w:tab w:val="decimal" w:pos="284"/>
              </w:tabs>
              <w:rPr>
                <w:rFonts w:eastAsia="Arial Unicode MS"/>
              </w:rPr>
            </w:pPr>
            <w:r>
              <w:rPr>
                <w:color w:val="000000"/>
              </w:rPr>
              <w:t>0.080</w:t>
            </w:r>
          </w:p>
        </w:tc>
        <w:tc>
          <w:tcPr>
            <w:tcW w:w="957" w:type="dxa"/>
            <w:noWrap/>
            <w:vAlign w:val="center"/>
            <w:hideMark/>
          </w:tcPr>
          <w:p w14:paraId="4F6650D6" w14:textId="77777777" w:rsidR="00FA6A1F" w:rsidRDefault="00FA6A1F" w:rsidP="00F46EA9">
            <w:pPr>
              <w:pStyle w:val="TableText"/>
              <w:tabs>
                <w:tab w:val="decimal" w:pos="284"/>
              </w:tabs>
              <w:rPr>
                <w:rFonts w:eastAsia="Arial Unicode MS"/>
              </w:rPr>
            </w:pPr>
            <w:r>
              <w:rPr>
                <w:color w:val="000000"/>
              </w:rPr>
              <w:t>0.000</w:t>
            </w:r>
          </w:p>
        </w:tc>
        <w:tc>
          <w:tcPr>
            <w:tcW w:w="957" w:type="dxa"/>
            <w:vAlign w:val="center"/>
            <w:hideMark/>
          </w:tcPr>
          <w:p w14:paraId="4F6650D7" w14:textId="77777777" w:rsidR="00FA6A1F" w:rsidRDefault="00FA6A1F" w:rsidP="00F46EA9">
            <w:pPr>
              <w:pStyle w:val="TableText"/>
              <w:tabs>
                <w:tab w:val="decimal" w:pos="284"/>
              </w:tabs>
              <w:rPr>
                <w:rFonts w:eastAsia="Arial Unicode MS"/>
              </w:rPr>
            </w:pPr>
            <w:r>
              <w:rPr>
                <w:color w:val="000000"/>
              </w:rPr>
              <w:t>0.080</w:t>
            </w:r>
          </w:p>
        </w:tc>
      </w:tr>
      <w:tr w:rsidR="00FA6A1F" w:rsidRPr="00F46EA9" w14:paraId="4F6650DE" w14:textId="77777777" w:rsidTr="00F46EA9">
        <w:trPr>
          <w:cantSplit/>
          <w:trHeight w:val="220"/>
        </w:trPr>
        <w:tc>
          <w:tcPr>
            <w:tcW w:w="4253" w:type="dxa"/>
            <w:noWrap/>
            <w:hideMark/>
          </w:tcPr>
          <w:p w14:paraId="4F6650D9" w14:textId="77777777" w:rsidR="00FA6A1F" w:rsidRPr="00F46EA9" w:rsidRDefault="00FA6A1F" w:rsidP="00F46EA9">
            <w:pPr>
              <w:pStyle w:val="TableText"/>
              <w:ind w:right="113"/>
              <w:rPr>
                <w:b/>
                <w:lang w:eastAsia="en-US"/>
              </w:rPr>
            </w:pPr>
            <w:r w:rsidRPr="00F46EA9">
              <w:rPr>
                <w:b/>
                <w:lang w:eastAsia="en-US"/>
              </w:rPr>
              <w:t>Total ($m)</w:t>
            </w:r>
          </w:p>
        </w:tc>
        <w:tc>
          <w:tcPr>
            <w:tcW w:w="956" w:type="dxa"/>
            <w:shd w:val="clear" w:color="auto" w:fill="FFFFFF" w:themeFill="background1"/>
            <w:noWrap/>
            <w:vAlign w:val="center"/>
            <w:hideMark/>
          </w:tcPr>
          <w:p w14:paraId="4F6650DA" w14:textId="77777777" w:rsidR="00FA6A1F" w:rsidRPr="00F46EA9" w:rsidRDefault="00FA6A1F" w:rsidP="00F46EA9">
            <w:pPr>
              <w:pStyle w:val="TableText"/>
              <w:tabs>
                <w:tab w:val="decimal" w:pos="284"/>
              </w:tabs>
              <w:rPr>
                <w:b/>
                <w:color w:val="000000"/>
              </w:rPr>
            </w:pPr>
            <w:r w:rsidRPr="00F46EA9">
              <w:rPr>
                <w:b/>
                <w:color w:val="000000"/>
              </w:rPr>
              <w:t>7.168</w:t>
            </w:r>
          </w:p>
        </w:tc>
        <w:tc>
          <w:tcPr>
            <w:tcW w:w="957" w:type="dxa"/>
            <w:shd w:val="clear" w:color="auto" w:fill="FFFFFF" w:themeFill="background1"/>
            <w:noWrap/>
            <w:vAlign w:val="center"/>
            <w:hideMark/>
          </w:tcPr>
          <w:p w14:paraId="4F6650DB" w14:textId="77777777" w:rsidR="00FA6A1F" w:rsidRPr="00F46EA9" w:rsidRDefault="00FA6A1F" w:rsidP="00F46EA9">
            <w:pPr>
              <w:pStyle w:val="TableText"/>
              <w:tabs>
                <w:tab w:val="decimal" w:pos="284"/>
              </w:tabs>
              <w:rPr>
                <w:b/>
                <w:color w:val="000000"/>
              </w:rPr>
            </w:pPr>
            <w:r w:rsidRPr="00F46EA9">
              <w:rPr>
                <w:b/>
                <w:color w:val="000000"/>
              </w:rPr>
              <w:t>7.490</w:t>
            </w:r>
          </w:p>
        </w:tc>
        <w:tc>
          <w:tcPr>
            <w:tcW w:w="957" w:type="dxa"/>
            <w:shd w:val="clear" w:color="auto" w:fill="FFFFFF" w:themeFill="background1"/>
            <w:noWrap/>
            <w:vAlign w:val="center"/>
            <w:hideMark/>
          </w:tcPr>
          <w:p w14:paraId="4F6650DC" w14:textId="77777777" w:rsidR="00FA6A1F" w:rsidRPr="00F46EA9" w:rsidRDefault="00FA6A1F" w:rsidP="00F46EA9">
            <w:pPr>
              <w:pStyle w:val="TableText"/>
              <w:tabs>
                <w:tab w:val="decimal" w:pos="284"/>
              </w:tabs>
              <w:rPr>
                <w:b/>
                <w:color w:val="000000"/>
              </w:rPr>
            </w:pPr>
            <w:r w:rsidRPr="00F46EA9">
              <w:rPr>
                <w:b/>
                <w:color w:val="000000"/>
              </w:rPr>
              <w:t>7.482</w:t>
            </w:r>
          </w:p>
        </w:tc>
        <w:tc>
          <w:tcPr>
            <w:tcW w:w="957" w:type="dxa"/>
            <w:vAlign w:val="center"/>
            <w:hideMark/>
          </w:tcPr>
          <w:p w14:paraId="4F6650DD" w14:textId="77777777" w:rsidR="00FA6A1F" w:rsidRPr="00F46EA9" w:rsidRDefault="00FA6A1F" w:rsidP="00F46EA9">
            <w:pPr>
              <w:pStyle w:val="TableText"/>
              <w:tabs>
                <w:tab w:val="decimal" w:pos="284"/>
              </w:tabs>
              <w:rPr>
                <w:rFonts w:eastAsia="Arial Unicode MS"/>
                <w:b/>
              </w:rPr>
            </w:pPr>
            <w:r w:rsidRPr="00F46EA9">
              <w:rPr>
                <w:rFonts w:eastAsia="Arial Unicode MS"/>
                <w:b/>
              </w:rPr>
              <w:t>22.140</w:t>
            </w:r>
          </w:p>
        </w:tc>
      </w:tr>
    </w:tbl>
    <w:p w14:paraId="4F6650DF" w14:textId="77777777" w:rsidR="00FA6A1F" w:rsidRDefault="00FA6A1F" w:rsidP="00F46EA9">
      <w:pPr>
        <w:pStyle w:val="Note"/>
      </w:pPr>
      <w:r>
        <w:t>Note: All service areas include provision for dedicated Māori, Pacific peoples and Asian peoples</w:t>
      </w:r>
      <w:r w:rsidR="008303C6">
        <w:t>’</w:t>
      </w:r>
      <w:r>
        <w:t xml:space="preserve"> services and activities.</w:t>
      </w:r>
    </w:p>
    <w:p w14:paraId="4F6650E0" w14:textId="77777777" w:rsidR="00F46EA9" w:rsidRPr="00F46EA9" w:rsidRDefault="00F46EA9" w:rsidP="00F46EA9"/>
    <w:bookmarkEnd w:id="127"/>
    <w:bookmarkEnd w:id="128"/>
    <w:p w14:paraId="4F6650E1" w14:textId="77777777" w:rsidR="00FA6A1F" w:rsidRDefault="00FA6A1F" w:rsidP="00F46EA9">
      <w:r>
        <w:t>The Ministry will tender for new service contracts to begin on 1 July 2022, aligning with the new levy period. The FTE rates for public health gambling harm services will be standardised across providers. We intend to review the geographical distribution of funding for public health services to more equitably prioritise funding towards areas experiencing higher levels of gambling harm and with higher Māori, Pacific and Asian populations.</w:t>
      </w:r>
    </w:p>
    <w:p w14:paraId="4F6650E2" w14:textId="77777777" w:rsidR="00F46EA9" w:rsidRDefault="00F46EA9" w:rsidP="00F46EA9"/>
    <w:p w14:paraId="4F6650E3" w14:textId="77777777" w:rsidR="008303C6" w:rsidRDefault="00FA6A1F" w:rsidP="00F46EA9">
      <w:r>
        <w:t>We have included an additional $0.250 million in the public health services budget for 2024/25 to enable us to make investment decisions informed by evaluation findings of pilots that will begin in the current levy period. We intend to commit funding in the 2021/22 financial year to pilot innovative service approaches to address inequities experienced by Māori, Pacific and rural/isolated communities. The pilot will include a public health component and will continue into the new levy period, with evaluation to inform future service design and delivery.</w:t>
      </w:r>
    </w:p>
    <w:p w14:paraId="4F6650E4" w14:textId="77777777" w:rsidR="00F46EA9" w:rsidRDefault="00F46EA9" w:rsidP="00F46EA9"/>
    <w:p w14:paraId="4F6650E5" w14:textId="77777777" w:rsidR="00FA6A1F" w:rsidRPr="00483631" w:rsidRDefault="00FA6A1F" w:rsidP="00F46EA9">
      <w:pPr>
        <w:pStyle w:val="Heading3"/>
      </w:pPr>
      <w:bookmarkStart w:id="131" w:name="_Toc78882291"/>
      <w:r w:rsidRPr="00483631">
        <w:t>Workforce development (public health)</w:t>
      </w:r>
      <w:bookmarkEnd w:id="131"/>
    </w:p>
    <w:p w14:paraId="4F6650E6" w14:textId="77777777" w:rsidR="008303C6" w:rsidRDefault="00FA6A1F" w:rsidP="00F46EA9">
      <w:r>
        <w:t>The Ministry will continue to fund workforce development for the gambling-harm public health workforce</w:t>
      </w:r>
      <w:r w:rsidRPr="00AA1A2E">
        <w:t>. The proposed funding has been slightly reduced to align with spend under the current levy period.</w:t>
      </w:r>
    </w:p>
    <w:p w14:paraId="4F6650E7" w14:textId="77777777" w:rsidR="00F46EA9" w:rsidRDefault="00F46EA9" w:rsidP="00F46EA9"/>
    <w:p w14:paraId="4F6650E8" w14:textId="77777777" w:rsidR="00096E67" w:rsidRDefault="00FA6A1F" w:rsidP="00F46EA9">
      <w:r>
        <w:t>The core competencies (including cultural competencies) for the Preventing and Minimising Gambling Harm (PMGH) Public Health Workforce are identified in the core competencies for the public health workforce</w:t>
      </w:r>
      <w:hyperlink r:id="rId39" w:history="1">
        <w:r>
          <w:rPr>
            <w:rStyle w:val="Hyperlink"/>
            <w:rFonts w:cstheme="minorHAnsi"/>
            <w:spacing w:val="-2"/>
          </w:rPr>
          <w:t>.</w:t>
        </w:r>
        <w:r w:rsidRPr="00F46EA9">
          <w:rPr>
            <w:rStyle w:val="FootnoteReference"/>
            <w:rFonts w:eastAsia="MS Gothic"/>
          </w:rPr>
          <w:footnoteReference w:id="16"/>
        </w:r>
      </w:hyperlink>
      <w:r>
        <w:t xml:space="preserve"> These tools are available to enable the public health workforce to assess their competency levels as well as associated training and development needs.</w:t>
      </w:r>
    </w:p>
    <w:p w14:paraId="4F6650E9" w14:textId="77777777" w:rsidR="00096E67" w:rsidRDefault="00096E67" w:rsidP="00096E67"/>
    <w:p w14:paraId="4F6650EA" w14:textId="77777777" w:rsidR="00FA6A1F" w:rsidRDefault="00FA6A1F" w:rsidP="00096E67">
      <w:pPr>
        <w:keepNext/>
        <w:keepLines/>
      </w:pPr>
      <w:r>
        <w:lastRenderedPageBreak/>
        <w:t>We expect the public health workforce to demonstrate these core competencies throughout their work. This will include an emphasis on understanding different world views in cultural competence training, including working with Māori, Pacific and Asian communities.</w:t>
      </w:r>
    </w:p>
    <w:p w14:paraId="4F6650EB" w14:textId="77777777" w:rsidR="00F46EA9" w:rsidRDefault="00F46EA9" w:rsidP="004B5F7A"/>
    <w:p w14:paraId="4F6650EC" w14:textId="77777777" w:rsidR="00FA6A1F" w:rsidRPr="00483631" w:rsidRDefault="00FA6A1F" w:rsidP="00096E67">
      <w:pPr>
        <w:pStyle w:val="Heading3"/>
      </w:pPr>
      <w:bookmarkStart w:id="132" w:name="_Toc78882292"/>
      <w:r w:rsidRPr="00483631">
        <w:t>Awareness and education programme</w:t>
      </w:r>
      <w:bookmarkEnd w:id="132"/>
    </w:p>
    <w:p w14:paraId="4F6650ED" w14:textId="77777777" w:rsidR="00FA6A1F" w:rsidRPr="00096E67" w:rsidRDefault="00FA6A1F" w:rsidP="00096E67">
      <w:r>
        <w:t>The Ministry will continue to invest in a health promotion programme to raise awareness and educate people about the signs and risks of harmful gambling and how they can respond and seek help. We expect that this will build on work being delivered under the current strategy led by Te Hiringa Hauora (as outlined above).</w:t>
      </w:r>
    </w:p>
    <w:p w14:paraId="4F6650EE" w14:textId="77777777" w:rsidR="00096E67" w:rsidRDefault="00096E67" w:rsidP="00096E67"/>
    <w:p w14:paraId="4F6650EF" w14:textId="77777777" w:rsidR="00FA6A1F" w:rsidRDefault="00FA6A1F" w:rsidP="00096E67">
      <w:r>
        <w:t>Key priorities for the new levy period will include:</w:t>
      </w:r>
    </w:p>
    <w:p w14:paraId="4F6650F0" w14:textId="77777777" w:rsidR="00FA6A1F" w:rsidRPr="00483631" w:rsidRDefault="00FA6A1F" w:rsidP="00096E67">
      <w:pPr>
        <w:pStyle w:val="Bullet"/>
      </w:pPr>
      <w:r w:rsidRPr="00483631">
        <w:t>improving awareness of gambling harm amongst Māori, Pacific</w:t>
      </w:r>
      <w:r>
        <w:t xml:space="preserve"> peoples</w:t>
      </w:r>
      <w:r w:rsidRPr="00483631">
        <w:t xml:space="preserve">, Asian </w:t>
      </w:r>
      <w:r>
        <w:t xml:space="preserve">peoples </w:t>
      </w:r>
      <w:r w:rsidRPr="00483631">
        <w:t>and young people</w:t>
      </w:r>
      <w:r>
        <w:t xml:space="preserve"> / rangatahi</w:t>
      </w:r>
      <w:r w:rsidRPr="00483631">
        <w:t xml:space="preserve">, including recognising </w:t>
      </w:r>
      <w:r>
        <w:t xml:space="preserve">the </w:t>
      </w:r>
      <w:r w:rsidRPr="00483631">
        <w:t>risk</w:t>
      </w:r>
      <w:r>
        <w:t>s</w:t>
      </w:r>
      <w:r w:rsidRPr="00483631">
        <w:t xml:space="preserve"> and signs of harmful gambling; enabling supportive conversations and challenging stigma; knowing how to see</w:t>
      </w:r>
      <w:r>
        <w:t>k</w:t>
      </w:r>
      <w:r w:rsidRPr="00483631">
        <w:t xml:space="preserve"> help and making positive behaviour and lifestyle changes</w:t>
      </w:r>
    </w:p>
    <w:p w14:paraId="4F6650F1" w14:textId="77777777" w:rsidR="00FA6A1F" w:rsidRPr="00483631" w:rsidRDefault="00FA6A1F" w:rsidP="00096E67">
      <w:pPr>
        <w:pStyle w:val="Bullet"/>
      </w:pPr>
      <w:r w:rsidRPr="00483631">
        <w:t>actively promoting the national Gambling Helpline and Asian Helpline</w:t>
      </w:r>
      <w:r>
        <w:t>;</w:t>
      </w:r>
      <w:r w:rsidRPr="00483631">
        <w:t xml:space="preserve"> face-to-face services and the rebranded Safer Gambling Aotearoa (previously Choice </w:t>
      </w:r>
      <w:r>
        <w:t>N</w:t>
      </w:r>
      <w:r w:rsidRPr="00483631">
        <w:t>ot Chance) national gambling campaign</w:t>
      </w:r>
    </w:p>
    <w:p w14:paraId="4F6650F2" w14:textId="77777777" w:rsidR="00FA6A1F" w:rsidRPr="00483631" w:rsidRDefault="00FA6A1F" w:rsidP="00096E67">
      <w:pPr>
        <w:pStyle w:val="Bullet"/>
      </w:pPr>
      <w:r w:rsidRPr="00483631">
        <w:t>developing potential self-help digital tools to improve access to relevant information, help and online support</w:t>
      </w:r>
    </w:p>
    <w:p w14:paraId="4F6650F3" w14:textId="77777777" w:rsidR="00FA6A1F" w:rsidRDefault="00FA6A1F" w:rsidP="00096E67">
      <w:pPr>
        <w:pStyle w:val="Bullet"/>
      </w:pPr>
      <w:r>
        <w:t>improving</w:t>
      </w:r>
      <w:r w:rsidRPr="00483631">
        <w:t xml:space="preserve"> gambling environments and host responsibilit</w:t>
      </w:r>
      <w:r>
        <w:t>ies</w:t>
      </w:r>
      <w:r w:rsidRPr="00483631">
        <w:t xml:space="preserve"> through online training and gamble host resources, including translations into </w:t>
      </w:r>
      <w:r>
        <w:t xml:space="preserve">te reo </w:t>
      </w:r>
      <w:r w:rsidRPr="00483631">
        <w:t>Māori</w:t>
      </w:r>
      <w:r>
        <w:t>,</w:t>
      </w:r>
      <w:r w:rsidR="00953E89">
        <w:t xml:space="preserve"> </w:t>
      </w:r>
      <w:r w:rsidRPr="00483631">
        <w:t>Pacific</w:t>
      </w:r>
      <w:r>
        <w:t>,</w:t>
      </w:r>
      <w:r w:rsidRPr="00483631">
        <w:t xml:space="preserve"> and Asian languages.</w:t>
      </w:r>
      <w:r>
        <w:t xml:space="preserve"> Listening to</w:t>
      </w:r>
      <w:r w:rsidRPr="00483631">
        <w:t xml:space="preserve"> people with lived experience of gambling harm </w:t>
      </w:r>
      <w:r>
        <w:t>will help</w:t>
      </w:r>
      <w:r w:rsidRPr="00483631">
        <w:t xml:space="preserve"> identify barriers to service access and inform the design of better access to help-seeking services.</w:t>
      </w:r>
    </w:p>
    <w:p w14:paraId="4F6650F4" w14:textId="77777777" w:rsidR="00096E67" w:rsidRPr="00483631" w:rsidRDefault="00096E67" w:rsidP="00096E67"/>
    <w:p w14:paraId="4F6650F5" w14:textId="77777777" w:rsidR="00FA6A1F" w:rsidRPr="00483631" w:rsidRDefault="00FA6A1F" w:rsidP="00096E67">
      <w:pPr>
        <w:pStyle w:val="Heading3"/>
      </w:pPr>
      <w:bookmarkStart w:id="133" w:name="_Toc78882293"/>
      <w:r w:rsidRPr="00483631">
        <w:t>De-stigmatisation initiative</w:t>
      </w:r>
      <w:bookmarkEnd w:id="133"/>
    </w:p>
    <w:p w14:paraId="4F6650F6" w14:textId="77777777" w:rsidR="00FA6A1F" w:rsidRDefault="00FA6A1F" w:rsidP="00096E67">
      <w:r>
        <w:t>The draft service plan proposes dedicated funding to develop and implement a national de-stigmatisation initiative focused on addressing the stigma and discrimination experienced by people who experience gambling harm in Aotearoa New Zealand. This will focus on priority populations.</w:t>
      </w:r>
    </w:p>
    <w:p w14:paraId="4F6650F7" w14:textId="77777777" w:rsidR="00096E67" w:rsidRDefault="00096E67" w:rsidP="00096E67"/>
    <w:p w14:paraId="4F6650F8" w14:textId="77777777" w:rsidR="00FA6A1F" w:rsidRDefault="00FA6A1F" w:rsidP="00096E67">
      <w:r>
        <w:t>Stigma relating to gambling harm has been identified as a barrier, including a cultural barrier, to people seeking help or accessing services and support. People with gambling problems may experience four types of stigma. These are:</w:t>
      </w:r>
    </w:p>
    <w:p w14:paraId="4F6650F9" w14:textId="77777777" w:rsidR="00FA6A1F" w:rsidRPr="00096E67" w:rsidRDefault="00FA6A1F" w:rsidP="00096E67">
      <w:pPr>
        <w:pStyle w:val="Bullet"/>
        <w:ind w:right="-142"/>
        <w:rPr>
          <w:spacing w:val="-2"/>
        </w:rPr>
      </w:pPr>
      <w:r w:rsidRPr="00096E67">
        <w:rPr>
          <w:spacing w:val="-2"/>
        </w:rPr>
        <w:t>self-stigma (for example, feeling shame, low self-esteem or disappointed in themselves)</w:t>
      </w:r>
    </w:p>
    <w:p w14:paraId="4F6650FA" w14:textId="77777777" w:rsidR="008303C6" w:rsidRDefault="00FA6A1F" w:rsidP="00096E67">
      <w:pPr>
        <w:pStyle w:val="Bullet"/>
      </w:pPr>
      <w:r>
        <w:t>community stigma (for example, blaming individuals for their gambling problem, negative stereotyping and social distancing)</w:t>
      </w:r>
    </w:p>
    <w:p w14:paraId="4F6650FB" w14:textId="77777777" w:rsidR="00FA6A1F" w:rsidRDefault="00FA6A1F" w:rsidP="00096E67">
      <w:pPr>
        <w:pStyle w:val="Bullet"/>
      </w:pPr>
      <w:r>
        <w:t>institutional stigma (for example, discriminatory behaviours)</w:t>
      </w:r>
    </w:p>
    <w:p w14:paraId="4F6650FC" w14:textId="77777777" w:rsidR="00FA6A1F" w:rsidRDefault="00FA6A1F" w:rsidP="00096E67">
      <w:pPr>
        <w:pStyle w:val="Bullet"/>
      </w:pPr>
      <w:r>
        <w:t>stigma by association (for example, for families and affected others seeking help).</w:t>
      </w:r>
    </w:p>
    <w:p w14:paraId="4F6650FD" w14:textId="77777777" w:rsidR="00096E67" w:rsidRDefault="00096E67" w:rsidP="00096E67"/>
    <w:p w14:paraId="4F6650FE" w14:textId="77777777" w:rsidR="008303C6" w:rsidRDefault="00FA6A1F" w:rsidP="00096E67">
      <w:r>
        <w:lastRenderedPageBreak/>
        <w:t xml:space="preserve">The needs assessment highlights a need for messaging to promote themes that destigmatise and enhance mana. In addition to the main Safer Gambling Aotearoa campaign, the Ministry will commission the development of a </w:t>
      </w:r>
      <w:r w:rsidRPr="0062188F">
        <w:t>national de</w:t>
      </w:r>
      <w:r w:rsidR="00096E67">
        <w:noBreakHyphen/>
      </w:r>
      <w:r w:rsidRPr="0062188F">
        <w:t xml:space="preserve">stigmatisation </w:t>
      </w:r>
      <w:r>
        <w:t>initiative to challenging negative stereotypes, convey positive images of people who have gambling problems, and encourage people to seek help from available services. This will include a key focus on priority population groups.</w:t>
      </w:r>
      <w:r w:rsidRPr="00483631">
        <w:t xml:space="preserve"> </w:t>
      </w:r>
      <w:r>
        <w:t>The campaign will be co-designed in consultation with priority population groups and the gambling sector. It aims to build on and align with the strategic direction and public health messaging of the awareness and education programme, while enabling a specific focus on challenging the stigmas relating to gambling harm.</w:t>
      </w:r>
    </w:p>
    <w:p w14:paraId="4F6650FF" w14:textId="77777777" w:rsidR="00096E67" w:rsidRDefault="00096E67" w:rsidP="00096E67"/>
    <w:p w14:paraId="4F665100" w14:textId="77777777" w:rsidR="008303C6" w:rsidRDefault="00FA6A1F" w:rsidP="00096E67">
      <w:r>
        <w:t>Additionally, the Ministry will continue to invest in culturally appropriate community engagement through the funding of culturally responsive public health services.</w:t>
      </w:r>
    </w:p>
    <w:p w14:paraId="4F665101" w14:textId="77777777" w:rsidR="00096E67" w:rsidRDefault="00096E67" w:rsidP="00096E67"/>
    <w:p w14:paraId="4F665102" w14:textId="77777777" w:rsidR="00FA6A1F" w:rsidRPr="00483631" w:rsidRDefault="00FA6A1F" w:rsidP="00096E67">
      <w:pPr>
        <w:pStyle w:val="Heading3"/>
      </w:pPr>
      <w:bookmarkStart w:id="134" w:name="_Toc78882294"/>
      <w:r w:rsidRPr="00483631">
        <w:t xml:space="preserve">National </w:t>
      </w:r>
      <w:r>
        <w:t>Coordination Service</w:t>
      </w:r>
      <w:bookmarkEnd w:id="134"/>
    </w:p>
    <w:p w14:paraId="4F665103" w14:textId="77777777" w:rsidR="00FA6A1F" w:rsidRDefault="00FA6A1F" w:rsidP="00096E67">
      <w:r>
        <w:t>The National Coordination Service (NCS) is a key support for services preventing and minimising gambling harm. It informs all service providers of significant developments, facilitates training opportunities, provides regular updates and administers the national Gambling Harm Lived Experience Advisory Group.</w:t>
      </w:r>
    </w:p>
    <w:p w14:paraId="4F665104" w14:textId="77777777" w:rsidR="00096E67" w:rsidRDefault="00096E67" w:rsidP="00096E67"/>
    <w:p w14:paraId="4F665105" w14:textId="77777777" w:rsidR="00FA6A1F" w:rsidRDefault="00FA6A1F" w:rsidP="00096E67">
      <w:r>
        <w:t>The Ministry acknowledges the needs assessment findings that all interviewed stakeholders felt there needed to be stronger partnerships and leadership through improved communication, consultation and engagement. The NCS will be one of the key mechanisms for enabling this.</w:t>
      </w:r>
    </w:p>
    <w:p w14:paraId="4F665106" w14:textId="77777777" w:rsidR="00096E67" w:rsidRDefault="00096E67" w:rsidP="00096E67"/>
    <w:p w14:paraId="4F665107" w14:textId="77777777" w:rsidR="00FA6A1F" w:rsidRPr="00483631" w:rsidRDefault="00FA6A1F" w:rsidP="00096E67">
      <w:pPr>
        <w:pStyle w:val="Heading3"/>
      </w:pPr>
      <w:bookmarkStart w:id="135" w:name="_Toc78882295"/>
      <w:r>
        <w:t xml:space="preserve">Gambling Harm </w:t>
      </w:r>
      <w:r w:rsidRPr="00483631">
        <w:t>Lived Experience Advisory Group</w:t>
      </w:r>
      <w:bookmarkEnd w:id="135"/>
    </w:p>
    <w:p w14:paraId="4F665108" w14:textId="77777777" w:rsidR="00FA6A1F" w:rsidRDefault="00FA6A1F" w:rsidP="00096E67">
      <w:r>
        <w:t xml:space="preserve">The Ministry will continue to fund the Gambling Harm Lived Experience Advisory Group (previously referred to as the </w:t>
      </w:r>
      <w:r w:rsidR="008303C6">
        <w:t>‘</w:t>
      </w:r>
      <w:r>
        <w:t>consumer network</w:t>
      </w:r>
      <w:r w:rsidR="008303C6">
        <w:t>’</w:t>
      </w:r>
      <w:r>
        <w:t>). Established during the current strategy, this group will continue to inform service design, research and evaluation, and the education and awareness campaign through engagement with the Ministry and other agencies.</w:t>
      </w:r>
    </w:p>
    <w:p w14:paraId="4F665109" w14:textId="77777777" w:rsidR="00096E67" w:rsidRDefault="00096E67" w:rsidP="00096E67">
      <w:bookmarkStart w:id="136" w:name="_Hlk74145167"/>
    </w:p>
    <w:p w14:paraId="4F66510A" w14:textId="78B701F9" w:rsidR="008303C6" w:rsidRDefault="00FA6A1F" w:rsidP="00096E67">
      <w:r>
        <w:t xml:space="preserve">The indicative costs (see </w:t>
      </w:r>
      <w:r w:rsidR="00096E67">
        <w:fldChar w:fldCharType="begin"/>
      </w:r>
      <w:r w:rsidR="00096E67">
        <w:instrText xml:space="preserve"> REF _Ref80793260 \h </w:instrText>
      </w:r>
      <w:r w:rsidR="00096E67">
        <w:fldChar w:fldCharType="separate"/>
      </w:r>
      <w:r w:rsidR="00F65B3A">
        <w:t>Table </w:t>
      </w:r>
      <w:r w:rsidR="00F65B3A">
        <w:rPr>
          <w:noProof/>
        </w:rPr>
        <w:t>4</w:t>
      </w:r>
      <w:r w:rsidR="00096E67">
        <w:fldChar w:fldCharType="end"/>
      </w:r>
      <w:r>
        <w:t>) cover group travel, meeting, work activity and coordination costs. This proposal aligns with the Ministry</w:t>
      </w:r>
      <w:r w:rsidR="008303C6">
        <w:t>’</w:t>
      </w:r>
      <w:r>
        <w:t>s Mental Health and Addiction Directorate commitment to encourage lived experience participation and strengthen their networks, reach and influence.</w:t>
      </w:r>
    </w:p>
    <w:p w14:paraId="4F66510B" w14:textId="77777777" w:rsidR="00096E67" w:rsidRDefault="00096E67" w:rsidP="00096E67"/>
    <w:p w14:paraId="4F66510C" w14:textId="77777777" w:rsidR="00FA6A1F" w:rsidRPr="00483631" w:rsidRDefault="00FA6A1F" w:rsidP="00096E67">
      <w:pPr>
        <w:pStyle w:val="Heading3"/>
      </w:pPr>
      <w:bookmarkStart w:id="137" w:name="_Toc78882296"/>
      <w:bookmarkEnd w:id="136"/>
      <w:r w:rsidRPr="00483631">
        <w:lastRenderedPageBreak/>
        <w:t>Multi-</w:t>
      </w:r>
      <w:r>
        <w:t>v</w:t>
      </w:r>
      <w:r w:rsidRPr="00483631">
        <w:t xml:space="preserve">enue Exclusion Administration Service and </w:t>
      </w:r>
      <w:r>
        <w:t>d</w:t>
      </w:r>
      <w:r w:rsidRPr="00483631">
        <w:t>atabase</w:t>
      </w:r>
      <w:bookmarkEnd w:id="137"/>
    </w:p>
    <w:p w14:paraId="4F66510D" w14:textId="77777777" w:rsidR="008303C6" w:rsidRDefault="00FA6A1F" w:rsidP="00096E67">
      <w:pPr>
        <w:keepNext/>
        <w:keepLines/>
      </w:pPr>
      <w:r>
        <w:t>Established in 2018, the National Multi-venue Exclusion (MVE) Administration Service (the MVE service) will continue to administer and coordinate the operation of the MVE process in Aotearoa New Zealand. MVE enables an individual to self-exclude from multiple gambling venues. The administration service is essential for the continued effectiveness of the MVE process. It maintains working relationships with MVE stakeholders (including Class 4 gambling societies and venues, the supplier of the gambling exclusion electronic database, gambling harm service providers and DIA).</w:t>
      </w:r>
    </w:p>
    <w:p w14:paraId="4F66510E" w14:textId="77777777" w:rsidR="00096E67" w:rsidRDefault="00096E67" w:rsidP="00096E67"/>
    <w:p w14:paraId="4F66510F" w14:textId="77777777" w:rsidR="00FA6A1F" w:rsidRDefault="00FA6A1F" w:rsidP="00096E67">
      <w:r>
        <w:t>Alongside the MVE service, the Ministry will continue to fund an electronic database to serve as a central repository for all venue exclusions. The database went live on 20 July 2020. As its key user, the MVE service will continue to work closely with the database supplier and maintain links with other users. Both services are contingent on each other</w:t>
      </w:r>
      <w:r w:rsidR="008303C6">
        <w:t>’</w:t>
      </w:r>
      <w:r>
        <w:t>s operations for the successful management of the MVE process in Aotearoa New Zealand.</w:t>
      </w:r>
    </w:p>
    <w:p w14:paraId="4F665110" w14:textId="77777777" w:rsidR="00096E67" w:rsidRDefault="00096E67" w:rsidP="00096E67"/>
    <w:p w14:paraId="4F665111" w14:textId="77777777" w:rsidR="00FA6A1F" w:rsidRPr="00483631" w:rsidRDefault="00FA6A1F" w:rsidP="00096E67">
      <w:pPr>
        <w:pStyle w:val="Heading3"/>
      </w:pPr>
      <w:bookmarkStart w:id="138" w:name="_Toc78882297"/>
      <w:r w:rsidRPr="00483631">
        <w:t>Conference support</w:t>
      </w:r>
      <w:bookmarkEnd w:id="138"/>
    </w:p>
    <w:p w14:paraId="4F665112" w14:textId="77777777" w:rsidR="008303C6" w:rsidRDefault="00FA6A1F" w:rsidP="005D388B">
      <w:r>
        <w:t>The Ministry contributes part funding for a biennial international gambling conference held in Aotearoa New Zealand as well as an associated international think tank. The conference had been planned to take place in June 2020 but was postponed due to COVID-19. The next conference will be held in 2022, funded under the current levy period.</w:t>
      </w:r>
    </w:p>
    <w:p w14:paraId="4F665113" w14:textId="77777777" w:rsidR="005D388B" w:rsidRDefault="005D388B" w:rsidP="005D388B"/>
    <w:p w14:paraId="4F665114" w14:textId="77777777" w:rsidR="00FA6A1F" w:rsidRDefault="00FA6A1F" w:rsidP="005D388B">
      <w:r>
        <w:t>The Ministry intends to continue to contribute to the costs of hosting this biennial conference. The indicative budget includes $80,000 for the Ministry</w:t>
      </w:r>
      <w:r w:rsidR="008303C6">
        <w:t>’</w:t>
      </w:r>
      <w:r>
        <w:t>s contribution towards the costs of the conference and think tank expected to take place in 2024.</w:t>
      </w:r>
    </w:p>
    <w:p w14:paraId="4F665115" w14:textId="77777777" w:rsidR="005D388B" w:rsidRDefault="005D388B" w:rsidP="005D388B"/>
    <w:p w14:paraId="4F665116" w14:textId="77777777" w:rsidR="00FA6A1F" w:rsidRDefault="00FA6A1F" w:rsidP="005D388B">
      <w:r>
        <w:t>Holding international conferences on gambling harm in Aotearoa New Zealand promotes the country as a world leader in preventing and minimising gambling harm. It also enables practitioners, researchers, industry representatives and government officials from around the world to meet and exchange ideas specific to gambling harm. The needs assessment highlighted the need for effective leadership and partnerships to improve the coordination of the gambling sector and strengthen internal communication and collaboration. Some participants in the conference recognised the think tank and conference as providing a forum and opportunity for shared and collective collaboration.</w:t>
      </w:r>
    </w:p>
    <w:p w14:paraId="4F665117" w14:textId="77777777" w:rsidR="005D388B" w:rsidRDefault="005D388B" w:rsidP="005D388B"/>
    <w:p w14:paraId="4F665118" w14:textId="77777777" w:rsidR="00FA6A1F" w:rsidRPr="00D14DF8" w:rsidRDefault="00FA6A1F" w:rsidP="005D388B">
      <w:pPr>
        <w:pStyle w:val="Heading2"/>
      </w:pPr>
      <w:bookmarkStart w:id="139" w:name="_Toc78882298"/>
      <w:bookmarkStart w:id="140" w:name="_Toc80965854"/>
      <w:r>
        <w:lastRenderedPageBreak/>
        <w:t>Clinical</w:t>
      </w:r>
      <w:r w:rsidRPr="00D14DF8">
        <w:t xml:space="preserve"> intervention and support services</w:t>
      </w:r>
      <w:bookmarkEnd w:id="139"/>
      <w:bookmarkEnd w:id="140"/>
    </w:p>
    <w:p w14:paraId="4F665119" w14:textId="77777777" w:rsidR="00FA6A1F" w:rsidRDefault="00FA6A1F" w:rsidP="005D388B">
      <w:r>
        <w:t>The indicative budget for these services is $32.039 million for the 2022/23</w:t>
      </w:r>
      <w:r w:rsidR="005D388B">
        <w:t>–</w:t>
      </w:r>
      <w:r>
        <w:t>2024/25 period, which is an increase of $6.796 million on the budget for the current levy period. Indicative priority areas for 2022/23 to 2024/25 are to:</w:t>
      </w:r>
    </w:p>
    <w:p w14:paraId="4F66511A" w14:textId="77777777" w:rsidR="00FA6A1F" w:rsidRPr="0003777A" w:rsidRDefault="00FA6A1F" w:rsidP="005D388B">
      <w:pPr>
        <w:pStyle w:val="Bullet"/>
      </w:pPr>
      <w:r w:rsidRPr="0003777A">
        <w:t>deliver services that respon</w:t>
      </w:r>
      <w:r>
        <w:t>d</w:t>
      </w:r>
      <w:r w:rsidRPr="0003777A">
        <w:t xml:space="preserve"> to the needs of different population groups; in particular, those groups where there is strong evidence of inequality and inequity in gambling harm</w:t>
      </w:r>
    </w:p>
    <w:p w14:paraId="4F66511B" w14:textId="77777777" w:rsidR="00FA6A1F" w:rsidRPr="0003777A" w:rsidRDefault="00FA6A1F" w:rsidP="005D388B">
      <w:pPr>
        <w:pStyle w:val="Bullet"/>
      </w:pPr>
      <w:r w:rsidRPr="0003777A">
        <w:t>increase the FTE rate for gambling harm clinical intervention and support services to align with other Ministry-funded mental health and addiction clinical FTE rates</w:t>
      </w:r>
    </w:p>
    <w:p w14:paraId="4F66511C" w14:textId="77777777" w:rsidR="008303C6" w:rsidRDefault="00FA6A1F" w:rsidP="005D388B">
      <w:pPr>
        <w:pStyle w:val="Bullet"/>
      </w:pPr>
      <w:r w:rsidRPr="0003777A">
        <w:t xml:space="preserve">continue to explore innovative ways to </w:t>
      </w:r>
      <w:r>
        <w:t>provide treatment for</w:t>
      </w:r>
      <w:r w:rsidRPr="0003777A">
        <w:t xml:space="preserve"> the whole person through joined-up gambling, drug, alcohol and mental health services</w:t>
      </w:r>
      <w:r w:rsidRPr="00A83586">
        <w:t xml:space="preserve"> </w:t>
      </w:r>
      <w:r>
        <w:t>(within the constraints of the levy regulations),</w:t>
      </w:r>
      <w:r w:rsidRPr="0003777A">
        <w:t xml:space="preserve"> for example, service approaches </w:t>
      </w:r>
      <w:r>
        <w:t>based on w</w:t>
      </w:r>
      <w:r w:rsidRPr="0003777A">
        <w:t>h</w:t>
      </w:r>
      <w:r>
        <w:t>ā</w:t>
      </w:r>
      <w:r w:rsidRPr="0003777A">
        <w:t xml:space="preserve">nau </w:t>
      </w:r>
      <w:r>
        <w:t>o</w:t>
      </w:r>
      <w:r w:rsidRPr="0003777A">
        <w:t>ra</w:t>
      </w:r>
    </w:p>
    <w:p w14:paraId="4F66511D" w14:textId="77777777" w:rsidR="00FA6A1F" w:rsidRPr="0003777A" w:rsidRDefault="00FA6A1F" w:rsidP="005D388B">
      <w:pPr>
        <w:pStyle w:val="Bullet"/>
      </w:pPr>
      <w:r w:rsidRPr="0003777A">
        <w:t>continue to invest in workforce development, including cultural competency</w:t>
      </w:r>
    </w:p>
    <w:p w14:paraId="4F66511E" w14:textId="0511A539" w:rsidR="00FA6A1F" w:rsidRPr="0003777A" w:rsidRDefault="00FA6A1F" w:rsidP="005D388B">
      <w:pPr>
        <w:pStyle w:val="Bullet"/>
      </w:pPr>
      <w:r w:rsidRPr="0003777A">
        <w:t xml:space="preserve">continue to pilot and evaluate new service models to address </w:t>
      </w:r>
      <w:r>
        <w:t xml:space="preserve">inequities and </w:t>
      </w:r>
      <w:r w:rsidRPr="0003777A">
        <w:t>gaps in current service provision, develop a peer workforce and support technological innovation to prevent and minimise gambling harm</w:t>
      </w:r>
      <w:r>
        <w:t xml:space="preserve"> (</w:t>
      </w:r>
      <w:r w:rsidR="005D388B">
        <w:t>f</w:t>
      </w:r>
      <w:r w:rsidRPr="0003777A">
        <w:t xml:space="preserve">urther information is provided in the </w:t>
      </w:r>
      <w:r w:rsidR="000A77BD">
        <w:t>‘</w:t>
      </w:r>
      <w:r w:rsidR="000A77BD" w:rsidRPr="000A77BD">
        <w:fldChar w:fldCharType="begin"/>
      </w:r>
      <w:r w:rsidR="000A77BD" w:rsidRPr="000A77BD">
        <w:instrText xml:space="preserve"> REF _Ref80859651 \h </w:instrText>
      </w:r>
      <w:r w:rsidR="000A77BD">
        <w:instrText xml:space="preserve"> \* MERGEFORMAT </w:instrText>
      </w:r>
      <w:r w:rsidR="000A77BD" w:rsidRPr="000A77BD">
        <w:fldChar w:fldCharType="separate"/>
      </w:r>
      <w:r w:rsidR="00F65B3A" w:rsidRPr="00483631">
        <w:t>New services, innovation pilots and investments</w:t>
      </w:r>
      <w:r w:rsidR="000A77BD" w:rsidRPr="000A77BD">
        <w:fldChar w:fldCharType="end"/>
      </w:r>
      <w:r w:rsidR="000A77BD" w:rsidRPr="000A77BD">
        <w:t>’</w:t>
      </w:r>
      <w:r w:rsidRPr="000A77BD">
        <w:t xml:space="preserve"> section to follow</w:t>
      </w:r>
      <w:r>
        <w:t>)</w:t>
      </w:r>
    </w:p>
    <w:p w14:paraId="4F66511F" w14:textId="7BAD7230" w:rsidR="00FA6A1F" w:rsidRDefault="00FA6A1F" w:rsidP="005D388B">
      <w:pPr>
        <w:pStyle w:val="Bullet"/>
      </w:pPr>
      <w:r>
        <w:t xml:space="preserve">provide </w:t>
      </w:r>
      <w:r w:rsidRPr="0003777A">
        <w:t xml:space="preserve">new investment to expand the peer workforce in clinical gambling services. </w:t>
      </w:r>
      <w:r>
        <w:t>(</w:t>
      </w:r>
      <w:r w:rsidR="005D388B">
        <w:t>f</w:t>
      </w:r>
      <w:r w:rsidRPr="0003777A">
        <w:t xml:space="preserve">urther information is provided in the </w:t>
      </w:r>
      <w:r w:rsidR="000A77BD">
        <w:t>‘</w:t>
      </w:r>
      <w:r w:rsidR="000A77BD" w:rsidRPr="000A77BD">
        <w:fldChar w:fldCharType="begin"/>
      </w:r>
      <w:r w:rsidR="000A77BD" w:rsidRPr="000A77BD">
        <w:instrText xml:space="preserve"> REF _Ref80859651 \h </w:instrText>
      </w:r>
      <w:r w:rsidR="000A77BD">
        <w:instrText xml:space="preserve"> \* MERGEFORMAT </w:instrText>
      </w:r>
      <w:r w:rsidR="000A77BD" w:rsidRPr="000A77BD">
        <w:fldChar w:fldCharType="separate"/>
      </w:r>
      <w:r w:rsidR="00F65B3A" w:rsidRPr="00483631">
        <w:t>New services, innovation pilots and investments</w:t>
      </w:r>
      <w:r w:rsidR="000A77BD" w:rsidRPr="000A77BD">
        <w:fldChar w:fldCharType="end"/>
      </w:r>
      <w:r w:rsidR="000A77BD" w:rsidRPr="000A77BD">
        <w:t>’ section to follow</w:t>
      </w:r>
      <w:r>
        <w:t>)</w:t>
      </w:r>
      <w:r w:rsidR="005D388B">
        <w:t>.</w:t>
      </w:r>
    </w:p>
    <w:p w14:paraId="4F665120" w14:textId="77777777" w:rsidR="005D388B" w:rsidRPr="0003777A" w:rsidRDefault="005D388B" w:rsidP="005D388B"/>
    <w:p w14:paraId="4F665121" w14:textId="2FB4E2E5" w:rsidR="00FA6A1F" w:rsidRDefault="005D388B" w:rsidP="005D388B">
      <w:pPr>
        <w:pStyle w:val="Table"/>
      </w:pPr>
      <w:bookmarkStart w:id="141" w:name="_Ref80793894"/>
      <w:bookmarkStart w:id="142" w:name="_Toc517091241"/>
      <w:bookmarkStart w:id="143" w:name="_Toc514838702"/>
      <w:bookmarkStart w:id="144" w:name="_Toc8398935"/>
      <w:bookmarkStart w:id="145" w:name="_Toc4156635"/>
      <w:bookmarkStart w:id="146" w:name="_Toc530487439"/>
      <w:bookmarkStart w:id="147" w:name="_Toc80860349"/>
      <w:r>
        <w:t>Table </w:t>
      </w:r>
      <w:fldSimple w:instr=" SEQ Table \* ARABIC ">
        <w:r w:rsidR="00F65B3A">
          <w:rPr>
            <w:noProof/>
          </w:rPr>
          <w:t>5</w:t>
        </w:r>
      </w:fldSimple>
      <w:bookmarkEnd w:id="141"/>
      <w:r w:rsidR="00FA6A1F">
        <w:t xml:space="preserve">: Intervention </w:t>
      </w:r>
      <w:r w:rsidR="00FA6A1F" w:rsidRPr="00927967">
        <w:t>services</w:t>
      </w:r>
      <w:r w:rsidR="00FA6A1F">
        <w:t xml:space="preserve"> budget (GST exclusive), by service area, 2022/23 to 2024/25</w:t>
      </w:r>
      <w:bookmarkEnd w:id="142"/>
      <w:bookmarkEnd w:id="143"/>
      <w:bookmarkEnd w:id="144"/>
      <w:bookmarkEnd w:id="145"/>
      <w:bookmarkEnd w:id="146"/>
      <w:bookmarkEnd w:id="147"/>
    </w:p>
    <w:tbl>
      <w:tblPr>
        <w:tblW w:w="8085" w:type="dxa"/>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3687"/>
        <w:gridCol w:w="1099"/>
        <w:gridCol w:w="1100"/>
        <w:gridCol w:w="1099"/>
        <w:gridCol w:w="1100"/>
      </w:tblGrid>
      <w:tr w:rsidR="00FA6A1F" w:rsidRPr="005D388B" w14:paraId="4F665127" w14:textId="77777777" w:rsidTr="005D388B">
        <w:trPr>
          <w:cantSplit/>
        </w:trPr>
        <w:tc>
          <w:tcPr>
            <w:tcW w:w="3687" w:type="dxa"/>
            <w:tcBorders>
              <w:top w:val="nil"/>
              <w:left w:val="nil"/>
              <w:bottom w:val="nil"/>
              <w:right w:val="nil"/>
            </w:tcBorders>
            <w:shd w:val="clear" w:color="auto" w:fill="D9D9D9" w:themeFill="background1" w:themeFillShade="D9"/>
            <w:noWrap/>
            <w:hideMark/>
          </w:tcPr>
          <w:p w14:paraId="4F665122" w14:textId="77777777" w:rsidR="00FA6A1F" w:rsidRPr="005D388B" w:rsidRDefault="00FA6A1F" w:rsidP="005D388B">
            <w:pPr>
              <w:pStyle w:val="TableText"/>
              <w:rPr>
                <w:b/>
                <w:highlight w:val="yellow"/>
              </w:rPr>
            </w:pPr>
            <w:r w:rsidRPr="005D388B">
              <w:rPr>
                <w:b/>
              </w:rPr>
              <w:t>Service area</w:t>
            </w:r>
          </w:p>
        </w:tc>
        <w:tc>
          <w:tcPr>
            <w:tcW w:w="1099" w:type="dxa"/>
            <w:tcBorders>
              <w:top w:val="nil"/>
              <w:left w:val="nil"/>
              <w:bottom w:val="nil"/>
              <w:right w:val="nil"/>
            </w:tcBorders>
            <w:shd w:val="clear" w:color="auto" w:fill="D9D9D9" w:themeFill="background1" w:themeFillShade="D9"/>
            <w:noWrap/>
            <w:hideMark/>
          </w:tcPr>
          <w:p w14:paraId="4F665123" w14:textId="77777777" w:rsidR="00FA6A1F" w:rsidRPr="005D388B" w:rsidRDefault="00FA6A1F" w:rsidP="005D388B">
            <w:pPr>
              <w:pStyle w:val="TableText"/>
              <w:jc w:val="center"/>
              <w:rPr>
                <w:b/>
                <w:highlight w:val="yellow"/>
              </w:rPr>
            </w:pPr>
            <w:r w:rsidRPr="005D388B">
              <w:rPr>
                <w:b/>
              </w:rPr>
              <w:t>2022/23</w:t>
            </w:r>
            <w:r w:rsidRPr="005D388B">
              <w:rPr>
                <w:b/>
              </w:rPr>
              <w:br/>
              <w:t>($m)</w:t>
            </w:r>
          </w:p>
        </w:tc>
        <w:tc>
          <w:tcPr>
            <w:tcW w:w="1100" w:type="dxa"/>
            <w:tcBorders>
              <w:top w:val="nil"/>
              <w:left w:val="nil"/>
              <w:bottom w:val="nil"/>
              <w:right w:val="nil"/>
            </w:tcBorders>
            <w:shd w:val="clear" w:color="auto" w:fill="D9D9D9" w:themeFill="background1" w:themeFillShade="D9"/>
            <w:noWrap/>
            <w:hideMark/>
          </w:tcPr>
          <w:p w14:paraId="4F665124" w14:textId="77777777" w:rsidR="00FA6A1F" w:rsidRPr="005D388B" w:rsidRDefault="00FA6A1F" w:rsidP="005D388B">
            <w:pPr>
              <w:pStyle w:val="TableText"/>
              <w:jc w:val="center"/>
              <w:rPr>
                <w:b/>
                <w:highlight w:val="yellow"/>
              </w:rPr>
            </w:pPr>
            <w:r w:rsidRPr="005D388B">
              <w:rPr>
                <w:b/>
              </w:rPr>
              <w:t>2023/24</w:t>
            </w:r>
            <w:r w:rsidRPr="005D388B">
              <w:rPr>
                <w:b/>
              </w:rPr>
              <w:br/>
              <w:t>($m)</w:t>
            </w:r>
          </w:p>
        </w:tc>
        <w:tc>
          <w:tcPr>
            <w:tcW w:w="1099" w:type="dxa"/>
            <w:tcBorders>
              <w:top w:val="nil"/>
              <w:left w:val="nil"/>
              <w:bottom w:val="nil"/>
              <w:right w:val="nil"/>
            </w:tcBorders>
            <w:shd w:val="clear" w:color="auto" w:fill="D9D9D9" w:themeFill="background1" w:themeFillShade="D9"/>
            <w:noWrap/>
            <w:hideMark/>
          </w:tcPr>
          <w:p w14:paraId="4F665125" w14:textId="77777777" w:rsidR="00FA6A1F" w:rsidRPr="005D388B" w:rsidRDefault="00FA6A1F" w:rsidP="005D388B">
            <w:pPr>
              <w:pStyle w:val="TableText"/>
              <w:jc w:val="center"/>
              <w:rPr>
                <w:b/>
                <w:highlight w:val="yellow"/>
              </w:rPr>
            </w:pPr>
            <w:r w:rsidRPr="005D388B">
              <w:rPr>
                <w:b/>
              </w:rPr>
              <w:t>2024/25</w:t>
            </w:r>
            <w:r w:rsidRPr="005D388B">
              <w:rPr>
                <w:b/>
              </w:rPr>
              <w:br/>
              <w:t>($m)</w:t>
            </w:r>
          </w:p>
        </w:tc>
        <w:tc>
          <w:tcPr>
            <w:tcW w:w="1100" w:type="dxa"/>
            <w:tcBorders>
              <w:top w:val="nil"/>
              <w:left w:val="nil"/>
              <w:bottom w:val="nil"/>
              <w:right w:val="nil"/>
            </w:tcBorders>
            <w:shd w:val="clear" w:color="auto" w:fill="D9D9D9" w:themeFill="background1" w:themeFillShade="D9"/>
            <w:hideMark/>
          </w:tcPr>
          <w:p w14:paraId="4F665126" w14:textId="77777777" w:rsidR="00FA6A1F" w:rsidRPr="005D388B" w:rsidRDefault="00FA6A1F" w:rsidP="005D388B">
            <w:pPr>
              <w:pStyle w:val="TableText"/>
              <w:jc w:val="center"/>
              <w:rPr>
                <w:b/>
                <w:highlight w:val="yellow"/>
              </w:rPr>
            </w:pPr>
            <w:r w:rsidRPr="005D388B">
              <w:rPr>
                <w:b/>
              </w:rPr>
              <w:t>Total</w:t>
            </w:r>
            <w:r w:rsidRPr="005D388B">
              <w:rPr>
                <w:b/>
              </w:rPr>
              <w:br/>
              <w:t>($m)</w:t>
            </w:r>
          </w:p>
        </w:tc>
      </w:tr>
      <w:tr w:rsidR="00FA6A1F" w14:paraId="4F66512D" w14:textId="77777777" w:rsidTr="005D388B">
        <w:trPr>
          <w:cantSplit/>
        </w:trPr>
        <w:tc>
          <w:tcPr>
            <w:tcW w:w="3687" w:type="dxa"/>
            <w:tcBorders>
              <w:top w:val="nil"/>
              <w:left w:val="nil"/>
              <w:bottom w:val="single" w:sz="2" w:space="0" w:color="A6A6A6" w:themeColor="background1" w:themeShade="A6"/>
              <w:right w:val="nil"/>
            </w:tcBorders>
            <w:noWrap/>
            <w:hideMark/>
          </w:tcPr>
          <w:p w14:paraId="4F665128" w14:textId="77777777" w:rsidR="00FA6A1F" w:rsidRDefault="00FA6A1F" w:rsidP="005D388B">
            <w:pPr>
              <w:pStyle w:val="TableText"/>
            </w:pPr>
            <w:r>
              <w:t>Clinical interventions and support</w:t>
            </w:r>
          </w:p>
        </w:tc>
        <w:tc>
          <w:tcPr>
            <w:tcW w:w="1099" w:type="dxa"/>
            <w:tcBorders>
              <w:top w:val="nil"/>
              <w:left w:val="nil"/>
              <w:bottom w:val="single" w:sz="2" w:space="0" w:color="A6A6A6" w:themeColor="background1" w:themeShade="A6"/>
              <w:right w:val="nil"/>
            </w:tcBorders>
            <w:shd w:val="clear" w:color="auto" w:fill="FFFFFF" w:themeFill="background1"/>
            <w:noWrap/>
            <w:vAlign w:val="center"/>
            <w:hideMark/>
          </w:tcPr>
          <w:p w14:paraId="4F665129" w14:textId="77777777" w:rsidR="00FA6A1F" w:rsidRDefault="00FA6A1F" w:rsidP="005D388B">
            <w:pPr>
              <w:pStyle w:val="TableText"/>
              <w:tabs>
                <w:tab w:val="decimal" w:pos="392"/>
              </w:tabs>
            </w:pPr>
            <w:r>
              <w:t>9.256</w:t>
            </w:r>
          </w:p>
        </w:tc>
        <w:tc>
          <w:tcPr>
            <w:tcW w:w="1100" w:type="dxa"/>
            <w:tcBorders>
              <w:top w:val="nil"/>
              <w:left w:val="nil"/>
              <w:bottom w:val="single" w:sz="2" w:space="0" w:color="A6A6A6" w:themeColor="background1" w:themeShade="A6"/>
              <w:right w:val="nil"/>
            </w:tcBorders>
            <w:shd w:val="clear" w:color="auto" w:fill="FFFFFF" w:themeFill="background1"/>
            <w:noWrap/>
            <w:vAlign w:val="center"/>
            <w:hideMark/>
          </w:tcPr>
          <w:p w14:paraId="4F66512A" w14:textId="77777777" w:rsidR="00FA6A1F" w:rsidRDefault="00FA6A1F" w:rsidP="005D388B">
            <w:pPr>
              <w:pStyle w:val="TableText"/>
              <w:tabs>
                <w:tab w:val="decimal" w:pos="392"/>
              </w:tabs>
            </w:pPr>
            <w:r>
              <w:t>9.256</w:t>
            </w:r>
          </w:p>
        </w:tc>
        <w:tc>
          <w:tcPr>
            <w:tcW w:w="1099" w:type="dxa"/>
            <w:tcBorders>
              <w:top w:val="nil"/>
              <w:left w:val="nil"/>
              <w:bottom w:val="single" w:sz="2" w:space="0" w:color="A6A6A6" w:themeColor="background1" w:themeShade="A6"/>
              <w:right w:val="nil"/>
            </w:tcBorders>
            <w:shd w:val="clear" w:color="auto" w:fill="FFFFFF" w:themeFill="background1"/>
            <w:noWrap/>
            <w:vAlign w:val="center"/>
            <w:hideMark/>
          </w:tcPr>
          <w:p w14:paraId="4F66512B" w14:textId="77777777" w:rsidR="00FA6A1F" w:rsidRDefault="00FA6A1F" w:rsidP="005D388B">
            <w:pPr>
              <w:pStyle w:val="TableText"/>
              <w:tabs>
                <w:tab w:val="decimal" w:pos="392"/>
              </w:tabs>
            </w:pPr>
            <w:r>
              <w:t>9.582</w:t>
            </w:r>
          </w:p>
        </w:tc>
        <w:tc>
          <w:tcPr>
            <w:tcW w:w="1100" w:type="dxa"/>
            <w:tcBorders>
              <w:top w:val="nil"/>
              <w:left w:val="nil"/>
              <w:bottom w:val="single" w:sz="2" w:space="0" w:color="A6A6A6" w:themeColor="background1" w:themeShade="A6"/>
              <w:right w:val="nil"/>
            </w:tcBorders>
            <w:vAlign w:val="center"/>
            <w:hideMark/>
          </w:tcPr>
          <w:p w14:paraId="4F66512C" w14:textId="77777777" w:rsidR="00FA6A1F" w:rsidRDefault="00FA6A1F" w:rsidP="005D388B">
            <w:pPr>
              <w:pStyle w:val="TableText"/>
              <w:tabs>
                <w:tab w:val="decimal" w:pos="392"/>
              </w:tabs>
            </w:pPr>
            <w:r>
              <w:t>28.094</w:t>
            </w:r>
          </w:p>
        </w:tc>
      </w:tr>
      <w:tr w:rsidR="00FA6A1F" w14:paraId="4F665133" w14:textId="77777777" w:rsidTr="005D388B">
        <w:trPr>
          <w:cantSplit/>
        </w:trPr>
        <w:tc>
          <w:tcPr>
            <w:tcW w:w="3687" w:type="dxa"/>
            <w:tcBorders>
              <w:top w:val="nil"/>
              <w:left w:val="nil"/>
              <w:bottom w:val="single" w:sz="2" w:space="0" w:color="A6A6A6" w:themeColor="background1" w:themeShade="A6"/>
              <w:right w:val="nil"/>
            </w:tcBorders>
            <w:noWrap/>
            <w:hideMark/>
          </w:tcPr>
          <w:p w14:paraId="4F66512E" w14:textId="77777777" w:rsidR="00FA6A1F" w:rsidRDefault="005D388B" w:rsidP="005D388B">
            <w:pPr>
              <w:pStyle w:val="TableText"/>
            </w:pPr>
            <w:r>
              <w:t>Helpline and web-based services</w:t>
            </w:r>
          </w:p>
        </w:tc>
        <w:tc>
          <w:tcPr>
            <w:tcW w:w="1099" w:type="dxa"/>
            <w:tcBorders>
              <w:top w:val="nil"/>
              <w:left w:val="nil"/>
              <w:bottom w:val="single" w:sz="2" w:space="0" w:color="A6A6A6" w:themeColor="background1" w:themeShade="A6"/>
              <w:right w:val="nil"/>
            </w:tcBorders>
            <w:shd w:val="clear" w:color="auto" w:fill="FFFFFF" w:themeFill="background1"/>
            <w:noWrap/>
            <w:vAlign w:val="center"/>
            <w:hideMark/>
          </w:tcPr>
          <w:p w14:paraId="4F66512F" w14:textId="77777777" w:rsidR="00FA6A1F" w:rsidRDefault="00FA6A1F" w:rsidP="005D388B">
            <w:pPr>
              <w:pStyle w:val="TableText"/>
              <w:tabs>
                <w:tab w:val="decimal" w:pos="392"/>
              </w:tabs>
            </w:pPr>
            <w:r>
              <w:t>1.100</w:t>
            </w:r>
          </w:p>
        </w:tc>
        <w:tc>
          <w:tcPr>
            <w:tcW w:w="1100" w:type="dxa"/>
            <w:tcBorders>
              <w:top w:val="nil"/>
              <w:left w:val="nil"/>
              <w:bottom w:val="single" w:sz="2" w:space="0" w:color="A6A6A6" w:themeColor="background1" w:themeShade="A6"/>
              <w:right w:val="nil"/>
            </w:tcBorders>
            <w:shd w:val="clear" w:color="auto" w:fill="FFFFFF" w:themeFill="background1"/>
            <w:noWrap/>
            <w:vAlign w:val="center"/>
            <w:hideMark/>
          </w:tcPr>
          <w:p w14:paraId="4F665130" w14:textId="77777777" w:rsidR="00FA6A1F" w:rsidRDefault="00FA6A1F" w:rsidP="005D388B">
            <w:pPr>
              <w:pStyle w:val="TableText"/>
              <w:tabs>
                <w:tab w:val="decimal" w:pos="392"/>
              </w:tabs>
            </w:pPr>
            <w:r>
              <w:t>1.100</w:t>
            </w:r>
          </w:p>
        </w:tc>
        <w:tc>
          <w:tcPr>
            <w:tcW w:w="1099" w:type="dxa"/>
            <w:tcBorders>
              <w:top w:val="nil"/>
              <w:left w:val="nil"/>
              <w:bottom w:val="single" w:sz="2" w:space="0" w:color="A6A6A6" w:themeColor="background1" w:themeShade="A6"/>
              <w:right w:val="nil"/>
            </w:tcBorders>
            <w:shd w:val="clear" w:color="auto" w:fill="FFFFFF" w:themeFill="background1"/>
            <w:noWrap/>
            <w:vAlign w:val="center"/>
            <w:hideMark/>
          </w:tcPr>
          <w:p w14:paraId="4F665131" w14:textId="77777777" w:rsidR="00FA6A1F" w:rsidRDefault="00FA6A1F" w:rsidP="005D388B">
            <w:pPr>
              <w:pStyle w:val="TableText"/>
              <w:tabs>
                <w:tab w:val="decimal" w:pos="392"/>
              </w:tabs>
            </w:pPr>
            <w:r>
              <w:t>1.100</w:t>
            </w:r>
          </w:p>
        </w:tc>
        <w:tc>
          <w:tcPr>
            <w:tcW w:w="1100" w:type="dxa"/>
            <w:tcBorders>
              <w:top w:val="nil"/>
              <w:left w:val="nil"/>
              <w:bottom w:val="single" w:sz="2" w:space="0" w:color="A6A6A6" w:themeColor="background1" w:themeShade="A6"/>
              <w:right w:val="nil"/>
            </w:tcBorders>
            <w:vAlign w:val="center"/>
            <w:hideMark/>
          </w:tcPr>
          <w:p w14:paraId="4F665132" w14:textId="77777777" w:rsidR="00FA6A1F" w:rsidRDefault="00FA6A1F" w:rsidP="005D388B">
            <w:pPr>
              <w:pStyle w:val="TableText"/>
              <w:tabs>
                <w:tab w:val="decimal" w:pos="392"/>
              </w:tabs>
            </w:pPr>
            <w:r>
              <w:t>3.300</w:t>
            </w:r>
          </w:p>
        </w:tc>
      </w:tr>
      <w:tr w:rsidR="00FA6A1F" w14:paraId="4F665139" w14:textId="77777777" w:rsidTr="005D388B">
        <w:trPr>
          <w:cantSplit/>
        </w:trPr>
        <w:tc>
          <w:tcPr>
            <w:tcW w:w="3687" w:type="dxa"/>
            <w:tcBorders>
              <w:top w:val="single" w:sz="2" w:space="0" w:color="A6A6A6" w:themeColor="background1" w:themeShade="A6"/>
              <w:left w:val="nil"/>
              <w:bottom w:val="single" w:sz="2" w:space="0" w:color="A6A6A6" w:themeColor="background1" w:themeShade="A6"/>
              <w:right w:val="nil"/>
            </w:tcBorders>
            <w:noWrap/>
            <w:hideMark/>
          </w:tcPr>
          <w:p w14:paraId="4F665134" w14:textId="77777777" w:rsidR="00FA6A1F" w:rsidRDefault="00FA6A1F" w:rsidP="005D388B">
            <w:pPr>
              <w:pStyle w:val="TableText"/>
            </w:pPr>
            <w:r>
              <w:t>Data collection and reporting</w:t>
            </w:r>
          </w:p>
        </w:tc>
        <w:tc>
          <w:tcPr>
            <w:tcW w:w="1099" w:type="dxa"/>
            <w:tcBorders>
              <w:top w:val="single" w:sz="2" w:space="0" w:color="A6A6A6" w:themeColor="background1" w:themeShade="A6"/>
              <w:left w:val="nil"/>
              <w:bottom w:val="single" w:sz="2" w:space="0" w:color="A6A6A6" w:themeColor="background1" w:themeShade="A6"/>
              <w:right w:val="nil"/>
            </w:tcBorders>
            <w:noWrap/>
            <w:vAlign w:val="center"/>
            <w:hideMark/>
          </w:tcPr>
          <w:p w14:paraId="4F665135" w14:textId="77777777" w:rsidR="00FA6A1F" w:rsidRDefault="00FA6A1F" w:rsidP="005D388B">
            <w:pPr>
              <w:pStyle w:val="TableText"/>
              <w:tabs>
                <w:tab w:val="decimal" w:pos="392"/>
              </w:tabs>
            </w:pPr>
            <w:r>
              <w:t>0.015</w:t>
            </w:r>
          </w:p>
        </w:tc>
        <w:tc>
          <w:tcPr>
            <w:tcW w:w="1100" w:type="dxa"/>
            <w:tcBorders>
              <w:top w:val="single" w:sz="2" w:space="0" w:color="A6A6A6" w:themeColor="background1" w:themeShade="A6"/>
              <w:left w:val="nil"/>
              <w:bottom w:val="single" w:sz="2" w:space="0" w:color="A6A6A6" w:themeColor="background1" w:themeShade="A6"/>
              <w:right w:val="nil"/>
            </w:tcBorders>
            <w:noWrap/>
            <w:vAlign w:val="center"/>
            <w:hideMark/>
          </w:tcPr>
          <w:p w14:paraId="4F665136" w14:textId="77777777" w:rsidR="00FA6A1F" w:rsidRDefault="00FA6A1F" w:rsidP="005D388B">
            <w:pPr>
              <w:pStyle w:val="TableText"/>
              <w:tabs>
                <w:tab w:val="decimal" w:pos="392"/>
              </w:tabs>
            </w:pPr>
            <w:r>
              <w:t>0.015</w:t>
            </w:r>
          </w:p>
        </w:tc>
        <w:tc>
          <w:tcPr>
            <w:tcW w:w="1099" w:type="dxa"/>
            <w:tcBorders>
              <w:top w:val="single" w:sz="2" w:space="0" w:color="A6A6A6" w:themeColor="background1" w:themeShade="A6"/>
              <w:left w:val="nil"/>
              <w:bottom w:val="single" w:sz="2" w:space="0" w:color="A6A6A6" w:themeColor="background1" w:themeShade="A6"/>
              <w:right w:val="nil"/>
            </w:tcBorders>
            <w:noWrap/>
            <w:vAlign w:val="center"/>
            <w:hideMark/>
          </w:tcPr>
          <w:p w14:paraId="4F665137" w14:textId="77777777" w:rsidR="00FA6A1F" w:rsidRDefault="00FA6A1F" w:rsidP="005D388B">
            <w:pPr>
              <w:pStyle w:val="TableText"/>
              <w:tabs>
                <w:tab w:val="decimal" w:pos="392"/>
              </w:tabs>
            </w:pPr>
            <w:r>
              <w:t>0.015</w:t>
            </w:r>
          </w:p>
        </w:tc>
        <w:tc>
          <w:tcPr>
            <w:tcW w:w="1100" w:type="dxa"/>
            <w:tcBorders>
              <w:top w:val="single" w:sz="2" w:space="0" w:color="A6A6A6" w:themeColor="background1" w:themeShade="A6"/>
              <w:left w:val="nil"/>
              <w:bottom w:val="single" w:sz="2" w:space="0" w:color="A6A6A6" w:themeColor="background1" w:themeShade="A6"/>
              <w:right w:val="nil"/>
            </w:tcBorders>
            <w:vAlign w:val="center"/>
            <w:hideMark/>
          </w:tcPr>
          <w:p w14:paraId="4F665138" w14:textId="77777777" w:rsidR="00FA6A1F" w:rsidRDefault="00FA6A1F" w:rsidP="005D388B">
            <w:pPr>
              <w:pStyle w:val="TableText"/>
              <w:tabs>
                <w:tab w:val="decimal" w:pos="392"/>
              </w:tabs>
            </w:pPr>
            <w:r>
              <w:t>0.045</w:t>
            </w:r>
          </w:p>
        </w:tc>
      </w:tr>
      <w:tr w:rsidR="00FA6A1F" w14:paraId="4F66513F" w14:textId="77777777" w:rsidTr="005D388B">
        <w:trPr>
          <w:cantSplit/>
        </w:trPr>
        <w:tc>
          <w:tcPr>
            <w:tcW w:w="3687" w:type="dxa"/>
            <w:tcBorders>
              <w:top w:val="single" w:sz="2" w:space="0" w:color="A6A6A6" w:themeColor="background1" w:themeShade="A6"/>
              <w:left w:val="nil"/>
              <w:bottom w:val="single" w:sz="2" w:space="0" w:color="A6A6A6" w:themeColor="background1" w:themeShade="A6"/>
              <w:right w:val="nil"/>
            </w:tcBorders>
            <w:noWrap/>
            <w:hideMark/>
          </w:tcPr>
          <w:p w14:paraId="4F66513A" w14:textId="77777777" w:rsidR="00FA6A1F" w:rsidRDefault="00FA6A1F" w:rsidP="005D388B">
            <w:pPr>
              <w:pStyle w:val="TableText"/>
            </w:pPr>
            <w:r>
              <w:t>Workforce development (clinical)</w:t>
            </w:r>
          </w:p>
        </w:tc>
        <w:tc>
          <w:tcPr>
            <w:tcW w:w="1099" w:type="dxa"/>
            <w:tcBorders>
              <w:top w:val="single" w:sz="2" w:space="0" w:color="A6A6A6" w:themeColor="background1" w:themeShade="A6"/>
              <w:left w:val="nil"/>
              <w:bottom w:val="single" w:sz="2" w:space="0" w:color="A6A6A6" w:themeColor="background1" w:themeShade="A6"/>
              <w:right w:val="nil"/>
            </w:tcBorders>
            <w:noWrap/>
            <w:vAlign w:val="center"/>
            <w:hideMark/>
          </w:tcPr>
          <w:p w14:paraId="4F66513B" w14:textId="77777777" w:rsidR="00FA6A1F" w:rsidRDefault="00FA6A1F" w:rsidP="005D388B">
            <w:pPr>
              <w:pStyle w:val="TableText"/>
              <w:tabs>
                <w:tab w:val="decimal" w:pos="392"/>
              </w:tabs>
            </w:pPr>
            <w:r>
              <w:t>0.200</w:t>
            </w:r>
          </w:p>
        </w:tc>
        <w:tc>
          <w:tcPr>
            <w:tcW w:w="1100" w:type="dxa"/>
            <w:tcBorders>
              <w:top w:val="single" w:sz="2" w:space="0" w:color="A6A6A6" w:themeColor="background1" w:themeShade="A6"/>
              <w:left w:val="nil"/>
              <w:bottom w:val="single" w:sz="2" w:space="0" w:color="A6A6A6" w:themeColor="background1" w:themeShade="A6"/>
              <w:right w:val="nil"/>
            </w:tcBorders>
            <w:noWrap/>
            <w:vAlign w:val="center"/>
            <w:hideMark/>
          </w:tcPr>
          <w:p w14:paraId="4F66513C" w14:textId="77777777" w:rsidR="00FA6A1F" w:rsidRDefault="00FA6A1F" w:rsidP="005D388B">
            <w:pPr>
              <w:pStyle w:val="TableText"/>
              <w:tabs>
                <w:tab w:val="decimal" w:pos="392"/>
              </w:tabs>
            </w:pPr>
            <w:r>
              <w:t>0.200</w:t>
            </w:r>
          </w:p>
        </w:tc>
        <w:tc>
          <w:tcPr>
            <w:tcW w:w="1099" w:type="dxa"/>
            <w:tcBorders>
              <w:top w:val="single" w:sz="2" w:space="0" w:color="A6A6A6" w:themeColor="background1" w:themeShade="A6"/>
              <w:left w:val="nil"/>
              <w:bottom w:val="single" w:sz="2" w:space="0" w:color="A6A6A6" w:themeColor="background1" w:themeShade="A6"/>
              <w:right w:val="nil"/>
            </w:tcBorders>
            <w:noWrap/>
            <w:vAlign w:val="center"/>
            <w:hideMark/>
          </w:tcPr>
          <w:p w14:paraId="4F66513D" w14:textId="77777777" w:rsidR="00FA6A1F" w:rsidRDefault="00FA6A1F" w:rsidP="005D388B">
            <w:pPr>
              <w:pStyle w:val="TableText"/>
              <w:tabs>
                <w:tab w:val="decimal" w:pos="392"/>
              </w:tabs>
            </w:pPr>
            <w:r>
              <w:t>0.200</w:t>
            </w:r>
          </w:p>
        </w:tc>
        <w:tc>
          <w:tcPr>
            <w:tcW w:w="1100" w:type="dxa"/>
            <w:tcBorders>
              <w:top w:val="single" w:sz="2" w:space="0" w:color="A6A6A6" w:themeColor="background1" w:themeShade="A6"/>
              <w:left w:val="nil"/>
              <w:bottom w:val="single" w:sz="2" w:space="0" w:color="A6A6A6" w:themeColor="background1" w:themeShade="A6"/>
              <w:right w:val="nil"/>
            </w:tcBorders>
            <w:vAlign w:val="center"/>
            <w:hideMark/>
          </w:tcPr>
          <w:p w14:paraId="4F66513E" w14:textId="77777777" w:rsidR="00FA6A1F" w:rsidRDefault="00FA6A1F" w:rsidP="005D388B">
            <w:pPr>
              <w:pStyle w:val="TableText"/>
              <w:tabs>
                <w:tab w:val="decimal" w:pos="392"/>
              </w:tabs>
            </w:pPr>
            <w:r>
              <w:t>0.600</w:t>
            </w:r>
          </w:p>
        </w:tc>
      </w:tr>
      <w:tr w:rsidR="00FA6A1F" w:rsidRPr="005D388B" w14:paraId="4F665145" w14:textId="77777777" w:rsidTr="005D388B">
        <w:trPr>
          <w:cantSplit/>
        </w:trPr>
        <w:tc>
          <w:tcPr>
            <w:tcW w:w="3687" w:type="dxa"/>
            <w:tcBorders>
              <w:top w:val="single" w:sz="2" w:space="0" w:color="A6A6A6" w:themeColor="background1" w:themeShade="A6"/>
              <w:left w:val="nil"/>
              <w:bottom w:val="single" w:sz="4" w:space="0" w:color="A6A6A6" w:themeColor="background1" w:themeShade="A6"/>
              <w:right w:val="nil"/>
            </w:tcBorders>
            <w:noWrap/>
            <w:hideMark/>
          </w:tcPr>
          <w:p w14:paraId="4F665140" w14:textId="77777777" w:rsidR="00FA6A1F" w:rsidRPr="005D388B" w:rsidRDefault="00FA6A1F" w:rsidP="005D388B">
            <w:pPr>
              <w:pStyle w:val="TableText"/>
              <w:rPr>
                <w:b/>
              </w:rPr>
            </w:pPr>
            <w:r w:rsidRPr="005D388B">
              <w:rPr>
                <w:b/>
              </w:rPr>
              <w:t>Total ($m)</w:t>
            </w:r>
          </w:p>
        </w:tc>
        <w:tc>
          <w:tcPr>
            <w:tcW w:w="1099" w:type="dxa"/>
            <w:tcBorders>
              <w:top w:val="single" w:sz="2" w:space="0" w:color="A6A6A6" w:themeColor="background1" w:themeShade="A6"/>
              <w:left w:val="nil"/>
              <w:bottom w:val="single" w:sz="4" w:space="0" w:color="A6A6A6" w:themeColor="background1" w:themeShade="A6"/>
              <w:right w:val="nil"/>
            </w:tcBorders>
            <w:noWrap/>
            <w:vAlign w:val="center"/>
            <w:hideMark/>
          </w:tcPr>
          <w:p w14:paraId="4F665141" w14:textId="77777777" w:rsidR="00FA6A1F" w:rsidRPr="005D388B" w:rsidRDefault="00FA6A1F" w:rsidP="005D388B">
            <w:pPr>
              <w:pStyle w:val="TableText"/>
              <w:tabs>
                <w:tab w:val="decimal" w:pos="392"/>
              </w:tabs>
              <w:rPr>
                <w:b/>
              </w:rPr>
            </w:pPr>
            <w:r w:rsidRPr="005D388B">
              <w:rPr>
                <w:b/>
              </w:rPr>
              <w:t>10.571</w:t>
            </w:r>
          </w:p>
        </w:tc>
        <w:tc>
          <w:tcPr>
            <w:tcW w:w="1100" w:type="dxa"/>
            <w:tcBorders>
              <w:top w:val="single" w:sz="2" w:space="0" w:color="A6A6A6" w:themeColor="background1" w:themeShade="A6"/>
              <w:left w:val="nil"/>
              <w:bottom w:val="single" w:sz="4" w:space="0" w:color="A6A6A6" w:themeColor="background1" w:themeShade="A6"/>
              <w:right w:val="nil"/>
            </w:tcBorders>
            <w:noWrap/>
            <w:vAlign w:val="center"/>
            <w:hideMark/>
          </w:tcPr>
          <w:p w14:paraId="4F665142" w14:textId="77777777" w:rsidR="00FA6A1F" w:rsidRPr="005D388B" w:rsidRDefault="00FA6A1F" w:rsidP="005D388B">
            <w:pPr>
              <w:pStyle w:val="TableText"/>
              <w:tabs>
                <w:tab w:val="decimal" w:pos="392"/>
              </w:tabs>
              <w:rPr>
                <w:b/>
              </w:rPr>
            </w:pPr>
            <w:r w:rsidRPr="005D388B">
              <w:rPr>
                <w:b/>
              </w:rPr>
              <w:t>10.571</w:t>
            </w:r>
          </w:p>
        </w:tc>
        <w:tc>
          <w:tcPr>
            <w:tcW w:w="1099" w:type="dxa"/>
            <w:tcBorders>
              <w:top w:val="single" w:sz="2" w:space="0" w:color="A6A6A6" w:themeColor="background1" w:themeShade="A6"/>
              <w:left w:val="nil"/>
              <w:bottom w:val="single" w:sz="4" w:space="0" w:color="A6A6A6" w:themeColor="background1" w:themeShade="A6"/>
              <w:right w:val="nil"/>
            </w:tcBorders>
            <w:noWrap/>
            <w:vAlign w:val="center"/>
            <w:hideMark/>
          </w:tcPr>
          <w:p w14:paraId="4F665143" w14:textId="77777777" w:rsidR="00FA6A1F" w:rsidRPr="005D388B" w:rsidRDefault="00FA6A1F" w:rsidP="005D388B">
            <w:pPr>
              <w:pStyle w:val="TableText"/>
              <w:tabs>
                <w:tab w:val="decimal" w:pos="392"/>
              </w:tabs>
              <w:rPr>
                <w:b/>
              </w:rPr>
            </w:pPr>
            <w:r w:rsidRPr="005D388B">
              <w:rPr>
                <w:b/>
              </w:rPr>
              <w:t>10.897</w:t>
            </w:r>
          </w:p>
        </w:tc>
        <w:tc>
          <w:tcPr>
            <w:tcW w:w="1100" w:type="dxa"/>
            <w:tcBorders>
              <w:top w:val="single" w:sz="2" w:space="0" w:color="A6A6A6" w:themeColor="background1" w:themeShade="A6"/>
              <w:left w:val="nil"/>
              <w:bottom w:val="single" w:sz="4" w:space="0" w:color="A6A6A6" w:themeColor="background1" w:themeShade="A6"/>
              <w:right w:val="nil"/>
            </w:tcBorders>
            <w:vAlign w:val="center"/>
            <w:hideMark/>
          </w:tcPr>
          <w:p w14:paraId="4F665144" w14:textId="77777777" w:rsidR="00FA6A1F" w:rsidRPr="005D388B" w:rsidRDefault="00FA6A1F" w:rsidP="005D388B">
            <w:pPr>
              <w:pStyle w:val="TableText"/>
              <w:tabs>
                <w:tab w:val="decimal" w:pos="392"/>
              </w:tabs>
              <w:rPr>
                <w:b/>
              </w:rPr>
            </w:pPr>
            <w:r w:rsidRPr="005D388B">
              <w:rPr>
                <w:b/>
              </w:rPr>
              <w:t>32.039</w:t>
            </w:r>
          </w:p>
        </w:tc>
      </w:tr>
    </w:tbl>
    <w:p w14:paraId="4F665146" w14:textId="77777777" w:rsidR="00FA6A1F" w:rsidRDefault="00FA6A1F" w:rsidP="005D388B">
      <w:pPr>
        <w:pStyle w:val="Note"/>
      </w:pPr>
      <w:r>
        <w:t>Note: All service areas include provision for dedicated Māori, Pacific and Asian services and activities.</w:t>
      </w:r>
    </w:p>
    <w:p w14:paraId="4F665147" w14:textId="77777777" w:rsidR="005D388B" w:rsidRPr="005D388B" w:rsidRDefault="005D388B" w:rsidP="005D388B"/>
    <w:p w14:paraId="4F665148" w14:textId="77777777" w:rsidR="00FA6A1F" w:rsidRPr="007146D7" w:rsidRDefault="00FA6A1F" w:rsidP="00231C51">
      <w:pPr>
        <w:pStyle w:val="Heading3"/>
      </w:pPr>
      <w:bookmarkStart w:id="148" w:name="_Toc78882299"/>
      <w:r w:rsidRPr="002E0B81">
        <w:lastRenderedPageBreak/>
        <w:t>Clinical intervention and support</w:t>
      </w:r>
      <w:bookmarkEnd w:id="148"/>
    </w:p>
    <w:p w14:paraId="4F665149" w14:textId="77777777" w:rsidR="008303C6" w:rsidRDefault="00FA6A1F" w:rsidP="00231C51">
      <w:pPr>
        <w:keepNext/>
      </w:pPr>
      <w:r>
        <w:t>Clinical intervention and support services include a range of interventions delivered in a variety of settings (including prisons) to people who are experiencing gambling harm, including people who gamble and those affected by someone else</w:t>
      </w:r>
      <w:r w:rsidR="008303C6">
        <w:t>’</w:t>
      </w:r>
      <w:r>
        <w:t>s gambling.</w:t>
      </w:r>
    </w:p>
    <w:p w14:paraId="4F66514A" w14:textId="77777777" w:rsidR="00231C51" w:rsidRDefault="00231C51" w:rsidP="00231C51">
      <w:pPr>
        <w:keepNext/>
      </w:pPr>
    </w:p>
    <w:p w14:paraId="4F66514B" w14:textId="77777777" w:rsidR="00FA6A1F" w:rsidRDefault="00FA6A1F" w:rsidP="00231C51">
      <w:r>
        <w:t xml:space="preserve">The four core intervention areas are: brief intervention, full intervention (individual or group therapy), facilitation and follow-up services. </w:t>
      </w:r>
      <w:r w:rsidR="008303C6">
        <w:t>‘</w:t>
      </w:r>
      <w:r>
        <w:t>Brief intervention</w:t>
      </w:r>
      <w:r w:rsidR="008303C6">
        <w:t>’</w:t>
      </w:r>
      <w:r>
        <w:t xml:space="preserve"> in this context refers to brief screening for problems, typically in a non-clinical environment. This should not be confused with brief clinical interventions, for example, by telephone.</w:t>
      </w:r>
    </w:p>
    <w:p w14:paraId="4F66514C" w14:textId="77777777" w:rsidR="00231C51" w:rsidRDefault="00231C51" w:rsidP="00231C51"/>
    <w:p w14:paraId="4F66514D" w14:textId="77777777" w:rsidR="00FA6A1F" w:rsidRDefault="00FA6A1F" w:rsidP="00231C51">
      <w:r>
        <w:t>We are committed to improving access to services for all people adversely affected by gambling. Services and activities designed to identify people who are experiencing harm are crucial in providing early prevention and intervention treatment. This approach enables us to work actively to minimise the impact harmful gambling has on individuals, their families and whānau, and affected others.</w:t>
      </w:r>
    </w:p>
    <w:p w14:paraId="4F66514E" w14:textId="77777777" w:rsidR="00231C51" w:rsidRDefault="00231C51" w:rsidP="00231C51"/>
    <w:p w14:paraId="4F66514F" w14:textId="77777777" w:rsidR="008303C6" w:rsidRDefault="00FA6A1F" w:rsidP="00231C51">
      <w:r>
        <w:t>We fund general services and dedicated Māori, Pacific and Asian services. All services are open to anyone experiencing gambling harm. General services aim to minimise problem gambling-related harm for all members of the community and consider how to deliver appropriate services for Māori, Pacific peoples, Asian peoples and other priority population groups.</w:t>
      </w:r>
    </w:p>
    <w:p w14:paraId="4F665150" w14:textId="77777777" w:rsidR="00231C51" w:rsidRDefault="00231C51" w:rsidP="00231C51"/>
    <w:p w14:paraId="4F665151" w14:textId="77777777" w:rsidR="00FA6A1F" w:rsidRPr="00231C51" w:rsidRDefault="00FA6A1F" w:rsidP="00231C51">
      <w:r>
        <w:t xml:space="preserve">We </w:t>
      </w:r>
      <w:r w:rsidRPr="0025674C">
        <w:t>acknowledge</w:t>
      </w:r>
      <w:r w:rsidRPr="00483631">
        <w:t xml:space="preserve"> the </w:t>
      </w:r>
      <w:r>
        <w:t>n</w:t>
      </w:r>
      <w:r w:rsidRPr="00483631">
        <w:t xml:space="preserve">eeds </w:t>
      </w:r>
      <w:r>
        <w:t>a</w:t>
      </w:r>
      <w:r w:rsidRPr="00483631">
        <w:t>ssessment</w:t>
      </w:r>
      <w:r w:rsidR="008303C6">
        <w:t>’</w:t>
      </w:r>
      <w:r w:rsidRPr="00483631">
        <w:t>s findings that services need to be</w:t>
      </w:r>
      <w:r>
        <w:t xml:space="preserve"> more</w:t>
      </w:r>
      <w:r w:rsidRPr="00483631">
        <w:t xml:space="preserve"> equitable, culturally appropriate and culturally safe. </w:t>
      </w:r>
      <w:r>
        <w:t>We</w:t>
      </w:r>
      <w:r w:rsidRPr="00483631">
        <w:t xml:space="preserve"> intend to re-tender for clinical intervention services later </w:t>
      </w:r>
      <w:r>
        <w:t>in 2021</w:t>
      </w:r>
      <w:r w:rsidRPr="00483631">
        <w:t xml:space="preserve"> for contracts to begin with the new levy period on 1</w:t>
      </w:r>
      <w:r w:rsidR="00231C51">
        <w:t> </w:t>
      </w:r>
      <w:r w:rsidRPr="00483631">
        <w:t>July 2022. This will include:</w:t>
      </w:r>
    </w:p>
    <w:p w14:paraId="4F665152" w14:textId="77777777" w:rsidR="00FA6A1F" w:rsidRPr="00483631" w:rsidRDefault="00FA6A1F" w:rsidP="00231C51">
      <w:pPr>
        <w:pStyle w:val="Bullet"/>
      </w:pPr>
      <w:r>
        <w:t>an e</w:t>
      </w:r>
      <w:r w:rsidRPr="00483631">
        <w:t>vidence</w:t>
      </w:r>
      <w:r>
        <w:t>-</w:t>
      </w:r>
      <w:r w:rsidRPr="00483631">
        <w:t>based investment to address inequities by allocating funding accord</w:t>
      </w:r>
      <w:r>
        <w:t>ing to the</w:t>
      </w:r>
      <w:r w:rsidRPr="00483631">
        <w:t xml:space="preserve"> data and evidence of geographic variation in levels of gambling harm and areas with higher Māori, Pacific and Asian populations</w:t>
      </w:r>
    </w:p>
    <w:p w14:paraId="4F665153" w14:textId="77777777" w:rsidR="00FA6A1F" w:rsidRPr="00483631" w:rsidRDefault="00FA6A1F" w:rsidP="00231C51">
      <w:pPr>
        <w:pStyle w:val="Bullet"/>
      </w:pPr>
      <w:r>
        <w:t>u</w:t>
      </w:r>
      <w:r w:rsidRPr="00483631">
        <w:t>ndertaking Māori and Pacific tenders for Māori and Pacific services</w:t>
      </w:r>
      <w:r>
        <w:t xml:space="preserve"> as well as tenders</w:t>
      </w:r>
      <w:r w:rsidRPr="00483631">
        <w:t xml:space="preserve"> for general and Asian services.</w:t>
      </w:r>
    </w:p>
    <w:p w14:paraId="4F665154" w14:textId="77777777" w:rsidR="00231C51" w:rsidRDefault="00231C51" w:rsidP="00231C51"/>
    <w:p w14:paraId="4F665155" w14:textId="77777777" w:rsidR="008303C6" w:rsidRDefault="00FA6A1F" w:rsidP="00231C51">
      <w:r>
        <w:t>We also intend to increase the FTE rate for gambling-harm intervention services to achieve parity with other Ministry-funded mental health and addiction services and address recruitment and retention issues.</w:t>
      </w:r>
    </w:p>
    <w:p w14:paraId="4F665156" w14:textId="77777777" w:rsidR="00231C51" w:rsidRDefault="00231C51" w:rsidP="00231C51"/>
    <w:p w14:paraId="4F665157" w14:textId="77777777" w:rsidR="00FA6A1F" w:rsidRDefault="00FA6A1F" w:rsidP="00231C51">
      <w:r>
        <w:t>We expect that clinical intervention services can be provided within prisons and youth justice facilities within Aotearoa New Zealand where possible and appropriate.</w:t>
      </w:r>
    </w:p>
    <w:p w14:paraId="4F665158" w14:textId="77777777" w:rsidR="00231C51" w:rsidRDefault="00231C51" w:rsidP="00231C51"/>
    <w:p w14:paraId="4F665159" w14:textId="77777777" w:rsidR="008303C6" w:rsidRDefault="00FA6A1F" w:rsidP="00231C51">
      <w:r>
        <w:t>We are also working to develop and evaluate a range of new service and innovation pilots, initiated under the current service plan (2019/20 to 2021/22) which will enable us to consider subsequent investment decisions based on the findings of these new service and innovation pilots. The draft service plan includes funding to continue these pilots from 1 July 2022 and some support to expand and embed innovative approaches to services, with a slight increase in the 2024/25 clinical intervention and support</w:t>
      </w:r>
      <w:r w:rsidRPr="005512C0">
        <w:t xml:space="preserve"> </w:t>
      </w:r>
      <w:r>
        <w:t>budget.</w:t>
      </w:r>
    </w:p>
    <w:p w14:paraId="4F66515A" w14:textId="77777777" w:rsidR="00231C51" w:rsidRDefault="00231C51" w:rsidP="00231C51"/>
    <w:p w14:paraId="4F66515B" w14:textId="77777777" w:rsidR="008303C6" w:rsidRDefault="00FA6A1F" w:rsidP="00E905E6">
      <w:pPr>
        <w:pStyle w:val="Heading3"/>
        <w:rPr>
          <w:rFonts w:eastAsiaTheme="majorEastAsia"/>
        </w:rPr>
      </w:pPr>
      <w:bookmarkStart w:id="149" w:name="_Toc78882300"/>
      <w:r w:rsidRPr="00A879A8">
        <w:rPr>
          <w:rFonts w:eastAsiaTheme="majorEastAsia"/>
        </w:rPr>
        <w:lastRenderedPageBreak/>
        <w:t>Helpline and web-based services</w:t>
      </w:r>
      <w:bookmarkEnd w:id="149"/>
    </w:p>
    <w:p w14:paraId="4F66515C" w14:textId="77777777" w:rsidR="00FA6A1F" w:rsidRDefault="00FA6A1F" w:rsidP="00E905E6">
      <w:r>
        <w:t>Helpline and web-based services provide:</w:t>
      </w:r>
    </w:p>
    <w:p w14:paraId="4F66515D" w14:textId="77777777" w:rsidR="00FA6A1F" w:rsidRPr="00483631" w:rsidRDefault="00FA6A1F" w:rsidP="00E905E6">
      <w:pPr>
        <w:pStyle w:val="Bullet"/>
      </w:pPr>
      <w:r w:rsidRPr="00483631">
        <w:t>information</w:t>
      </w:r>
    </w:p>
    <w:p w14:paraId="4F66515E" w14:textId="77777777" w:rsidR="00FA6A1F" w:rsidRPr="00483631" w:rsidRDefault="00FA6A1F" w:rsidP="00E905E6">
      <w:pPr>
        <w:pStyle w:val="Bullet"/>
      </w:pPr>
      <w:r w:rsidRPr="00483631">
        <w:t>access to intervention services for people</w:t>
      </w:r>
      <w:r>
        <w:t xml:space="preserve"> who are</w:t>
      </w:r>
      <w:r w:rsidRPr="00483631">
        <w:t xml:space="preserve"> unable to access face-to-face services</w:t>
      </w:r>
    </w:p>
    <w:p w14:paraId="4F66515F" w14:textId="77777777" w:rsidR="00FA6A1F" w:rsidRPr="00483631" w:rsidRDefault="00FA6A1F" w:rsidP="00E905E6">
      <w:pPr>
        <w:pStyle w:val="Bullet"/>
      </w:pPr>
      <w:r w:rsidRPr="00483631">
        <w:t>referral to other gambling harm service providers</w:t>
      </w:r>
    </w:p>
    <w:p w14:paraId="4F665160" w14:textId="77777777" w:rsidR="00FA6A1F" w:rsidRPr="00483631" w:rsidRDefault="00FA6A1F" w:rsidP="00E905E6">
      <w:pPr>
        <w:pStyle w:val="Bullet"/>
      </w:pPr>
      <w:r w:rsidRPr="00483631">
        <w:t>information on self-help, peer-to-peer support options and assessment guides.</w:t>
      </w:r>
    </w:p>
    <w:p w14:paraId="4F665161" w14:textId="77777777" w:rsidR="00E905E6" w:rsidRDefault="00E905E6" w:rsidP="00E905E6"/>
    <w:p w14:paraId="4F665162" w14:textId="77777777" w:rsidR="00FA6A1F" w:rsidRDefault="00FA6A1F" w:rsidP="00E905E6">
      <w:r>
        <w:t>The Ministry funds two forms of telephone-based gambling harm support, the national Gambling Helpline and the Asian Helpline.</w:t>
      </w:r>
    </w:p>
    <w:p w14:paraId="4F665163" w14:textId="77777777" w:rsidR="00E905E6" w:rsidRDefault="00E905E6" w:rsidP="00E905E6"/>
    <w:p w14:paraId="4F665164" w14:textId="77777777" w:rsidR="00FA6A1F" w:rsidRDefault="00FA6A1F" w:rsidP="00E905E6">
      <w:r>
        <w:t>The Gambling Helpline provides a free 24/7 service and is a first contact point for people in crisis as a result of harmful gambling. It also provides a back-up for other services, such as when face to face services are not available outside of working hours. It also provides coverage in rural areas, where there are no face-to-face services. This is critical to the Ministry</w:t>
      </w:r>
      <w:r w:rsidR="008303C6">
        <w:t>’</w:t>
      </w:r>
      <w:r>
        <w:t>s service delivery model. Performance improvement is a priority for this service, and a wide range of actions are planned or underway, including:</w:t>
      </w:r>
    </w:p>
    <w:p w14:paraId="4F665165" w14:textId="77777777" w:rsidR="00FA6A1F" w:rsidRPr="00277C1B" w:rsidRDefault="00FA6A1F" w:rsidP="00E905E6">
      <w:pPr>
        <w:pStyle w:val="Bullet"/>
      </w:pPr>
      <w:r>
        <w:t xml:space="preserve">ensuring </w:t>
      </w:r>
      <w:r w:rsidRPr="00277C1B">
        <w:t xml:space="preserve">the Gambling Helpline includes specialist addictions counsellors and all </w:t>
      </w:r>
      <w:r>
        <w:t>G</w:t>
      </w:r>
      <w:r w:rsidRPr="00277C1B">
        <w:t xml:space="preserve">ambling </w:t>
      </w:r>
      <w:r>
        <w:t>H</w:t>
      </w:r>
      <w:r w:rsidRPr="00277C1B">
        <w:t>elpline counsellors have completed gambling practitioner training</w:t>
      </w:r>
    </w:p>
    <w:p w14:paraId="4F665166" w14:textId="77777777" w:rsidR="008303C6" w:rsidRDefault="00FA6A1F" w:rsidP="00E905E6">
      <w:pPr>
        <w:pStyle w:val="Bullet"/>
      </w:pPr>
      <w:r w:rsidRPr="00483631">
        <w:t>delivering better outcomes for Māori and Pacific</w:t>
      </w:r>
      <w:r>
        <w:t>,</w:t>
      </w:r>
      <w:r w:rsidRPr="00483631">
        <w:t xml:space="preserve"> includ</w:t>
      </w:r>
      <w:r>
        <w:t>ing</w:t>
      </w:r>
      <w:r w:rsidRPr="00483631">
        <w:t xml:space="preserve"> building </w:t>
      </w:r>
      <w:r>
        <w:t>in t</w:t>
      </w:r>
      <w:r w:rsidRPr="00483631">
        <w:t xml:space="preserve">e </w:t>
      </w:r>
      <w:r>
        <w:t>a</w:t>
      </w:r>
      <w:r w:rsidRPr="00483631">
        <w:t>o Māori and culturally appropriate service deliver</w:t>
      </w:r>
      <w:r>
        <w:t>y</w:t>
      </w:r>
      <w:r w:rsidRPr="00483631">
        <w:t xml:space="preserve">, with bilingual and bicultural models of care </w:t>
      </w:r>
      <w:r>
        <w:t>using</w:t>
      </w:r>
      <w:r w:rsidRPr="00483631">
        <w:t xml:space="preserve"> Māori</w:t>
      </w:r>
      <w:r>
        <w:t xml:space="preserve"> and </w:t>
      </w:r>
      <w:r w:rsidRPr="00483631">
        <w:t>Pacific clinicians and specialists</w:t>
      </w:r>
    </w:p>
    <w:p w14:paraId="4F665167" w14:textId="77777777" w:rsidR="00FA6A1F" w:rsidRPr="00483631" w:rsidRDefault="00FA6A1F" w:rsidP="00E905E6">
      <w:pPr>
        <w:pStyle w:val="Bullet"/>
      </w:pPr>
      <w:r>
        <w:t>w</w:t>
      </w:r>
      <w:r w:rsidRPr="00483631">
        <w:t>ork</w:t>
      </w:r>
      <w:r>
        <w:t>ing</w:t>
      </w:r>
      <w:r w:rsidRPr="00483631">
        <w:t xml:space="preserve"> with the gambling harm sector and providers to improve referral pathways to community-based services, with improve</w:t>
      </w:r>
      <w:r>
        <w:t>d</w:t>
      </w:r>
      <w:r w:rsidRPr="00483631">
        <w:t xml:space="preserve"> continuity of care</w:t>
      </w:r>
    </w:p>
    <w:p w14:paraId="4F665168" w14:textId="77777777" w:rsidR="00FA6A1F" w:rsidRPr="00483631" w:rsidRDefault="00FA6A1F" w:rsidP="00E905E6">
      <w:pPr>
        <w:pStyle w:val="Bullet"/>
      </w:pPr>
      <w:r>
        <w:t>i</w:t>
      </w:r>
      <w:r w:rsidRPr="00483631">
        <w:t xml:space="preserve">mproved </w:t>
      </w:r>
      <w:r>
        <w:t xml:space="preserve">data </w:t>
      </w:r>
      <w:r w:rsidRPr="00483631">
        <w:t xml:space="preserve">collection, </w:t>
      </w:r>
      <w:r>
        <w:t>expanding it to include,</w:t>
      </w:r>
      <w:r w:rsidRPr="00483631">
        <w:t xml:space="preserve"> </w:t>
      </w:r>
      <w:r>
        <w:t xml:space="preserve">data on </w:t>
      </w:r>
      <w:r w:rsidRPr="00483631">
        <w:t>demographic</w:t>
      </w:r>
      <w:r>
        <w:t>s</w:t>
      </w:r>
      <w:r w:rsidRPr="00483631">
        <w:t>, service user experience and service user outcomes.</w:t>
      </w:r>
    </w:p>
    <w:p w14:paraId="4F665169" w14:textId="77777777" w:rsidR="00E905E6" w:rsidRDefault="00E905E6" w:rsidP="00E905E6"/>
    <w:p w14:paraId="4F66516A" w14:textId="77777777" w:rsidR="00FA6A1F" w:rsidRPr="0076680F" w:rsidRDefault="00FA6A1F" w:rsidP="00E905E6">
      <w:r w:rsidRPr="0076680F">
        <w:t>The Asian Helpline is a service for the Asian community, provided by PGF Group of the Problem Gambling Foundation of New Zealand and funded out of clinical intervention and support services. The helpline provides free and confidential services for Asian people experiencing gambling harm, with counsellors offering support in multiple languages.</w:t>
      </w:r>
    </w:p>
    <w:p w14:paraId="4F66516B" w14:textId="77777777" w:rsidR="00FA6A1F" w:rsidRPr="0076680F" w:rsidRDefault="00FA6A1F" w:rsidP="00E905E6"/>
    <w:p w14:paraId="4F66516C" w14:textId="77777777" w:rsidR="00FA6A1F" w:rsidRPr="00483631" w:rsidRDefault="00FA6A1F" w:rsidP="00E905E6">
      <w:pPr>
        <w:pStyle w:val="Heading3"/>
      </w:pPr>
      <w:bookmarkStart w:id="150" w:name="_Toc78882301"/>
      <w:r w:rsidRPr="002E0B81">
        <w:t>Data</w:t>
      </w:r>
      <w:r w:rsidRPr="00483631">
        <w:t xml:space="preserve"> collection and reporting</w:t>
      </w:r>
      <w:bookmarkEnd w:id="150"/>
    </w:p>
    <w:p w14:paraId="4F66516D" w14:textId="77777777" w:rsidR="00FA6A1F" w:rsidRDefault="00FA6A1F" w:rsidP="00E905E6">
      <w:r>
        <w:t>The Ministry largely carries out data collection and reporting internally. The small sum, specifically budgeted each year for collecting and reporting on data, allows for an external provider to address data collection issues that require institutional knowledge and to make small technical adjustments if required.</w:t>
      </w:r>
    </w:p>
    <w:p w14:paraId="4F66516E" w14:textId="77777777" w:rsidR="00E905E6" w:rsidRDefault="00E905E6" w:rsidP="00E905E6"/>
    <w:p w14:paraId="4F66516F" w14:textId="77777777" w:rsidR="00FA6A1F" w:rsidRPr="00483631" w:rsidRDefault="00FA6A1F" w:rsidP="00E905E6">
      <w:pPr>
        <w:pStyle w:val="Heading3"/>
      </w:pPr>
      <w:bookmarkStart w:id="151" w:name="_Toc78882302"/>
      <w:r w:rsidRPr="00483631">
        <w:lastRenderedPageBreak/>
        <w:t>Workforce development (clinical)</w:t>
      </w:r>
      <w:bookmarkEnd w:id="151"/>
    </w:p>
    <w:p w14:paraId="4F665170" w14:textId="77777777" w:rsidR="008303C6" w:rsidRDefault="00FA6A1F" w:rsidP="00E905E6">
      <w:r>
        <w:t>Over the past 12 years, the Ministry has invested in supporting non-qualified staff to become appropriately qualified clinicians. Our goal has always been to achieve a fully qualified clinical intervention workforce, providing counselling services for people who are experiencing gambling harm. A qualified and culturally competent clinical workforce is crucial in reducing the harm from gambling for gamblers, family and wh</w:t>
      </w:r>
      <w:r>
        <w:rPr>
          <w:rFonts w:cs="Segoe UI"/>
        </w:rPr>
        <w:t>ā</w:t>
      </w:r>
      <w:r>
        <w:t>nau and affected others. Qualified clinicians use best practice evidence-based tools to help alleviate and minimise the effects of harmful gambling and build skills to prevent relapses.</w:t>
      </w:r>
    </w:p>
    <w:p w14:paraId="4F665171" w14:textId="77777777" w:rsidR="00E905E6" w:rsidRDefault="00E905E6" w:rsidP="00E905E6"/>
    <w:p w14:paraId="4F665172" w14:textId="77777777" w:rsidR="008303C6" w:rsidRDefault="00FA6A1F" w:rsidP="00E905E6">
      <w:r>
        <w:t>Our focus will now shift towards building a skilled, qualified and culturally competent workforce. We will be introducing incentives to encourage Māori, Pacific peoples, Asian peoples and people with experience of gambling harm to enrol and remain in a tertiary programme that results in a relevant qualification to work in this sector. We will also be incentivising the provider sector to support the programme.</w:t>
      </w:r>
    </w:p>
    <w:p w14:paraId="4F665173" w14:textId="77777777" w:rsidR="00E905E6" w:rsidRDefault="00E905E6" w:rsidP="00E905E6"/>
    <w:p w14:paraId="4F665174" w14:textId="77777777" w:rsidR="00FA6A1F" w:rsidRDefault="00FA6A1F" w:rsidP="00E905E6">
      <w:pPr>
        <w:pStyle w:val="Heading2"/>
      </w:pPr>
      <w:bookmarkStart w:id="152" w:name="_Toc9239606"/>
      <w:bookmarkStart w:id="153" w:name="_Toc78882303"/>
      <w:bookmarkStart w:id="154" w:name="_Toc80965855"/>
      <w:r>
        <w:t>Research</w:t>
      </w:r>
      <w:r w:rsidRPr="00D14DF8">
        <w:t xml:space="preserve"> and evaluation</w:t>
      </w:r>
      <w:bookmarkEnd w:id="152"/>
      <w:bookmarkEnd w:id="153"/>
      <w:bookmarkEnd w:id="154"/>
    </w:p>
    <w:p w14:paraId="4F665175" w14:textId="77777777" w:rsidR="00FA6A1F" w:rsidRDefault="00FA6A1F" w:rsidP="00E905E6">
      <w:r w:rsidRPr="00927967">
        <w:t>The Ministry will commission and deliver a research and evaluation programme targeting the strategic priority areas identified below</w:t>
      </w:r>
      <w:r>
        <w:t xml:space="preserve">. The indicative budget for </w:t>
      </w:r>
      <w:r w:rsidRPr="00927967">
        <w:t xml:space="preserve">research and evaluation is 3.832 million </w:t>
      </w:r>
      <w:r>
        <w:t>for the 2022/23</w:t>
      </w:r>
      <w:r w:rsidR="00E905E6">
        <w:t>–</w:t>
      </w:r>
      <w:r>
        <w:t xml:space="preserve">2024/25 period. This amount is </w:t>
      </w:r>
      <w:r w:rsidRPr="00927967">
        <w:t xml:space="preserve">$2.797 million less than the current levy period as funds have been </w:t>
      </w:r>
      <w:r>
        <w:t xml:space="preserve">prioritised to </w:t>
      </w:r>
      <w:r w:rsidRPr="00927967">
        <w:t>gambling harm services</w:t>
      </w:r>
      <w:r>
        <w:t xml:space="preserve"> and support. This budget takes account that, as described below, some of the research and evaluation proposals for this levy period will be carried over to be completed in the 2022/23</w:t>
      </w:r>
      <w:r w:rsidR="00E905E6">
        <w:t>–</w:t>
      </w:r>
      <w:r>
        <w:t>2024/25 period.</w:t>
      </w:r>
    </w:p>
    <w:p w14:paraId="4F665176" w14:textId="77777777" w:rsidR="00E905E6" w:rsidRDefault="00E905E6" w:rsidP="00E905E6"/>
    <w:p w14:paraId="4F665177" w14:textId="6F52C3B4" w:rsidR="00FA6A1F" w:rsidRDefault="00E905E6" w:rsidP="00E905E6">
      <w:pPr>
        <w:pStyle w:val="Table"/>
      </w:pPr>
      <w:bookmarkStart w:id="155" w:name="_Toc8398936"/>
      <w:bookmarkStart w:id="156" w:name="_Toc4156636"/>
      <w:bookmarkStart w:id="157" w:name="_Toc80860350"/>
      <w:r>
        <w:t>Table </w:t>
      </w:r>
      <w:fldSimple w:instr=" SEQ Table \* ARABIC ">
        <w:r w:rsidR="00F65B3A">
          <w:rPr>
            <w:noProof/>
          </w:rPr>
          <w:t>6</w:t>
        </w:r>
      </w:fldSimple>
      <w:r w:rsidR="00FA6A1F" w:rsidRPr="003C377B">
        <w:rPr>
          <w:rFonts w:cstheme="minorHAnsi"/>
        </w:rPr>
        <w:t xml:space="preserve">: Research and evaluation </w:t>
      </w:r>
      <w:r w:rsidR="00FA6A1F" w:rsidRPr="007357DC">
        <w:rPr>
          <w:rFonts w:cstheme="minorHAnsi"/>
        </w:rPr>
        <w:t>budget</w:t>
      </w:r>
      <w:r w:rsidR="00FA6A1F" w:rsidRPr="00460652">
        <w:rPr>
          <w:rFonts w:cstheme="minorHAnsi"/>
        </w:rPr>
        <w:t xml:space="preserve"> (GST exclusive),</w:t>
      </w:r>
      <w:r w:rsidR="00FA6A1F">
        <w:t xml:space="preserve"> 2022/23 to 2024/25</w:t>
      </w:r>
      <w:bookmarkEnd w:id="155"/>
      <w:bookmarkEnd w:id="156"/>
      <w:bookmarkEnd w:id="157"/>
    </w:p>
    <w:tbl>
      <w:tblPr>
        <w:tblW w:w="0" w:type="auto"/>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3686"/>
        <w:gridCol w:w="1098"/>
        <w:gridCol w:w="1099"/>
        <w:gridCol w:w="1098"/>
        <w:gridCol w:w="1099"/>
      </w:tblGrid>
      <w:tr w:rsidR="00FA6A1F" w14:paraId="4F66517D" w14:textId="77777777" w:rsidTr="00E905E6">
        <w:trPr>
          <w:cantSplit/>
        </w:trPr>
        <w:tc>
          <w:tcPr>
            <w:tcW w:w="3686" w:type="dxa"/>
            <w:tcBorders>
              <w:top w:val="nil"/>
              <w:left w:val="nil"/>
              <w:bottom w:val="nil"/>
              <w:right w:val="nil"/>
            </w:tcBorders>
            <w:shd w:val="clear" w:color="auto" w:fill="D9D9D9" w:themeFill="background1" w:themeFillShade="D9"/>
            <w:hideMark/>
          </w:tcPr>
          <w:p w14:paraId="4F665178" w14:textId="77777777" w:rsidR="00FA6A1F" w:rsidRPr="00E905E6" w:rsidRDefault="00FA6A1F" w:rsidP="00E905E6">
            <w:pPr>
              <w:pStyle w:val="TableText"/>
              <w:rPr>
                <w:b/>
              </w:rPr>
            </w:pPr>
            <w:r w:rsidRPr="00E905E6">
              <w:rPr>
                <w:b/>
              </w:rPr>
              <w:t>Service area</w:t>
            </w:r>
          </w:p>
        </w:tc>
        <w:tc>
          <w:tcPr>
            <w:tcW w:w="1098" w:type="dxa"/>
            <w:tcBorders>
              <w:top w:val="nil"/>
              <w:left w:val="nil"/>
              <w:bottom w:val="nil"/>
              <w:right w:val="nil"/>
            </w:tcBorders>
            <w:shd w:val="clear" w:color="auto" w:fill="D9D9D9" w:themeFill="background1" w:themeFillShade="D9"/>
            <w:hideMark/>
          </w:tcPr>
          <w:p w14:paraId="4F665179" w14:textId="77777777" w:rsidR="00FA6A1F" w:rsidRPr="00E905E6" w:rsidRDefault="00FA6A1F" w:rsidP="00E905E6">
            <w:pPr>
              <w:pStyle w:val="TableText"/>
              <w:jc w:val="center"/>
              <w:rPr>
                <w:b/>
                <w:lang w:eastAsia="en-US"/>
              </w:rPr>
            </w:pPr>
            <w:r w:rsidRPr="00E905E6">
              <w:rPr>
                <w:b/>
              </w:rPr>
              <w:t>2022/23</w:t>
            </w:r>
            <w:r w:rsidRPr="00E905E6">
              <w:rPr>
                <w:b/>
              </w:rPr>
              <w:br/>
              <w:t>($m)</w:t>
            </w:r>
          </w:p>
        </w:tc>
        <w:tc>
          <w:tcPr>
            <w:tcW w:w="1099" w:type="dxa"/>
            <w:tcBorders>
              <w:top w:val="nil"/>
              <w:left w:val="nil"/>
              <w:bottom w:val="nil"/>
              <w:right w:val="nil"/>
            </w:tcBorders>
            <w:shd w:val="clear" w:color="auto" w:fill="D9D9D9" w:themeFill="background1" w:themeFillShade="D9"/>
            <w:hideMark/>
          </w:tcPr>
          <w:p w14:paraId="4F66517A" w14:textId="77777777" w:rsidR="00FA6A1F" w:rsidRPr="00E905E6" w:rsidRDefault="00FA6A1F" w:rsidP="00E905E6">
            <w:pPr>
              <w:pStyle w:val="TableText"/>
              <w:jc w:val="center"/>
              <w:rPr>
                <w:b/>
                <w:lang w:eastAsia="en-US"/>
              </w:rPr>
            </w:pPr>
            <w:r w:rsidRPr="00E905E6">
              <w:rPr>
                <w:b/>
              </w:rPr>
              <w:t>2023/24</w:t>
            </w:r>
            <w:r w:rsidRPr="00E905E6">
              <w:rPr>
                <w:b/>
              </w:rPr>
              <w:br/>
              <w:t>($m)</w:t>
            </w:r>
          </w:p>
        </w:tc>
        <w:tc>
          <w:tcPr>
            <w:tcW w:w="1098" w:type="dxa"/>
            <w:tcBorders>
              <w:top w:val="nil"/>
              <w:left w:val="nil"/>
              <w:bottom w:val="nil"/>
              <w:right w:val="nil"/>
            </w:tcBorders>
            <w:shd w:val="clear" w:color="auto" w:fill="D9D9D9" w:themeFill="background1" w:themeFillShade="D9"/>
            <w:hideMark/>
          </w:tcPr>
          <w:p w14:paraId="4F66517B" w14:textId="77777777" w:rsidR="00FA6A1F" w:rsidRPr="00E905E6" w:rsidRDefault="00FA6A1F" w:rsidP="00E905E6">
            <w:pPr>
              <w:pStyle w:val="TableText"/>
              <w:jc w:val="center"/>
              <w:rPr>
                <w:b/>
                <w:lang w:eastAsia="en-US"/>
              </w:rPr>
            </w:pPr>
            <w:r w:rsidRPr="00E905E6">
              <w:rPr>
                <w:b/>
              </w:rPr>
              <w:t>2024/25</w:t>
            </w:r>
            <w:r w:rsidRPr="00E905E6">
              <w:rPr>
                <w:b/>
              </w:rPr>
              <w:br/>
              <w:t>($m)</w:t>
            </w:r>
          </w:p>
        </w:tc>
        <w:tc>
          <w:tcPr>
            <w:tcW w:w="1099" w:type="dxa"/>
            <w:tcBorders>
              <w:top w:val="nil"/>
              <w:left w:val="nil"/>
              <w:bottom w:val="nil"/>
              <w:right w:val="nil"/>
            </w:tcBorders>
            <w:shd w:val="clear" w:color="auto" w:fill="D9D9D9" w:themeFill="background1" w:themeFillShade="D9"/>
            <w:hideMark/>
          </w:tcPr>
          <w:p w14:paraId="4F66517C" w14:textId="77777777" w:rsidR="00FA6A1F" w:rsidRPr="00E905E6" w:rsidRDefault="00FA6A1F" w:rsidP="00E905E6">
            <w:pPr>
              <w:pStyle w:val="TableText"/>
              <w:jc w:val="center"/>
              <w:rPr>
                <w:b/>
              </w:rPr>
            </w:pPr>
            <w:r w:rsidRPr="00E905E6">
              <w:rPr>
                <w:b/>
              </w:rPr>
              <w:t>Total</w:t>
            </w:r>
            <w:r w:rsidRPr="00E905E6">
              <w:rPr>
                <w:b/>
              </w:rPr>
              <w:br/>
              <w:t>($m)</w:t>
            </w:r>
          </w:p>
        </w:tc>
      </w:tr>
      <w:tr w:rsidR="00FA6A1F" w14:paraId="4F665183" w14:textId="77777777" w:rsidTr="00E905E6">
        <w:trPr>
          <w:cantSplit/>
        </w:trPr>
        <w:tc>
          <w:tcPr>
            <w:tcW w:w="3686" w:type="dxa"/>
            <w:tcBorders>
              <w:top w:val="nil"/>
              <w:left w:val="nil"/>
              <w:bottom w:val="single" w:sz="4" w:space="0" w:color="A6A6A6" w:themeColor="background1" w:themeShade="A6"/>
              <w:right w:val="nil"/>
            </w:tcBorders>
            <w:hideMark/>
          </w:tcPr>
          <w:p w14:paraId="4F66517E" w14:textId="77777777" w:rsidR="00FA6A1F" w:rsidRDefault="00FA6A1F" w:rsidP="00E905E6">
            <w:pPr>
              <w:pStyle w:val="TableText"/>
            </w:pPr>
            <w:r>
              <w:t>Research</w:t>
            </w:r>
          </w:p>
        </w:tc>
        <w:tc>
          <w:tcPr>
            <w:tcW w:w="1098" w:type="dxa"/>
            <w:tcBorders>
              <w:top w:val="nil"/>
              <w:left w:val="nil"/>
              <w:bottom w:val="single" w:sz="4" w:space="0" w:color="A6A6A6" w:themeColor="background1" w:themeShade="A6"/>
              <w:right w:val="nil"/>
            </w:tcBorders>
            <w:noWrap/>
            <w:vAlign w:val="center"/>
            <w:hideMark/>
          </w:tcPr>
          <w:p w14:paraId="4F66517F" w14:textId="77777777" w:rsidR="00FA6A1F" w:rsidRDefault="00FA6A1F" w:rsidP="00E905E6">
            <w:pPr>
              <w:pStyle w:val="TableText"/>
              <w:tabs>
                <w:tab w:val="decimal" w:pos="340"/>
              </w:tabs>
            </w:pPr>
            <w:r>
              <w:t>0.629</w:t>
            </w:r>
          </w:p>
        </w:tc>
        <w:tc>
          <w:tcPr>
            <w:tcW w:w="1099" w:type="dxa"/>
            <w:tcBorders>
              <w:top w:val="nil"/>
              <w:left w:val="nil"/>
              <w:bottom w:val="single" w:sz="4" w:space="0" w:color="A6A6A6" w:themeColor="background1" w:themeShade="A6"/>
              <w:right w:val="nil"/>
            </w:tcBorders>
            <w:noWrap/>
            <w:vAlign w:val="center"/>
            <w:hideMark/>
          </w:tcPr>
          <w:p w14:paraId="4F665180" w14:textId="77777777" w:rsidR="00FA6A1F" w:rsidRDefault="00FA6A1F" w:rsidP="00E905E6">
            <w:pPr>
              <w:pStyle w:val="TableText"/>
              <w:tabs>
                <w:tab w:val="decimal" w:pos="340"/>
              </w:tabs>
            </w:pPr>
            <w:r>
              <w:t>0.958</w:t>
            </w:r>
          </w:p>
        </w:tc>
        <w:tc>
          <w:tcPr>
            <w:tcW w:w="1098" w:type="dxa"/>
            <w:tcBorders>
              <w:top w:val="nil"/>
              <w:left w:val="nil"/>
              <w:bottom w:val="single" w:sz="4" w:space="0" w:color="A6A6A6" w:themeColor="background1" w:themeShade="A6"/>
              <w:right w:val="nil"/>
            </w:tcBorders>
            <w:noWrap/>
            <w:vAlign w:val="center"/>
            <w:hideMark/>
          </w:tcPr>
          <w:p w14:paraId="4F665181" w14:textId="77777777" w:rsidR="00FA6A1F" w:rsidRDefault="00FA6A1F" w:rsidP="00E905E6">
            <w:pPr>
              <w:pStyle w:val="TableText"/>
              <w:tabs>
                <w:tab w:val="decimal" w:pos="340"/>
              </w:tabs>
            </w:pPr>
            <w:r>
              <w:t>0.950</w:t>
            </w:r>
          </w:p>
        </w:tc>
        <w:tc>
          <w:tcPr>
            <w:tcW w:w="1099" w:type="dxa"/>
            <w:tcBorders>
              <w:top w:val="nil"/>
              <w:left w:val="nil"/>
              <w:bottom w:val="single" w:sz="4" w:space="0" w:color="A6A6A6" w:themeColor="background1" w:themeShade="A6"/>
              <w:right w:val="nil"/>
            </w:tcBorders>
            <w:noWrap/>
            <w:vAlign w:val="center"/>
            <w:hideMark/>
          </w:tcPr>
          <w:p w14:paraId="4F665182" w14:textId="77777777" w:rsidR="00FA6A1F" w:rsidRDefault="00FA6A1F" w:rsidP="00E905E6">
            <w:pPr>
              <w:pStyle w:val="TableText"/>
              <w:tabs>
                <w:tab w:val="decimal" w:pos="340"/>
              </w:tabs>
            </w:pPr>
            <w:r>
              <w:t>2.537</w:t>
            </w:r>
          </w:p>
        </w:tc>
      </w:tr>
      <w:tr w:rsidR="00FA6A1F" w14:paraId="4F665189" w14:textId="77777777" w:rsidTr="00E905E6">
        <w:trPr>
          <w:cantSplit/>
        </w:trPr>
        <w:tc>
          <w:tcPr>
            <w:tcW w:w="3686" w:type="dxa"/>
            <w:tcBorders>
              <w:top w:val="single" w:sz="4" w:space="0" w:color="A6A6A6" w:themeColor="background1" w:themeShade="A6"/>
              <w:left w:val="nil"/>
              <w:bottom w:val="single" w:sz="4" w:space="0" w:color="A6A6A6" w:themeColor="background1" w:themeShade="A6"/>
              <w:right w:val="nil"/>
            </w:tcBorders>
            <w:hideMark/>
          </w:tcPr>
          <w:p w14:paraId="4F665184" w14:textId="77777777" w:rsidR="00FA6A1F" w:rsidRDefault="00FA6A1F" w:rsidP="00E905E6">
            <w:pPr>
              <w:pStyle w:val="TableText"/>
            </w:pPr>
            <w:r>
              <w:t>Evaluation (including outcomes reporting)</w:t>
            </w:r>
          </w:p>
        </w:tc>
        <w:tc>
          <w:tcPr>
            <w:tcW w:w="1098" w:type="dxa"/>
            <w:tcBorders>
              <w:top w:val="single" w:sz="4" w:space="0" w:color="A6A6A6" w:themeColor="background1" w:themeShade="A6"/>
              <w:left w:val="nil"/>
              <w:bottom w:val="single" w:sz="4" w:space="0" w:color="A6A6A6" w:themeColor="background1" w:themeShade="A6"/>
              <w:right w:val="nil"/>
            </w:tcBorders>
            <w:noWrap/>
            <w:vAlign w:val="center"/>
            <w:hideMark/>
          </w:tcPr>
          <w:p w14:paraId="4F665185" w14:textId="77777777" w:rsidR="00FA6A1F" w:rsidRDefault="00FA6A1F" w:rsidP="00E905E6">
            <w:pPr>
              <w:pStyle w:val="TableText"/>
              <w:tabs>
                <w:tab w:val="decimal" w:pos="340"/>
              </w:tabs>
            </w:pPr>
            <w:r>
              <w:t>0.450</w:t>
            </w:r>
          </w:p>
        </w:tc>
        <w:tc>
          <w:tcPr>
            <w:tcW w:w="1099" w:type="dxa"/>
            <w:tcBorders>
              <w:top w:val="single" w:sz="4" w:space="0" w:color="A6A6A6" w:themeColor="background1" w:themeShade="A6"/>
              <w:left w:val="nil"/>
              <w:bottom w:val="single" w:sz="4" w:space="0" w:color="A6A6A6" w:themeColor="background1" w:themeShade="A6"/>
              <w:right w:val="nil"/>
            </w:tcBorders>
            <w:noWrap/>
            <w:vAlign w:val="center"/>
            <w:hideMark/>
          </w:tcPr>
          <w:p w14:paraId="4F665186" w14:textId="77777777" w:rsidR="00FA6A1F" w:rsidRDefault="00FA6A1F" w:rsidP="00E905E6">
            <w:pPr>
              <w:pStyle w:val="TableText"/>
              <w:tabs>
                <w:tab w:val="decimal" w:pos="340"/>
              </w:tabs>
            </w:pPr>
            <w:r>
              <w:t>0.425</w:t>
            </w:r>
          </w:p>
        </w:tc>
        <w:tc>
          <w:tcPr>
            <w:tcW w:w="1098" w:type="dxa"/>
            <w:tcBorders>
              <w:top w:val="single" w:sz="4" w:space="0" w:color="A6A6A6" w:themeColor="background1" w:themeShade="A6"/>
              <w:left w:val="nil"/>
              <w:bottom w:val="single" w:sz="4" w:space="0" w:color="A6A6A6" w:themeColor="background1" w:themeShade="A6"/>
              <w:right w:val="nil"/>
            </w:tcBorders>
            <w:noWrap/>
            <w:vAlign w:val="center"/>
            <w:hideMark/>
          </w:tcPr>
          <w:p w14:paraId="4F665187" w14:textId="77777777" w:rsidR="00FA6A1F" w:rsidRDefault="00FA6A1F" w:rsidP="00E905E6">
            <w:pPr>
              <w:pStyle w:val="TableText"/>
              <w:tabs>
                <w:tab w:val="decimal" w:pos="340"/>
              </w:tabs>
            </w:pPr>
            <w:r>
              <w:t>0.420</w:t>
            </w:r>
          </w:p>
        </w:tc>
        <w:tc>
          <w:tcPr>
            <w:tcW w:w="1099" w:type="dxa"/>
            <w:tcBorders>
              <w:top w:val="single" w:sz="4" w:space="0" w:color="A6A6A6" w:themeColor="background1" w:themeShade="A6"/>
              <w:left w:val="nil"/>
              <w:bottom w:val="single" w:sz="4" w:space="0" w:color="A6A6A6" w:themeColor="background1" w:themeShade="A6"/>
              <w:right w:val="nil"/>
            </w:tcBorders>
            <w:noWrap/>
            <w:vAlign w:val="center"/>
            <w:hideMark/>
          </w:tcPr>
          <w:p w14:paraId="4F665188" w14:textId="77777777" w:rsidR="00FA6A1F" w:rsidRDefault="00FA6A1F" w:rsidP="00E905E6">
            <w:pPr>
              <w:pStyle w:val="TableText"/>
              <w:tabs>
                <w:tab w:val="decimal" w:pos="340"/>
              </w:tabs>
            </w:pPr>
            <w:r>
              <w:t>1.295</w:t>
            </w:r>
          </w:p>
        </w:tc>
      </w:tr>
      <w:tr w:rsidR="00FA6A1F" w:rsidRPr="00E905E6" w14:paraId="4F66518F" w14:textId="77777777" w:rsidTr="00E905E6">
        <w:trPr>
          <w:cantSplit/>
        </w:trPr>
        <w:tc>
          <w:tcPr>
            <w:tcW w:w="3686" w:type="dxa"/>
            <w:tcBorders>
              <w:top w:val="single" w:sz="4" w:space="0" w:color="A6A6A6" w:themeColor="background1" w:themeShade="A6"/>
              <w:left w:val="nil"/>
              <w:bottom w:val="single" w:sz="4" w:space="0" w:color="A6A6A6" w:themeColor="background1" w:themeShade="A6"/>
              <w:right w:val="nil"/>
            </w:tcBorders>
            <w:hideMark/>
          </w:tcPr>
          <w:p w14:paraId="4F66518A" w14:textId="77777777" w:rsidR="00FA6A1F" w:rsidRPr="00E905E6" w:rsidRDefault="00FA6A1F" w:rsidP="00E905E6">
            <w:pPr>
              <w:pStyle w:val="TableText"/>
              <w:rPr>
                <w:b/>
              </w:rPr>
            </w:pPr>
            <w:r w:rsidRPr="00E905E6">
              <w:rPr>
                <w:b/>
              </w:rPr>
              <w:t>Total ($m)</w:t>
            </w:r>
          </w:p>
        </w:tc>
        <w:tc>
          <w:tcPr>
            <w:tcW w:w="1098" w:type="dxa"/>
            <w:tcBorders>
              <w:top w:val="single" w:sz="4" w:space="0" w:color="A6A6A6" w:themeColor="background1" w:themeShade="A6"/>
              <w:left w:val="nil"/>
              <w:bottom w:val="single" w:sz="4" w:space="0" w:color="A6A6A6" w:themeColor="background1" w:themeShade="A6"/>
              <w:right w:val="nil"/>
            </w:tcBorders>
            <w:vAlign w:val="center"/>
            <w:hideMark/>
          </w:tcPr>
          <w:p w14:paraId="4F66518B" w14:textId="77777777" w:rsidR="00FA6A1F" w:rsidRPr="00E905E6" w:rsidRDefault="00FA6A1F" w:rsidP="00E905E6">
            <w:pPr>
              <w:pStyle w:val="TableText"/>
              <w:tabs>
                <w:tab w:val="decimal" w:pos="340"/>
              </w:tabs>
              <w:rPr>
                <w:b/>
                <w:bCs/>
              </w:rPr>
            </w:pPr>
            <w:r w:rsidRPr="00E905E6">
              <w:rPr>
                <w:b/>
                <w:bCs/>
              </w:rPr>
              <w:t>1.079</w:t>
            </w:r>
          </w:p>
        </w:tc>
        <w:tc>
          <w:tcPr>
            <w:tcW w:w="1099" w:type="dxa"/>
            <w:tcBorders>
              <w:top w:val="single" w:sz="4" w:space="0" w:color="A6A6A6" w:themeColor="background1" w:themeShade="A6"/>
              <w:left w:val="nil"/>
              <w:bottom w:val="single" w:sz="4" w:space="0" w:color="A6A6A6" w:themeColor="background1" w:themeShade="A6"/>
              <w:right w:val="nil"/>
            </w:tcBorders>
            <w:vAlign w:val="center"/>
            <w:hideMark/>
          </w:tcPr>
          <w:p w14:paraId="4F66518C" w14:textId="77777777" w:rsidR="00FA6A1F" w:rsidRPr="00E905E6" w:rsidRDefault="00FA6A1F" w:rsidP="00E905E6">
            <w:pPr>
              <w:pStyle w:val="TableText"/>
              <w:tabs>
                <w:tab w:val="decimal" w:pos="340"/>
              </w:tabs>
              <w:rPr>
                <w:b/>
                <w:bCs/>
              </w:rPr>
            </w:pPr>
            <w:r w:rsidRPr="00E905E6">
              <w:rPr>
                <w:b/>
                <w:bCs/>
              </w:rPr>
              <w:t>1.383</w:t>
            </w:r>
          </w:p>
        </w:tc>
        <w:tc>
          <w:tcPr>
            <w:tcW w:w="1098" w:type="dxa"/>
            <w:tcBorders>
              <w:top w:val="single" w:sz="4" w:space="0" w:color="A6A6A6" w:themeColor="background1" w:themeShade="A6"/>
              <w:left w:val="nil"/>
              <w:bottom w:val="single" w:sz="4" w:space="0" w:color="A6A6A6" w:themeColor="background1" w:themeShade="A6"/>
              <w:right w:val="nil"/>
            </w:tcBorders>
            <w:vAlign w:val="center"/>
            <w:hideMark/>
          </w:tcPr>
          <w:p w14:paraId="4F66518D" w14:textId="77777777" w:rsidR="00FA6A1F" w:rsidRPr="00E905E6" w:rsidRDefault="00FA6A1F" w:rsidP="00E905E6">
            <w:pPr>
              <w:pStyle w:val="TableText"/>
              <w:tabs>
                <w:tab w:val="decimal" w:pos="340"/>
              </w:tabs>
              <w:rPr>
                <w:b/>
                <w:bCs/>
              </w:rPr>
            </w:pPr>
            <w:r w:rsidRPr="00E905E6">
              <w:rPr>
                <w:b/>
                <w:bCs/>
              </w:rPr>
              <w:t>1.370</w:t>
            </w:r>
          </w:p>
        </w:tc>
        <w:tc>
          <w:tcPr>
            <w:tcW w:w="1099" w:type="dxa"/>
            <w:tcBorders>
              <w:top w:val="single" w:sz="4" w:space="0" w:color="A6A6A6" w:themeColor="background1" w:themeShade="A6"/>
              <w:left w:val="nil"/>
              <w:bottom w:val="single" w:sz="4" w:space="0" w:color="A6A6A6" w:themeColor="background1" w:themeShade="A6"/>
              <w:right w:val="nil"/>
            </w:tcBorders>
            <w:vAlign w:val="center"/>
            <w:hideMark/>
          </w:tcPr>
          <w:p w14:paraId="4F66518E" w14:textId="77777777" w:rsidR="00FA6A1F" w:rsidRPr="00E905E6" w:rsidRDefault="00FA6A1F" w:rsidP="00E905E6">
            <w:pPr>
              <w:pStyle w:val="TableText"/>
              <w:tabs>
                <w:tab w:val="decimal" w:pos="340"/>
              </w:tabs>
              <w:rPr>
                <w:b/>
              </w:rPr>
            </w:pPr>
            <w:r w:rsidRPr="00E905E6">
              <w:rPr>
                <w:b/>
              </w:rPr>
              <w:t>3.832</w:t>
            </w:r>
          </w:p>
        </w:tc>
      </w:tr>
    </w:tbl>
    <w:p w14:paraId="4F665190" w14:textId="77777777" w:rsidR="00E905E6" w:rsidRDefault="00E905E6" w:rsidP="00E905E6">
      <w:bookmarkStart w:id="158" w:name="_Toc78882304"/>
    </w:p>
    <w:p w14:paraId="4F665191" w14:textId="77777777" w:rsidR="008303C6" w:rsidRDefault="00FA6A1F" w:rsidP="00E905E6">
      <w:pPr>
        <w:pStyle w:val="Heading3"/>
      </w:pPr>
      <w:r w:rsidRPr="00483631">
        <w:t>Strategic priority areas for 2022/23</w:t>
      </w:r>
      <w:r>
        <w:t xml:space="preserve"> to </w:t>
      </w:r>
      <w:r w:rsidRPr="00483631">
        <w:t>2024/25</w:t>
      </w:r>
      <w:bookmarkEnd w:id="158"/>
    </w:p>
    <w:p w14:paraId="4F665192" w14:textId="77777777" w:rsidR="008303C6" w:rsidRDefault="00FA6A1F" w:rsidP="00E905E6">
      <w:r>
        <w:t xml:space="preserve">The proposed research and evaluation programme is designed to strengthen the </w:t>
      </w:r>
      <w:r w:rsidRPr="00483631">
        <w:t xml:space="preserve">evidence base </w:t>
      </w:r>
      <w:r>
        <w:t xml:space="preserve">that supports all our work </w:t>
      </w:r>
      <w:r w:rsidRPr="00483631">
        <w:t>to prevent and minimise gambling harm</w:t>
      </w:r>
      <w:r>
        <w:t xml:space="preserve">, for example by embedding evaluation into all pilots and services. These activities will be </w:t>
      </w:r>
      <w:r w:rsidRPr="00483631">
        <w:t xml:space="preserve">coordinated and timed to inform </w:t>
      </w:r>
      <w:r>
        <w:t>and support strategy activities.</w:t>
      </w:r>
    </w:p>
    <w:p w14:paraId="4F665193" w14:textId="77777777" w:rsidR="00E905E6" w:rsidRDefault="00E905E6" w:rsidP="00E905E6"/>
    <w:p w14:paraId="4F665194" w14:textId="77777777" w:rsidR="008303C6" w:rsidRDefault="00FA6A1F" w:rsidP="00E905E6">
      <w:pPr>
        <w:keepNext/>
        <w:keepLines/>
      </w:pPr>
      <w:r>
        <w:lastRenderedPageBreak/>
        <w:t>The proposals below are informed by findings from the 2021 needs assessment; the strategic framework focus areas outlined above, a review of the Ministry</w:t>
      </w:r>
      <w:r w:rsidR="008303C6">
        <w:t>’</w:t>
      </w:r>
      <w:r>
        <w:t>s and wider government agencies</w:t>
      </w:r>
      <w:r w:rsidR="008303C6">
        <w:t>’</w:t>
      </w:r>
      <w:r>
        <w:t xml:space="preserve"> information needs. It also takes account of feedback from the gambling harm sector for research to better inform policy and operational decisions about prevent and minimise gambling harm.</w:t>
      </w:r>
    </w:p>
    <w:p w14:paraId="4F665195" w14:textId="77777777" w:rsidR="00E905E6" w:rsidRDefault="00E905E6" w:rsidP="00E905E6"/>
    <w:p w14:paraId="4F665196" w14:textId="77777777" w:rsidR="00FA6A1F" w:rsidRDefault="00FA6A1F" w:rsidP="00E905E6">
      <w:r>
        <w:t>The proposed strategic priority areas are:</w:t>
      </w:r>
    </w:p>
    <w:p w14:paraId="4F665197" w14:textId="77777777" w:rsidR="00FA6A1F" w:rsidRPr="00483631" w:rsidRDefault="00FA6A1F" w:rsidP="00E905E6">
      <w:pPr>
        <w:pStyle w:val="Bullet"/>
      </w:pPr>
      <w:r>
        <w:t>conducting p</w:t>
      </w:r>
      <w:r w:rsidRPr="00483631">
        <w:t xml:space="preserve">opulation level surveys of prevalence data on gambling, </w:t>
      </w:r>
      <w:r>
        <w:t xml:space="preserve">analysing </w:t>
      </w:r>
      <w:r w:rsidRPr="00483631">
        <w:t xml:space="preserve">secondary data and </w:t>
      </w:r>
      <w:r>
        <w:t>creating</w:t>
      </w:r>
      <w:r w:rsidRPr="00483631">
        <w:t xml:space="preserve"> </w:t>
      </w:r>
      <w:r>
        <w:t xml:space="preserve">a </w:t>
      </w:r>
      <w:r w:rsidRPr="00483631">
        <w:t>confidential unit record dataset</w:t>
      </w:r>
    </w:p>
    <w:p w14:paraId="4F665198" w14:textId="77777777" w:rsidR="00FA6A1F" w:rsidRPr="00483631" w:rsidRDefault="00FA6A1F" w:rsidP="00E905E6">
      <w:pPr>
        <w:pStyle w:val="Bullet"/>
      </w:pPr>
      <w:r>
        <w:t>having</w:t>
      </w:r>
      <w:r w:rsidRPr="00483631">
        <w:t xml:space="preserve"> gambling components </w:t>
      </w:r>
      <w:r>
        <w:t xml:space="preserve">included </w:t>
      </w:r>
      <w:r w:rsidRPr="00483631">
        <w:t>in existing large-cohort longitudinal studies</w:t>
      </w:r>
      <w:r>
        <w:t>,</w:t>
      </w:r>
      <w:r w:rsidRPr="00483631">
        <w:t xml:space="preserve"> such as the Pacific Island</w:t>
      </w:r>
      <w:r>
        <w:t>s</w:t>
      </w:r>
      <w:r w:rsidRPr="00483631">
        <w:t xml:space="preserve"> Families Study and Growing Up in New Zealand, where appropriate</w:t>
      </w:r>
    </w:p>
    <w:p w14:paraId="4F665199" w14:textId="77777777" w:rsidR="00FA6A1F" w:rsidRPr="00483631" w:rsidRDefault="00FA6A1F" w:rsidP="00E905E6">
      <w:pPr>
        <w:pStyle w:val="Bullet"/>
      </w:pPr>
      <w:r>
        <w:t>studying p</w:t>
      </w:r>
      <w:r w:rsidRPr="00483631">
        <w:t xml:space="preserve">atterns and impact of online gambling leading to </w:t>
      </w:r>
      <w:r>
        <w:t xml:space="preserve">developing </w:t>
      </w:r>
      <w:r w:rsidRPr="00483631">
        <w:t>gambling harm and prevention strategies</w:t>
      </w:r>
    </w:p>
    <w:p w14:paraId="4F66519A" w14:textId="77777777" w:rsidR="00FA6A1F" w:rsidRPr="00483631" w:rsidRDefault="00FA6A1F" w:rsidP="00E905E6">
      <w:pPr>
        <w:pStyle w:val="Bullet"/>
      </w:pPr>
      <w:r>
        <w:t>assessing the r</w:t>
      </w:r>
      <w:r w:rsidRPr="00483631">
        <w:t>elationship between gaming and gambling in relation to preventing and minimising gambling harm</w:t>
      </w:r>
    </w:p>
    <w:p w14:paraId="4F66519B" w14:textId="77777777" w:rsidR="00FA6A1F" w:rsidRPr="0003777A" w:rsidRDefault="00FA6A1F" w:rsidP="00E905E6">
      <w:pPr>
        <w:pStyle w:val="Bullet"/>
      </w:pPr>
      <w:r>
        <w:t xml:space="preserve">assessing </w:t>
      </w:r>
      <w:r w:rsidRPr="0003777A">
        <w:t>barriers to equitable service access and outcomes, including for subgroups</w:t>
      </w:r>
      <w:r>
        <w:t>,</w:t>
      </w:r>
      <w:r w:rsidRPr="0003777A">
        <w:t xml:space="preserve"> </w:t>
      </w:r>
      <w:r>
        <w:t>for example</w:t>
      </w:r>
      <w:r w:rsidRPr="0003777A">
        <w:t xml:space="preserve">, Asian communities, </w:t>
      </w:r>
      <w:r>
        <w:t>young people / rangatahi</w:t>
      </w:r>
      <w:r w:rsidRPr="0003777A">
        <w:t>, new migrants and the disability community (including people with intellectual disabilities) that are more sensitive to barriers, and protective factors (</w:t>
      </w:r>
      <w:r>
        <w:t>for example</w:t>
      </w:r>
      <w:r w:rsidRPr="0003777A">
        <w:t>, cultural, social, and mental wellbeing) to gambling harm</w:t>
      </w:r>
    </w:p>
    <w:p w14:paraId="4F66519C" w14:textId="77777777" w:rsidR="00FA6A1F" w:rsidRPr="00483631" w:rsidRDefault="00FA6A1F" w:rsidP="00E905E6">
      <w:pPr>
        <w:pStyle w:val="Bullet"/>
      </w:pPr>
      <w:r w:rsidRPr="00483631">
        <w:t>preventi</w:t>
      </w:r>
      <w:r>
        <w:t>ng</w:t>
      </w:r>
      <w:r w:rsidRPr="00483631">
        <w:t xml:space="preserve"> and reduc</w:t>
      </w:r>
      <w:r>
        <w:t>ing</w:t>
      </w:r>
      <w:r w:rsidRPr="00483631">
        <w:t xml:space="preserve"> </w:t>
      </w:r>
      <w:r>
        <w:t xml:space="preserve">gambling </w:t>
      </w:r>
      <w:r w:rsidRPr="00483631">
        <w:t>relapse</w:t>
      </w:r>
      <w:r>
        <w:t>s</w:t>
      </w:r>
      <w:r w:rsidRPr="00483631">
        <w:t xml:space="preserve"> and treatment dropout</w:t>
      </w:r>
      <w:r>
        <w:t>s</w:t>
      </w:r>
    </w:p>
    <w:p w14:paraId="4F66519D" w14:textId="77777777" w:rsidR="00FA6A1F" w:rsidRPr="00483631" w:rsidRDefault="00FA6A1F" w:rsidP="00E905E6">
      <w:pPr>
        <w:pStyle w:val="Bullet"/>
      </w:pPr>
      <w:r>
        <w:t>e</w:t>
      </w:r>
      <w:r w:rsidRPr="00483631">
        <w:t>valuat</w:t>
      </w:r>
      <w:r>
        <w:t>ing</w:t>
      </w:r>
      <w:r w:rsidRPr="00483631">
        <w:t xml:space="preserve"> services and pilots, including case studies</w:t>
      </w:r>
    </w:p>
    <w:p w14:paraId="4F66519E" w14:textId="77777777" w:rsidR="00FA6A1F" w:rsidRPr="00483631" w:rsidRDefault="00FA6A1F" w:rsidP="00E905E6">
      <w:pPr>
        <w:pStyle w:val="Bullet"/>
      </w:pPr>
      <w:r>
        <w:t>conducting a g</w:t>
      </w:r>
      <w:r w:rsidRPr="00483631">
        <w:t>ambling harm needs assessment</w:t>
      </w:r>
      <w:r>
        <w:t xml:space="preserve"> (to inform the next strategy).</w:t>
      </w:r>
    </w:p>
    <w:p w14:paraId="4F66519F" w14:textId="77777777" w:rsidR="00E905E6" w:rsidRDefault="00E905E6" w:rsidP="00E905E6"/>
    <w:p w14:paraId="4F6651A0" w14:textId="77777777" w:rsidR="008303C6" w:rsidRDefault="00FA6A1F" w:rsidP="00E905E6">
      <w:r>
        <w:t>The Ministry has been unable to commit all the research and evaluation funding allocated to this levy period, especially due to the impacts of COVID-19 restrictions. Consequently, some research and evaluation projects contracted during the current levy period will continue into the new levy period. These include:</w:t>
      </w:r>
    </w:p>
    <w:p w14:paraId="4F6651A1" w14:textId="77777777" w:rsidR="00FA6A1F" w:rsidRPr="00483631" w:rsidRDefault="00FA6A1F" w:rsidP="00E905E6">
      <w:pPr>
        <w:pStyle w:val="Bullet"/>
      </w:pPr>
      <w:r>
        <w:t>e</w:t>
      </w:r>
      <w:r w:rsidRPr="00483631">
        <w:t xml:space="preserve">valuations of </w:t>
      </w:r>
      <w:r>
        <w:t>s</w:t>
      </w:r>
      <w:r w:rsidRPr="00483631">
        <w:t>ervices, interventions and pilots, including the new service and innovation pilots</w:t>
      </w:r>
    </w:p>
    <w:p w14:paraId="4F6651A2" w14:textId="77777777" w:rsidR="00FA6A1F" w:rsidRPr="00483631" w:rsidRDefault="00FA6A1F" w:rsidP="00E905E6">
      <w:pPr>
        <w:pStyle w:val="Bullet"/>
      </w:pPr>
      <w:r>
        <w:t>r</w:t>
      </w:r>
      <w:r w:rsidRPr="00483631">
        <w:t>esearch into reducing inequities in gambling harm, including how to address barriers to M</w:t>
      </w:r>
      <w:r>
        <w:t>ā</w:t>
      </w:r>
      <w:r w:rsidRPr="00483631">
        <w:t xml:space="preserve">ori, Pacific </w:t>
      </w:r>
      <w:r>
        <w:t>peoples and</w:t>
      </w:r>
      <w:r w:rsidRPr="00483631">
        <w:t xml:space="preserve"> Asian peoples us</w:t>
      </w:r>
      <w:r>
        <w:t>ing</w:t>
      </w:r>
      <w:r w:rsidRPr="00483631">
        <w:t xml:space="preserve"> gambling</w:t>
      </w:r>
      <w:r>
        <w:t>-</w:t>
      </w:r>
      <w:r w:rsidRPr="00483631">
        <w:t>harm minimisation services and the evidence for effective gambling harm minimisation service design for these population</w:t>
      </w:r>
      <w:r>
        <w:t>s</w:t>
      </w:r>
    </w:p>
    <w:p w14:paraId="4F6651A3" w14:textId="77777777" w:rsidR="00FA6A1F" w:rsidRPr="00E905E6" w:rsidRDefault="00FA6A1F" w:rsidP="00E905E6">
      <w:pPr>
        <w:pStyle w:val="Bullet"/>
      </w:pPr>
      <w:r>
        <w:t>r</w:t>
      </w:r>
      <w:r w:rsidRPr="00483631">
        <w:t>esearch into how to prevent and reduce gambling relapse</w:t>
      </w:r>
      <w:r>
        <w:t>.</w:t>
      </w:r>
    </w:p>
    <w:p w14:paraId="4F6651A4" w14:textId="77777777" w:rsidR="00E905E6" w:rsidRDefault="00E905E6" w:rsidP="00E905E6"/>
    <w:p w14:paraId="4F6651A5" w14:textId="77777777" w:rsidR="00FA6A1F" w:rsidRDefault="00FA6A1F" w:rsidP="00E905E6">
      <w:pPr>
        <w:rPr>
          <w:rFonts w:cstheme="minorHAnsi"/>
        </w:rPr>
      </w:pPr>
      <w:r>
        <w:t xml:space="preserve">The Ministry accepts that stakeholders want better information about how research will be used, that research and evaluation </w:t>
      </w:r>
      <w:r w:rsidRPr="00483631">
        <w:t xml:space="preserve">findings </w:t>
      </w:r>
      <w:r>
        <w:t xml:space="preserve">could be more </w:t>
      </w:r>
      <w:r w:rsidRPr="00483631">
        <w:t xml:space="preserve">accessible to the </w:t>
      </w:r>
      <w:r>
        <w:t xml:space="preserve">whole </w:t>
      </w:r>
      <w:r w:rsidRPr="00483631">
        <w:t>gambling sector and communicated in ways that resonate with different communities</w:t>
      </w:r>
      <w:r>
        <w:t>.</w:t>
      </w:r>
    </w:p>
    <w:p w14:paraId="4F6651A6" w14:textId="77777777" w:rsidR="00E905E6" w:rsidRDefault="00E905E6" w:rsidP="00E905E6"/>
    <w:p w14:paraId="4F6651A7" w14:textId="77777777" w:rsidR="008303C6" w:rsidRDefault="00FA6A1F" w:rsidP="00E905E6">
      <w:r>
        <w:t>The Ministry commits to working more closely with the gambling sector to make research and evaluation findings more accessible, to collaborate on applying these learnings and to better communicate findings to all stakeholders and affected communities.</w:t>
      </w:r>
    </w:p>
    <w:p w14:paraId="4F6651A8" w14:textId="77777777" w:rsidR="00E905E6" w:rsidRDefault="00E905E6" w:rsidP="00E905E6"/>
    <w:p w14:paraId="4F6651A9" w14:textId="77777777" w:rsidR="00FA6A1F" w:rsidRDefault="00FA6A1F" w:rsidP="00E905E6">
      <w:pPr>
        <w:pStyle w:val="Heading2"/>
      </w:pPr>
      <w:bookmarkStart w:id="159" w:name="_Toc9239607"/>
      <w:bookmarkStart w:id="160" w:name="_Toc530487414"/>
      <w:bookmarkStart w:id="161" w:name="_Toc78882305"/>
      <w:bookmarkStart w:id="162" w:name="_Ref80859651"/>
      <w:bookmarkStart w:id="163" w:name="_Toc80965856"/>
      <w:r w:rsidRPr="00483631">
        <w:lastRenderedPageBreak/>
        <w:t>New services, innovation pilots</w:t>
      </w:r>
      <w:bookmarkEnd w:id="159"/>
      <w:bookmarkEnd w:id="160"/>
      <w:r w:rsidRPr="00483631">
        <w:t xml:space="preserve"> and investments</w:t>
      </w:r>
      <w:bookmarkEnd w:id="161"/>
      <w:bookmarkEnd w:id="162"/>
      <w:bookmarkEnd w:id="163"/>
    </w:p>
    <w:p w14:paraId="4F6651AA" w14:textId="77777777" w:rsidR="00FA6A1F" w:rsidRDefault="00FA6A1F" w:rsidP="00E905E6">
      <w:r>
        <w:t>The Ministry is continuing to develop new service models to address areas of persistent harm and improve service effectiveness. Within the current levy period, we intend to fund a range of new pilot service models that address inequity-related public health and intervention services. While these will be commissioned in 2021/22, a portion of the forecast spend will fall within the new levy period. The draft service plan includes funding to continue to pilot and assess:</w:t>
      </w:r>
    </w:p>
    <w:p w14:paraId="4F6651AB" w14:textId="77777777" w:rsidR="00FA6A1F" w:rsidRPr="0025674C" w:rsidRDefault="00FA6A1F" w:rsidP="00E905E6">
      <w:pPr>
        <w:pStyle w:val="Bullet"/>
      </w:pPr>
      <w:r w:rsidRPr="0032257C">
        <w:t>new ways of providing public health and intervention services</w:t>
      </w:r>
      <w:r>
        <w:t>, with</w:t>
      </w:r>
      <w:r w:rsidRPr="0032257C">
        <w:t xml:space="preserve"> the aim of addressing inequities for those priorities groups who experience the most gambling harm</w:t>
      </w:r>
      <w:r>
        <w:t>,</w:t>
      </w:r>
      <w:r w:rsidRPr="0032257C">
        <w:t xml:space="preserve"> including Māori, Pac</w:t>
      </w:r>
      <w:r w:rsidRPr="0025674C">
        <w:t>ific</w:t>
      </w:r>
      <w:r>
        <w:t xml:space="preserve"> peoples</w:t>
      </w:r>
      <w:r w:rsidRPr="0025674C">
        <w:t xml:space="preserve"> and those living in isolated areas</w:t>
      </w:r>
    </w:p>
    <w:p w14:paraId="4F6651AC" w14:textId="77777777" w:rsidR="008303C6" w:rsidRDefault="00FA6A1F" w:rsidP="00E905E6">
      <w:pPr>
        <w:pStyle w:val="Bullet"/>
      </w:pPr>
      <w:r w:rsidRPr="00483631">
        <w:t>innovative uses of technology to manage or mitigate gambling harm</w:t>
      </w:r>
    </w:p>
    <w:p w14:paraId="4F6651AD" w14:textId="77777777" w:rsidR="008303C6" w:rsidRDefault="00FA6A1F" w:rsidP="00E905E6">
      <w:pPr>
        <w:pStyle w:val="Bullet"/>
      </w:pPr>
      <w:r w:rsidRPr="00483631">
        <w:t>peer workforce in gambling harm services</w:t>
      </w:r>
    </w:p>
    <w:p w14:paraId="4F6651AE" w14:textId="77777777" w:rsidR="00FA6A1F" w:rsidRPr="00483631" w:rsidRDefault="00FA6A1F" w:rsidP="00E905E6">
      <w:pPr>
        <w:pStyle w:val="Bullet"/>
      </w:pPr>
      <w:r w:rsidRPr="00483631">
        <w:t>a clinically robust model of care based on intensive treatment for people experiencing severe gambling harm.</w:t>
      </w:r>
    </w:p>
    <w:p w14:paraId="4F6651AF" w14:textId="77777777" w:rsidR="00E905E6" w:rsidRDefault="00E905E6" w:rsidP="00E905E6"/>
    <w:p w14:paraId="4F6651B0" w14:textId="77777777" w:rsidR="00FA6A1F" w:rsidRDefault="00FA6A1F" w:rsidP="00E905E6">
      <w:r>
        <w:t>The Ministry will meet the pilot evaluation costs from the research evaluation allocation.</w:t>
      </w:r>
    </w:p>
    <w:p w14:paraId="4F6651B1" w14:textId="77777777" w:rsidR="00E905E6" w:rsidRDefault="00E905E6" w:rsidP="00E905E6"/>
    <w:p w14:paraId="4F6651B2" w14:textId="77777777" w:rsidR="00FA6A1F" w:rsidRDefault="00FA6A1F" w:rsidP="00E905E6">
      <w:r>
        <w:t>In addition, the draft service plan includes new packages for investment to enable a skilled and culturally responsive workforce.</w:t>
      </w:r>
    </w:p>
    <w:p w14:paraId="4F6651B3" w14:textId="77777777" w:rsidR="00E905E6" w:rsidRDefault="00E905E6" w:rsidP="00E905E6"/>
    <w:p w14:paraId="4F6651B4" w14:textId="558D3498" w:rsidR="00FA6A1F" w:rsidRDefault="00E905E6" w:rsidP="00E905E6">
      <w:pPr>
        <w:pStyle w:val="Table"/>
      </w:pPr>
      <w:bookmarkStart w:id="164" w:name="_Toc8398937"/>
      <w:bookmarkStart w:id="165" w:name="_Toc4156637"/>
      <w:bookmarkStart w:id="166" w:name="_Toc530487441"/>
      <w:bookmarkStart w:id="167" w:name="_Toc80860351"/>
      <w:r>
        <w:t>Table </w:t>
      </w:r>
      <w:fldSimple w:instr=" SEQ Table \* ARABIC ">
        <w:r w:rsidR="00F65B3A">
          <w:rPr>
            <w:noProof/>
          </w:rPr>
          <w:t>7</w:t>
        </w:r>
      </w:fldSimple>
      <w:r w:rsidR="00FA6A1F" w:rsidRPr="0003777A">
        <w:t>: Budget for new services, innovation pilots and investments (GST exclusive), 2022/23 to 2024/2</w:t>
      </w:r>
      <w:bookmarkEnd w:id="164"/>
      <w:bookmarkEnd w:id="165"/>
      <w:bookmarkEnd w:id="166"/>
      <w:r w:rsidR="00FA6A1F" w:rsidRPr="0003777A">
        <w:t>5</w:t>
      </w:r>
      <w:bookmarkEnd w:id="167"/>
    </w:p>
    <w:tbl>
      <w:tblPr>
        <w:tblW w:w="0" w:type="auto"/>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600" w:firstRow="0" w:lastRow="0" w:firstColumn="0" w:lastColumn="0" w:noHBand="1" w:noVBand="1"/>
      </w:tblPr>
      <w:tblGrid>
        <w:gridCol w:w="4255"/>
        <w:gridCol w:w="957"/>
        <w:gridCol w:w="958"/>
        <w:gridCol w:w="957"/>
        <w:gridCol w:w="958"/>
      </w:tblGrid>
      <w:tr w:rsidR="00FA6A1F" w:rsidRPr="00E905E6" w14:paraId="4F6651BA" w14:textId="77777777" w:rsidTr="00E905E6">
        <w:trPr>
          <w:cantSplit/>
        </w:trPr>
        <w:tc>
          <w:tcPr>
            <w:tcW w:w="4255" w:type="dxa"/>
            <w:tcBorders>
              <w:top w:val="nil"/>
              <w:left w:val="nil"/>
              <w:bottom w:val="nil"/>
              <w:right w:val="nil"/>
            </w:tcBorders>
            <w:shd w:val="clear" w:color="auto" w:fill="D9D9D9" w:themeFill="background1" w:themeFillShade="D9"/>
            <w:tcMar>
              <w:top w:w="0" w:type="dxa"/>
              <w:left w:w="57" w:type="dxa"/>
              <w:bottom w:w="0" w:type="dxa"/>
              <w:right w:w="57" w:type="dxa"/>
            </w:tcMar>
            <w:hideMark/>
          </w:tcPr>
          <w:p w14:paraId="4F6651B5" w14:textId="77777777" w:rsidR="00FA6A1F" w:rsidRPr="00E905E6" w:rsidRDefault="00FA6A1F" w:rsidP="00E905E6">
            <w:pPr>
              <w:pStyle w:val="TableText"/>
              <w:rPr>
                <w:b/>
                <w:highlight w:val="yellow"/>
              </w:rPr>
            </w:pPr>
            <w:r w:rsidRPr="00E905E6">
              <w:rPr>
                <w:b/>
              </w:rPr>
              <w:t>Service area</w:t>
            </w:r>
          </w:p>
        </w:tc>
        <w:tc>
          <w:tcPr>
            <w:tcW w:w="957" w:type="dxa"/>
            <w:tcBorders>
              <w:top w:val="nil"/>
              <w:left w:val="nil"/>
              <w:bottom w:val="nil"/>
              <w:right w:val="nil"/>
            </w:tcBorders>
            <w:shd w:val="clear" w:color="auto" w:fill="D9D9D9" w:themeFill="background1" w:themeFillShade="D9"/>
            <w:tcMar>
              <w:top w:w="0" w:type="dxa"/>
              <w:left w:w="57" w:type="dxa"/>
              <w:bottom w:w="0" w:type="dxa"/>
              <w:right w:w="57" w:type="dxa"/>
            </w:tcMar>
            <w:hideMark/>
          </w:tcPr>
          <w:p w14:paraId="4F6651B6" w14:textId="77777777" w:rsidR="00FA6A1F" w:rsidRPr="00E905E6" w:rsidRDefault="00FA6A1F" w:rsidP="00E905E6">
            <w:pPr>
              <w:pStyle w:val="TableText"/>
              <w:jc w:val="center"/>
              <w:rPr>
                <w:b/>
                <w:highlight w:val="yellow"/>
              </w:rPr>
            </w:pPr>
            <w:r w:rsidRPr="00E905E6">
              <w:rPr>
                <w:b/>
              </w:rPr>
              <w:t>2022/23</w:t>
            </w:r>
            <w:r w:rsidRPr="00E905E6">
              <w:rPr>
                <w:b/>
              </w:rPr>
              <w:br/>
              <w:t>($m)</w:t>
            </w:r>
          </w:p>
        </w:tc>
        <w:tc>
          <w:tcPr>
            <w:tcW w:w="958" w:type="dxa"/>
            <w:tcBorders>
              <w:top w:val="nil"/>
              <w:left w:val="nil"/>
              <w:bottom w:val="nil"/>
              <w:right w:val="nil"/>
            </w:tcBorders>
            <w:shd w:val="clear" w:color="auto" w:fill="D9D9D9" w:themeFill="background1" w:themeFillShade="D9"/>
            <w:tcMar>
              <w:top w:w="0" w:type="dxa"/>
              <w:left w:w="57" w:type="dxa"/>
              <w:bottom w:w="0" w:type="dxa"/>
              <w:right w:w="57" w:type="dxa"/>
            </w:tcMar>
            <w:hideMark/>
          </w:tcPr>
          <w:p w14:paraId="4F6651B7" w14:textId="77777777" w:rsidR="00FA6A1F" w:rsidRPr="00E905E6" w:rsidRDefault="00FA6A1F" w:rsidP="00E905E6">
            <w:pPr>
              <w:pStyle w:val="TableText"/>
              <w:jc w:val="center"/>
              <w:rPr>
                <w:b/>
                <w:highlight w:val="yellow"/>
              </w:rPr>
            </w:pPr>
            <w:r w:rsidRPr="00E905E6">
              <w:rPr>
                <w:b/>
              </w:rPr>
              <w:t>2023/24</w:t>
            </w:r>
            <w:r w:rsidRPr="00E905E6">
              <w:rPr>
                <w:b/>
              </w:rPr>
              <w:br/>
              <w:t>($m)</w:t>
            </w:r>
          </w:p>
        </w:tc>
        <w:tc>
          <w:tcPr>
            <w:tcW w:w="957" w:type="dxa"/>
            <w:tcBorders>
              <w:top w:val="nil"/>
              <w:left w:val="nil"/>
              <w:bottom w:val="nil"/>
              <w:right w:val="nil"/>
            </w:tcBorders>
            <w:shd w:val="clear" w:color="auto" w:fill="D9D9D9" w:themeFill="background1" w:themeFillShade="D9"/>
            <w:tcMar>
              <w:top w:w="0" w:type="dxa"/>
              <w:left w:w="57" w:type="dxa"/>
              <w:bottom w:w="0" w:type="dxa"/>
              <w:right w:w="57" w:type="dxa"/>
            </w:tcMar>
            <w:hideMark/>
          </w:tcPr>
          <w:p w14:paraId="4F6651B8" w14:textId="77777777" w:rsidR="00FA6A1F" w:rsidRPr="00E905E6" w:rsidRDefault="00FA6A1F" w:rsidP="00E905E6">
            <w:pPr>
              <w:pStyle w:val="TableText"/>
              <w:jc w:val="center"/>
              <w:rPr>
                <w:b/>
                <w:highlight w:val="yellow"/>
              </w:rPr>
            </w:pPr>
            <w:r w:rsidRPr="00E905E6">
              <w:rPr>
                <w:b/>
              </w:rPr>
              <w:t>2024/25</w:t>
            </w:r>
            <w:r w:rsidRPr="00E905E6">
              <w:rPr>
                <w:b/>
              </w:rPr>
              <w:br/>
              <w:t>($m)</w:t>
            </w:r>
          </w:p>
        </w:tc>
        <w:tc>
          <w:tcPr>
            <w:tcW w:w="958" w:type="dxa"/>
            <w:tcBorders>
              <w:top w:val="nil"/>
              <w:left w:val="nil"/>
              <w:bottom w:val="nil"/>
              <w:right w:val="nil"/>
            </w:tcBorders>
            <w:shd w:val="clear" w:color="auto" w:fill="D9D9D9" w:themeFill="background1" w:themeFillShade="D9"/>
            <w:tcMar>
              <w:top w:w="0" w:type="dxa"/>
              <w:left w:w="57" w:type="dxa"/>
              <w:bottom w:w="0" w:type="dxa"/>
              <w:right w:w="57" w:type="dxa"/>
            </w:tcMar>
            <w:hideMark/>
          </w:tcPr>
          <w:p w14:paraId="4F6651B9" w14:textId="77777777" w:rsidR="00FA6A1F" w:rsidRPr="00E905E6" w:rsidRDefault="00FA6A1F" w:rsidP="00E905E6">
            <w:pPr>
              <w:pStyle w:val="TableText"/>
              <w:jc w:val="center"/>
              <w:rPr>
                <w:b/>
                <w:highlight w:val="yellow"/>
              </w:rPr>
            </w:pPr>
            <w:r w:rsidRPr="00E905E6">
              <w:rPr>
                <w:b/>
              </w:rPr>
              <w:t>Total</w:t>
            </w:r>
            <w:r w:rsidRPr="00E905E6">
              <w:rPr>
                <w:b/>
              </w:rPr>
              <w:br/>
              <w:t>($m)</w:t>
            </w:r>
          </w:p>
        </w:tc>
      </w:tr>
      <w:tr w:rsidR="00FA6A1F" w14:paraId="4F6651C0" w14:textId="77777777" w:rsidTr="00E905E6">
        <w:trPr>
          <w:cantSplit/>
        </w:trPr>
        <w:tc>
          <w:tcPr>
            <w:tcW w:w="4255" w:type="dxa"/>
            <w:tcBorders>
              <w:top w:val="nil"/>
              <w:left w:val="nil"/>
              <w:bottom w:val="single" w:sz="4" w:space="0" w:color="A6A6A6" w:themeColor="background1" w:themeShade="A6"/>
              <w:right w:val="nil"/>
            </w:tcBorders>
            <w:tcMar>
              <w:top w:w="0" w:type="dxa"/>
              <w:left w:w="57" w:type="dxa"/>
              <w:bottom w:w="0" w:type="dxa"/>
              <w:right w:w="57" w:type="dxa"/>
            </w:tcMar>
            <w:hideMark/>
          </w:tcPr>
          <w:p w14:paraId="4F6651BB" w14:textId="77777777" w:rsidR="00FA6A1F" w:rsidRDefault="00FA6A1F" w:rsidP="00E905E6">
            <w:pPr>
              <w:pStyle w:val="TableText"/>
              <w:ind w:right="113"/>
            </w:pPr>
            <w:r>
              <w:t>Pilots to address inequity (public health and intervention services)</w:t>
            </w:r>
          </w:p>
        </w:tc>
        <w:tc>
          <w:tcPr>
            <w:tcW w:w="957" w:type="dxa"/>
            <w:tcBorders>
              <w:top w:val="nil"/>
              <w:left w:val="nil"/>
              <w:bottom w:val="single" w:sz="4" w:space="0" w:color="A6A6A6" w:themeColor="background1" w:themeShade="A6"/>
              <w:right w:val="nil"/>
            </w:tcBorders>
            <w:tcMar>
              <w:top w:w="0" w:type="dxa"/>
              <w:left w:w="57" w:type="dxa"/>
              <w:bottom w:w="0" w:type="dxa"/>
              <w:right w:w="57" w:type="dxa"/>
            </w:tcMar>
            <w:hideMark/>
          </w:tcPr>
          <w:p w14:paraId="4F6651BC" w14:textId="77777777" w:rsidR="00FA6A1F" w:rsidRDefault="00FA6A1F" w:rsidP="00E905E6">
            <w:pPr>
              <w:pStyle w:val="TableText"/>
              <w:tabs>
                <w:tab w:val="decimal" w:pos="284"/>
              </w:tabs>
            </w:pPr>
            <w:r>
              <w:t>1.256</w:t>
            </w:r>
          </w:p>
        </w:tc>
        <w:tc>
          <w:tcPr>
            <w:tcW w:w="958" w:type="dxa"/>
            <w:tcBorders>
              <w:top w:val="nil"/>
              <w:left w:val="nil"/>
              <w:bottom w:val="single" w:sz="4" w:space="0" w:color="A6A6A6" w:themeColor="background1" w:themeShade="A6"/>
              <w:right w:val="nil"/>
            </w:tcBorders>
            <w:tcMar>
              <w:top w:w="0" w:type="dxa"/>
              <w:left w:w="57" w:type="dxa"/>
              <w:bottom w:w="0" w:type="dxa"/>
              <w:right w:w="57" w:type="dxa"/>
            </w:tcMar>
            <w:hideMark/>
          </w:tcPr>
          <w:p w14:paraId="4F6651BD" w14:textId="77777777" w:rsidR="00FA6A1F" w:rsidRDefault="00FA6A1F" w:rsidP="00E905E6">
            <w:pPr>
              <w:pStyle w:val="TableText"/>
              <w:tabs>
                <w:tab w:val="decimal" w:pos="284"/>
              </w:tabs>
            </w:pPr>
            <w:r>
              <w:t>0.706</w:t>
            </w:r>
          </w:p>
        </w:tc>
        <w:tc>
          <w:tcPr>
            <w:tcW w:w="957" w:type="dxa"/>
            <w:tcBorders>
              <w:top w:val="nil"/>
              <w:left w:val="nil"/>
              <w:bottom w:val="single" w:sz="4" w:space="0" w:color="A6A6A6" w:themeColor="background1" w:themeShade="A6"/>
              <w:right w:val="nil"/>
            </w:tcBorders>
            <w:tcMar>
              <w:top w:w="0" w:type="dxa"/>
              <w:left w:w="57" w:type="dxa"/>
              <w:bottom w:w="0" w:type="dxa"/>
              <w:right w:w="57" w:type="dxa"/>
            </w:tcMar>
            <w:hideMark/>
          </w:tcPr>
          <w:p w14:paraId="4F6651BE" w14:textId="77777777" w:rsidR="00FA6A1F" w:rsidRDefault="00FA6A1F" w:rsidP="00E905E6">
            <w:pPr>
              <w:pStyle w:val="TableText"/>
              <w:tabs>
                <w:tab w:val="decimal" w:pos="284"/>
              </w:tabs>
            </w:pPr>
            <w:r>
              <w:t>0</w:t>
            </w:r>
          </w:p>
        </w:tc>
        <w:tc>
          <w:tcPr>
            <w:tcW w:w="958" w:type="dxa"/>
            <w:tcBorders>
              <w:top w:val="nil"/>
              <w:left w:val="nil"/>
              <w:bottom w:val="single" w:sz="4" w:space="0" w:color="A6A6A6" w:themeColor="background1" w:themeShade="A6"/>
              <w:right w:val="nil"/>
            </w:tcBorders>
            <w:tcMar>
              <w:top w:w="0" w:type="dxa"/>
              <w:left w:w="57" w:type="dxa"/>
              <w:bottom w:w="0" w:type="dxa"/>
              <w:right w:w="57" w:type="dxa"/>
            </w:tcMar>
            <w:hideMark/>
          </w:tcPr>
          <w:p w14:paraId="4F6651BF" w14:textId="77777777" w:rsidR="00FA6A1F" w:rsidRDefault="00FA6A1F" w:rsidP="00E905E6">
            <w:pPr>
              <w:pStyle w:val="TableText"/>
              <w:tabs>
                <w:tab w:val="decimal" w:pos="284"/>
              </w:tabs>
            </w:pPr>
            <w:r>
              <w:t>1.962</w:t>
            </w:r>
          </w:p>
        </w:tc>
      </w:tr>
      <w:tr w:rsidR="00FA6A1F" w14:paraId="4F6651C6" w14:textId="77777777" w:rsidTr="00E905E6">
        <w:trPr>
          <w:cantSplit/>
        </w:trPr>
        <w:tc>
          <w:tcPr>
            <w:tcW w:w="4255" w:type="dxa"/>
            <w:tcBorders>
              <w:top w:val="single" w:sz="4" w:space="0" w:color="A6A6A6" w:themeColor="background1" w:themeShade="A6"/>
              <w:left w:val="nil"/>
              <w:bottom w:val="single" w:sz="4" w:space="0" w:color="A6A6A6" w:themeColor="background1" w:themeShade="A6"/>
              <w:right w:val="nil"/>
            </w:tcBorders>
            <w:tcMar>
              <w:top w:w="0" w:type="dxa"/>
              <w:left w:w="57" w:type="dxa"/>
              <w:bottom w:w="0" w:type="dxa"/>
              <w:right w:w="57" w:type="dxa"/>
            </w:tcMar>
            <w:hideMark/>
          </w:tcPr>
          <w:p w14:paraId="4F6651C1" w14:textId="77777777" w:rsidR="00FA6A1F" w:rsidRDefault="00FA6A1F" w:rsidP="00E905E6">
            <w:pPr>
              <w:pStyle w:val="TableText"/>
              <w:ind w:right="113"/>
            </w:pPr>
            <w:r>
              <w:t>Tech</w:t>
            </w:r>
            <w:r w:rsidR="00E905E6">
              <w:t>nology-related innovation</w:t>
            </w:r>
          </w:p>
        </w:tc>
        <w:tc>
          <w:tcPr>
            <w:tcW w:w="957" w:type="dxa"/>
            <w:tcBorders>
              <w:top w:val="single" w:sz="4" w:space="0" w:color="A6A6A6" w:themeColor="background1" w:themeShade="A6"/>
              <w:left w:val="nil"/>
              <w:bottom w:val="single" w:sz="4" w:space="0" w:color="A6A6A6" w:themeColor="background1" w:themeShade="A6"/>
              <w:right w:val="nil"/>
            </w:tcBorders>
            <w:tcMar>
              <w:top w:w="0" w:type="dxa"/>
              <w:left w:w="57" w:type="dxa"/>
              <w:bottom w:w="0" w:type="dxa"/>
              <w:right w:w="57" w:type="dxa"/>
            </w:tcMar>
            <w:hideMark/>
          </w:tcPr>
          <w:p w14:paraId="4F6651C2" w14:textId="77777777" w:rsidR="00FA6A1F" w:rsidRDefault="00FA6A1F" w:rsidP="00E905E6">
            <w:pPr>
              <w:pStyle w:val="TableText"/>
              <w:tabs>
                <w:tab w:val="decimal" w:pos="284"/>
              </w:tabs>
            </w:pPr>
            <w:r>
              <w:t>0.500</w:t>
            </w:r>
          </w:p>
        </w:tc>
        <w:tc>
          <w:tcPr>
            <w:tcW w:w="958" w:type="dxa"/>
            <w:tcBorders>
              <w:top w:val="single" w:sz="4" w:space="0" w:color="A6A6A6" w:themeColor="background1" w:themeShade="A6"/>
              <w:left w:val="nil"/>
              <w:bottom w:val="single" w:sz="4" w:space="0" w:color="A6A6A6" w:themeColor="background1" w:themeShade="A6"/>
              <w:right w:val="nil"/>
            </w:tcBorders>
            <w:tcMar>
              <w:top w:w="0" w:type="dxa"/>
              <w:left w:w="57" w:type="dxa"/>
              <w:bottom w:w="0" w:type="dxa"/>
              <w:right w:w="57" w:type="dxa"/>
            </w:tcMar>
            <w:hideMark/>
          </w:tcPr>
          <w:p w14:paraId="4F6651C3" w14:textId="77777777" w:rsidR="00FA6A1F" w:rsidRDefault="00FA6A1F" w:rsidP="00E905E6">
            <w:pPr>
              <w:pStyle w:val="TableText"/>
              <w:tabs>
                <w:tab w:val="decimal" w:pos="284"/>
              </w:tabs>
            </w:pPr>
            <w:r>
              <w:t>0.500</w:t>
            </w:r>
          </w:p>
        </w:tc>
        <w:tc>
          <w:tcPr>
            <w:tcW w:w="957" w:type="dxa"/>
            <w:tcBorders>
              <w:top w:val="single" w:sz="4" w:space="0" w:color="A6A6A6" w:themeColor="background1" w:themeShade="A6"/>
              <w:left w:val="nil"/>
              <w:bottom w:val="single" w:sz="4" w:space="0" w:color="A6A6A6" w:themeColor="background1" w:themeShade="A6"/>
              <w:right w:val="nil"/>
            </w:tcBorders>
            <w:tcMar>
              <w:top w:w="0" w:type="dxa"/>
              <w:left w:w="57" w:type="dxa"/>
              <w:bottom w:w="0" w:type="dxa"/>
              <w:right w:w="57" w:type="dxa"/>
            </w:tcMar>
            <w:hideMark/>
          </w:tcPr>
          <w:p w14:paraId="4F6651C4" w14:textId="77777777" w:rsidR="00FA6A1F" w:rsidRDefault="00FA6A1F" w:rsidP="00E905E6">
            <w:pPr>
              <w:pStyle w:val="TableText"/>
              <w:tabs>
                <w:tab w:val="decimal" w:pos="284"/>
              </w:tabs>
            </w:pPr>
            <w:r>
              <w:t>0.500</w:t>
            </w:r>
          </w:p>
        </w:tc>
        <w:tc>
          <w:tcPr>
            <w:tcW w:w="958" w:type="dxa"/>
            <w:tcBorders>
              <w:top w:val="single" w:sz="4" w:space="0" w:color="A6A6A6" w:themeColor="background1" w:themeShade="A6"/>
              <w:left w:val="nil"/>
              <w:bottom w:val="single" w:sz="4" w:space="0" w:color="A6A6A6" w:themeColor="background1" w:themeShade="A6"/>
              <w:right w:val="nil"/>
            </w:tcBorders>
            <w:tcMar>
              <w:top w:w="0" w:type="dxa"/>
              <w:left w:w="57" w:type="dxa"/>
              <w:bottom w:w="0" w:type="dxa"/>
              <w:right w:w="57" w:type="dxa"/>
            </w:tcMar>
            <w:hideMark/>
          </w:tcPr>
          <w:p w14:paraId="4F6651C5" w14:textId="77777777" w:rsidR="00FA6A1F" w:rsidRDefault="00FA6A1F" w:rsidP="00E905E6">
            <w:pPr>
              <w:pStyle w:val="TableText"/>
              <w:tabs>
                <w:tab w:val="decimal" w:pos="284"/>
              </w:tabs>
            </w:pPr>
            <w:r>
              <w:t>1.500</w:t>
            </w:r>
          </w:p>
        </w:tc>
      </w:tr>
      <w:tr w:rsidR="00FA6A1F" w14:paraId="4F6651CC" w14:textId="77777777" w:rsidTr="00E905E6">
        <w:trPr>
          <w:cantSplit/>
        </w:trPr>
        <w:tc>
          <w:tcPr>
            <w:tcW w:w="4255" w:type="dxa"/>
            <w:tcBorders>
              <w:top w:val="single" w:sz="4" w:space="0" w:color="A6A6A6" w:themeColor="background1" w:themeShade="A6"/>
              <w:left w:val="nil"/>
              <w:bottom w:val="single" w:sz="4" w:space="0" w:color="A6A6A6" w:themeColor="background1" w:themeShade="A6"/>
              <w:right w:val="nil"/>
            </w:tcBorders>
            <w:tcMar>
              <w:top w:w="0" w:type="dxa"/>
              <w:left w:w="57" w:type="dxa"/>
              <w:bottom w:w="0" w:type="dxa"/>
              <w:right w:w="57" w:type="dxa"/>
            </w:tcMar>
            <w:hideMark/>
          </w:tcPr>
          <w:p w14:paraId="4F6651C7" w14:textId="77777777" w:rsidR="00FA6A1F" w:rsidRDefault="00FA6A1F" w:rsidP="00E905E6">
            <w:pPr>
              <w:pStyle w:val="TableText"/>
              <w:ind w:right="113"/>
            </w:pPr>
            <w:r>
              <w:t>Intensive support pilot</w:t>
            </w:r>
          </w:p>
        </w:tc>
        <w:tc>
          <w:tcPr>
            <w:tcW w:w="957" w:type="dxa"/>
            <w:tcBorders>
              <w:top w:val="single" w:sz="4" w:space="0" w:color="A6A6A6" w:themeColor="background1" w:themeShade="A6"/>
              <w:left w:val="nil"/>
              <w:bottom w:val="single" w:sz="4" w:space="0" w:color="A6A6A6" w:themeColor="background1" w:themeShade="A6"/>
              <w:right w:val="nil"/>
            </w:tcBorders>
            <w:tcMar>
              <w:top w:w="0" w:type="dxa"/>
              <w:left w:w="57" w:type="dxa"/>
              <w:bottom w:w="0" w:type="dxa"/>
              <w:right w:w="57" w:type="dxa"/>
            </w:tcMar>
            <w:hideMark/>
          </w:tcPr>
          <w:p w14:paraId="4F6651C8" w14:textId="77777777" w:rsidR="00FA6A1F" w:rsidRDefault="00FA6A1F" w:rsidP="00E905E6">
            <w:pPr>
              <w:pStyle w:val="TableText"/>
              <w:tabs>
                <w:tab w:val="decimal" w:pos="284"/>
              </w:tabs>
            </w:pPr>
            <w:r>
              <w:t>0.160</w:t>
            </w:r>
          </w:p>
        </w:tc>
        <w:tc>
          <w:tcPr>
            <w:tcW w:w="958" w:type="dxa"/>
            <w:tcBorders>
              <w:top w:val="single" w:sz="4" w:space="0" w:color="A6A6A6" w:themeColor="background1" w:themeShade="A6"/>
              <w:left w:val="nil"/>
              <w:bottom w:val="single" w:sz="4" w:space="0" w:color="A6A6A6" w:themeColor="background1" w:themeShade="A6"/>
              <w:right w:val="nil"/>
            </w:tcBorders>
            <w:tcMar>
              <w:top w:w="0" w:type="dxa"/>
              <w:left w:w="57" w:type="dxa"/>
              <w:bottom w:w="0" w:type="dxa"/>
              <w:right w:w="57" w:type="dxa"/>
            </w:tcMar>
            <w:hideMark/>
          </w:tcPr>
          <w:p w14:paraId="4F6651C9" w14:textId="77777777" w:rsidR="00FA6A1F" w:rsidRDefault="00FA6A1F" w:rsidP="00E905E6">
            <w:pPr>
              <w:pStyle w:val="TableText"/>
              <w:tabs>
                <w:tab w:val="decimal" w:pos="284"/>
              </w:tabs>
            </w:pPr>
            <w:r>
              <w:t>0.240</w:t>
            </w:r>
          </w:p>
        </w:tc>
        <w:tc>
          <w:tcPr>
            <w:tcW w:w="957" w:type="dxa"/>
            <w:tcBorders>
              <w:top w:val="single" w:sz="4" w:space="0" w:color="A6A6A6" w:themeColor="background1" w:themeShade="A6"/>
              <w:left w:val="nil"/>
              <w:bottom w:val="single" w:sz="4" w:space="0" w:color="A6A6A6" w:themeColor="background1" w:themeShade="A6"/>
              <w:right w:val="nil"/>
            </w:tcBorders>
            <w:tcMar>
              <w:top w:w="0" w:type="dxa"/>
              <w:left w:w="57" w:type="dxa"/>
              <w:bottom w:w="0" w:type="dxa"/>
              <w:right w:w="57" w:type="dxa"/>
            </w:tcMar>
            <w:hideMark/>
          </w:tcPr>
          <w:p w14:paraId="4F6651CA" w14:textId="77777777" w:rsidR="00FA6A1F" w:rsidRDefault="00FA6A1F" w:rsidP="00E905E6">
            <w:pPr>
              <w:pStyle w:val="TableText"/>
              <w:tabs>
                <w:tab w:val="decimal" w:pos="284"/>
              </w:tabs>
            </w:pPr>
            <w:r>
              <w:t>0.240</w:t>
            </w:r>
          </w:p>
        </w:tc>
        <w:tc>
          <w:tcPr>
            <w:tcW w:w="958" w:type="dxa"/>
            <w:tcBorders>
              <w:top w:val="single" w:sz="4" w:space="0" w:color="A6A6A6" w:themeColor="background1" w:themeShade="A6"/>
              <w:left w:val="nil"/>
              <w:bottom w:val="single" w:sz="4" w:space="0" w:color="A6A6A6" w:themeColor="background1" w:themeShade="A6"/>
              <w:right w:val="nil"/>
            </w:tcBorders>
            <w:tcMar>
              <w:top w:w="0" w:type="dxa"/>
              <w:left w:w="57" w:type="dxa"/>
              <w:bottom w:w="0" w:type="dxa"/>
              <w:right w:w="57" w:type="dxa"/>
            </w:tcMar>
            <w:hideMark/>
          </w:tcPr>
          <w:p w14:paraId="4F6651CB" w14:textId="77777777" w:rsidR="00FA6A1F" w:rsidRDefault="00FA6A1F" w:rsidP="00E905E6">
            <w:pPr>
              <w:pStyle w:val="TableText"/>
              <w:tabs>
                <w:tab w:val="decimal" w:pos="284"/>
              </w:tabs>
            </w:pPr>
            <w:r>
              <w:t>0.640</w:t>
            </w:r>
          </w:p>
        </w:tc>
      </w:tr>
      <w:tr w:rsidR="00FA6A1F" w14:paraId="4F6651D2" w14:textId="77777777" w:rsidTr="00E905E6">
        <w:trPr>
          <w:cantSplit/>
        </w:trPr>
        <w:tc>
          <w:tcPr>
            <w:tcW w:w="4255" w:type="dxa"/>
            <w:tcBorders>
              <w:top w:val="single" w:sz="4" w:space="0" w:color="A6A6A6" w:themeColor="background1" w:themeShade="A6"/>
              <w:left w:val="nil"/>
              <w:bottom w:val="single" w:sz="4" w:space="0" w:color="A6A6A6" w:themeColor="background1" w:themeShade="A6"/>
              <w:right w:val="nil"/>
            </w:tcBorders>
            <w:tcMar>
              <w:top w:w="0" w:type="dxa"/>
              <w:left w:w="57" w:type="dxa"/>
              <w:bottom w:w="0" w:type="dxa"/>
              <w:right w:w="57" w:type="dxa"/>
            </w:tcMar>
            <w:hideMark/>
          </w:tcPr>
          <w:p w14:paraId="4F6651CD" w14:textId="77777777" w:rsidR="00FA6A1F" w:rsidRDefault="00FA6A1F" w:rsidP="00E905E6">
            <w:pPr>
              <w:pStyle w:val="TableText"/>
              <w:ind w:right="113"/>
            </w:pPr>
            <w:r>
              <w:t>Peer workforce pilot and expansion</w:t>
            </w:r>
          </w:p>
        </w:tc>
        <w:tc>
          <w:tcPr>
            <w:tcW w:w="957" w:type="dxa"/>
            <w:tcBorders>
              <w:top w:val="single" w:sz="4" w:space="0" w:color="A6A6A6" w:themeColor="background1" w:themeShade="A6"/>
              <w:left w:val="nil"/>
              <w:bottom w:val="single" w:sz="4" w:space="0" w:color="A6A6A6" w:themeColor="background1" w:themeShade="A6"/>
              <w:right w:val="nil"/>
            </w:tcBorders>
            <w:tcMar>
              <w:top w:w="0" w:type="dxa"/>
              <w:left w:w="57" w:type="dxa"/>
              <w:bottom w:w="0" w:type="dxa"/>
              <w:right w:w="57" w:type="dxa"/>
            </w:tcMar>
            <w:hideMark/>
          </w:tcPr>
          <w:p w14:paraId="4F6651CE" w14:textId="77777777" w:rsidR="00FA6A1F" w:rsidRDefault="00FA6A1F" w:rsidP="00E905E6">
            <w:pPr>
              <w:pStyle w:val="TableText"/>
              <w:tabs>
                <w:tab w:val="decimal" w:pos="284"/>
              </w:tabs>
            </w:pPr>
            <w:r>
              <w:t>0.350</w:t>
            </w:r>
          </w:p>
        </w:tc>
        <w:tc>
          <w:tcPr>
            <w:tcW w:w="958" w:type="dxa"/>
            <w:tcBorders>
              <w:top w:val="single" w:sz="4" w:space="0" w:color="A6A6A6" w:themeColor="background1" w:themeShade="A6"/>
              <w:left w:val="nil"/>
              <w:bottom w:val="single" w:sz="4" w:space="0" w:color="A6A6A6" w:themeColor="background1" w:themeShade="A6"/>
              <w:right w:val="nil"/>
            </w:tcBorders>
            <w:tcMar>
              <w:top w:w="0" w:type="dxa"/>
              <w:left w:w="57" w:type="dxa"/>
              <w:bottom w:w="0" w:type="dxa"/>
              <w:right w:w="57" w:type="dxa"/>
            </w:tcMar>
            <w:hideMark/>
          </w:tcPr>
          <w:p w14:paraId="4F6651CF" w14:textId="77777777" w:rsidR="00FA6A1F" w:rsidRDefault="00FA6A1F" w:rsidP="00E905E6">
            <w:pPr>
              <w:pStyle w:val="TableText"/>
              <w:tabs>
                <w:tab w:val="decimal" w:pos="284"/>
              </w:tabs>
            </w:pPr>
            <w:r>
              <w:t>0.600</w:t>
            </w:r>
          </w:p>
        </w:tc>
        <w:tc>
          <w:tcPr>
            <w:tcW w:w="957" w:type="dxa"/>
            <w:tcBorders>
              <w:top w:val="single" w:sz="4" w:space="0" w:color="A6A6A6" w:themeColor="background1" w:themeShade="A6"/>
              <w:left w:val="nil"/>
              <w:bottom w:val="single" w:sz="4" w:space="0" w:color="A6A6A6" w:themeColor="background1" w:themeShade="A6"/>
              <w:right w:val="nil"/>
            </w:tcBorders>
            <w:tcMar>
              <w:top w:w="0" w:type="dxa"/>
              <w:left w:w="57" w:type="dxa"/>
              <w:bottom w:w="0" w:type="dxa"/>
              <w:right w:w="57" w:type="dxa"/>
            </w:tcMar>
            <w:hideMark/>
          </w:tcPr>
          <w:p w14:paraId="4F6651D0" w14:textId="77777777" w:rsidR="00FA6A1F" w:rsidRDefault="00FA6A1F" w:rsidP="00E905E6">
            <w:pPr>
              <w:pStyle w:val="TableText"/>
              <w:tabs>
                <w:tab w:val="decimal" w:pos="284"/>
              </w:tabs>
            </w:pPr>
            <w:r>
              <w:t>0.800</w:t>
            </w:r>
          </w:p>
        </w:tc>
        <w:tc>
          <w:tcPr>
            <w:tcW w:w="958" w:type="dxa"/>
            <w:tcBorders>
              <w:top w:val="single" w:sz="4" w:space="0" w:color="A6A6A6" w:themeColor="background1" w:themeShade="A6"/>
              <w:left w:val="nil"/>
              <w:bottom w:val="single" w:sz="4" w:space="0" w:color="A6A6A6" w:themeColor="background1" w:themeShade="A6"/>
              <w:right w:val="nil"/>
            </w:tcBorders>
            <w:tcMar>
              <w:top w:w="0" w:type="dxa"/>
              <w:left w:w="57" w:type="dxa"/>
              <w:bottom w:w="0" w:type="dxa"/>
              <w:right w:w="57" w:type="dxa"/>
            </w:tcMar>
            <w:hideMark/>
          </w:tcPr>
          <w:p w14:paraId="4F6651D1" w14:textId="77777777" w:rsidR="00FA6A1F" w:rsidRDefault="00FA6A1F" w:rsidP="00E905E6">
            <w:pPr>
              <w:pStyle w:val="TableText"/>
              <w:tabs>
                <w:tab w:val="decimal" w:pos="284"/>
              </w:tabs>
            </w:pPr>
            <w:r>
              <w:t>1.750</w:t>
            </w:r>
          </w:p>
        </w:tc>
      </w:tr>
      <w:tr w:rsidR="00FA6A1F" w14:paraId="4F6651D8" w14:textId="77777777" w:rsidTr="00E905E6">
        <w:trPr>
          <w:cantSplit/>
        </w:trPr>
        <w:tc>
          <w:tcPr>
            <w:tcW w:w="4255" w:type="dxa"/>
            <w:tcBorders>
              <w:top w:val="single" w:sz="4" w:space="0" w:color="A6A6A6" w:themeColor="background1" w:themeShade="A6"/>
              <w:left w:val="nil"/>
              <w:bottom w:val="single" w:sz="4" w:space="0" w:color="A6A6A6" w:themeColor="background1" w:themeShade="A6"/>
              <w:right w:val="nil"/>
            </w:tcBorders>
            <w:tcMar>
              <w:top w:w="0" w:type="dxa"/>
              <w:left w:w="57" w:type="dxa"/>
              <w:bottom w:w="0" w:type="dxa"/>
              <w:right w:w="57" w:type="dxa"/>
            </w:tcMar>
            <w:hideMark/>
          </w:tcPr>
          <w:p w14:paraId="4F6651D3" w14:textId="77777777" w:rsidR="00FA6A1F" w:rsidRDefault="00FA6A1F" w:rsidP="00E905E6">
            <w:pPr>
              <w:pStyle w:val="TableText"/>
              <w:ind w:right="113"/>
            </w:pPr>
            <w:r>
              <w:t>Developing an NZQA level 7 quali</w:t>
            </w:r>
            <w:r w:rsidR="00E905E6">
              <w:t>fication covering gambling harm</w:t>
            </w:r>
          </w:p>
        </w:tc>
        <w:tc>
          <w:tcPr>
            <w:tcW w:w="957" w:type="dxa"/>
            <w:tcBorders>
              <w:top w:val="single" w:sz="4" w:space="0" w:color="A6A6A6" w:themeColor="background1" w:themeShade="A6"/>
              <w:left w:val="nil"/>
              <w:bottom w:val="single" w:sz="4" w:space="0" w:color="A6A6A6" w:themeColor="background1" w:themeShade="A6"/>
              <w:right w:val="nil"/>
            </w:tcBorders>
            <w:tcMar>
              <w:top w:w="0" w:type="dxa"/>
              <w:left w:w="57" w:type="dxa"/>
              <w:bottom w:w="0" w:type="dxa"/>
              <w:right w:w="57" w:type="dxa"/>
            </w:tcMar>
            <w:hideMark/>
          </w:tcPr>
          <w:p w14:paraId="4F6651D4" w14:textId="77777777" w:rsidR="00FA6A1F" w:rsidRDefault="00FA6A1F" w:rsidP="00E905E6">
            <w:pPr>
              <w:pStyle w:val="TableText"/>
              <w:tabs>
                <w:tab w:val="decimal" w:pos="284"/>
              </w:tabs>
            </w:pPr>
            <w:r>
              <w:t>0.060</w:t>
            </w:r>
          </w:p>
        </w:tc>
        <w:tc>
          <w:tcPr>
            <w:tcW w:w="958" w:type="dxa"/>
            <w:tcBorders>
              <w:top w:val="single" w:sz="4" w:space="0" w:color="A6A6A6" w:themeColor="background1" w:themeShade="A6"/>
              <w:left w:val="nil"/>
              <w:bottom w:val="single" w:sz="4" w:space="0" w:color="A6A6A6" w:themeColor="background1" w:themeShade="A6"/>
              <w:right w:val="nil"/>
            </w:tcBorders>
            <w:tcMar>
              <w:top w:w="0" w:type="dxa"/>
              <w:left w:w="57" w:type="dxa"/>
              <w:bottom w:w="0" w:type="dxa"/>
              <w:right w:w="57" w:type="dxa"/>
            </w:tcMar>
            <w:hideMark/>
          </w:tcPr>
          <w:p w14:paraId="4F6651D5" w14:textId="77777777" w:rsidR="00FA6A1F" w:rsidRDefault="00FA6A1F" w:rsidP="00E905E6">
            <w:pPr>
              <w:pStyle w:val="TableText"/>
              <w:tabs>
                <w:tab w:val="decimal" w:pos="284"/>
              </w:tabs>
            </w:pPr>
            <w:r>
              <w:t>0.060</w:t>
            </w:r>
          </w:p>
        </w:tc>
        <w:tc>
          <w:tcPr>
            <w:tcW w:w="957" w:type="dxa"/>
            <w:tcBorders>
              <w:top w:val="single" w:sz="4" w:space="0" w:color="A6A6A6" w:themeColor="background1" w:themeShade="A6"/>
              <w:left w:val="nil"/>
              <w:bottom w:val="single" w:sz="4" w:space="0" w:color="A6A6A6" w:themeColor="background1" w:themeShade="A6"/>
              <w:right w:val="nil"/>
            </w:tcBorders>
            <w:tcMar>
              <w:top w:w="0" w:type="dxa"/>
              <w:left w:w="57" w:type="dxa"/>
              <w:bottom w:w="0" w:type="dxa"/>
              <w:right w:w="57" w:type="dxa"/>
            </w:tcMar>
            <w:hideMark/>
          </w:tcPr>
          <w:p w14:paraId="4F6651D6" w14:textId="77777777" w:rsidR="00FA6A1F" w:rsidRDefault="00FA6A1F" w:rsidP="00E905E6">
            <w:pPr>
              <w:pStyle w:val="TableText"/>
              <w:tabs>
                <w:tab w:val="decimal" w:pos="284"/>
              </w:tabs>
            </w:pPr>
            <w:r>
              <w:t>0</w:t>
            </w:r>
          </w:p>
        </w:tc>
        <w:tc>
          <w:tcPr>
            <w:tcW w:w="958" w:type="dxa"/>
            <w:tcBorders>
              <w:top w:val="single" w:sz="4" w:space="0" w:color="A6A6A6" w:themeColor="background1" w:themeShade="A6"/>
              <w:left w:val="nil"/>
              <w:bottom w:val="single" w:sz="4" w:space="0" w:color="A6A6A6" w:themeColor="background1" w:themeShade="A6"/>
              <w:right w:val="nil"/>
            </w:tcBorders>
            <w:tcMar>
              <w:top w:w="0" w:type="dxa"/>
              <w:left w:w="57" w:type="dxa"/>
              <w:bottom w:w="0" w:type="dxa"/>
              <w:right w:w="57" w:type="dxa"/>
            </w:tcMar>
            <w:hideMark/>
          </w:tcPr>
          <w:p w14:paraId="4F6651D7" w14:textId="77777777" w:rsidR="00FA6A1F" w:rsidRDefault="00FA6A1F" w:rsidP="00E905E6">
            <w:pPr>
              <w:pStyle w:val="TableText"/>
              <w:tabs>
                <w:tab w:val="decimal" w:pos="284"/>
              </w:tabs>
            </w:pPr>
            <w:r>
              <w:t>0.120</w:t>
            </w:r>
          </w:p>
        </w:tc>
      </w:tr>
      <w:tr w:rsidR="00FA6A1F" w14:paraId="4F6651DE" w14:textId="77777777" w:rsidTr="00E905E6">
        <w:trPr>
          <w:cantSplit/>
        </w:trPr>
        <w:tc>
          <w:tcPr>
            <w:tcW w:w="4255" w:type="dxa"/>
            <w:tcBorders>
              <w:top w:val="single" w:sz="4" w:space="0" w:color="A6A6A6" w:themeColor="background1" w:themeShade="A6"/>
              <w:left w:val="nil"/>
              <w:bottom w:val="single" w:sz="4" w:space="0" w:color="A6A6A6" w:themeColor="background1" w:themeShade="A6"/>
              <w:right w:val="nil"/>
            </w:tcBorders>
            <w:tcMar>
              <w:top w:w="0" w:type="dxa"/>
              <w:left w:w="57" w:type="dxa"/>
              <w:bottom w:w="0" w:type="dxa"/>
              <w:right w:w="57" w:type="dxa"/>
            </w:tcMar>
            <w:hideMark/>
          </w:tcPr>
          <w:p w14:paraId="4F6651D9" w14:textId="77777777" w:rsidR="00FA6A1F" w:rsidRDefault="00FA6A1F" w:rsidP="00E905E6">
            <w:pPr>
              <w:pStyle w:val="TableText"/>
              <w:ind w:right="113"/>
            </w:pPr>
            <w:r>
              <w:t xml:space="preserve">Gambling </w:t>
            </w:r>
            <w:r w:rsidR="00E905E6">
              <w:t>harm scholarships</w:t>
            </w:r>
          </w:p>
        </w:tc>
        <w:tc>
          <w:tcPr>
            <w:tcW w:w="957" w:type="dxa"/>
            <w:tcBorders>
              <w:top w:val="single" w:sz="4" w:space="0" w:color="A6A6A6" w:themeColor="background1" w:themeShade="A6"/>
              <w:left w:val="nil"/>
              <w:bottom w:val="single" w:sz="4" w:space="0" w:color="A6A6A6" w:themeColor="background1" w:themeShade="A6"/>
              <w:right w:val="nil"/>
            </w:tcBorders>
            <w:tcMar>
              <w:top w:w="0" w:type="dxa"/>
              <w:left w:w="57" w:type="dxa"/>
              <w:bottom w:w="0" w:type="dxa"/>
              <w:right w:w="57" w:type="dxa"/>
            </w:tcMar>
            <w:hideMark/>
          </w:tcPr>
          <w:p w14:paraId="4F6651DA" w14:textId="77777777" w:rsidR="00FA6A1F" w:rsidRDefault="00FA6A1F" w:rsidP="00E905E6">
            <w:pPr>
              <w:pStyle w:val="TableText"/>
              <w:tabs>
                <w:tab w:val="decimal" w:pos="284"/>
              </w:tabs>
            </w:pPr>
            <w:r>
              <w:t>0.151</w:t>
            </w:r>
          </w:p>
        </w:tc>
        <w:tc>
          <w:tcPr>
            <w:tcW w:w="958" w:type="dxa"/>
            <w:tcBorders>
              <w:top w:val="single" w:sz="4" w:space="0" w:color="A6A6A6" w:themeColor="background1" w:themeShade="A6"/>
              <w:left w:val="nil"/>
              <w:bottom w:val="single" w:sz="4" w:space="0" w:color="A6A6A6" w:themeColor="background1" w:themeShade="A6"/>
              <w:right w:val="nil"/>
            </w:tcBorders>
            <w:tcMar>
              <w:top w:w="0" w:type="dxa"/>
              <w:left w:w="57" w:type="dxa"/>
              <w:bottom w:w="0" w:type="dxa"/>
              <w:right w:w="57" w:type="dxa"/>
            </w:tcMar>
            <w:hideMark/>
          </w:tcPr>
          <w:p w14:paraId="4F6651DB" w14:textId="77777777" w:rsidR="00FA6A1F" w:rsidRDefault="00FA6A1F" w:rsidP="00E905E6">
            <w:pPr>
              <w:pStyle w:val="TableText"/>
              <w:tabs>
                <w:tab w:val="decimal" w:pos="284"/>
              </w:tabs>
            </w:pPr>
            <w:r>
              <w:t>0.151</w:t>
            </w:r>
          </w:p>
        </w:tc>
        <w:tc>
          <w:tcPr>
            <w:tcW w:w="957" w:type="dxa"/>
            <w:tcBorders>
              <w:top w:val="single" w:sz="4" w:space="0" w:color="A6A6A6" w:themeColor="background1" w:themeShade="A6"/>
              <w:left w:val="nil"/>
              <w:bottom w:val="single" w:sz="4" w:space="0" w:color="A6A6A6" w:themeColor="background1" w:themeShade="A6"/>
              <w:right w:val="nil"/>
            </w:tcBorders>
            <w:tcMar>
              <w:top w:w="0" w:type="dxa"/>
              <w:left w:w="57" w:type="dxa"/>
              <w:bottom w:w="0" w:type="dxa"/>
              <w:right w:w="57" w:type="dxa"/>
            </w:tcMar>
            <w:hideMark/>
          </w:tcPr>
          <w:p w14:paraId="4F6651DC" w14:textId="77777777" w:rsidR="00FA6A1F" w:rsidRDefault="00FA6A1F" w:rsidP="00E905E6">
            <w:pPr>
              <w:pStyle w:val="TableText"/>
              <w:tabs>
                <w:tab w:val="decimal" w:pos="284"/>
              </w:tabs>
            </w:pPr>
            <w:r>
              <w:t>0.151</w:t>
            </w:r>
          </w:p>
        </w:tc>
        <w:tc>
          <w:tcPr>
            <w:tcW w:w="958" w:type="dxa"/>
            <w:tcBorders>
              <w:top w:val="single" w:sz="4" w:space="0" w:color="A6A6A6" w:themeColor="background1" w:themeShade="A6"/>
              <w:left w:val="nil"/>
              <w:bottom w:val="single" w:sz="4" w:space="0" w:color="A6A6A6" w:themeColor="background1" w:themeShade="A6"/>
              <w:right w:val="nil"/>
            </w:tcBorders>
            <w:tcMar>
              <w:top w:w="0" w:type="dxa"/>
              <w:left w:w="57" w:type="dxa"/>
              <w:bottom w:w="0" w:type="dxa"/>
              <w:right w:w="57" w:type="dxa"/>
            </w:tcMar>
            <w:hideMark/>
          </w:tcPr>
          <w:p w14:paraId="4F6651DD" w14:textId="77777777" w:rsidR="00FA6A1F" w:rsidRDefault="00FA6A1F" w:rsidP="00E905E6">
            <w:pPr>
              <w:pStyle w:val="TableText"/>
              <w:tabs>
                <w:tab w:val="decimal" w:pos="284"/>
              </w:tabs>
            </w:pPr>
            <w:r>
              <w:t>0.454</w:t>
            </w:r>
          </w:p>
        </w:tc>
      </w:tr>
      <w:tr w:rsidR="00FA6A1F" w:rsidRPr="00E905E6" w14:paraId="4F6651E4" w14:textId="77777777" w:rsidTr="00E905E6">
        <w:trPr>
          <w:cantSplit/>
        </w:trPr>
        <w:tc>
          <w:tcPr>
            <w:tcW w:w="4255" w:type="dxa"/>
            <w:tcBorders>
              <w:top w:val="single" w:sz="4" w:space="0" w:color="A6A6A6" w:themeColor="background1" w:themeShade="A6"/>
              <w:left w:val="nil"/>
              <w:bottom w:val="single" w:sz="4" w:space="0" w:color="A6A6A6" w:themeColor="background1" w:themeShade="A6"/>
              <w:right w:val="nil"/>
            </w:tcBorders>
            <w:tcMar>
              <w:top w:w="0" w:type="dxa"/>
              <w:left w:w="57" w:type="dxa"/>
              <w:bottom w:w="0" w:type="dxa"/>
              <w:right w:w="57" w:type="dxa"/>
            </w:tcMar>
            <w:hideMark/>
          </w:tcPr>
          <w:p w14:paraId="4F6651DF" w14:textId="77777777" w:rsidR="00FA6A1F" w:rsidRPr="00E905E6" w:rsidRDefault="00FA6A1F" w:rsidP="00E905E6">
            <w:pPr>
              <w:pStyle w:val="TableText"/>
              <w:ind w:right="113"/>
              <w:rPr>
                <w:b/>
                <w:lang w:eastAsia="en-NZ"/>
              </w:rPr>
            </w:pPr>
            <w:r w:rsidRPr="00E905E6">
              <w:rPr>
                <w:b/>
                <w:lang w:eastAsia="en-NZ"/>
              </w:rPr>
              <w:t>Total ($m)</w:t>
            </w:r>
          </w:p>
        </w:tc>
        <w:tc>
          <w:tcPr>
            <w:tcW w:w="957" w:type="dxa"/>
            <w:tcBorders>
              <w:top w:val="single" w:sz="4" w:space="0" w:color="A6A6A6" w:themeColor="background1" w:themeShade="A6"/>
              <w:left w:val="nil"/>
              <w:bottom w:val="single" w:sz="4" w:space="0" w:color="A6A6A6" w:themeColor="background1" w:themeShade="A6"/>
              <w:right w:val="nil"/>
            </w:tcBorders>
            <w:tcMar>
              <w:top w:w="0" w:type="dxa"/>
              <w:left w:w="57" w:type="dxa"/>
              <w:bottom w:w="0" w:type="dxa"/>
              <w:right w:w="57" w:type="dxa"/>
            </w:tcMar>
            <w:hideMark/>
          </w:tcPr>
          <w:p w14:paraId="4F6651E0" w14:textId="77777777" w:rsidR="00FA6A1F" w:rsidRPr="00E905E6" w:rsidRDefault="00FA6A1F" w:rsidP="00E905E6">
            <w:pPr>
              <w:pStyle w:val="TableText"/>
              <w:tabs>
                <w:tab w:val="decimal" w:pos="284"/>
              </w:tabs>
              <w:rPr>
                <w:b/>
              </w:rPr>
            </w:pPr>
            <w:r w:rsidRPr="00E905E6">
              <w:rPr>
                <w:b/>
              </w:rPr>
              <w:t>2.477</w:t>
            </w:r>
          </w:p>
        </w:tc>
        <w:tc>
          <w:tcPr>
            <w:tcW w:w="958" w:type="dxa"/>
            <w:tcBorders>
              <w:top w:val="single" w:sz="4" w:space="0" w:color="A6A6A6" w:themeColor="background1" w:themeShade="A6"/>
              <w:left w:val="nil"/>
              <w:bottom w:val="single" w:sz="4" w:space="0" w:color="A6A6A6" w:themeColor="background1" w:themeShade="A6"/>
              <w:right w:val="nil"/>
            </w:tcBorders>
            <w:tcMar>
              <w:top w:w="0" w:type="dxa"/>
              <w:left w:w="57" w:type="dxa"/>
              <w:bottom w:w="0" w:type="dxa"/>
              <w:right w:w="57" w:type="dxa"/>
            </w:tcMar>
            <w:hideMark/>
          </w:tcPr>
          <w:p w14:paraId="4F6651E1" w14:textId="77777777" w:rsidR="00FA6A1F" w:rsidRPr="00E905E6" w:rsidRDefault="00FA6A1F" w:rsidP="00E905E6">
            <w:pPr>
              <w:pStyle w:val="TableText"/>
              <w:tabs>
                <w:tab w:val="decimal" w:pos="284"/>
              </w:tabs>
              <w:rPr>
                <w:b/>
              </w:rPr>
            </w:pPr>
            <w:r w:rsidRPr="00E905E6">
              <w:rPr>
                <w:b/>
              </w:rPr>
              <w:t>2.257</w:t>
            </w:r>
          </w:p>
        </w:tc>
        <w:tc>
          <w:tcPr>
            <w:tcW w:w="957" w:type="dxa"/>
            <w:tcBorders>
              <w:top w:val="single" w:sz="4" w:space="0" w:color="A6A6A6" w:themeColor="background1" w:themeShade="A6"/>
              <w:left w:val="nil"/>
              <w:bottom w:val="single" w:sz="4" w:space="0" w:color="A6A6A6" w:themeColor="background1" w:themeShade="A6"/>
              <w:right w:val="nil"/>
            </w:tcBorders>
            <w:tcMar>
              <w:top w:w="0" w:type="dxa"/>
              <w:left w:w="57" w:type="dxa"/>
              <w:bottom w:w="0" w:type="dxa"/>
              <w:right w:w="57" w:type="dxa"/>
            </w:tcMar>
            <w:hideMark/>
          </w:tcPr>
          <w:p w14:paraId="4F6651E2" w14:textId="77777777" w:rsidR="00FA6A1F" w:rsidRPr="00E905E6" w:rsidRDefault="00FA6A1F" w:rsidP="00E905E6">
            <w:pPr>
              <w:pStyle w:val="TableText"/>
              <w:tabs>
                <w:tab w:val="decimal" w:pos="284"/>
              </w:tabs>
              <w:rPr>
                <w:b/>
              </w:rPr>
            </w:pPr>
            <w:r w:rsidRPr="00E905E6">
              <w:rPr>
                <w:b/>
              </w:rPr>
              <w:t>1.691</w:t>
            </w:r>
          </w:p>
        </w:tc>
        <w:tc>
          <w:tcPr>
            <w:tcW w:w="958" w:type="dxa"/>
            <w:tcBorders>
              <w:top w:val="single" w:sz="4" w:space="0" w:color="A6A6A6" w:themeColor="background1" w:themeShade="A6"/>
              <w:left w:val="nil"/>
              <w:bottom w:val="single" w:sz="4" w:space="0" w:color="A6A6A6" w:themeColor="background1" w:themeShade="A6"/>
              <w:right w:val="nil"/>
            </w:tcBorders>
            <w:tcMar>
              <w:top w:w="0" w:type="dxa"/>
              <w:left w:w="57" w:type="dxa"/>
              <w:bottom w:w="0" w:type="dxa"/>
              <w:right w:w="57" w:type="dxa"/>
            </w:tcMar>
            <w:hideMark/>
          </w:tcPr>
          <w:p w14:paraId="4F6651E3" w14:textId="77777777" w:rsidR="00FA6A1F" w:rsidRPr="00E905E6" w:rsidRDefault="00FA6A1F" w:rsidP="00E905E6">
            <w:pPr>
              <w:pStyle w:val="TableText"/>
              <w:tabs>
                <w:tab w:val="decimal" w:pos="284"/>
              </w:tabs>
              <w:rPr>
                <w:b/>
              </w:rPr>
            </w:pPr>
            <w:r w:rsidRPr="00E905E6">
              <w:rPr>
                <w:b/>
              </w:rPr>
              <w:t>6.426</w:t>
            </w:r>
          </w:p>
        </w:tc>
      </w:tr>
    </w:tbl>
    <w:p w14:paraId="4F6651E5" w14:textId="77777777" w:rsidR="00FA6A1F" w:rsidRPr="0003777A" w:rsidRDefault="00FA6A1F" w:rsidP="00E905E6"/>
    <w:p w14:paraId="4F6651E6" w14:textId="77777777" w:rsidR="00FA6A1F" w:rsidRPr="00483631" w:rsidRDefault="00FA6A1F" w:rsidP="00E905E6">
      <w:pPr>
        <w:pStyle w:val="Heading3"/>
      </w:pPr>
      <w:bookmarkStart w:id="168" w:name="_Toc78882306"/>
      <w:r w:rsidRPr="00483631">
        <w:lastRenderedPageBreak/>
        <w:t>Pilots to address inequity (public health and intervention services)</w:t>
      </w:r>
      <w:bookmarkEnd w:id="168"/>
    </w:p>
    <w:p w14:paraId="4F6651E7" w14:textId="77777777" w:rsidR="008303C6" w:rsidRDefault="00FA6A1F" w:rsidP="00E905E6">
      <w:pPr>
        <w:keepLines/>
      </w:pPr>
      <w:r>
        <w:t>The Ministry committed to commissioning a range of pilots to address inequity under the 2019/20 to 2021/22 levy period. These pilots will enable the local co-design and delivery of new ways of providing public health and intervention services to address inequities for priority groups who experience the most gambling harm, including Māori, Pacific peoples and those living in isolated areas.</w:t>
      </w:r>
    </w:p>
    <w:p w14:paraId="4F6651E8" w14:textId="77777777" w:rsidR="00E905E6" w:rsidRDefault="00E905E6" w:rsidP="00E905E6"/>
    <w:p w14:paraId="4F6651E9" w14:textId="77777777" w:rsidR="008303C6" w:rsidRDefault="00FA6A1F" w:rsidP="00E905E6">
      <w:r>
        <w:t>The draft service plan includes $4.829 million of funding that is expected to be committed in 2021/22, from the current levy period, but spent over the first two years of the new levy period.</w:t>
      </w:r>
    </w:p>
    <w:p w14:paraId="4F6651EA" w14:textId="77777777" w:rsidR="00E905E6" w:rsidRDefault="00E905E6" w:rsidP="00E905E6"/>
    <w:p w14:paraId="4F6651EB" w14:textId="77777777" w:rsidR="008303C6" w:rsidRDefault="00FA6A1F" w:rsidP="00E905E6">
      <w:r>
        <w:t>The needs assessment strongly recommends prioritising equity. We are committed to applying the lessons learnt from these pilots to enable local providers and communities to take innovative and culturally appropriate approaches to preventing and minimising gambling harm that work locally.</w:t>
      </w:r>
    </w:p>
    <w:p w14:paraId="4F6651EC" w14:textId="77777777" w:rsidR="00E905E6" w:rsidRDefault="00E905E6" w:rsidP="00E905E6"/>
    <w:p w14:paraId="4F6651ED" w14:textId="5F5B0389" w:rsidR="008303C6" w:rsidRDefault="00FA6A1F" w:rsidP="00E905E6">
      <w:pPr>
        <w:rPr>
          <w:rFonts w:cstheme="minorHAnsi"/>
        </w:rPr>
      </w:pPr>
      <w:r>
        <w:t>The pilot funding allocation is reduced to zero for 2024/25 as the pilots will have been completed and we will be wa</w:t>
      </w:r>
      <w:r w:rsidR="00953E89">
        <w:t>i</w:t>
      </w:r>
      <w:r>
        <w:t xml:space="preserve">ting on evaluations and other evidence to inform any future investment decisions. There is a corresponding increase </w:t>
      </w:r>
      <w:r>
        <w:rPr>
          <w:rFonts w:cstheme="minorHAnsi"/>
        </w:rPr>
        <w:t>in the 2024/25 financial year of $0.326 million to the clinical interventions and supports budget (</w:t>
      </w:r>
      <w:r w:rsidR="00E905E6" w:rsidRPr="00E43F7D">
        <w:rPr>
          <w:rFonts w:cstheme="minorHAnsi"/>
          <w:highlight w:val="yellow"/>
        </w:rPr>
        <w:fldChar w:fldCharType="begin"/>
      </w:r>
      <w:r w:rsidR="00E905E6" w:rsidRPr="00E43F7D">
        <w:rPr>
          <w:rFonts w:cstheme="minorHAnsi"/>
          <w:highlight w:val="yellow"/>
        </w:rPr>
        <w:instrText xml:space="preserve"> REF _Ref80793260 \h </w:instrText>
      </w:r>
      <w:r w:rsidR="00E43F7D">
        <w:rPr>
          <w:rFonts w:cstheme="minorHAnsi"/>
          <w:highlight w:val="yellow"/>
        </w:rPr>
        <w:instrText xml:space="preserve"> \* MERGEFORMAT </w:instrText>
      </w:r>
      <w:r w:rsidR="00E905E6" w:rsidRPr="00E43F7D">
        <w:rPr>
          <w:rFonts w:cstheme="minorHAnsi"/>
          <w:highlight w:val="yellow"/>
        </w:rPr>
      </w:r>
      <w:r w:rsidR="00E905E6" w:rsidRPr="00E43F7D">
        <w:rPr>
          <w:rFonts w:cstheme="minorHAnsi"/>
          <w:highlight w:val="yellow"/>
        </w:rPr>
        <w:fldChar w:fldCharType="separate"/>
      </w:r>
      <w:r w:rsidR="00F65B3A" w:rsidRPr="00F65B3A">
        <w:rPr>
          <w:highlight w:val="yellow"/>
        </w:rPr>
        <w:t>Table 4</w:t>
      </w:r>
      <w:r w:rsidR="00E905E6" w:rsidRPr="00E43F7D">
        <w:rPr>
          <w:rFonts w:cstheme="minorHAnsi"/>
          <w:highlight w:val="yellow"/>
        </w:rPr>
        <w:fldChar w:fldCharType="end"/>
      </w:r>
      <w:r>
        <w:rPr>
          <w:rFonts w:cstheme="minorHAnsi"/>
        </w:rPr>
        <w:t>) and $0.250 million to the public health budget (</w:t>
      </w:r>
      <w:r w:rsidR="00E905E6" w:rsidRPr="00E43F7D">
        <w:rPr>
          <w:rFonts w:cstheme="minorHAnsi"/>
          <w:highlight w:val="yellow"/>
        </w:rPr>
        <w:fldChar w:fldCharType="begin"/>
      </w:r>
      <w:r w:rsidR="00E905E6" w:rsidRPr="00E43F7D">
        <w:rPr>
          <w:rFonts w:cstheme="minorHAnsi"/>
          <w:highlight w:val="yellow"/>
        </w:rPr>
        <w:instrText xml:space="preserve"> REF _Ref80793894 \h </w:instrText>
      </w:r>
      <w:r w:rsidR="00E43F7D">
        <w:rPr>
          <w:rFonts w:cstheme="minorHAnsi"/>
          <w:highlight w:val="yellow"/>
        </w:rPr>
        <w:instrText xml:space="preserve"> \* MERGEFORMAT </w:instrText>
      </w:r>
      <w:r w:rsidR="00E905E6" w:rsidRPr="00E43F7D">
        <w:rPr>
          <w:rFonts w:cstheme="minorHAnsi"/>
          <w:highlight w:val="yellow"/>
        </w:rPr>
      </w:r>
      <w:r w:rsidR="00E905E6" w:rsidRPr="00E43F7D">
        <w:rPr>
          <w:rFonts w:cstheme="minorHAnsi"/>
          <w:highlight w:val="yellow"/>
        </w:rPr>
        <w:fldChar w:fldCharType="separate"/>
      </w:r>
      <w:r w:rsidR="00F65B3A" w:rsidRPr="00F65B3A">
        <w:rPr>
          <w:highlight w:val="yellow"/>
        </w:rPr>
        <w:t>Table 5</w:t>
      </w:r>
      <w:r w:rsidR="00E905E6" w:rsidRPr="00E43F7D">
        <w:rPr>
          <w:rFonts w:cstheme="minorHAnsi"/>
          <w:highlight w:val="yellow"/>
        </w:rPr>
        <w:fldChar w:fldCharType="end"/>
      </w:r>
      <w:r>
        <w:rPr>
          <w:rFonts w:cstheme="minorHAnsi"/>
        </w:rPr>
        <w:t>).</w:t>
      </w:r>
    </w:p>
    <w:p w14:paraId="4F6651EE" w14:textId="77777777" w:rsidR="00E43F7D" w:rsidRDefault="00E43F7D" w:rsidP="00E43F7D"/>
    <w:p w14:paraId="4F6651EF" w14:textId="77777777" w:rsidR="00FA6A1F" w:rsidRPr="00483631" w:rsidRDefault="00FA6A1F" w:rsidP="00E43F7D">
      <w:pPr>
        <w:pStyle w:val="Heading3"/>
      </w:pPr>
      <w:bookmarkStart w:id="169" w:name="_Toc78882307"/>
      <w:r w:rsidRPr="00483631">
        <w:t>Technology</w:t>
      </w:r>
      <w:r>
        <w:t>-related</w:t>
      </w:r>
      <w:r w:rsidRPr="00483631">
        <w:t xml:space="preserve"> innovation</w:t>
      </w:r>
      <w:bookmarkEnd w:id="169"/>
    </w:p>
    <w:p w14:paraId="4F6651F0" w14:textId="77777777" w:rsidR="00FA6A1F" w:rsidRDefault="00FA6A1F" w:rsidP="00E43F7D">
      <w:r>
        <w:t>The Ministry intends to commission a fund to support technology-related innovation under the 2019/20 to 2021/22 levy period. There is a strong consensus from both industry and service providers that the strategy should provide for greater use of technology to mitigate and manage gambling harm. We will use this fund to develop and/or test online support tools and other technological solutions to prevent and minimise gambling harm. We will evaluate all trials.</w:t>
      </w:r>
    </w:p>
    <w:p w14:paraId="4F6651F1" w14:textId="77777777" w:rsidR="00E43F7D" w:rsidRDefault="00E43F7D" w:rsidP="00E43F7D"/>
    <w:p w14:paraId="4F6651F2" w14:textId="77777777" w:rsidR="00FA6A1F" w:rsidRDefault="00FA6A1F" w:rsidP="00E43F7D">
      <w:r>
        <w:t xml:space="preserve">The draft service plan includes $1 million of funding that is expected to be committed in the 2021/22 year, from the current levy period, but spent over the first two years of the new levy period. Additional </w:t>
      </w:r>
      <w:r w:rsidRPr="00921623">
        <w:t xml:space="preserve">funding </w:t>
      </w:r>
      <w:r>
        <w:t xml:space="preserve">of </w:t>
      </w:r>
      <w:r w:rsidRPr="00921623">
        <w:t xml:space="preserve">$0.5 million </w:t>
      </w:r>
      <w:r>
        <w:t>is proposed for 2024/25 to further develop or roll out online or technological solutions that have been evaluated as being effective in preventing and minimising gambling harm and assessed as being a priority for ongoing investment</w:t>
      </w:r>
      <w:r w:rsidRPr="00E43F7D">
        <w:t>.</w:t>
      </w:r>
    </w:p>
    <w:p w14:paraId="4F6651F3" w14:textId="77777777" w:rsidR="00E43F7D" w:rsidRPr="00E43F7D" w:rsidRDefault="00E43F7D" w:rsidP="00E43F7D"/>
    <w:p w14:paraId="4F6651F4" w14:textId="77777777" w:rsidR="00FA6A1F" w:rsidRPr="00483631" w:rsidRDefault="00FA6A1F" w:rsidP="00E43F7D">
      <w:pPr>
        <w:pStyle w:val="Heading3"/>
      </w:pPr>
      <w:bookmarkStart w:id="170" w:name="_Toc78882308"/>
      <w:bookmarkStart w:id="171" w:name="_Hlk76129854"/>
      <w:r w:rsidRPr="00483631">
        <w:lastRenderedPageBreak/>
        <w:t>Intensive</w:t>
      </w:r>
      <w:r>
        <w:t>-</w:t>
      </w:r>
      <w:r w:rsidRPr="00483631">
        <w:t xml:space="preserve">support </w:t>
      </w:r>
      <w:r>
        <w:t>pilot</w:t>
      </w:r>
      <w:bookmarkEnd w:id="170"/>
    </w:p>
    <w:p w14:paraId="4F6651F5" w14:textId="77777777" w:rsidR="008303C6" w:rsidRDefault="00FA6A1F" w:rsidP="00E43F7D">
      <w:pPr>
        <w:keepLines/>
      </w:pPr>
      <w:r>
        <w:t>In the current levy period, the Ministry expects to commission a pilot to develop and test a clinically robust model of care based on intensive treatment for people experiencing severe gambling harm. Adding an intensive support option for clients with high needs is in line with a stepped-care model, where treatment intensity increases as a client</w:t>
      </w:r>
      <w:r w:rsidR="008303C6">
        <w:t>’</w:t>
      </w:r>
      <w:r>
        <w:t>s needs increase. We will engage with the gambling sector, including providers, in 2021/22 to develop and fund a pilot model of this care.</w:t>
      </w:r>
    </w:p>
    <w:p w14:paraId="4F6651F6" w14:textId="77777777" w:rsidR="00E43F7D" w:rsidRDefault="00E43F7D" w:rsidP="00E43F7D"/>
    <w:p w14:paraId="4F6651F7" w14:textId="77777777" w:rsidR="00FA6A1F" w:rsidRDefault="00FA6A1F" w:rsidP="00E43F7D">
      <w:r>
        <w:t>The draft service plan includes $0.4 million of funding from the current levy period, which is likely to be committed for the pilot in 2021/22 but spent over the first two years of the new levy period. Additional funding of $0.240 million is proposed for 2024/25 to enable us to develop and commission an ongoing intensive treatment package for people experiencing severe gambling harm, informed by the pilot evaluation.</w:t>
      </w:r>
    </w:p>
    <w:p w14:paraId="4F6651F8" w14:textId="77777777" w:rsidR="00E43F7D" w:rsidRDefault="00E43F7D" w:rsidP="00E43F7D"/>
    <w:p w14:paraId="4F6651F9" w14:textId="77777777" w:rsidR="008303C6" w:rsidRPr="00E43F7D" w:rsidRDefault="00FA6A1F" w:rsidP="00E43F7D">
      <w:pPr>
        <w:rPr>
          <w:spacing w:val="-2"/>
        </w:rPr>
      </w:pPr>
      <w:r w:rsidRPr="00E43F7D">
        <w:rPr>
          <w:spacing w:val="-2"/>
        </w:rPr>
        <w:t>The design of this pilot will be informed by a literature review of the provision and effectiveness of residential care for gambling harm treatment provided by ABACUS Counselling, Training and Supervision Ltd.</w:t>
      </w:r>
      <w:r w:rsidR="008303C6" w:rsidRPr="00E43F7D">
        <w:rPr>
          <w:spacing w:val="-2"/>
        </w:rPr>
        <w:t xml:space="preserve"> </w:t>
      </w:r>
      <w:r w:rsidRPr="00E43F7D">
        <w:rPr>
          <w:spacing w:val="-2"/>
        </w:rPr>
        <w:t xml:space="preserve">The review shows that despite the limited evidence available, there is support for providing such a residential option, largely based upon expert opinion and experience. It </w:t>
      </w:r>
      <w:bookmarkEnd w:id="171"/>
      <w:r w:rsidRPr="00E43F7D">
        <w:rPr>
          <w:spacing w:val="-2"/>
        </w:rPr>
        <w:t>suggests that the people most severely affected by their gambling are likely to have complex issues and needs and may benefit from attending a residential programme. This could prevent distractions and pressures in the community that may impact negatively on their treatment and recovery.</w:t>
      </w:r>
    </w:p>
    <w:p w14:paraId="4F6651FA" w14:textId="77777777" w:rsidR="00E43F7D" w:rsidRDefault="00E43F7D" w:rsidP="00E43F7D"/>
    <w:p w14:paraId="4F6651FB" w14:textId="77777777" w:rsidR="00FA6A1F" w:rsidRPr="00483631" w:rsidRDefault="00FA6A1F" w:rsidP="00E43F7D">
      <w:pPr>
        <w:pStyle w:val="Heading3"/>
      </w:pPr>
      <w:bookmarkStart w:id="172" w:name="_Toc78882309"/>
      <w:r w:rsidRPr="00483631">
        <w:t>Enabling a skilled and culturally responsive workforce</w:t>
      </w:r>
      <w:bookmarkEnd w:id="172"/>
    </w:p>
    <w:p w14:paraId="4F6651FC" w14:textId="77777777" w:rsidR="008303C6" w:rsidRPr="00E43F7D" w:rsidRDefault="00FA6A1F" w:rsidP="00E43F7D">
      <w:pPr>
        <w:ind w:right="-142"/>
        <w:rPr>
          <w:spacing w:val="-2"/>
        </w:rPr>
      </w:pPr>
      <w:r w:rsidRPr="00E43F7D">
        <w:rPr>
          <w:spacing w:val="-2"/>
        </w:rPr>
        <w:t>The needs assessment recommended more should be done to improving workforce capacity and capability. This included enabling and recognising the specialist skillsets required within gambling harm services, as well as the need for adequate cultural competence and cultural safety training across the health and disability sector. Health practitioners working in gambling harm need to understand the specific interventions available, the specific pathways to problematic gambling and the ways in which families, whānau and affected others can identify gambling issues in others. The needs assessment also recommended further support for, and expanding, the peer support workforce.</w:t>
      </w:r>
    </w:p>
    <w:p w14:paraId="4F6651FD" w14:textId="77777777" w:rsidR="00E43F7D" w:rsidRDefault="00E43F7D" w:rsidP="00E43F7D"/>
    <w:p w14:paraId="4F6651FE" w14:textId="77777777" w:rsidR="00FA6A1F" w:rsidRPr="0032257C" w:rsidRDefault="00FA6A1F" w:rsidP="00E43F7D">
      <w:pPr>
        <w:rPr>
          <w:rFonts w:cs="Calibri"/>
        </w:rPr>
      </w:pPr>
      <w:r>
        <w:t>We propose to support</w:t>
      </w:r>
      <w:r w:rsidRPr="0032257C">
        <w:t xml:space="preserve"> the development of a skilled, enabled and culturally responsive gambling harm workforce </w:t>
      </w:r>
      <w:r>
        <w:t>by</w:t>
      </w:r>
      <w:r w:rsidRPr="0032257C">
        <w:t xml:space="preserve"> investing in:</w:t>
      </w:r>
    </w:p>
    <w:p w14:paraId="4F6651FF" w14:textId="77777777" w:rsidR="00FA6A1F" w:rsidRPr="00483631" w:rsidRDefault="00FA6A1F" w:rsidP="00E43F7D">
      <w:pPr>
        <w:pStyle w:val="Bullet"/>
      </w:pPr>
      <w:r w:rsidRPr="00483631">
        <w:t>the expansion of the peer workforce</w:t>
      </w:r>
    </w:p>
    <w:p w14:paraId="4F665200" w14:textId="77777777" w:rsidR="008303C6" w:rsidRDefault="00FA6A1F" w:rsidP="00E43F7D">
      <w:pPr>
        <w:pStyle w:val="Bullet"/>
      </w:pPr>
      <w:r w:rsidRPr="00483631">
        <w:t xml:space="preserve">scholarships to support Māori, Pacific </w:t>
      </w:r>
      <w:r>
        <w:t xml:space="preserve">peoples, </w:t>
      </w:r>
      <w:r w:rsidRPr="00483631">
        <w:t>Asian people</w:t>
      </w:r>
      <w:r>
        <w:t>s</w:t>
      </w:r>
      <w:r w:rsidRPr="00483631">
        <w:t xml:space="preserve"> and people with lived experience of gambling harm to undertake addiction relevant tertiary study, with the aim of entering the gambling harm workforce</w:t>
      </w:r>
    </w:p>
    <w:p w14:paraId="4F665201" w14:textId="77777777" w:rsidR="00FA6A1F" w:rsidRDefault="00FA6A1F" w:rsidP="00E43F7D">
      <w:pPr>
        <w:pStyle w:val="Bullet"/>
      </w:pPr>
      <w:r w:rsidRPr="00483631">
        <w:t>the development of a degree</w:t>
      </w:r>
      <w:r>
        <w:t>-</w:t>
      </w:r>
      <w:r w:rsidRPr="00483631">
        <w:t>level paper specific to gambling harm, which has been identified as a gap in current education and training provision.</w:t>
      </w:r>
    </w:p>
    <w:p w14:paraId="4F665202" w14:textId="77777777" w:rsidR="00E43F7D" w:rsidRPr="00483631" w:rsidRDefault="00E43F7D" w:rsidP="00E43F7D"/>
    <w:p w14:paraId="4F665203" w14:textId="77777777" w:rsidR="00FA6A1F" w:rsidRPr="007F4B4C" w:rsidRDefault="00FA6A1F" w:rsidP="00E43F7D">
      <w:pPr>
        <w:pStyle w:val="Heading3"/>
      </w:pPr>
      <w:bookmarkStart w:id="173" w:name="_Toc78882310"/>
      <w:r w:rsidRPr="007F4B4C">
        <w:lastRenderedPageBreak/>
        <w:t>Peer workforce</w:t>
      </w:r>
      <w:r>
        <w:t xml:space="preserve"> pilot and expansion</w:t>
      </w:r>
      <w:bookmarkEnd w:id="173"/>
    </w:p>
    <w:p w14:paraId="4F665204" w14:textId="77777777" w:rsidR="008303C6" w:rsidRDefault="00FA6A1F" w:rsidP="00E43F7D">
      <w:r>
        <w:t>The Ministry is funding a peer workforce pilot under the current service plan 2019/20 to 2021/22. The pilot will be based in Auckland and run by a peer-led organisation. The pilot will run over two years, with Māori and Pacific peer roles the first being developed, working with clinical intervention and support services.</w:t>
      </w:r>
    </w:p>
    <w:p w14:paraId="4F665205" w14:textId="77777777" w:rsidR="00E43F7D" w:rsidRDefault="00E43F7D" w:rsidP="00E43F7D"/>
    <w:p w14:paraId="4F665206" w14:textId="77777777" w:rsidR="00FA6A1F" w:rsidRDefault="00FA6A1F" w:rsidP="00E43F7D">
      <w:r>
        <w:t>The design of this pilot has been informed by a literature review and consultation process that we commissioned in 2020 from Te Pou.</w:t>
      </w:r>
      <w:r w:rsidRPr="00E43F7D">
        <w:rPr>
          <w:rStyle w:val="FootnoteReference"/>
          <w:rFonts w:eastAsia="MS Gothic"/>
        </w:rPr>
        <w:footnoteReference w:id="17"/>
      </w:r>
      <w:r>
        <w:t xml:space="preserve"> This included an expert advisory group, with people of lived experience and gambling harm and mental health and addiction service providers.</w:t>
      </w:r>
    </w:p>
    <w:p w14:paraId="4F665207" w14:textId="77777777" w:rsidR="00E43F7D" w:rsidRDefault="00E43F7D" w:rsidP="00E43F7D">
      <w:pPr>
        <w:rPr>
          <w:rFonts w:eastAsiaTheme="minorHAnsi"/>
        </w:rPr>
      </w:pPr>
    </w:p>
    <w:p w14:paraId="4F665208" w14:textId="77777777" w:rsidR="00FA6A1F" w:rsidRPr="008E6724" w:rsidRDefault="00FA6A1F" w:rsidP="00E43F7D">
      <w:pPr>
        <w:rPr>
          <w:rFonts w:eastAsiaTheme="minorHAnsi"/>
        </w:rPr>
      </w:pPr>
      <w:r w:rsidRPr="008E6724">
        <w:rPr>
          <w:rFonts w:eastAsiaTheme="minorHAnsi"/>
        </w:rPr>
        <w:t xml:space="preserve">The pilot will continue into the new levy period, so </w:t>
      </w:r>
      <w:r>
        <w:rPr>
          <w:rFonts w:eastAsiaTheme="minorHAnsi"/>
        </w:rPr>
        <w:t xml:space="preserve">the </w:t>
      </w:r>
      <w:r w:rsidRPr="008E6724">
        <w:rPr>
          <w:rFonts w:eastAsiaTheme="minorHAnsi"/>
        </w:rPr>
        <w:t>draft service plan includes $0.262 million funding that will be committed in 2021/22 but spent during 2022/23.</w:t>
      </w:r>
    </w:p>
    <w:p w14:paraId="4F665209" w14:textId="77777777" w:rsidR="00E43F7D" w:rsidRDefault="00E43F7D" w:rsidP="00E43F7D">
      <w:pPr>
        <w:rPr>
          <w:rFonts w:eastAsiaTheme="minorHAnsi"/>
        </w:rPr>
      </w:pPr>
    </w:p>
    <w:p w14:paraId="4F66520A" w14:textId="77777777" w:rsidR="00FA6A1F" w:rsidRDefault="00FA6A1F" w:rsidP="00E43F7D">
      <w:pPr>
        <w:rPr>
          <w:rFonts w:eastAsiaTheme="minorHAnsi"/>
        </w:rPr>
      </w:pPr>
      <w:r>
        <w:rPr>
          <w:rFonts w:eastAsiaTheme="minorHAnsi"/>
        </w:rPr>
        <w:t>We</w:t>
      </w:r>
      <w:r w:rsidRPr="008E6724">
        <w:rPr>
          <w:rFonts w:eastAsiaTheme="minorHAnsi"/>
        </w:rPr>
        <w:t xml:space="preserve"> propose further investment to expand the peer workforce across both intervention and public health services. </w:t>
      </w:r>
      <w:r>
        <w:rPr>
          <w:rFonts w:eastAsiaTheme="minorHAnsi"/>
        </w:rPr>
        <w:t>We</w:t>
      </w:r>
      <w:r w:rsidRPr="008E6724">
        <w:rPr>
          <w:rFonts w:eastAsiaTheme="minorHAnsi"/>
        </w:rPr>
        <w:t xml:space="preserve"> will engage with the gambling sector and peer workforce organisations to develop further peer workforce roles based on the pilot evaluation findings.</w:t>
      </w:r>
    </w:p>
    <w:p w14:paraId="4F66520B" w14:textId="77777777" w:rsidR="00E43F7D" w:rsidRPr="008E6724" w:rsidRDefault="00E43F7D" w:rsidP="00E43F7D">
      <w:pPr>
        <w:rPr>
          <w:rFonts w:eastAsiaTheme="minorHAnsi"/>
        </w:rPr>
      </w:pPr>
    </w:p>
    <w:p w14:paraId="4F66520C" w14:textId="77777777" w:rsidR="00FA6A1F" w:rsidRPr="007F4B4C" w:rsidRDefault="00FA6A1F" w:rsidP="00E43F7D">
      <w:pPr>
        <w:pStyle w:val="Heading3"/>
      </w:pPr>
      <w:bookmarkStart w:id="174" w:name="_Toc78882311"/>
      <w:r w:rsidRPr="007F4B4C">
        <w:t xml:space="preserve">Developing a NZQA level </w:t>
      </w:r>
      <w:r>
        <w:t>7</w:t>
      </w:r>
      <w:r w:rsidRPr="007F4B4C">
        <w:t xml:space="preserve"> qualification covering gambling harm</w:t>
      </w:r>
      <w:bookmarkEnd w:id="174"/>
    </w:p>
    <w:p w14:paraId="4F66520D" w14:textId="77777777" w:rsidR="008303C6" w:rsidRDefault="00FA6A1F" w:rsidP="00E43F7D">
      <w:r>
        <w:t>The Ministry remains committed to supporting the public health and clinical intervention gambling harm workforce to achieve, or be on a pathway to achieving, the appropriate NZQA level 7 qualifications. The Ministry</w:t>
      </w:r>
      <w:r w:rsidR="008303C6">
        <w:t>’</w:t>
      </w:r>
      <w:r>
        <w:t>s expectation is that all intervention practitioners will be:</w:t>
      </w:r>
    </w:p>
    <w:p w14:paraId="4F66520E" w14:textId="77777777" w:rsidR="00FA6A1F" w:rsidRPr="00E43F7D" w:rsidRDefault="00FA6A1F" w:rsidP="00E43F7D">
      <w:pPr>
        <w:pStyle w:val="Bullet"/>
        <w:rPr>
          <w:spacing w:val="-2"/>
        </w:rPr>
      </w:pPr>
      <w:r w:rsidRPr="00E43F7D">
        <w:rPr>
          <w:spacing w:val="-2"/>
        </w:rPr>
        <w:t>registered as a health practitioner who is permitted to practise within a relevant scope of practice under the Health Practitioners Competence Assurance Act 2003, or</w:t>
      </w:r>
    </w:p>
    <w:p w14:paraId="4F66520F" w14:textId="77777777" w:rsidR="008303C6" w:rsidRDefault="00FA6A1F" w:rsidP="00E43F7D">
      <w:pPr>
        <w:pStyle w:val="Bullet"/>
      </w:pPr>
      <w:r w:rsidRPr="00483631">
        <w:t>registered or endorsed by the Drug and Alcohol Practitioners</w:t>
      </w:r>
      <w:r w:rsidR="008303C6">
        <w:t>’</w:t>
      </w:r>
      <w:r w:rsidRPr="00483631">
        <w:t xml:space="preserve"> Association Aotearoa</w:t>
      </w:r>
      <w:r>
        <w:t>-</w:t>
      </w:r>
      <w:r w:rsidRPr="00483631">
        <w:t>New Zealand (</w:t>
      </w:r>
      <w:r>
        <w:t>DAPAANZ</w:t>
      </w:r>
      <w:r w:rsidRPr="00483631">
        <w:t>) as having demonstrated the relevant specific competencies, or</w:t>
      </w:r>
    </w:p>
    <w:p w14:paraId="4F665210" w14:textId="77777777" w:rsidR="00FA6A1F" w:rsidRPr="00483631" w:rsidRDefault="00FA6A1F" w:rsidP="00E43F7D">
      <w:pPr>
        <w:pStyle w:val="Bullet"/>
      </w:pPr>
      <w:r w:rsidRPr="00483631">
        <w:t>equivalently registered with another relevant professional organisation (</w:t>
      </w:r>
      <w:r>
        <w:t>for example</w:t>
      </w:r>
      <w:r w:rsidRPr="00483631">
        <w:t>, a counsellor registered with the New Zealand Association of Counsellors</w:t>
      </w:r>
      <w:r>
        <w:t>,</w:t>
      </w:r>
      <w:r w:rsidRPr="004462E8">
        <w:t xml:space="preserve"> </w:t>
      </w:r>
      <w:r w:rsidRPr="00483631">
        <w:t xml:space="preserve">Te </w:t>
      </w:r>
      <w:r>
        <w:t>R</w:t>
      </w:r>
      <w:r w:rsidRPr="00483631">
        <w:t>oopu Kaiwhiriwhiri o Aotearoa</w:t>
      </w:r>
      <w:r>
        <w:t>, NZAC</w:t>
      </w:r>
      <w:r w:rsidRPr="00483631">
        <w:t>).</w:t>
      </w:r>
    </w:p>
    <w:p w14:paraId="4F665211" w14:textId="77777777" w:rsidR="00E43F7D" w:rsidRDefault="00E43F7D" w:rsidP="00E43F7D"/>
    <w:p w14:paraId="4F665212" w14:textId="77777777" w:rsidR="00FA6A1F" w:rsidRDefault="00FA6A1F" w:rsidP="00E43F7D">
      <w:r w:rsidRPr="00927967">
        <w:t>We recognise that there are currently no level 7 gambling-harm-specific papers available to those wanting to enter the workforce, and we intend to address this gap. We will work with DAPAANZ, NZAC, education and training providers and the gambling sector to develop either a level 7 gambling-harm qualification and/or gambling-harm-specific content for existing level 7 addiction qualifications.</w:t>
      </w:r>
    </w:p>
    <w:p w14:paraId="4F665213" w14:textId="77777777" w:rsidR="00E43F7D" w:rsidRPr="00927967" w:rsidRDefault="00E43F7D" w:rsidP="00E43F7D"/>
    <w:p w14:paraId="4F665214" w14:textId="77777777" w:rsidR="008303C6" w:rsidRDefault="00FA6A1F" w:rsidP="00E43F7D">
      <w:pPr>
        <w:pStyle w:val="Heading3"/>
      </w:pPr>
      <w:bookmarkStart w:id="175" w:name="_Toc78882312"/>
      <w:r>
        <w:lastRenderedPageBreak/>
        <w:t>Gambling harm s</w:t>
      </w:r>
      <w:r w:rsidRPr="00483631">
        <w:t>cholarships</w:t>
      </w:r>
      <w:bookmarkEnd w:id="175"/>
    </w:p>
    <w:bookmarkEnd w:id="114"/>
    <w:bookmarkEnd w:id="115"/>
    <w:p w14:paraId="4F665215" w14:textId="77777777" w:rsidR="008303C6" w:rsidRDefault="00FA6A1F" w:rsidP="00E43F7D">
      <w:r>
        <w:t>Targeted scholarships will be developed to grow the capability and capacity of the gambling-harm workforce. The scholarships will be developed specifically to enable Māori, Pacific peoples, Asian peoples and people with lived experience of gambling harm (peers) to do addiction relevant tertiary study that will help them enter the gambling-harm workforce.</w:t>
      </w:r>
    </w:p>
    <w:p w14:paraId="4F665216" w14:textId="77777777" w:rsidR="00E43F7D" w:rsidRDefault="00E43F7D" w:rsidP="00E43F7D"/>
    <w:p w14:paraId="4F665217" w14:textId="77777777" w:rsidR="00FA6A1F" w:rsidRDefault="00FA6A1F" w:rsidP="00E43F7D">
      <w:r>
        <w:t>The scholarships will include funding to undertake an NZQA level 7 addiction qualification, alongside support for professional development and practicum placements with providers. Scholarship recipients will be expected to take a gambling-harm level 7 qualification/or component when this becomes available.</w:t>
      </w:r>
    </w:p>
    <w:p w14:paraId="4F665218" w14:textId="77777777" w:rsidR="00E43F7D" w:rsidRDefault="00E43F7D" w:rsidP="00E43F7D"/>
    <w:p w14:paraId="4F665219" w14:textId="77777777" w:rsidR="00FA6A1F" w:rsidRPr="00483631" w:rsidRDefault="00FA6A1F" w:rsidP="00E43F7D">
      <w:pPr>
        <w:pStyle w:val="Heading2"/>
      </w:pPr>
      <w:bookmarkStart w:id="176" w:name="_Toc78882313"/>
      <w:bookmarkStart w:id="177" w:name="_Toc80965857"/>
      <w:r w:rsidRPr="00483631">
        <w:t>Ministry of Healt</w:t>
      </w:r>
      <w:r>
        <w:t>h</w:t>
      </w:r>
      <w:r w:rsidRPr="00483631">
        <w:t xml:space="preserve"> operating costs</w:t>
      </w:r>
      <w:bookmarkEnd w:id="176"/>
      <w:bookmarkEnd w:id="177"/>
    </w:p>
    <w:p w14:paraId="4F66521A" w14:textId="77777777" w:rsidR="00FA6A1F" w:rsidRDefault="00FA6A1F" w:rsidP="00E43F7D">
      <w:r>
        <w:t>Ministry operating costs (departmental expenditure) comprise contract management, policy and service development work, management of the research and evaluation programme, and management of the Client Information Collection (CLIC) database.</w:t>
      </w:r>
    </w:p>
    <w:p w14:paraId="4F66521B" w14:textId="77777777" w:rsidR="003347C7" w:rsidRDefault="003347C7" w:rsidP="00E43F7D"/>
    <w:p w14:paraId="4F66521C" w14:textId="77777777" w:rsidR="00FA6A1F" w:rsidRDefault="00FA6A1F" w:rsidP="003347C7">
      <w:r>
        <w:t>The draft service plan retains current funding levels for Ministry operating costs.</w:t>
      </w:r>
    </w:p>
    <w:p w14:paraId="4F66521D" w14:textId="77777777" w:rsidR="003347C7" w:rsidRDefault="003347C7" w:rsidP="003347C7"/>
    <w:p w14:paraId="4F66521E" w14:textId="1EDD8E3B" w:rsidR="00FA6A1F" w:rsidRDefault="003347C7" w:rsidP="003347C7">
      <w:pPr>
        <w:pStyle w:val="Table"/>
      </w:pPr>
      <w:bookmarkStart w:id="178" w:name="_Toc80860352"/>
      <w:r>
        <w:t>Table </w:t>
      </w:r>
      <w:fldSimple w:instr=" SEQ Table \* ARABIC ">
        <w:r w:rsidR="00F65B3A">
          <w:rPr>
            <w:noProof/>
          </w:rPr>
          <w:t>8</w:t>
        </w:r>
      </w:fldSimple>
      <w:r w:rsidR="00FA6A1F">
        <w:t xml:space="preserve">: Budget </w:t>
      </w:r>
      <w:r w:rsidR="00FA6A1F" w:rsidRPr="00ED3213">
        <w:t>for</w:t>
      </w:r>
      <w:r w:rsidR="00FA6A1F">
        <w:t xml:space="preserve"> Ministry operating costs (GST exclusive), 2022/23 to 2024/25</w:t>
      </w:r>
      <w:bookmarkEnd w:id="178"/>
    </w:p>
    <w:tbl>
      <w:tblPr>
        <w:tblW w:w="0" w:type="auto"/>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835"/>
        <w:gridCol w:w="1311"/>
        <w:gridCol w:w="1311"/>
        <w:gridCol w:w="1311"/>
        <w:gridCol w:w="1312"/>
      </w:tblGrid>
      <w:tr w:rsidR="00FA6A1F" w14:paraId="4F665224" w14:textId="77777777" w:rsidTr="002C2F26">
        <w:trPr>
          <w:cantSplit/>
        </w:trPr>
        <w:tc>
          <w:tcPr>
            <w:tcW w:w="2835" w:type="dxa"/>
            <w:tcBorders>
              <w:top w:val="nil"/>
              <w:left w:val="nil"/>
              <w:bottom w:val="nil"/>
              <w:right w:val="nil"/>
            </w:tcBorders>
            <w:shd w:val="clear" w:color="auto" w:fill="D9D9D9" w:themeFill="background1" w:themeFillShade="D9"/>
          </w:tcPr>
          <w:p w14:paraId="4F66521F" w14:textId="77777777" w:rsidR="00FA6A1F" w:rsidRDefault="00FA6A1F" w:rsidP="003347C7">
            <w:pPr>
              <w:pStyle w:val="TableText"/>
            </w:pPr>
          </w:p>
        </w:tc>
        <w:tc>
          <w:tcPr>
            <w:tcW w:w="1311" w:type="dxa"/>
            <w:tcBorders>
              <w:top w:val="nil"/>
              <w:left w:val="nil"/>
              <w:bottom w:val="nil"/>
              <w:right w:val="nil"/>
            </w:tcBorders>
            <w:shd w:val="clear" w:color="auto" w:fill="D9D9D9" w:themeFill="background1" w:themeFillShade="D9"/>
            <w:hideMark/>
          </w:tcPr>
          <w:p w14:paraId="4F665220" w14:textId="77777777" w:rsidR="00FA6A1F" w:rsidRPr="003347C7" w:rsidRDefault="00FA6A1F" w:rsidP="003347C7">
            <w:pPr>
              <w:pStyle w:val="TableText"/>
              <w:jc w:val="center"/>
              <w:rPr>
                <w:b/>
                <w:lang w:eastAsia="en-US"/>
              </w:rPr>
            </w:pPr>
            <w:r w:rsidRPr="003347C7">
              <w:rPr>
                <w:b/>
                <w:lang w:eastAsia="en-US"/>
              </w:rPr>
              <w:t>2022/23</w:t>
            </w:r>
            <w:r w:rsidRPr="003347C7">
              <w:rPr>
                <w:b/>
                <w:lang w:eastAsia="en-US"/>
              </w:rPr>
              <w:br/>
              <w:t>($m)</w:t>
            </w:r>
          </w:p>
        </w:tc>
        <w:tc>
          <w:tcPr>
            <w:tcW w:w="1311" w:type="dxa"/>
            <w:tcBorders>
              <w:top w:val="nil"/>
              <w:left w:val="nil"/>
              <w:bottom w:val="nil"/>
              <w:right w:val="nil"/>
            </w:tcBorders>
            <w:shd w:val="clear" w:color="auto" w:fill="D9D9D9" w:themeFill="background1" w:themeFillShade="D9"/>
            <w:hideMark/>
          </w:tcPr>
          <w:p w14:paraId="4F665221" w14:textId="77777777" w:rsidR="00FA6A1F" w:rsidRPr="003347C7" w:rsidRDefault="00FA6A1F" w:rsidP="003347C7">
            <w:pPr>
              <w:pStyle w:val="TableText"/>
              <w:jc w:val="center"/>
              <w:rPr>
                <w:b/>
                <w:lang w:eastAsia="en-US"/>
              </w:rPr>
            </w:pPr>
            <w:r w:rsidRPr="003347C7">
              <w:rPr>
                <w:b/>
                <w:lang w:eastAsia="en-US"/>
              </w:rPr>
              <w:t>2023/24</w:t>
            </w:r>
            <w:r w:rsidRPr="003347C7">
              <w:rPr>
                <w:b/>
                <w:lang w:eastAsia="en-US"/>
              </w:rPr>
              <w:br/>
              <w:t>($m)</w:t>
            </w:r>
          </w:p>
        </w:tc>
        <w:tc>
          <w:tcPr>
            <w:tcW w:w="1311" w:type="dxa"/>
            <w:tcBorders>
              <w:top w:val="nil"/>
              <w:left w:val="nil"/>
              <w:bottom w:val="nil"/>
              <w:right w:val="nil"/>
            </w:tcBorders>
            <w:shd w:val="clear" w:color="auto" w:fill="D9D9D9" w:themeFill="background1" w:themeFillShade="D9"/>
            <w:hideMark/>
          </w:tcPr>
          <w:p w14:paraId="4F665222" w14:textId="77777777" w:rsidR="00FA6A1F" w:rsidRPr="003347C7" w:rsidRDefault="00FA6A1F" w:rsidP="003347C7">
            <w:pPr>
              <w:pStyle w:val="TableText"/>
              <w:jc w:val="center"/>
              <w:rPr>
                <w:b/>
                <w:lang w:eastAsia="en-US"/>
              </w:rPr>
            </w:pPr>
            <w:r w:rsidRPr="003347C7">
              <w:rPr>
                <w:b/>
                <w:lang w:eastAsia="en-US"/>
              </w:rPr>
              <w:t>2024/25</w:t>
            </w:r>
            <w:r w:rsidRPr="003347C7">
              <w:rPr>
                <w:b/>
                <w:lang w:eastAsia="en-US"/>
              </w:rPr>
              <w:br/>
              <w:t>($m)</w:t>
            </w:r>
          </w:p>
        </w:tc>
        <w:tc>
          <w:tcPr>
            <w:tcW w:w="1312" w:type="dxa"/>
            <w:tcBorders>
              <w:top w:val="nil"/>
              <w:left w:val="nil"/>
              <w:bottom w:val="nil"/>
              <w:right w:val="nil"/>
            </w:tcBorders>
            <w:shd w:val="clear" w:color="auto" w:fill="D9D9D9" w:themeFill="background1" w:themeFillShade="D9"/>
            <w:hideMark/>
          </w:tcPr>
          <w:p w14:paraId="4F665223" w14:textId="77777777" w:rsidR="00FA6A1F" w:rsidRPr="003347C7" w:rsidRDefault="00FA6A1F" w:rsidP="003347C7">
            <w:pPr>
              <w:pStyle w:val="TableText"/>
              <w:jc w:val="center"/>
              <w:rPr>
                <w:b/>
              </w:rPr>
            </w:pPr>
            <w:r w:rsidRPr="003347C7">
              <w:rPr>
                <w:b/>
              </w:rPr>
              <w:t>Total</w:t>
            </w:r>
            <w:r w:rsidRPr="003347C7">
              <w:rPr>
                <w:b/>
              </w:rPr>
              <w:br/>
              <w:t>($m)</w:t>
            </w:r>
          </w:p>
        </w:tc>
      </w:tr>
      <w:tr w:rsidR="00FA6A1F" w14:paraId="4F66522A" w14:textId="77777777" w:rsidTr="002C2F26">
        <w:trPr>
          <w:cantSplit/>
        </w:trPr>
        <w:tc>
          <w:tcPr>
            <w:tcW w:w="2835" w:type="dxa"/>
            <w:tcBorders>
              <w:top w:val="nil"/>
              <w:left w:val="nil"/>
              <w:bottom w:val="single" w:sz="4" w:space="0" w:color="A6A6A6" w:themeColor="background1" w:themeShade="A6"/>
              <w:right w:val="nil"/>
            </w:tcBorders>
            <w:hideMark/>
          </w:tcPr>
          <w:p w14:paraId="4F665225" w14:textId="77777777" w:rsidR="00FA6A1F" w:rsidRDefault="00FA6A1F" w:rsidP="003347C7">
            <w:pPr>
              <w:pStyle w:val="TableText"/>
            </w:pPr>
            <w:r>
              <w:t>Total operating costs ($m)</w:t>
            </w:r>
          </w:p>
        </w:tc>
        <w:tc>
          <w:tcPr>
            <w:tcW w:w="1311" w:type="dxa"/>
            <w:tcBorders>
              <w:top w:val="nil"/>
              <w:left w:val="nil"/>
              <w:bottom w:val="single" w:sz="4" w:space="0" w:color="A6A6A6" w:themeColor="background1" w:themeShade="A6"/>
              <w:right w:val="nil"/>
            </w:tcBorders>
            <w:hideMark/>
          </w:tcPr>
          <w:p w14:paraId="4F665226" w14:textId="77777777" w:rsidR="00FA6A1F" w:rsidRDefault="00FA6A1F" w:rsidP="003347C7">
            <w:pPr>
              <w:pStyle w:val="TableText"/>
              <w:jc w:val="center"/>
              <w:rPr>
                <w:rFonts w:eastAsia="Arial Unicode MS"/>
              </w:rPr>
            </w:pPr>
            <w:r>
              <w:rPr>
                <w:rFonts w:eastAsia="Arial Unicode MS"/>
              </w:rPr>
              <w:t>0.957</w:t>
            </w:r>
          </w:p>
        </w:tc>
        <w:tc>
          <w:tcPr>
            <w:tcW w:w="1311" w:type="dxa"/>
            <w:tcBorders>
              <w:top w:val="nil"/>
              <w:left w:val="nil"/>
              <w:bottom w:val="single" w:sz="4" w:space="0" w:color="A6A6A6" w:themeColor="background1" w:themeShade="A6"/>
              <w:right w:val="nil"/>
            </w:tcBorders>
            <w:hideMark/>
          </w:tcPr>
          <w:p w14:paraId="4F665227" w14:textId="77777777" w:rsidR="00FA6A1F" w:rsidRDefault="00FA6A1F" w:rsidP="003347C7">
            <w:pPr>
              <w:pStyle w:val="TableText"/>
              <w:jc w:val="center"/>
              <w:rPr>
                <w:rFonts w:eastAsia="Arial Unicode MS"/>
              </w:rPr>
            </w:pPr>
            <w:r>
              <w:rPr>
                <w:rFonts w:eastAsia="Arial Unicode MS"/>
              </w:rPr>
              <w:t>0.990</w:t>
            </w:r>
          </w:p>
        </w:tc>
        <w:tc>
          <w:tcPr>
            <w:tcW w:w="1311" w:type="dxa"/>
            <w:tcBorders>
              <w:top w:val="nil"/>
              <w:left w:val="nil"/>
              <w:bottom w:val="single" w:sz="4" w:space="0" w:color="A6A6A6" w:themeColor="background1" w:themeShade="A6"/>
              <w:right w:val="nil"/>
            </w:tcBorders>
            <w:hideMark/>
          </w:tcPr>
          <w:p w14:paraId="4F665228" w14:textId="77777777" w:rsidR="00FA6A1F" w:rsidRDefault="00FA6A1F" w:rsidP="003347C7">
            <w:pPr>
              <w:pStyle w:val="TableText"/>
              <w:jc w:val="center"/>
              <w:rPr>
                <w:rFonts w:eastAsia="Arial Unicode MS"/>
              </w:rPr>
            </w:pPr>
            <w:r>
              <w:rPr>
                <w:rFonts w:eastAsia="Arial Unicode MS"/>
              </w:rPr>
              <w:t>0.990</w:t>
            </w:r>
          </w:p>
        </w:tc>
        <w:tc>
          <w:tcPr>
            <w:tcW w:w="1312" w:type="dxa"/>
            <w:tcBorders>
              <w:top w:val="nil"/>
              <w:left w:val="nil"/>
              <w:bottom w:val="single" w:sz="4" w:space="0" w:color="A6A6A6" w:themeColor="background1" w:themeShade="A6"/>
              <w:right w:val="nil"/>
            </w:tcBorders>
            <w:hideMark/>
          </w:tcPr>
          <w:p w14:paraId="4F665229" w14:textId="77777777" w:rsidR="00FA6A1F" w:rsidRDefault="00FA6A1F" w:rsidP="003347C7">
            <w:pPr>
              <w:pStyle w:val="TableText"/>
              <w:jc w:val="center"/>
              <w:rPr>
                <w:rFonts w:eastAsia="Arial Unicode MS"/>
              </w:rPr>
            </w:pPr>
            <w:r>
              <w:rPr>
                <w:rFonts w:eastAsia="Arial Unicode MS"/>
              </w:rPr>
              <w:t>2.937</w:t>
            </w:r>
          </w:p>
        </w:tc>
      </w:tr>
    </w:tbl>
    <w:p w14:paraId="4F66522B" w14:textId="77777777" w:rsidR="00FA6A1F" w:rsidRPr="0003777A" w:rsidRDefault="00FA6A1F" w:rsidP="003347C7"/>
    <w:p w14:paraId="4F66522C" w14:textId="77777777" w:rsidR="00FA6A1F" w:rsidRDefault="00FA6A1F" w:rsidP="003347C7">
      <w:pPr>
        <w:pStyle w:val="Heading2"/>
        <w:rPr>
          <w:rFonts w:cstheme="minorHAnsi"/>
        </w:rPr>
      </w:pPr>
      <w:bookmarkStart w:id="179" w:name="_Toc78882314"/>
      <w:bookmarkStart w:id="180" w:name="_Toc80965858"/>
      <w:r>
        <w:t>Questions for you to consider</w:t>
      </w:r>
      <w:bookmarkEnd w:id="179"/>
      <w:bookmarkEnd w:id="180"/>
    </w:p>
    <w:p w14:paraId="4F66522D" w14:textId="77777777" w:rsidR="00FA6A1F" w:rsidRDefault="00F27BD7" w:rsidP="003347C7">
      <w:pPr>
        <w:pStyle w:val="Box"/>
        <w:ind w:left="851" w:hanging="567"/>
      </w:pPr>
      <w:bookmarkStart w:id="181" w:name="_Hlk75179991"/>
      <w:r>
        <w:t>5</w:t>
      </w:r>
      <w:r w:rsidR="003347C7">
        <w:t>.</w:t>
      </w:r>
      <w:r w:rsidR="003347C7">
        <w:tab/>
      </w:r>
      <w:r w:rsidR="00FA6A1F">
        <w:t>Does the draft service plan adequately cover what it needs to cover, for example, does it include the right types of services and activities?</w:t>
      </w:r>
    </w:p>
    <w:p w14:paraId="4F66522E" w14:textId="77777777" w:rsidR="00FA6A1F" w:rsidRDefault="00F27BD7" w:rsidP="003347C7">
      <w:pPr>
        <w:pStyle w:val="Box"/>
        <w:ind w:left="851" w:hanging="567"/>
      </w:pPr>
      <w:r>
        <w:t>6</w:t>
      </w:r>
      <w:r w:rsidR="003347C7">
        <w:t>.</w:t>
      </w:r>
      <w:r w:rsidR="003347C7">
        <w:tab/>
      </w:r>
      <w:r w:rsidR="00FA6A1F">
        <w:t>Do you consider the proposed funding mix for services and supports appropriate?</w:t>
      </w:r>
    </w:p>
    <w:p w14:paraId="4F66522F" w14:textId="77777777" w:rsidR="008303C6" w:rsidRDefault="00F27BD7" w:rsidP="003347C7">
      <w:pPr>
        <w:pStyle w:val="Box"/>
        <w:ind w:left="851" w:hanging="567"/>
      </w:pPr>
      <w:r>
        <w:t>7</w:t>
      </w:r>
      <w:r w:rsidR="003347C7">
        <w:t>.</w:t>
      </w:r>
      <w:r w:rsidR="003347C7">
        <w:tab/>
      </w:r>
      <w:r w:rsidR="00FA6A1F">
        <w:t>Do you agree with the proposed new services (including the de-stigmatisation initiative), innovations pilots and investments?</w:t>
      </w:r>
    </w:p>
    <w:p w14:paraId="4F665230" w14:textId="77777777" w:rsidR="008303C6" w:rsidRDefault="00F27BD7" w:rsidP="003347C7">
      <w:pPr>
        <w:pStyle w:val="Box"/>
        <w:ind w:left="851" w:hanging="567"/>
      </w:pPr>
      <w:r>
        <w:t>8</w:t>
      </w:r>
      <w:r w:rsidR="003347C7">
        <w:t>.</w:t>
      </w:r>
      <w:r w:rsidR="003347C7">
        <w:tab/>
      </w:r>
      <w:r w:rsidR="00FA6A1F">
        <w:t>Do you agree with the priorities for research and evaluation that have been outlined in the draft service plan?</w:t>
      </w:r>
    </w:p>
    <w:bookmarkEnd w:id="181"/>
    <w:p w14:paraId="4F665231" w14:textId="77777777" w:rsidR="003347C7" w:rsidRDefault="003347C7" w:rsidP="003347C7">
      <w:pPr>
        <w:rPr>
          <w:noProof/>
        </w:rPr>
      </w:pPr>
    </w:p>
    <w:p w14:paraId="4F665232" w14:textId="77777777" w:rsidR="00FA6A1F" w:rsidRPr="0003777A" w:rsidRDefault="00FA6A1F" w:rsidP="007B7120">
      <w:pPr>
        <w:pStyle w:val="Heading1"/>
      </w:pPr>
      <w:bookmarkStart w:id="182" w:name="_4_Draft_levy"/>
      <w:bookmarkStart w:id="183" w:name="_Toc522089411"/>
      <w:bookmarkStart w:id="184" w:name="_Toc61962069"/>
      <w:bookmarkStart w:id="185" w:name="_Toc71102172"/>
      <w:bookmarkStart w:id="186" w:name="_Toc78882315"/>
      <w:bookmarkStart w:id="187" w:name="_Toc71550031"/>
      <w:bookmarkStart w:id="188" w:name="_Toc80965859"/>
      <w:bookmarkEnd w:id="182"/>
      <w:r>
        <w:lastRenderedPageBreak/>
        <w:t>4</w:t>
      </w:r>
      <w:r w:rsidRPr="0003777A">
        <w:tab/>
        <w:t xml:space="preserve">Draft levy rates for </w:t>
      </w:r>
      <w:bookmarkEnd w:id="183"/>
      <w:r w:rsidRPr="0003777A">
        <w:t>2022/23 to 2024/25</w:t>
      </w:r>
      <w:bookmarkStart w:id="189" w:name="_Toc528934683"/>
      <w:bookmarkStart w:id="190" w:name="_Toc528934684"/>
      <w:bookmarkStart w:id="191" w:name="_Toc528934685"/>
      <w:bookmarkStart w:id="192" w:name="_Toc528934686"/>
      <w:bookmarkStart w:id="193" w:name="_Toc528934687"/>
      <w:bookmarkStart w:id="194" w:name="_Toc528934688"/>
      <w:bookmarkStart w:id="195" w:name="_Toc528934689"/>
      <w:bookmarkStart w:id="196" w:name="_Toc528934690"/>
      <w:bookmarkStart w:id="197" w:name="_Toc528934691"/>
      <w:bookmarkStart w:id="198" w:name="_Toc528934692"/>
      <w:bookmarkStart w:id="199" w:name="_Toc230066532"/>
      <w:bookmarkEnd w:id="184"/>
      <w:bookmarkEnd w:id="185"/>
      <w:bookmarkEnd w:id="186"/>
      <w:bookmarkEnd w:id="188"/>
      <w:bookmarkEnd w:id="189"/>
      <w:bookmarkEnd w:id="190"/>
      <w:bookmarkEnd w:id="191"/>
      <w:bookmarkEnd w:id="192"/>
      <w:bookmarkEnd w:id="193"/>
      <w:bookmarkEnd w:id="194"/>
      <w:bookmarkEnd w:id="195"/>
      <w:bookmarkEnd w:id="196"/>
      <w:bookmarkEnd w:id="197"/>
      <w:bookmarkEnd w:id="198"/>
    </w:p>
    <w:bookmarkEnd w:id="199"/>
    <w:p w14:paraId="4F665233" w14:textId="77777777" w:rsidR="008303C6" w:rsidRDefault="00FA6A1F" w:rsidP="007B7120">
      <w:r>
        <w:t xml:space="preserve">Section 319(2) of the Gambling Act 2003 (the Act) states that the purpose of the levy is to </w:t>
      </w:r>
      <w:r w:rsidR="008303C6">
        <w:t>‘</w:t>
      </w:r>
      <w:r>
        <w:t>recover the cost of developing, managing, and delivering the integrated problem gambling strategy</w:t>
      </w:r>
      <w:r w:rsidR="008303C6">
        <w:t>’</w:t>
      </w:r>
      <w:r>
        <w:t xml:space="preserve">. </w:t>
      </w:r>
      <w:r w:rsidRPr="00C10A99">
        <w:t>The levy rates are set by regulation at least every three years.</w:t>
      </w:r>
      <w:r>
        <w:t xml:space="preserve"> The next levy period is from 1 July 2022 to 30 June 2025 to match the next strategy.</w:t>
      </w:r>
    </w:p>
    <w:p w14:paraId="4F665234" w14:textId="77777777" w:rsidR="007B7120" w:rsidRDefault="007B7120" w:rsidP="007B7120"/>
    <w:p w14:paraId="4F665235" w14:textId="77777777" w:rsidR="00FA6A1F" w:rsidRDefault="00FA6A1F" w:rsidP="007B7120">
      <w:r w:rsidRPr="00C10A99">
        <w:t>Since the levy was first set in 2004, it has applied to gambling operators in four sectors:</w:t>
      </w:r>
      <w:r>
        <w:t xml:space="preserve"> </w:t>
      </w:r>
      <w:r w:rsidRPr="00C10A99">
        <w:t>NCGM operators</w:t>
      </w:r>
      <w:r>
        <w:t xml:space="preserve">, </w:t>
      </w:r>
      <w:r w:rsidRPr="00C10A99">
        <w:t>casinos</w:t>
      </w:r>
      <w:r>
        <w:t>, TAB NZ and Lotto New Zealand</w:t>
      </w:r>
      <w:r w:rsidRPr="00C10A99">
        <w:t>.</w:t>
      </w:r>
    </w:p>
    <w:p w14:paraId="4F665236" w14:textId="77777777" w:rsidR="007B7120" w:rsidRPr="00C10A99" w:rsidRDefault="007B7120" w:rsidP="007B7120"/>
    <w:p w14:paraId="4F665237" w14:textId="77777777" w:rsidR="00FA6A1F" w:rsidRPr="00C10A99" w:rsidRDefault="00FA6A1F" w:rsidP="007B7120">
      <w:pPr>
        <w:pStyle w:val="Heading2"/>
      </w:pPr>
      <w:bookmarkStart w:id="200" w:name="_Toc230066534"/>
      <w:bookmarkStart w:id="201" w:name="_Toc329860063"/>
      <w:bookmarkStart w:id="202" w:name="_Toc421026478"/>
      <w:bookmarkStart w:id="203" w:name="_Toc517090912"/>
      <w:bookmarkStart w:id="204" w:name="_Toc530487419"/>
      <w:bookmarkStart w:id="205" w:name="_Toc522089414"/>
      <w:bookmarkStart w:id="206" w:name="_Toc61962072"/>
      <w:bookmarkStart w:id="207" w:name="_Toc71102175"/>
      <w:bookmarkStart w:id="208" w:name="_Toc78882316"/>
      <w:bookmarkStart w:id="209" w:name="_Toc80965860"/>
      <w:r w:rsidRPr="00C10A99">
        <w:t>Process for setting the levy</w:t>
      </w:r>
      <w:bookmarkEnd w:id="200"/>
      <w:bookmarkEnd w:id="201"/>
      <w:r w:rsidRPr="00C10A99">
        <w:t xml:space="preserve"> rates</w:t>
      </w:r>
      <w:bookmarkEnd w:id="202"/>
      <w:bookmarkEnd w:id="203"/>
      <w:bookmarkEnd w:id="204"/>
      <w:bookmarkEnd w:id="205"/>
      <w:bookmarkEnd w:id="206"/>
      <w:bookmarkEnd w:id="207"/>
      <w:bookmarkEnd w:id="208"/>
      <w:bookmarkEnd w:id="209"/>
    </w:p>
    <w:p w14:paraId="4F665238" w14:textId="77777777" w:rsidR="008303C6" w:rsidRDefault="00FA6A1F" w:rsidP="007B7120">
      <w:r w:rsidRPr="00E312E8">
        <w:t xml:space="preserve">The Act sets out the process </w:t>
      </w:r>
      <w:r>
        <w:t>for developing</w:t>
      </w:r>
      <w:r w:rsidRPr="00E312E8">
        <w:t xml:space="preserve"> and set</w:t>
      </w:r>
      <w:r>
        <w:t>ting</w:t>
      </w:r>
      <w:r w:rsidRPr="00E312E8">
        <w:t xml:space="preserve"> the levy rates needed to recover the cost of the </w:t>
      </w:r>
      <w:r>
        <w:t xml:space="preserve">strategy (see </w:t>
      </w:r>
      <w:r w:rsidRPr="00E312E8">
        <w:t>sections 318</w:t>
      </w:r>
      <w:r>
        <w:t>–</w:t>
      </w:r>
      <w:r w:rsidRPr="00E312E8">
        <w:t>320</w:t>
      </w:r>
      <w:r>
        <w:t xml:space="preserve"> of the Act)</w:t>
      </w:r>
      <w:r w:rsidRPr="00E312E8">
        <w:t>.</w:t>
      </w:r>
    </w:p>
    <w:p w14:paraId="4F665239" w14:textId="77777777" w:rsidR="007B7120" w:rsidRDefault="007B7120" w:rsidP="007B7120"/>
    <w:p w14:paraId="4F66523A" w14:textId="77777777" w:rsidR="00FA6A1F" w:rsidRDefault="00FA6A1F" w:rsidP="007B7120">
      <w:r w:rsidRPr="00E312E8">
        <w:t>As part of this process, the Ministry is now consulting on its estimated annual funding requirements and four alternative sets of esti</w:t>
      </w:r>
      <w:r w:rsidRPr="00C10A99">
        <w:t>mated levy rates for 1 July 20</w:t>
      </w:r>
      <w:r>
        <w:t>22</w:t>
      </w:r>
      <w:r w:rsidRPr="00C10A99">
        <w:t xml:space="preserve"> to 30 June 202</w:t>
      </w:r>
      <w:r>
        <w:t>5</w:t>
      </w:r>
      <w:r w:rsidRPr="00C10A99">
        <w:t xml:space="preserve">. The figures in the four alternative levy calculation options </w:t>
      </w:r>
      <w:r>
        <w:t xml:space="preserve">discussed </w:t>
      </w:r>
      <w:r w:rsidRPr="00C10A99">
        <w:t xml:space="preserve">below should be considered indicative at this stage. </w:t>
      </w:r>
      <w:r>
        <w:t>We</w:t>
      </w:r>
      <w:r w:rsidRPr="00C10A99">
        <w:t xml:space="preserve"> will update them before the Gambling Commission</w:t>
      </w:r>
      <w:r w:rsidR="008303C6">
        <w:t>’</w:t>
      </w:r>
      <w:r w:rsidRPr="00C10A99">
        <w:t>s consultation meeting referred to below.</w:t>
      </w:r>
    </w:p>
    <w:p w14:paraId="4F66523B" w14:textId="77777777" w:rsidR="007B7120" w:rsidRDefault="007B7120" w:rsidP="007B7120"/>
    <w:p w14:paraId="4F66523C" w14:textId="77777777" w:rsidR="00FA6A1F" w:rsidRDefault="00FA6A1F" w:rsidP="007B7120">
      <w:r w:rsidRPr="008C498B">
        <w:t xml:space="preserve">Following consultation, </w:t>
      </w:r>
      <w:r>
        <w:t>we</w:t>
      </w:r>
      <w:r w:rsidRPr="008C498B">
        <w:t xml:space="preserve"> will submit proposed levy rates to </w:t>
      </w:r>
      <w:r>
        <w:t xml:space="preserve">the </w:t>
      </w:r>
      <w:r w:rsidRPr="008C498B">
        <w:t>Ministers of Health and Internal Affairs and to the Gambling Commission. The Gambling Commission may then obtain its own advice</w:t>
      </w:r>
      <w:r>
        <w:t xml:space="preserve"> around the proposed levy rates</w:t>
      </w:r>
      <w:r w:rsidRPr="008C498B">
        <w:t xml:space="preserve"> and will convene a consultation meeting. It will subsequently make recommendations to the responsible Ministers. Cabinet will approve the </w:t>
      </w:r>
      <w:r>
        <w:t xml:space="preserve">strategy, including </w:t>
      </w:r>
      <w:r w:rsidRPr="008C498B">
        <w:t>the Ministry</w:t>
      </w:r>
      <w:r w:rsidR="008303C6">
        <w:t>’</w:t>
      </w:r>
      <w:r w:rsidRPr="008C498B">
        <w:t>s appropriation</w:t>
      </w:r>
      <w:r>
        <w:t>,</w:t>
      </w:r>
      <w:r w:rsidRPr="008C498B">
        <w:t xml:space="preserve"> and endorse </w:t>
      </w:r>
      <w:r>
        <w:t xml:space="preserve">the problem gambling levy regulations, which specifies </w:t>
      </w:r>
      <w:r w:rsidRPr="008C498B">
        <w:t xml:space="preserve">the sectors that will pay the levy and the </w:t>
      </w:r>
      <w:r>
        <w:t xml:space="preserve">decided </w:t>
      </w:r>
      <w:r w:rsidRPr="008C498B">
        <w:t>relevant levy rates.</w:t>
      </w:r>
    </w:p>
    <w:p w14:paraId="4F66523D" w14:textId="77777777" w:rsidR="007B7120" w:rsidRPr="008C498B" w:rsidRDefault="007B7120" w:rsidP="007B7120"/>
    <w:p w14:paraId="4F66523E" w14:textId="77777777" w:rsidR="00FA6A1F" w:rsidRPr="00E0156C" w:rsidRDefault="00FA6A1F" w:rsidP="007B7120">
      <w:pPr>
        <w:pStyle w:val="Heading2"/>
      </w:pPr>
      <w:bookmarkStart w:id="210" w:name="_Toc65389475"/>
      <w:bookmarkStart w:id="211" w:name="_Toc230066536"/>
      <w:bookmarkStart w:id="212" w:name="_Toc329860064"/>
      <w:bookmarkStart w:id="213" w:name="_Toc421026479"/>
      <w:bookmarkStart w:id="214" w:name="_Toc517090913"/>
      <w:bookmarkStart w:id="215" w:name="_Toc530487420"/>
      <w:bookmarkStart w:id="216" w:name="_Toc522089415"/>
      <w:bookmarkStart w:id="217" w:name="_Toc61962073"/>
      <w:bookmarkStart w:id="218" w:name="_Toc71102176"/>
      <w:bookmarkStart w:id="219" w:name="_Toc78882317"/>
      <w:bookmarkStart w:id="220" w:name="_Toc80965861"/>
      <w:r w:rsidRPr="00C10A99">
        <w:lastRenderedPageBreak/>
        <w:t>The levy</w:t>
      </w:r>
      <w:bookmarkEnd w:id="210"/>
      <w:r w:rsidRPr="00C10A99">
        <w:t xml:space="preserve"> formula</w:t>
      </w:r>
      <w:bookmarkEnd w:id="211"/>
      <w:bookmarkEnd w:id="212"/>
      <w:bookmarkEnd w:id="213"/>
      <w:bookmarkEnd w:id="214"/>
      <w:bookmarkEnd w:id="215"/>
      <w:bookmarkEnd w:id="216"/>
      <w:bookmarkEnd w:id="217"/>
      <w:bookmarkEnd w:id="218"/>
      <w:bookmarkEnd w:id="219"/>
      <w:bookmarkEnd w:id="220"/>
    </w:p>
    <w:p w14:paraId="4F66523F" w14:textId="77777777" w:rsidR="00FA6A1F" w:rsidRDefault="00FA6A1F" w:rsidP="007B7120">
      <w:pPr>
        <w:keepNext/>
      </w:pPr>
      <w:r w:rsidRPr="00E312E8">
        <w:t>The formula</w:t>
      </w:r>
      <w:r>
        <w:t xml:space="preserve"> listed</w:t>
      </w:r>
      <w:r w:rsidRPr="00E312E8">
        <w:t xml:space="preserve"> in section 320 of the Act </w:t>
      </w:r>
      <w:r w:rsidR="008303C6">
        <w:t>‘</w:t>
      </w:r>
      <w:r w:rsidRPr="00E312E8">
        <w:t>provides a mechanism for allocating among gambling operators, and collecting from them, the approximate cost</w:t>
      </w:r>
      <w:r w:rsidR="008303C6">
        <w:t>’</w:t>
      </w:r>
      <w:r w:rsidRPr="00E312E8">
        <w:t xml:space="preserve"> of the </w:t>
      </w:r>
      <w:r>
        <w:t>strategy</w:t>
      </w:r>
      <w:r w:rsidRPr="00E312E8">
        <w:t>.</w:t>
      </w:r>
    </w:p>
    <w:p w14:paraId="4F665240" w14:textId="77777777" w:rsidR="007B7120" w:rsidRPr="00E312E8" w:rsidRDefault="007B7120" w:rsidP="007B7120">
      <w:pPr>
        <w:keepNext/>
      </w:pPr>
    </w:p>
    <w:p w14:paraId="4F665241" w14:textId="77777777" w:rsidR="00FA6A1F" w:rsidRPr="00E312E8" w:rsidRDefault="00FA6A1F" w:rsidP="007B7120">
      <w:pPr>
        <w:keepNext/>
      </w:pPr>
      <w:r w:rsidRPr="00E312E8">
        <w:t>The formula is:</w:t>
      </w:r>
    </w:p>
    <w:p w14:paraId="4F665242" w14:textId="77777777" w:rsidR="00FA6A1F" w:rsidRPr="00C10A99" w:rsidRDefault="00FA6A1F" w:rsidP="00FA6A1F">
      <w:pPr>
        <w:keepNext/>
        <w:spacing w:before="120"/>
        <w:ind w:left="567"/>
      </w:pPr>
      <w:r w:rsidRPr="00C10A99">
        <w:t xml:space="preserve">Levy rate for each sector = </w:t>
      </w:r>
      <w:r w:rsidRPr="0088653D">
        <w:rPr>
          <w:u w:val="single"/>
        </w:rPr>
        <w:t>{[</w:t>
      </w:r>
      <w:r>
        <w:rPr>
          <w:u w:val="single"/>
        </w:rPr>
        <w:t>(</w:t>
      </w:r>
      <w:r w:rsidRPr="0088653D">
        <w:rPr>
          <w:u w:val="single"/>
        </w:rPr>
        <w:t>A x W1</w:t>
      </w:r>
      <w:r>
        <w:rPr>
          <w:u w:val="single"/>
        </w:rPr>
        <w:t>)</w:t>
      </w:r>
      <w:r w:rsidRPr="0088653D">
        <w:rPr>
          <w:u w:val="single"/>
        </w:rPr>
        <w:t xml:space="preserve"> + </w:t>
      </w:r>
      <w:r>
        <w:rPr>
          <w:u w:val="single"/>
        </w:rPr>
        <w:t>(</w:t>
      </w:r>
      <w:r w:rsidRPr="0088653D">
        <w:rPr>
          <w:u w:val="single"/>
        </w:rPr>
        <w:t>B x W2</w:t>
      </w:r>
      <w:r>
        <w:rPr>
          <w:u w:val="single"/>
        </w:rPr>
        <w:t>)</w:t>
      </w:r>
      <w:r w:rsidRPr="0088653D">
        <w:rPr>
          <w:u w:val="single"/>
        </w:rPr>
        <w:t>] x C</w:t>
      </w:r>
      <w:r>
        <w:rPr>
          <w:u w:val="single"/>
        </w:rPr>
        <w:t>}</w:t>
      </w:r>
      <w:r w:rsidRPr="0088653D">
        <w:rPr>
          <w:u w:val="single"/>
        </w:rPr>
        <w:t xml:space="preserve"> plus or minus R</w:t>
      </w:r>
    </w:p>
    <w:p w14:paraId="4F665243" w14:textId="77777777" w:rsidR="00FA6A1F" w:rsidRPr="00C10A99" w:rsidRDefault="00FA6A1F" w:rsidP="00FA6A1F">
      <w:pPr>
        <w:keepNext/>
        <w:ind w:left="3600" w:firstLine="720"/>
      </w:pPr>
      <w:r w:rsidRPr="00C10A99">
        <w:t>D</w:t>
      </w:r>
    </w:p>
    <w:p w14:paraId="4F665244" w14:textId="77777777" w:rsidR="00FA6A1F" w:rsidRPr="00C10A99" w:rsidRDefault="00FA6A1F" w:rsidP="00FA6A1F">
      <w:pPr>
        <w:keepNext/>
        <w:ind w:left="567"/>
      </w:pPr>
      <w:r w:rsidRPr="00C10A99">
        <w:t>where:</w:t>
      </w:r>
    </w:p>
    <w:p w14:paraId="4F665245" w14:textId="77777777" w:rsidR="00FA6A1F" w:rsidRPr="00C10A99" w:rsidRDefault="00FA6A1F" w:rsidP="00FA6A1F">
      <w:pPr>
        <w:keepNext/>
        <w:spacing w:before="120"/>
        <w:ind w:left="993" w:hanging="426"/>
      </w:pPr>
      <w:r w:rsidRPr="0091035F">
        <w:rPr>
          <w:b/>
          <w:bCs/>
        </w:rPr>
        <w:t>A</w:t>
      </w:r>
      <w:r w:rsidRPr="00C10A99">
        <w:t xml:space="preserve"> </w:t>
      </w:r>
      <w:r>
        <w:t>=</w:t>
      </w:r>
      <w:r>
        <w:tab/>
      </w:r>
      <w:r w:rsidRPr="00C10A99">
        <w:t xml:space="preserve">the estimated current </w:t>
      </w:r>
      <w:r>
        <w:t xml:space="preserve">player </w:t>
      </w:r>
      <w:r w:rsidRPr="00C10A99">
        <w:t>expenditure in a sector divided by the total estimated current player expenditure in all sectors</w:t>
      </w:r>
      <w:r>
        <w:t xml:space="preserve"> that are</w:t>
      </w:r>
      <w:r w:rsidRPr="00C10A99">
        <w:t xml:space="preserve"> subject to the levy</w:t>
      </w:r>
    </w:p>
    <w:p w14:paraId="4F665246" w14:textId="77777777" w:rsidR="00FA6A1F" w:rsidRPr="00C10A99" w:rsidRDefault="00FA6A1F" w:rsidP="00FA6A1F">
      <w:pPr>
        <w:keepLines/>
        <w:spacing w:before="120"/>
        <w:ind w:left="992" w:hanging="425"/>
      </w:pPr>
      <w:r w:rsidRPr="0091035F">
        <w:rPr>
          <w:b/>
          <w:bCs/>
        </w:rPr>
        <w:t>B</w:t>
      </w:r>
      <w:r w:rsidRPr="00C10A99">
        <w:t xml:space="preserve"> =</w:t>
      </w:r>
      <w:r>
        <w:tab/>
      </w:r>
      <w:r w:rsidRPr="00C10A99">
        <w:t>the number of customer presentations to problem gambling services that can be attributed to gambling in a sector divided by the total number of customer presentations to problem gambling services in which a sector that is subject to the levy can be identified</w:t>
      </w:r>
    </w:p>
    <w:p w14:paraId="4F665247" w14:textId="77777777" w:rsidR="00FA6A1F" w:rsidRPr="00C10A99" w:rsidRDefault="00FA6A1F" w:rsidP="00FA6A1F">
      <w:pPr>
        <w:spacing w:before="120"/>
        <w:ind w:left="992" w:hanging="425"/>
      </w:pPr>
      <w:r w:rsidRPr="0091035F">
        <w:rPr>
          <w:b/>
          <w:bCs/>
        </w:rPr>
        <w:t>C</w:t>
      </w:r>
      <w:r w:rsidRPr="00C10A99">
        <w:t xml:space="preserve"> =</w:t>
      </w:r>
      <w:r>
        <w:tab/>
      </w:r>
      <w:r w:rsidRPr="00C10A99">
        <w:t>the funding requirement for the period for which the levy is payable</w:t>
      </w:r>
    </w:p>
    <w:p w14:paraId="4F665248" w14:textId="77777777" w:rsidR="00FA6A1F" w:rsidRPr="00C10A99" w:rsidRDefault="00FA6A1F" w:rsidP="00FA6A1F">
      <w:pPr>
        <w:spacing w:before="120"/>
        <w:ind w:left="993" w:hanging="426"/>
      </w:pPr>
      <w:r w:rsidRPr="0091035F">
        <w:rPr>
          <w:b/>
          <w:bCs/>
        </w:rPr>
        <w:t>D</w:t>
      </w:r>
      <w:r w:rsidRPr="00C10A99">
        <w:t xml:space="preserve"> =</w:t>
      </w:r>
      <w:r>
        <w:tab/>
      </w:r>
      <w:r w:rsidRPr="00C10A99">
        <w:t xml:space="preserve">the forecast player expenditure in a sector for the period </w:t>
      </w:r>
      <w:r>
        <w:t>during</w:t>
      </w:r>
      <w:r w:rsidRPr="00C10A99">
        <w:t xml:space="preserve"> which the levy is payable</w:t>
      </w:r>
    </w:p>
    <w:p w14:paraId="4F665249" w14:textId="77777777" w:rsidR="00FA6A1F" w:rsidRDefault="00FA6A1F" w:rsidP="00FA6A1F">
      <w:pPr>
        <w:spacing w:before="120"/>
        <w:ind w:left="993" w:hanging="426"/>
      </w:pPr>
      <w:r w:rsidRPr="0091035F">
        <w:rPr>
          <w:b/>
          <w:bCs/>
        </w:rPr>
        <w:t>R</w:t>
      </w:r>
      <w:r w:rsidRPr="0091035F">
        <w:rPr>
          <w:bCs/>
        </w:rPr>
        <w:t xml:space="preserve"> =</w:t>
      </w:r>
      <w:r>
        <w:rPr>
          <w:bCs/>
        </w:rPr>
        <w:tab/>
      </w:r>
      <w:r w:rsidRPr="0091035F">
        <w:rPr>
          <w:bCs/>
        </w:rPr>
        <w:t>the estimated under-</w:t>
      </w:r>
      <w:r>
        <w:rPr>
          <w:bCs/>
        </w:rPr>
        <w:t xml:space="preserve"> </w:t>
      </w:r>
      <w:r w:rsidRPr="0091035F">
        <w:rPr>
          <w:bCs/>
        </w:rPr>
        <w:t>or over-recovery of levy from a sector in the previous levy periods</w:t>
      </w:r>
      <w:r w:rsidRPr="007B7120">
        <w:rPr>
          <w:rStyle w:val="FootnoteReference"/>
          <w:rFonts w:eastAsia="MS Gothic"/>
        </w:rPr>
        <w:footnoteReference w:id="18"/>
      </w:r>
    </w:p>
    <w:p w14:paraId="4F66524A" w14:textId="77777777" w:rsidR="00FA6A1F" w:rsidRPr="00C10A99" w:rsidRDefault="00FA6A1F" w:rsidP="00FA6A1F">
      <w:pPr>
        <w:spacing w:before="120"/>
        <w:ind w:left="993" w:hanging="426"/>
      </w:pPr>
      <w:r w:rsidRPr="006F2732">
        <w:rPr>
          <w:b/>
          <w:bCs/>
        </w:rPr>
        <w:t>W1</w:t>
      </w:r>
      <w:r w:rsidRPr="006F2732">
        <w:t xml:space="preserve"> and </w:t>
      </w:r>
      <w:r w:rsidRPr="006F2732">
        <w:rPr>
          <w:b/>
          <w:bCs/>
        </w:rPr>
        <w:t>W2</w:t>
      </w:r>
      <w:r w:rsidRPr="007B2B87">
        <w:rPr>
          <w:vertAlign w:val="subscript"/>
        </w:rPr>
        <w:t xml:space="preserve"> </w:t>
      </w:r>
      <w:r w:rsidRPr="00C10A99">
        <w:t>are weights, the sum of which is 1.</w:t>
      </w:r>
    </w:p>
    <w:p w14:paraId="4F66524B" w14:textId="77777777" w:rsidR="007B7120" w:rsidRDefault="007B7120" w:rsidP="007B7120"/>
    <w:p w14:paraId="4F66524C" w14:textId="77777777" w:rsidR="00FA6A1F" w:rsidRDefault="00FA6A1F" w:rsidP="007B7120">
      <w:r w:rsidRPr="00C10A99">
        <w:t>The top line of the formula determines the dollar amount to be paid by each sector</w:t>
      </w:r>
      <w:r>
        <w:t xml:space="preserve"> as its share of the total levy amount, taking into account any over- or under-recovery in previous levy periods.</w:t>
      </w:r>
    </w:p>
    <w:p w14:paraId="4F66524D" w14:textId="77777777" w:rsidR="007B7120" w:rsidRDefault="007B7120" w:rsidP="007B7120"/>
    <w:p w14:paraId="4F66524E" w14:textId="77777777" w:rsidR="008303C6" w:rsidRDefault="00FA6A1F" w:rsidP="007B7120">
      <w:r w:rsidRPr="00C10A99">
        <w:t xml:space="preserve">The bottom line of the formula </w:t>
      </w:r>
      <w:r>
        <w:t>(</w:t>
      </w:r>
      <w:r w:rsidRPr="00C672E2">
        <w:rPr>
          <w:b/>
        </w:rPr>
        <w:t>D</w:t>
      </w:r>
      <w:r>
        <w:t xml:space="preserve">, forecast player expenditure in the sector) </w:t>
      </w:r>
      <w:r w:rsidRPr="00C10A99">
        <w:t>determines the levy rate that is necessary for a sector to pay its required contribution</w:t>
      </w:r>
      <w:r>
        <w:t xml:space="preserve"> (the dollar amount) determined by the top line of the formula</w:t>
      </w:r>
      <w:r w:rsidRPr="00C10A99">
        <w:t>.</w:t>
      </w:r>
    </w:p>
    <w:p w14:paraId="4F66524F" w14:textId="77777777" w:rsidR="007B7120" w:rsidRDefault="007B7120" w:rsidP="007B7120"/>
    <w:p w14:paraId="4F665250" w14:textId="77777777" w:rsidR="008303C6" w:rsidRDefault="00FA6A1F" w:rsidP="007B7120">
      <w:r>
        <w:t>All other things being equal, the higher the forecast player expenditure for a sector, the lower that sector</w:t>
      </w:r>
      <w:r w:rsidR="008303C6">
        <w:t>’</w:t>
      </w:r>
      <w:r>
        <w:t>s levy rate will be. Player expenditure for each sector is defined in section 320(3) of the Act. For example, each levy rate is the amount per dollar of player expenditure a sector must pay. A rate of 0.85 means a sector must pay 0.85 cents for every dollar of player expenditure in the levy period to which the rate applies.</w:t>
      </w:r>
    </w:p>
    <w:p w14:paraId="4F665251" w14:textId="77777777" w:rsidR="007B7120" w:rsidRDefault="007B7120" w:rsidP="007B7120"/>
    <w:p w14:paraId="4F665252" w14:textId="77777777" w:rsidR="00FA6A1F" w:rsidRPr="00C10A99" w:rsidRDefault="00FA6A1F" w:rsidP="007B7120">
      <w:pPr>
        <w:pStyle w:val="Heading3"/>
      </w:pPr>
      <w:bookmarkStart w:id="221" w:name="_Toc65389476"/>
      <w:bookmarkStart w:id="222" w:name="_Toc71102177"/>
      <w:bookmarkStart w:id="223" w:name="_Toc78882318"/>
      <w:r w:rsidRPr="00C10A99">
        <w:lastRenderedPageBreak/>
        <w:t>Estimated current player expenditure</w:t>
      </w:r>
      <w:bookmarkEnd w:id="221"/>
      <w:r w:rsidRPr="00C10A99">
        <w:t xml:space="preserve"> (A)</w:t>
      </w:r>
      <w:bookmarkEnd w:id="222"/>
      <w:bookmarkEnd w:id="223"/>
    </w:p>
    <w:p w14:paraId="4F665253" w14:textId="77777777" w:rsidR="00FA6A1F" w:rsidRPr="008B65B1" w:rsidRDefault="00FA6A1F" w:rsidP="007B7120">
      <w:pPr>
        <w:keepLines/>
      </w:pPr>
      <w:bookmarkStart w:id="224" w:name="_Toc422409758"/>
      <w:bookmarkStart w:id="225" w:name="_Toc422840825"/>
      <w:r w:rsidRPr="008B65B1">
        <w:t>The formula in the Act requires the levy rate calculation take into account the latest, most reliable and most appropriate sources of information</w:t>
      </w:r>
      <w:r>
        <w:t>.</w:t>
      </w:r>
      <w:r w:rsidRPr="008B65B1">
        <w:t xml:space="preserve"> The Ministry will use 2020/21 data</w:t>
      </w:r>
      <w:r>
        <w:t>,</w:t>
      </w:r>
      <w:r w:rsidRPr="008B65B1">
        <w:t xml:space="preserve"> if available</w:t>
      </w:r>
      <w:r>
        <w:t>,</w:t>
      </w:r>
      <w:r w:rsidRPr="008B65B1">
        <w:t xml:space="preserve"> for the final </w:t>
      </w:r>
      <w:r>
        <w:t>strategy</w:t>
      </w:r>
      <w:r w:rsidRPr="008B65B1">
        <w:t xml:space="preserve"> document and levy calculations, but these were not available at the time of preparing th</w:t>
      </w:r>
      <w:r>
        <w:t xml:space="preserve">is draft strategy </w:t>
      </w:r>
      <w:r w:rsidRPr="008B65B1">
        <w:t>consultation</w:t>
      </w:r>
      <w:r>
        <w:t xml:space="preserve"> </w:t>
      </w:r>
      <w:r w:rsidRPr="008B65B1">
        <w:t>document</w:t>
      </w:r>
      <w:r>
        <w:t>.</w:t>
      </w:r>
    </w:p>
    <w:p w14:paraId="4F665254" w14:textId="77777777" w:rsidR="007B7120" w:rsidRDefault="007B7120" w:rsidP="007B7120"/>
    <w:p w14:paraId="4F665255" w14:textId="77777777" w:rsidR="00FA6A1F" w:rsidRDefault="00FA6A1F" w:rsidP="007B7120">
      <w:r>
        <w:t xml:space="preserve">The </w:t>
      </w:r>
      <w:r w:rsidRPr="00C10A99">
        <w:t>DIA has estimated current player expenditure using a variety of</w:t>
      </w:r>
      <w:r>
        <w:t xml:space="preserve"> </w:t>
      </w:r>
      <w:r w:rsidRPr="00C10A99">
        <w:t>sources of information, including its</w:t>
      </w:r>
      <w:r>
        <w:t xml:space="preserve"> </w:t>
      </w:r>
      <w:r w:rsidRPr="00C10A99">
        <w:t>NCGM electronic monitoring system</w:t>
      </w:r>
      <w:r>
        <w:t xml:space="preserve"> (EMS)</w:t>
      </w:r>
      <w:r w:rsidRPr="00C10A99">
        <w:t>, gambling operators</w:t>
      </w:r>
      <w:r w:rsidR="008303C6">
        <w:t>’</w:t>
      </w:r>
      <w:r w:rsidRPr="00C10A99">
        <w:t xml:space="preserve"> annual and half-yearly reports and information from</w:t>
      </w:r>
      <w:r>
        <w:t xml:space="preserve"> the Inland Revenue Department (</w:t>
      </w:r>
      <w:r w:rsidRPr="00C10A99">
        <w:t>IRD</w:t>
      </w:r>
      <w:r>
        <w:t>)</w:t>
      </w:r>
      <w:r w:rsidRPr="00C10A99">
        <w:t>.</w:t>
      </w:r>
      <w:r w:rsidRPr="007B7120">
        <w:rPr>
          <w:rStyle w:val="FootnoteReference"/>
          <w:rFonts w:eastAsia="MS Gothic"/>
        </w:rPr>
        <w:footnoteReference w:id="19"/>
      </w:r>
      <w:r w:rsidRPr="00E312E8">
        <w:t xml:space="preserve"> Other data on gambling expenditure </w:t>
      </w:r>
      <w:r>
        <w:t xml:space="preserve">is </w:t>
      </w:r>
      <w:r w:rsidRPr="00E312E8">
        <w:t>available on DIA</w:t>
      </w:r>
      <w:r w:rsidR="008303C6">
        <w:t>’</w:t>
      </w:r>
      <w:r>
        <w:t>s</w:t>
      </w:r>
      <w:r w:rsidRPr="00E312E8">
        <w:t xml:space="preserve"> </w:t>
      </w:r>
      <w:r w:rsidRPr="002B3CBB">
        <w:t>website (</w:t>
      </w:r>
      <w:hyperlink r:id="rId40" w:history="1">
        <w:r w:rsidRPr="0003777A">
          <w:rPr>
            <w:rStyle w:val="Hyperlink"/>
            <w:rFonts w:eastAsia="MS Gothic"/>
          </w:rPr>
          <w:t>www.dia.govt.nz</w:t>
        </w:r>
      </w:hyperlink>
      <w:r w:rsidRPr="002B3CBB">
        <w:t>).</w:t>
      </w:r>
    </w:p>
    <w:p w14:paraId="4F665256" w14:textId="77777777" w:rsidR="007B7120" w:rsidRDefault="007B7120" w:rsidP="007B7120"/>
    <w:p w14:paraId="4F665257" w14:textId="6E042CC3" w:rsidR="00FA6A1F" w:rsidRDefault="00FA6A1F" w:rsidP="007B7120">
      <w:r w:rsidRPr="007269AE">
        <w:t>Pla</w:t>
      </w:r>
      <w:r>
        <w:t xml:space="preserve">yer expenditure by the four main gambling sectors for the eight years up to 2019/20 is shown in </w:t>
      </w:r>
      <w:r w:rsidR="007B7120">
        <w:fldChar w:fldCharType="begin"/>
      </w:r>
      <w:r w:rsidR="007B7120">
        <w:instrText xml:space="preserve"> REF _Ref80794409 \h </w:instrText>
      </w:r>
      <w:r w:rsidR="007B7120">
        <w:fldChar w:fldCharType="separate"/>
      </w:r>
      <w:r w:rsidR="00F65B3A">
        <w:t>Table </w:t>
      </w:r>
      <w:r w:rsidR="00F65B3A">
        <w:rPr>
          <w:noProof/>
        </w:rPr>
        <w:t>9</w:t>
      </w:r>
      <w:r w:rsidR="007B7120">
        <w:fldChar w:fldCharType="end"/>
      </w:r>
      <w:r w:rsidRPr="00CC7B1E">
        <w:t xml:space="preserve"> </w:t>
      </w:r>
      <w:r>
        <w:t>below.</w:t>
      </w:r>
    </w:p>
    <w:p w14:paraId="4F665258" w14:textId="77777777" w:rsidR="007B7120" w:rsidRDefault="007B7120" w:rsidP="007B7120"/>
    <w:p w14:paraId="4F665259" w14:textId="10B01DCC" w:rsidR="00FA6A1F" w:rsidRPr="00440704" w:rsidRDefault="007B7120" w:rsidP="007B7120">
      <w:pPr>
        <w:pStyle w:val="Table"/>
      </w:pPr>
      <w:bookmarkStart w:id="226" w:name="_Ref80794409"/>
      <w:bookmarkStart w:id="227" w:name="_Toc517091244"/>
      <w:bookmarkStart w:id="228" w:name="_Toc522089448"/>
      <w:bookmarkStart w:id="229" w:name="_Toc80860353"/>
      <w:r>
        <w:t>Table </w:t>
      </w:r>
      <w:fldSimple w:instr=" SEQ Table \* ARABIC ">
        <w:r w:rsidR="00F65B3A">
          <w:rPr>
            <w:noProof/>
          </w:rPr>
          <w:t>9</w:t>
        </w:r>
      </w:fldSimple>
      <w:bookmarkEnd w:id="226"/>
      <w:r w:rsidR="00FA6A1F" w:rsidRPr="00440704">
        <w:t xml:space="preserve">: Gambling </w:t>
      </w:r>
      <w:r w:rsidR="00FA6A1F" w:rsidRPr="00ED3213">
        <w:t>expenditure</w:t>
      </w:r>
      <w:r w:rsidR="00FA6A1F" w:rsidRPr="00440704">
        <w:t xml:space="preserve"> and proportions from the four main </w:t>
      </w:r>
      <w:r w:rsidR="00FA6A1F">
        <w:t>gambling</w:t>
      </w:r>
      <w:r w:rsidR="00FA6A1F" w:rsidRPr="00440704">
        <w:t xml:space="preserve"> sectors, 2009/10 to 2019/</w:t>
      </w:r>
      <w:bookmarkEnd w:id="227"/>
      <w:bookmarkEnd w:id="228"/>
      <w:r w:rsidR="00FA6A1F" w:rsidRPr="00440704">
        <w:t>20</w:t>
      </w:r>
      <w:bookmarkEnd w:id="229"/>
    </w:p>
    <w:tbl>
      <w:tblPr>
        <w:tblW w:w="4931" w:type="pct"/>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043"/>
        <w:gridCol w:w="760"/>
        <w:gridCol w:w="762"/>
        <w:gridCol w:w="760"/>
        <w:gridCol w:w="762"/>
        <w:gridCol w:w="762"/>
        <w:gridCol w:w="760"/>
        <w:gridCol w:w="762"/>
        <w:gridCol w:w="762"/>
        <w:gridCol w:w="835"/>
      </w:tblGrid>
      <w:tr w:rsidR="00FA6A1F" w:rsidRPr="007B7120" w14:paraId="4F665260" w14:textId="77777777" w:rsidTr="007B7120">
        <w:trPr>
          <w:cantSplit/>
        </w:trPr>
        <w:tc>
          <w:tcPr>
            <w:tcW w:w="655" w:type="pct"/>
            <w:vMerge w:val="restart"/>
            <w:tcBorders>
              <w:top w:val="nil"/>
              <w:bottom w:val="nil"/>
              <w:right w:val="single" w:sz="4" w:space="0" w:color="A6A6A6" w:themeColor="background1" w:themeShade="A6"/>
            </w:tcBorders>
            <w:shd w:val="clear" w:color="auto" w:fill="D9D9D9" w:themeFill="background1" w:themeFillShade="D9"/>
            <w:vAlign w:val="bottom"/>
          </w:tcPr>
          <w:p w14:paraId="4F66525A" w14:textId="77777777" w:rsidR="00FA6A1F" w:rsidRPr="007B7120" w:rsidRDefault="00FA6A1F" w:rsidP="007B7120">
            <w:pPr>
              <w:pStyle w:val="TableText"/>
              <w:rPr>
                <w:b/>
              </w:rPr>
            </w:pPr>
            <w:r w:rsidRPr="007B7120">
              <w:rPr>
                <w:b/>
              </w:rPr>
              <w:t>Year</w:t>
            </w:r>
          </w:p>
        </w:tc>
        <w:tc>
          <w:tcPr>
            <w:tcW w:w="955" w:type="pct"/>
            <w:gridSpan w:val="2"/>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tcPr>
          <w:p w14:paraId="4F66525B" w14:textId="77777777" w:rsidR="00FA6A1F" w:rsidRPr="007B7120" w:rsidRDefault="00FA6A1F" w:rsidP="007B7120">
            <w:pPr>
              <w:pStyle w:val="TableText"/>
              <w:spacing w:after="0"/>
              <w:jc w:val="center"/>
              <w:rPr>
                <w:b/>
              </w:rPr>
            </w:pPr>
            <w:r w:rsidRPr="007B7120">
              <w:rPr>
                <w:b/>
              </w:rPr>
              <w:t>NCGMs</w:t>
            </w:r>
          </w:p>
        </w:tc>
        <w:tc>
          <w:tcPr>
            <w:tcW w:w="955" w:type="pct"/>
            <w:gridSpan w:val="2"/>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tcPr>
          <w:p w14:paraId="4F66525C" w14:textId="77777777" w:rsidR="00FA6A1F" w:rsidRPr="007B7120" w:rsidRDefault="00FA6A1F" w:rsidP="007B7120">
            <w:pPr>
              <w:pStyle w:val="TableText"/>
              <w:spacing w:after="0"/>
              <w:jc w:val="center"/>
              <w:rPr>
                <w:b/>
              </w:rPr>
            </w:pPr>
            <w:r w:rsidRPr="007B7120">
              <w:rPr>
                <w:b/>
              </w:rPr>
              <w:t>Casinos</w:t>
            </w:r>
          </w:p>
        </w:tc>
        <w:tc>
          <w:tcPr>
            <w:tcW w:w="955" w:type="pct"/>
            <w:gridSpan w:val="2"/>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tcPr>
          <w:p w14:paraId="4F66525D" w14:textId="77777777" w:rsidR="00FA6A1F" w:rsidRPr="007B7120" w:rsidRDefault="00FA6A1F" w:rsidP="007B7120">
            <w:pPr>
              <w:pStyle w:val="TableText"/>
              <w:spacing w:after="0"/>
              <w:jc w:val="center"/>
              <w:rPr>
                <w:b/>
              </w:rPr>
            </w:pPr>
            <w:r w:rsidRPr="007B7120">
              <w:rPr>
                <w:b/>
              </w:rPr>
              <w:t>TAB NZ</w:t>
            </w:r>
          </w:p>
        </w:tc>
        <w:tc>
          <w:tcPr>
            <w:tcW w:w="955" w:type="pct"/>
            <w:gridSpan w:val="2"/>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tcPr>
          <w:p w14:paraId="4F66525E" w14:textId="77777777" w:rsidR="00FA6A1F" w:rsidRPr="007B7120" w:rsidRDefault="00FA6A1F" w:rsidP="007B7120">
            <w:pPr>
              <w:pStyle w:val="TableText"/>
              <w:spacing w:after="0"/>
              <w:jc w:val="center"/>
              <w:rPr>
                <w:b/>
              </w:rPr>
            </w:pPr>
            <w:r w:rsidRPr="007B7120">
              <w:rPr>
                <w:b/>
              </w:rPr>
              <w:t>Lotto New Zealand</w:t>
            </w:r>
          </w:p>
        </w:tc>
        <w:tc>
          <w:tcPr>
            <w:tcW w:w="525" w:type="pct"/>
            <w:tcBorders>
              <w:top w:val="nil"/>
              <w:left w:val="single" w:sz="4" w:space="0" w:color="A6A6A6" w:themeColor="background1" w:themeShade="A6"/>
              <w:bottom w:val="nil"/>
            </w:tcBorders>
            <w:shd w:val="clear" w:color="auto" w:fill="D9D9D9" w:themeFill="background1" w:themeFillShade="D9"/>
          </w:tcPr>
          <w:p w14:paraId="4F66525F" w14:textId="77777777" w:rsidR="00FA6A1F" w:rsidRPr="007B7120" w:rsidRDefault="00FA6A1F" w:rsidP="007B7120">
            <w:pPr>
              <w:pStyle w:val="TableText"/>
              <w:spacing w:after="0"/>
              <w:jc w:val="center"/>
              <w:rPr>
                <w:b/>
              </w:rPr>
            </w:pPr>
            <w:r w:rsidRPr="007B7120">
              <w:rPr>
                <w:b/>
              </w:rPr>
              <w:t>Total</w:t>
            </w:r>
          </w:p>
        </w:tc>
      </w:tr>
      <w:tr w:rsidR="00FA6A1F" w:rsidRPr="007B7120" w14:paraId="4F66526B" w14:textId="77777777" w:rsidTr="007B7120">
        <w:trPr>
          <w:cantSplit/>
        </w:trPr>
        <w:tc>
          <w:tcPr>
            <w:tcW w:w="655" w:type="pct"/>
            <w:vMerge/>
            <w:tcBorders>
              <w:top w:val="nil"/>
              <w:bottom w:val="nil"/>
              <w:right w:val="single" w:sz="4" w:space="0" w:color="A6A6A6" w:themeColor="background1" w:themeShade="A6"/>
            </w:tcBorders>
            <w:shd w:val="clear" w:color="auto" w:fill="D9D9D9" w:themeFill="background1" w:themeFillShade="D9"/>
          </w:tcPr>
          <w:p w14:paraId="4F665261" w14:textId="77777777" w:rsidR="00FA6A1F" w:rsidRPr="007B7120" w:rsidRDefault="00FA6A1F" w:rsidP="007B7120">
            <w:pPr>
              <w:pStyle w:val="TableText"/>
              <w:rPr>
                <w:b/>
              </w:rPr>
            </w:pPr>
          </w:p>
        </w:tc>
        <w:tc>
          <w:tcPr>
            <w:tcW w:w="477" w:type="pct"/>
            <w:tcBorders>
              <w:top w:val="nil"/>
              <w:left w:val="single" w:sz="4" w:space="0" w:color="A6A6A6" w:themeColor="background1" w:themeShade="A6"/>
              <w:bottom w:val="nil"/>
            </w:tcBorders>
            <w:shd w:val="clear" w:color="auto" w:fill="D9D9D9" w:themeFill="background1" w:themeFillShade="D9"/>
          </w:tcPr>
          <w:p w14:paraId="4F665262" w14:textId="77777777" w:rsidR="00FA6A1F" w:rsidRPr="007B7120" w:rsidRDefault="00FA6A1F" w:rsidP="007B7120">
            <w:pPr>
              <w:pStyle w:val="TableText"/>
              <w:spacing w:before="0"/>
              <w:jc w:val="center"/>
              <w:rPr>
                <w:b/>
              </w:rPr>
            </w:pPr>
            <w:r w:rsidRPr="007B7120">
              <w:rPr>
                <w:b/>
              </w:rPr>
              <w:t>$m</w:t>
            </w:r>
          </w:p>
        </w:tc>
        <w:tc>
          <w:tcPr>
            <w:tcW w:w="478" w:type="pct"/>
            <w:tcBorders>
              <w:top w:val="nil"/>
              <w:bottom w:val="nil"/>
              <w:right w:val="single" w:sz="4" w:space="0" w:color="A6A6A6" w:themeColor="background1" w:themeShade="A6"/>
            </w:tcBorders>
            <w:shd w:val="clear" w:color="auto" w:fill="D9D9D9" w:themeFill="background1" w:themeFillShade="D9"/>
          </w:tcPr>
          <w:p w14:paraId="4F665263" w14:textId="77777777" w:rsidR="00FA6A1F" w:rsidRPr="007B7120" w:rsidRDefault="00FA6A1F" w:rsidP="007B7120">
            <w:pPr>
              <w:pStyle w:val="TableText"/>
              <w:spacing w:before="0"/>
              <w:jc w:val="center"/>
              <w:rPr>
                <w:b/>
              </w:rPr>
            </w:pPr>
            <w:r w:rsidRPr="007B7120">
              <w:rPr>
                <w:b/>
              </w:rPr>
              <w:t>%</w:t>
            </w:r>
          </w:p>
        </w:tc>
        <w:tc>
          <w:tcPr>
            <w:tcW w:w="477" w:type="pct"/>
            <w:tcBorders>
              <w:top w:val="nil"/>
              <w:left w:val="single" w:sz="4" w:space="0" w:color="A6A6A6" w:themeColor="background1" w:themeShade="A6"/>
              <w:bottom w:val="nil"/>
            </w:tcBorders>
            <w:shd w:val="clear" w:color="auto" w:fill="D9D9D9" w:themeFill="background1" w:themeFillShade="D9"/>
          </w:tcPr>
          <w:p w14:paraId="4F665264" w14:textId="77777777" w:rsidR="00FA6A1F" w:rsidRPr="007B7120" w:rsidRDefault="00FA6A1F" w:rsidP="007B7120">
            <w:pPr>
              <w:pStyle w:val="TableText"/>
              <w:spacing w:before="0"/>
              <w:jc w:val="center"/>
              <w:rPr>
                <w:b/>
              </w:rPr>
            </w:pPr>
            <w:r w:rsidRPr="007B7120">
              <w:rPr>
                <w:b/>
              </w:rPr>
              <w:t>$m</w:t>
            </w:r>
          </w:p>
        </w:tc>
        <w:tc>
          <w:tcPr>
            <w:tcW w:w="478" w:type="pct"/>
            <w:tcBorders>
              <w:top w:val="nil"/>
              <w:bottom w:val="nil"/>
              <w:right w:val="single" w:sz="4" w:space="0" w:color="A6A6A6" w:themeColor="background1" w:themeShade="A6"/>
            </w:tcBorders>
            <w:shd w:val="clear" w:color="auto" w:fill="D9D9D9" w:themeFill="background1" w:themeFillShade="D9"/>
          </w:tcPr>
          <w:p w14:paraId="4F665265" w14:textId="77777777" w:rsidR="00FA6A1F" w:rsidRPr="007B7120" w:rsidRDefault="00FA6A1F" w:rsidP="007B7120">
            <w:pPr>
              <w:pStyle w:val="TableText"/>
              <w:spacing w:before="0"/>
              <w:jc w:val="center"/>
              <w:rPr>
                <w:b/>
              </w:rPr>
            </w:pPr>
            <w:r w:rsidRPr="007B7120">
              <w:rPr>
                <w:b/>
              </w:rPr>
              <w:t>%</w:t>
            </w:r>
          </w:p>
        </w:tc>
        <w:tc>
          <w:tcPr>
            <w:tcW w:w="478" w:type="pct"/>
            <w:tcBorders>
              <w:top w:val="nil"/>
              <w:left w:val="single" w:sz="4" w:space="0" w:color="A6A6A6" w:themeColor="background1" w:themeShade="A6"/>
              <w:bottom w:val="nil"/>
            </w:tcBorders>
            <w:shd w:val="clear" w:color="auto" w:fill="D9D9D9" w:themeFill="background1" w:themeFillShade="D9"/>
          </w:tcPr>
          <w:p w14:paraId="4F665266" w14:textId="77777777" w:rsidR="00FA6A1F" w:rsidRPr="007B7120" w:rsidRDefault="00FA6A1F" w:rsidP="007B7120">
            <w:pPr>
              <w:pStyle w:val="TableText"/>
              <w:spacing w:before="0"/>
              <w:jc w:val="center"/>
              <w:rPr>
                <w:b/>
              </w:rPr>
            </w:pPr>
            <w:r w:rsidRPr="007B7120">
              <w:rPr>
                <w:b/>
              </w:rPr>
              <w:t>$m</w:t>
            </w:r>
          </w:p>
        </w:tc>
        <w:tc>
          <w:tcPr>
            <w:tcW w:w="477" w:type="pct"/>
            <w:tcBorders>
              <w:top w:val="nil"/>
              <w:bottom w:val="nil"/>
              <w:right w:val="single" w:sz="4" w:space="0" w:color="A6A6A6" w:themeColor="background1" w:themeShade="A6"/>
            </w:tcBorders>
            <w:shd w:val="clear" w:color="auto" w:fill="D9D9D9" w:themeFill="background1" w:themeFillShade="D9"/>
          </w:tcPr>
          <w:p w14:paraId="4F665267" w14:textId="77777777" w:rsidR="00FA6A1F" w:rsidRPr="007B7120" w:rsidRDefault="00FA6A1F" w:rsidP="007B7120">
            <w:pPr>
              <w:pStyle w:val="TableText"/>
              <w:spacing w:before="0"/>
              <w:jc w:val="center"/>
              <w:rPr>
                <w:b/>
              </w:rPr>
            </w:pPr>
            <w:r w:rsidRPr="007B7120">
              <w:rPr>
                <w:b/>
              </w:rPr>
              <w:t>%</w:t>
            </w:r>
          </w:p>
        </w:tc>
        <w:tc>
          <w:tcPr>
            <w:tcW w:w="478" w:type="pct"/>
            <w:tcBorders>
              <w:top w:val="nil"/>
              <w:left w:val="single" w:sz="4" w:space="0" w:color="A6A6A6" w:themeColor="background1" w:themeShade="A6"/>
              <w:bottom w:val="nil"/>
            </w:tcBorders>
            <w:shd w:val="clear" w:color="auto" w:fill="D9D9D9" w:themeFill="background1" w:themeFillShade="D9"/>
          </w:tcPr>
          <w:p w14:paraId="4F665268" w14:textId="77777777" w:rsidR="00FA6A1F" w:rsidRPr="007B7120" w:rsidRDefault="00FA6A1F" w:rsidP="007B7120">
            <w:pPr>
              <w:pStyle w:val="TableText"/>
              <w:spacing w:before="0"/>
              <w:jc w:val="center"/>
              <w:rPr>
                <w:b/>
              </w:rPr>
            </w:pPr>
            <w:r w:rsidRPr="007B7120">
              <w:rPr>
                <w:b/>
              </w:rPr>
              <w:t>$m</w:t>
            </w:r>
          </w:p>
        </w:tc>
        <w:tc>
          <w:tcPr>
            <w:tcW w:w="478" w:type="pct"/>
            <w:tcBorders>
              <w:top w:val="nil"/>
              <w:bottom w:val="nil"/>
              <w:right w:val="single" w:sz="4" w:space="0" w:color="A6A6A6" w:themeColor="background1" w:themeShade="A6"/>
            </w:tcBorders>
            <w:shd w:val="clear" w:color="auto" w:fill="D9D9D9" w:themeFill="background1" w:themeFillShade="D9"/>
          </w:tcPr>
          <w:p w14:paraId="4F665269" w14:textId="77777777" w:rsidR="00FA6A1F" w:rsidRPr="007B7120" w:rsidRDefault="00FA6A1F" w:rsidP="007B7120">
            <w:pPr>
              <w:pStyle w:val="TableText"/>
              <w:spacing w:before="0"/>
              <w:jc w:val="center"/>
              <w:rPr>
                <w:b/>
              </w:rPr>
            </w:pPr>
            <w:r w:rsidRPr="007B7120">
              <w:rPr>
                <w:b/>
              </w:rPr>
              <w:t>%</w:t>
            </w:r>
          </w:p>
        </w:tc>
        <w:tc>
          <w:tcPr>
            <w:tcW w:w="525" w:type="pct"/>
            <w:tcBorders>
              <w:top w:val="nil"/>
              <w:left w:val="single" w:sz="4" w:space="0" w:color="A6A6A6" w:themeColor="background1" w:themeShade="A6"/>
              <w:bottom w:val="nil"/>
            </w:tcBorders>
            <w:shd w:val="clear" w:color="auto" w:fill="D9D9D9" w:themeFill="background1" w:themeFillShade="D9"/>
          </w:tcPr>
          <w:p w14:paraId="4F66526A" w14:textId="77777777" w:rsidR="00FA6A1F" w:rsidRPr="007B7120" w:rsidRDefault="00FA6A1F" w:rsidP="007B7120">
            <w:pPr>
              <w:pStyle w:val="TableText"/>
              <w:spacing w:before="0"/>
              <w:jc w:val="center"/>
              <w:rPr>
                <w:b/>
              </w:rPr>
            </w:pPr>
            <w:r w:rsidRPr="007B7120">
              <w:rPr>
                <w:b/>
              </w:rPr>
              <w:t>$m</w:t>
            </w:r>
          </w:p>
        </w:tc>
      </w:tr>
      <w:tr w:rsidR="00FA6A1F" w:rsidRPr="002B3CBB" w14:paraId="4F665276" w14:textId="77777777" w:rsidTr="007B7120">
        <w:trPr>
          <w:cantSplit/>
        </w:trPr>
        <w:tc>
          <w:tcPr>
            <w:tcW w:w="655" w:type="pct"/>
            <w:tcBorders>
              <w:top w:val="nil"/>
              <w:bottom w:val="single" w:sz="4" w:space="0" w:color="A6A6A6" w:themeColor="background1" w:themeShade="A6"/>
              <w:right w:val="single" w:sz="4" w:space="0" w:color="A6A6A6" w:themeColor="background1" w:themeShade="A6"/>
            </w:tcBorders>
            <w:shd w:val="clear" w:color="auto" w:fill="auto"/>
          </w:tcPr>
          <w:p w14:paraId="4F66526C" w14:textId="77777777" w:rsidR="00FA6A1F" w:rsidRPr="0003777A" w:rsidRDefault="00FA6A1F" w:rsidP="007B7120">
            <w:pPr>
              <w:pStyle w:val="TableText"/>
            </w:pPr>
            <w:r w:rsidRPr="0003777A">
              <w:t>2009/10</w:t>
            </w:r>
          </w:p>
        </w:tc>
        <w:tc>
          <w:tcPr>
            <w:tcW w:w="477" w:type="pct"/>
            <w:tcBorders>
              <w:top w:val="nil"/>
              <w:left w:val="single" w:sz="4" w:space="0" w:color="A6A6A6" w:themeColor="background1" w:themeShade="A6"/>
              <w:bottom w:val="single" w:sz="4" w:space="0" w:color="A6A6A6" w:themeColor="background1" w:themeShade="A6"/>
            </w:tcBorders>
            <w:shd w:val="clear" w:color="auto" w:fill="auto"/>
          </w:tcPr>
          <w:p w14:paraId="4F66526D" w14:textId="77777777" w:rsidR="00FA6A1F" w:rsidRPr="0003777A" w:rsidRDefault="00FA6A1F" w:rsidP="007B7120">
            <w:pPr>
              <w:pStyle w:val="TableText"/>
              <w:jc w:val="center"/>
            </w:pPr>
            <w:r w:rsidRPr="0003777A">
              <w:t>849</w:t>
            </w:r>
          </w:p>
        </w:tc>
        <w:tc>
          <w:tcPr>
            <w:tcW w:w="478" w:type="pct"/>
            <w:tcBorders>
              <w:top w:val="nil"/>
              <w:bottom w:val="single" w:sz="4" w:space="0" w:color="A6A6A6" w:themeColor="background1" w:themeShade="A6"/>
              <w:right w:val="single" w:sz="4" w:space="0" w:color="A6A6A6" w:themeColor="background1" w:themeShade="A6"/>
            </w:tcBorders>
            <w:shd w:val="clear" w:color="auto" w:fill="auto"/>
          </w:tcPr>
          <w:p w14:paraId="4F66526E" w14:textId="77777777" w:rsidR="00FA6A1F" w:rsidRPr="0003777A" w:rsidRDefault="00FA6A1F" w:rsidP="007B7120">
            <w:pPr>
              <w:pStyle w:val="TableText"/>
              <w:jc w:val="center"/>
            </w:pPr>
            <w:r w:rsidRPr="0003777A">
              <w:t>44.4</w:t>
            </w:r>
          </w:p>
        </w:tc>
        <w:tc>
          <w:tcPr>
            <w:tcW w:w="477" w:type="pct"/>
            <w:tcBorders>
              <w:top w:val="nil"/>
              <w:left w:val="single" w:sz="4" w:space="0" w:color="A6A6A6" w:themeColor="background1" w:themeShade="A6"/>
              <w:bottom w:val="single" w:sz="4" w:space="0" w:color="A6A6A6" w:themeColor="background1" w:themeShade="A6"/>
            </w:tcBorders>
            <w:shd w:val="clear" w:color="auto" w:fill="auto"/>
          </w:tcPr>
          <w:p w14:paraId="4F66526F" w14:textId="77777777" w:rsidR="00FA6A1F" w:rsidRPr="0003777A" w:rsidRDefault="00FA6A1F" w:rsidP="007B7120">
            <w:pPr>
              <w:pStyle w:val="TableText"/>
              <w:jc w:val="center"/>
            </w:pPr>
            <w:r w:rsidRPr="0003777A">
              <w:t>440</w:t>
            </w:r>
          </w:p>
        </w:tc>
        <w:tc>
          <w:tcPr>
            <w:tcW w:w="478" w:type="pct"/>
            <w:tcBorders>
              <w:top w:val="nil"/>
              <w:bottom w:val="single" w:sz="4" w:space="0" w:color="A6A6A6" w:themeColor="background1" w:themeShade="A6"/>
              <w:right w:val="single" w:sz="4" w:space="0" w:color="A6A6A6" w:themeColor="background1" w:themeShade="A6"/>
            </w:tcBorders>
            <w:shd w:val="clear" w:color="auto" w:fill="auto"/>
          </w:tcPr>
          <w:p w14:paraId="4F665270" w14:textId="77777777" w:rsidR="00FA6A1F" w:rsidRPr="0003777A" w:rsidRDefault="00FA6A1F" w:rsidP="007B7120">
            <w:pPr>
              <w:pStyle w:val="TableText"/>
              <w:jc w:val="center"/>
            </w:pPr>
            <w:r w:rsidRPr="0003777A">
              <w:t>23.0</w:t>
            </w:r>
          </w:p>
        </w:tc>
        <w:tc>
          <w:tcPr>
            <w:tcW w:w="478" w:type="pct"/>
            <w:tcBorders>
              <w:top w:val="nil"/>
              <w:left w:val="single" w:sz="4" w:space="0" w:color="A6A6A6" w:themeColor="background1" w:themeShade="A6"/>
              <w:bottom w:val="single" w:sz="4" w:space="0" w:color="A6A6A6" w:themeColor="background1" w:themeShade="A6"/>
            </w:tcBorders>
            <w:shd w:val="clear" w:color="auto" w:fill="auto"/>
          </w:tcPr>
          <w:p w14:paraId="4F665271" w14:textId="77777777" w:rsidR="00FA6A1F" w:rsidRPr="0003777A" w:rsidRDefault="00FA6A1F" w:rsidP="007B7120">
            <w:pPr>
              <w:pStyle w:val="TableText"/>
              <w:jc w:val="center"/>
            </w:pPr>
            <w:r w:rsidRPr="0003777A">
              <w:t>278</w:t>
            </w:r>
          </w:p>
        </w:tc>
        <w:tc>
          <w:tcPr>
            <w:tcW w:w="477" w:type="pct"/>
            <w:tcBorders>
              <w:top w:val="nil"/>
              <w:bottom w:val="single" w:sz="4" w:space="0" w:color="A6A6A6" w:themeColor="background1" w:themeShade="A6"/>
              <w:right w:val="single" w:sz="4" w:space="0" w:color="A6A6A6" w:themeColor="background1" w:themeShade="A6"/>
            </w:tcBorders>
            <w:shd w:val="clear" w:color="auto" w:fill="auto"/>
          </w:tcPr>
          <w:p w14:paraId="4F665272" w14:textId="77777777" w:rsidR="00FA6A1F" w:rsidRPr="0003777A" w:rsidRDefault="00FA6A1F" w:rsidP="007B7120">
            <w:pPr>
              <w:pStyle w:val="TableText"/>
              <w:jc w:val="center"/>
            </w:pPr>
            <w:r w:rsidRPr="0003777A">
              <w:t>14.5</w:t>
            </w:r>
          </w:p>
        </w:tc>
        <w:tc>
          <w:tcPr>
            <w:tcW w:w="478" w:type="pct"/>
            <w:tcBorders>
              <w:top w:val="nil"/>
              <w:left w:val="single" w:sz="4" w:space="0" w:color="A6A6A6" w:themeColor="background1" w:themeShade="A6"/>
              <w:bottom w:val="single" w:sz="4" w:space="0" w:color="A6A6A6" w:themeColor="background1" w:themeShade="A6"/>
            </w:tcBorders>
            <w:shd w:val="clear" w:color="auto" w:fill="auto"/>
          </w:tcPr>
          <w:p w14:paraId="4F665273" w14:textId="77777777" w:rsidR="00FA6A1F" w:rsidRPr="0003777A" w:rsidRDefault="00FA6A1F" w:rsidP="007B7120">
            <w:pPr>
              <w:pStyle w:val="TableText"/>
              <w:jc w:val="center"/>
            </w:pPr>
            <w:r w:rsidRPr="0003777A">
              <w:t>347</w:t>
            </w:r>
          </w:p>
        </w:tc>
        <w:tc>
          <w:tcPr>
            <w:tcW w:w="478" w:type="pct"/>
            <w:tcBorders>
              <w:top w:val="nil"/>
              <w:bottom w:val="single" w:sz="4" w:space="0" w:color="A6A6A6" w:themeColor="background1" w:themeShade="A6"/>
              <w:right w:val="single" w:sz="4" w:space="0" w:color="A6A6A6" w:themeColor="background1" w:themeShade="A6"/>
            </w:tcBorders>
            <w:shd w:val="clear" w:color="auto" w:fill="auto"/>
          </w:tcPr>
          <w:p w14:paraId="4F665274" w14:textId="77777777" w:rsidR="00FA6A1F" w:rsidRPr="0003777A" w:rsidRDefault="00FA6A1F" w:rsidP="007B7120">
            <w:pPr>
              <w:pStyle w:val="TableText"/>
              <w:jc w:val="center"/>
            </w:pPr>
            <w:r w:rsidRPr="0003777A">
              <w:t>18.1</w:t>
            </w:r>
          </w:p>
        </w:tc>
        <w:tc>
          <w:tcPr>
            <w:tcW w:w="525" w:type="pct"/>
            <w:tcBorders>
              <w:top w:val="nil"/>
              <w:left w:val="single" w:sz="4" w:space="0" w:color="A6A6A6" w:themeColor="background1" w:themeShade="A6"/>
              <w:bottom w:val="single" w:sz="4" w:space="0" w:color="A6A6A6" w:themeColor="background1" w:themeShade="A6"/>
            </w:tcBorders>
            <w:shd w:val="clear" w:color="auto" w:fill="auto"/>
          </w:tcPr>
          <w:p w14:paraId="4F665275" w14:textId="77777777" w:rsidR="00FA6A1F" w:rsidRPr="0003777A" w:rsidRDefault="00FA6A1F" w:rsidP="007B7120">
            <w:pPr>
              <w:pStyle w:val="TableText"/>
              <w:jc w:val="center"/>
            </w:pPr>
            <w:r w:rsidRPr="0003777A">
              <w:t>1,914</w:t>
            </w:r>
          </w:p>
        </w:tc>
      </w:tr>
      <w:tr w:rsidR="00FA6A1F" w:rsidRPr="002B3CBB" w14:paraId="4F665281" w14:textId="77777777" w:rsidTr="007B7120">
        <w:trPr>
          <w:cantSplit/>
        </w:trPr>
        <w:tc>
          <w:tcPr>
            <w:tcW w:w="655" w:type="pct"/>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F665277" w14:textId="77777777" w:rsidR="00FA6A1F" w:rsidRPr="0003777A" w:rsidRDefault="00FA6A1F" w:rsidP="007B7120">
            <w:pPr>
              <w:pStyle w:val="TableText"/>
            </w:pPr>
            <w:r w:rsidRPr="0003777A">
              <w:t>2010/11</w:t>
            </w:r>
          </w:p>
        </w:tc>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4F665278" w14:textId="77777777" w:rsidR="00FA6A1F" w:rsidRPr="0003777A" w:rsidRDefault="00FA6A1F" w:rsidP="007B7120">
            <w:pPr>
              <w:pStyle w:val="TableText"/>
              <w:jc w:val="center"/>
            </w:pPr>
            <w:r w:rsidRPr="0003777A">
              <w:t>856</w:t>
            </w:r>
          </w:p>
        </w:tc>
        <w:tc>
          <w:tcPr>
            <w:tcW w:w="478"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4F665279" w14:textId="77777777" w:rsidR="00FA6A1F" w:rsidRPr="0003777A" w:rsidRDefault="00FA6A1F" w:rsidP="007B7120">
            <w:pPr>
              <w:pStyle w:val="TableText"/>
              <w:jc w:val="center"/>
            </w:pPr>
            <w:r w:rsidRPr="0003777A">
              <w:t>43.2</w:t>
            </w:r>
          </w:p>
        </w:tc>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4F66527A" w14:textId="77777777" w:rsidR="00FA6A1F" w:rsidRPr="0003777A" w:rsidRDefault="00FA6A1F" w:rsidP="007B7120">
            <w:pPr>
              <w:pStyle w:val="TableText"/>
              <w:jc w:val="center"/>
            </w:pPr>
            <w:r w:rsidRPr="0003777A">
              <w:t>448</w:t>
            </w:r>
          </w:p>
        </w:tc>
        <w:tc>
          <w:tcPr>
            <w:tcW w:w="478"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4F66527B" w14:textId="77777777" w:rsidR="00FA6A1F" w:rsidRPr="0003777A" w:rsidRDefault="00FA6A1F" w:rsidP="007B7120">
            <w:pPr>
              <w:pStyle w:val="TableText"/>
              <w:jc w:val="center"/>
            </w:pPr>
            <w:r w:rsidRPr="0003777A">
              <w:t>22.6</w:t>
            </w:r>
          </w:p>
        </w:tc>
        <w:tc>
          <w:tcPr>
            <w:tcW w:w="478"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4F66527C" w14:textId="77777777" w:rsidR="00FA6A1F" w:rsidRPr="0003777A" w:rsidRDefault="00FA6A1F" w:rsidP="007B7120">
            <w:pPr>
              <w:pStyle w:val="TableText"/>
              <w:jc w:val="center"/>
            </w:pPr>
            <w:r w:rsidRPr="0003777A">
              <w:t>273</w:t>
            </w:r>
          </w:p>
        </w:tc>
        <w:tc>
          <w:tcPr>
            <w:tcW w:w="477"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4F66527D" w14:textId="77777777" w:rsidR="00FA6A1F" w:rsidRPr="0003777A" w:rsidRDefault="00FA6A1F" w:rsidP="007B7120">
            <w:pPr>
              <w:pStyle w:val="TableText"/>
              <w:jc w:val="center"/>
            </w:pPr>
            <w:r w:rsidRPr="0003777A">
              <w:t>13.8</w:t>
            </w:r>
          </w:p>
        </w:tc>
        <w:tc>
          <w:tcPr>
            <w:tcW w:w="478"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4F66527E" w14:textId="77777777" w:rsidR="00FA6A1F" w:rsidRPr="0003777A" w:rsidRDefault="00FA6A1F" w:rsidP="007B7120">
            <w:pPr>
              <w:pStyle w:val="TableText"/>
              <w:jc w:val="center"/>
            </w:pPr>
            <w:r w:rsidRPr="0003777A">
              <w:t>404</w:t>
            </w:r>
          </w:p>
        </w:tc>
        <w:tc>
          <w:tcPr>
            <w:tcW w:w="478"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4F66527F" w14:textId="77777777" w:rsidR="00FA6A1F" w:rsidRPr="0003777A" w:rsidRDefault="00FA6A1F" w:rsidP="007B7120">
            <w:pPr>
              <w:pStyle w:val="TableText"/>
              <w:jc w:val="center"/>
            </w:pPr>
            <w:r w:rsidRPr="0003777A">
              <w:t>20.4</w:t>
            </w:r>
          </w:p>
        </w:tc>
        <w:tc>
          <w:tcPr>
            <w:tcW w:w="525" w:type="pct"/>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4F665280" w14:textId="77777777" w:rsidR="00FA6A1F" w:rsidRPr="0003777A" w:rsidRDefault="00FA6A1F" w:rsidP="007B7120">
            <w:pPr>
              <w:pStyle w:val="TableText"/>
              <w:jc w:val="center"/>
            </w:pPr>
            <w:r w:rsidRPr="0003777A">
              <w:t>1,982</w:t>
            </w:r>
          </w:p>
        </w:tc>
      </w:tr>
      <w:tr w:rsidR="00FA6A1F" w:rsidRPr="002B3CBB" w14:paraId="4F66528C" w14:textId="77777777" w:rsidTr="007B7120">
        <w:trPr>
          <w:cantSplit/>
        </w:trPr>
        <w:tc>
          <w:tcPr>
            <w:tcW w:w="655" w:type="pct"/>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F665282" w14:textId="77777777" w:rsidR="00FA6A1F" w:rsidRPr="0003777A" w:rsidRDefault="00FA6A1F" w:rsidP="007B7120">
            <w:pPr>
              <w:pStyle w:val="TableText"/>
            </w:pPr>
            <w:r w:rsidRPr="0003777A">
              <w:t>2011/12</w:t>
            </w:r>
          </w:p>
        </w:tc>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4F665283" w14:textId="77777777" w:rsidR="00FA6A1F" w:rsidRPr="0003777A" w:rsidRDefault="00FA6A1F" w:rsidP="007B7120">
            <w:pPr>
              <w:pStyle w:val="TableText"/>
              <w:jc w:val="center"/>
            </w:pPr>
            <w:r w:rsidRPr="0003777A">
              <w:t>854</w:t>
            </w:r>
          </w:p>
        </w:tc>
        <w:tc>
          <w:tcPr>
            <w:tcW w:w="478"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4F665284" w14:textId="77777777" w:rsidR="00FA6A1F" w:rsidRPr="0003777A" w:rsidRDefault="00FA6A1F" w:rsidP="007B7120">
            <w:pPr>
              <w:pStyle w:val="TableText"/>
              <w:jc w:val="center"/>
            </w:pPr>
            <w:r w:rsidRPr="0003777A">
              <w:t>41.9</w:t>
            </w:r>
          </w:p>
        </w:tc>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4F665285" w14:textId="77777777" w:rsidR="00FA6A1F" w:rsidRPr="0003777A" w:rsidRDefault="00FA6A1F" w:rsidP="007B7120">
            <w:pPr>
              <w:pStyle w:val="TableText"/>
              <w:jc w:val="center"/>
            </w:pPr>
            <w:r w:rsidRPr="0003777A">
              <w:t>483</w:t>
            </w:r>
          </w:p>
        </w:tc>
        <w:tc>
          <w:tcPr>
            <w:tcW w:w="478"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4F665286" w14:textId="77777777" w:rsidR="00FA6A1F" w:rsidRPr="0003777A" w:rsidRDefault="00FA6A1F" w:rsidP="007B7120">
            <w:pPr>
              <w:pStyle w:val="TableText"/>
              <w:jc w:val="center"/>
            </w:pPr>
            <w:r w:rsidRPr="0003777A">
              <w:t>23.7</w:t>
            </w:r>
          </w:p>
        </w:tc>
        <w:tc>
          <w:tcPr>
            <w:tcW w:w="478"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4F665287" w14:textId="77777777" w:rsidR="00FA6A1F" w:rsidRPr="0003777A" w:rsidRDefault="00FA6A1F" w:rsidP="007B7120">
            <w:pPr>
              <w:pStyle w:val="TableText"/>
              <w:jc w:val="center"/>
            </w:pPr>
            <w:r w:rsidRPr="0003777A">
              <w:t>283</w:t>
            </w:r>
          </w:p>
        </w:tc>
        <w:tc>
          <w:tcPr>
            <w:tcW w:w="477"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4F665288" w14:textId="77777777" w:rsidR="00FA6A1F" w:rsidRPr="0003777A" w:rsidRDefault="00FA6A1F" w:rsidP="007B7120">
            <w:pPr>
              <w:pStyle w:val="TableText"/>
              <w:jc w:val="center"/>
            </w:pPr>
            <w:r w:rsidRPr="0003777A">
              <w:t>13.9</w:t>
            </w:r>
          </w:p>
        </w:tc>
        <w:tc>
          <w:tcPr>
            <w:tcW w:w="478"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4F665289" w14:textId="77777777" w:rsidR="00FA6A1F" w:rsidRPr="0003777A" w:rsidRDefault="00FA6A1F" w:rsidP="007B7120">
            <w:pPr>
              <w:pStyle w:val="TableText"/>
              <w:jc w:val="center"/>
            </w:pPr>
            <w:r w:rsidRPr="0003777A">
              <w:t>419</w:t>
            </w:r>
          </w:p>
        </w:tc>
        <w:tc>
          <w:tcPr>
            <w:tcW w:w="478"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4F66528A" w14:textId="77777777" w:rsidR="00FA6A1F" w:rsidRPr="0003777A" w:rsidRDefault="00FA6A1F" w:rsidP="007B7120">
            <w:pPr>
              <w:pStyle w:val="TableText"/>
              <w:jc w:val="center"/>
            </w:pPr>
            <w:r w:rsidRPr="0003777A">
              <w:t>20.5</w:t>
            </w:r>
          </w:p>
        </w:tc>
        <w:tc>
          <w:tcPr>
            <w:tcW w:w="525" w:type="pct"/>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4F66528B" w14:textId="77777777" w:rsidR="00FA6A1F" w:rsidRPr="0003777A" w:rsidRDefault="00FA6A1F" w:rsidP="007B7120">
            <w:pPr>
              <w:pStyle w:val="TableText"/>
              <w:jc w:val="center"/>
            </w:pPr>
            <w:r w:rsidRPr="0003777A">
              <w:t>2,038</w:t>
            </w:r>
          </w:p>
        </w:tc>
      </w:tr>
      <w:tr w:rsidR="00FA6A1F" w:rsidRPr="002B3CBB" w14:paraId="4F665297" w14:textId="77777777" w:rsidTr="007B7120">
        <w:trPr>
          <w:cantSplit/>
        </w:trPr>
        <w:tc>
          <w:tcPr>
            <w:tcW w:w="655" w:type="pct"/>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F66528D" w14:textId="77777777" w:rsidR="00FA6A1F" w:rsidRPr="0003777A" w:rsidRDefault="00FA6A1F" w:rsidP="007B7120">
            <w:pPr>
              <w:pStyle w:val="TableText"/>
            </w:pPr>
            <w:r w:rsidRPr="0003777A">
              <w:t>2012/13</w:t>
            </w:r>
          </w:p>
        </w:tc>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4F66528E" w14:textId="77777777" w:rsidR="00FA6A1F" w:rsidRPr="0003777A" w:rsidRDefault="00FA6A1F" w:rsidP="007B7120">
            <w:pPr>
              <w:pStyle w:val="TableText"/>
              <w:jc w:val="center"/>
            </w:pPr>
            <w:r w:rsidRPr="0003777A">
              <w:t>827</w:t>
            </w:r>
          </w:p>
        </w:tc>
        <w:tc>
          <w:tcPr>
            <w:tcW w:w="478"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4F66528F" w14:textId="77777777" w:rsidR="00FA6A1F" w:rsidRPr="0003777A" w:rsidRDefault="00FA6A1F" w:rsidP="007B7120">
            <w:pPr>
              <w:pStyle w:val="TableText"/>
              <w:jc w:val="center"/>
            </w:pPr>
            <w:r w:rsidRPr="0003777A">
              <w:t>40.5</w:t>
            </w:r>
          </w:p>
        </w:tc>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4F665290" w14:textId="77777777" w:rsidR="00FA6A1F" w:rsidRPr="0003777A" w:rsidRDefault="00FA6A1F" w:rsidP="007B7120">
            <w:pPr>
              <w:pStyle w:val="TableText"/>
              <w:jc w:val="center"/>
            </w:pPr>
            <w:r w:rsidRPr="0003777A">
              <w:t>490</w:t>
            </w:r>
          </w:p>
        </w:tc>
        <w:tc>
          <w:tcPr>
            <w:tcW w:w="478"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4F665291" w14:textId="77777777" w:rsidR="00FA6A1F" w:rsidRPr="0003777A" w:rsidRDefault="00FA6A1F" w:rsidP="007B7120">
            <w:pPr>
              <w:pStyle w:val="TableText"/>
              <w:jc w:val="center"/>
            </w:pPr>
            <w:r w:rsidRPr="0003777A">
              <w:t>24.0</w:t>
            </w:r>
          </w:p>
        </w:tc>
        <w:tc>
          <w:tcPr>
            <w:tcW w:w="478"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4F665292" w14:textId="77777777" w:rsidR="00FA6A1F" w:rsidRPr="0003777A" w:rsidRDefault="00FA6A1F" w:rsidP="007B7120">
            <w:pPr>
              <w:pStyle w:val="TableText"/>
              <w:jc w:val="center"/>
            </w:pPr>
            <w:r w:rsidRPr="0003777A">
              <w:t>294</w:t>
            </w:r>
          </w:p>
        </w:tc>
        <w:tc>
          <w:tcPr>
            <w:tcW w:w="477"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4F665293" w14:textId="77777777" w:rsidR="00FA6A1F" w:rsidRPr="0003777A" w:rsidRDefault="00FA6A1F" w:rsidP="007B7120">
            <w:pPr>
              <w:pStyle w:val="TableText"/>
              <w:jc w:val="center"/>
            </w:pPr>
            <w:r w:rsidRPr="0003777A">
              <w:t>14.4</w:t>
            </w:r>
          </w:p>
        </w:tc>
        <w:tc>
          <w:tcPr>
            <w:tcW w:w="478"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4F665294" w14:textId="77777777" w:rsidR="00FA6A1F" w:rsidRPr="0003777A" w:rsidRDefault="00FA6A1F" w:rsidP="007B7120">
            <w:pPr>
              <w:pStyle w:val="TableText"/>
              <w:jc w:val="center"/>
            </w:pPr>
            <w:r w:rsidRPr="0003777A">
              <w:t>432</w:t>
            </w:r>
          </w:p>
        </w:tc>
        <w:tc>
          <w:tcPr>
            <w:tcW w:w="478"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4F665295" w14:textId="77777777" w:rsidR="00FA6A1F" w:rsidRPr="0003777A" w:rsidRDefault="00FA6A1F" w:rsidP="007B7120">
            <w:pPr>
              <w:pStyle w:val="TableText"/>
              <w:jc w:val="center"/>
            </w:pPr>
            <w:r w:rsidRPr="0003777A">
              <w:t>21.1</w:t>
            </w:r>
          </w:p>
        </w:tc>
        <w:tc>
          <w:tcPr>
            <w:tcW w:w="525" w:type="pct"/>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4F665296" w14:textId="77777777" w:rsidR="00FA6A1F" w:rsidRPr="0003777A" w:rsidRDefault="00FA6A1F" w:rsidP="007B7120">
            <w:pPr>
              <w:pStyle w:val="TableText"/>
              <w:jc w:val="center"/>
            </w:pPr>
            <w:r w:rsidRPr="0003777A">
              <w:t>2,042</w:t>
            </w:r>
          </w:p>
        </w:tc>
      </w:tr>
      <w:tr w:rsidR="00FA6A1F" w:rsidRPr="002B3CBB" w14:paraId="4F6652A2" w14:textId="77777777" w:rsidTr="007B7120">
        <w:trPr>
          <w:cantSplit/>
        </w:trPr>
        <w:tc>
          <w:tcPr>
            <w:tcW w:w="655" w:type="pct"/>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F665298" w14:textId="77777777" w:rsidR="00FA6A1F" w:rsidRPr="0003777A" w:rsidRDefault="00FA6A1F" w:rsidP="007B7120">
            <w:pPr>
              <w:pStyle w:val="TableText"/>
            </w:pPr>
            <w:r w:rsidRPr="0003777A">
              <w:t>2013/14</w:t>
            </w:r>
          </w:p>
        </w:tc>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4F665299" w14:textId="77777777" w:rsidR="00FA6A1F" w:rsidRPr="0003777A" w:rsidRDefault="00FA6A1F" w:rsidP="007B7120">
            <w:pPr>
              <w:pStyle w:val="TableText"/>
              <w:jc w:val="center"/>
            </w:pPr>
            <w:r w:rsidRPr="0003777A">
              <w:t>806</w:t>
            </w:r>
          </w:p>
        </w:tc>
        <w:tc>
          <w:tcPr>
            <w:tcW w:w="478"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4F66529A" w14:textId="77777777" w:rsidR="00FA6A1F" w:rsidRPr="0003777A" w:rsidRDefault="00FA6A1F" w:rsidP="007B7120">
            <w:pPr>
              <w:pStyle w:val="TableText"/>
              <w:jc w:val="center"/>
            </w:pPr>
            <w:r w:rsidRPr="0003777A">
              <w:t>39.0</w:t>
            </w:r>
          </w:p>
        </w:tc>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4F66529B" w14:textId="77777777" w:rsidR="00FA6A1F" w:rsidRPr="0003777A" w:rsidRDefault="00FA6A1F" w:rsidP="007B7120">
            <w:pPr>
              <w:pStyle w:val="TableText"/>
              <w:jc w:val="center"/>
            </w:pPr>
            <w:r w:rsidRPr="0003777A">
              <w:t>486</w:t>
            </w:r>
          </w:p>
        </w:tc>
        <w:tc>
          <w:tcPr>
            <w:tcW w:w="478"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4F66529C" w14:textId="77777777" w:rsidR="00FA6A1F" w:rsidRPr="0003777A" w:rsidRDefault="00FA6A1F" w:rsidP="007B7120">
            <w:pPr>
              <w:pStyle w:val="TableText"/>
              <w:jc w:val="center"/>
            </w:pPr>
            <w:r w:rsidRPr="0003777A">
              <w:t>23.5</w:t>
            </w:r>
          </w:p>
        </w:tc>
        <w:tc>
          <w:tcPr>
            <w:tcW w:w="478"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4F66529D" w14:textId="77777777" w:rsidR="00FA6A1F" w:rsidRPr="0003777A" w:rsidRDefault="00FA6A1F" w:rsidP="007B7120">
            <w:pPr>
              <w:pStyle w:val="TableText"/>
              <w:jc w:val="center"/>
            </w:pPr>
            <w:r w:rsidRPr="0003777A">
              <w:t>310</w:t>
            </w:r>
          </w:p>
        </w:tc>
        <w:tc>
          <w:tcPr>
            <w:tcW w:w="477"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4F66529E" w14:textId="77777777" w:rsidR="00FA6A1F" w:rsidRPr="0003777A" w:rsidRDefault="00FA6A1F" w:rsidP="007B7120">
            <w:pPr>
              <w:pStyle w:val="TableText"/>
              <w:jc w:val="center"/>
            </w:pPr>
            <w:r w:rsidRPr="0003777A">
              <w:t>15.0</w:t>
            </w:r>
          </w:p>
        </w:tc>
        <w:tc>
          <w:tcPr>
            <w:tcW w:w="478"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4F66529F" w14:textId="77777777" w:rsidR="00FA6A1F" w:rsidRPr="0003777A" w:rsidRDefault="00FA6A1F" w:rsidP="007B7120">
            <w:pPr>
              <w:pStyle w:val="TableText"/>
              <w:jc w:val="center"/>
            </w:pPr>
            <w:r w:rsidRPr="0003777A">
              <w:t>463</w:t>
            </w:r>
          </w:p>
        </w:tc>
        <w:tc>
          <w:tcPr>
            <w:tcW w:w="478"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4F6652A0" w14:textId="77777777" w:rsidR="00FA6A1F" w:rsidRPr="0003777A" w:rsidRDefault="00FA6A1F" w:rsidP="007B7120">
            <w:pPr>
              <w:pStyle w:val="TableText"/>
              <w:jc w:val="center"/>
            </w:pPr>
            <w:r w:rsidRPr="0003777A">
              <w:t>22.4</w:t>
            </w:r>
          </w:p>
        </w:tc>
        <w:tc>
          <w:tcPr>
            <w:tcW w:w="525" w:type="pct"/>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4F6652A1" w14:textId="77777777" w:rsidR="00FA6A1F" w:rsidRPr="0003777A" w:rsidRDefault="00FA6A1F" w:rsidP="007B7120">
            <w:pPr>
              <w:pStyle w:val="TableText"/>
              <w:jc w:val="center"/>
            </w:pPr>
            <w:r w:rsidRPr="0003777A">
              <w:t>2,065</w:t>
            </w:r>
          </w:p>
        </w:tc>
      </w:tr>
      <w:tr w:rsidR="00FA6A1F" w:rsidRPr="002B3CBB" w14:paraId="4F6652AD" w14:textId="77777777" w:rsidTr="007B7120">
        <w:trPr>
          <w:cantSplit/>
        </w:trPr>
        <w:tc>
          <w:tcPr>
            <w:tcW w:w="655" w:type="pct"/>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F6652A3" w14:textId="77777777" w:rsidR="00FA6A1F" w:rsidRPr="0003777A" w:rsidRDefault="00FA6A1F" w:rsidP="007B7120">
            <w:pPr>
              <w:pStyle w:val="TableText"/>
            </w:pPr>
            <w:r w:rsidRPr="0003777A">
              <w:t>2014/15</w:t>
            </w:r>
          </w:p>
        </w:tc>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4F6652A4" w14:textId="77777777" w:rsidR="00FA6A1F" w:rsidRPr="0003777A" w:rsidRDefault="00FA6A1F" w:rsidP="007B7120">
            <w:pPr>
              <w:pStyle w:val="TableText"/>
              <w:jc w:val="center"/>
            </w:pPr>
            <w:r w:rsidRPr="0003777A">
              <w:t>818</w:t>
            </w:r>
          </w:p>
        </w:tc>
        <w:tc>
          <w:tcPr>
            <w:tcW w:w="478"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4F6652A5" w14:textId="77777777" w:rsidR="00FA6A1F" w:rsidRPr="0003777A" w:rsidRDefault="00FA6A1F" w:rsidP="007B7120">
            <w:pPr>
              <w:pStyle w:val="TableText"/>
              <w:jc w:val="center"/>
            </w:pPr>
            <w:r w:rsidRPr="0003777A">
              <w:t>39.1</w:t>
            </w:r>
          </w:p>
        </w:tc>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4F6652A6" w14:textId="77777777" w:rsidR="00FA6A1F" w:rsidRPr="0003777A" w:rsidRDefault="00FA6A1F" w:rsidP="007B7120">
            <w:pPr>
              <w:pStyle w:val="TableText"/>
              <w:jc w:val="center"/>
            </w:pPr>
            <w:r w:rsidRPr="0003777A">
              <w:t>527</w:t>
            </w:r>
          </w:p>
        </w:tc>
        <w:tc>
          <w:tcPr>
            <w:tcW w:w="478"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4F6652A7" w14:textId="77777777" w:rsidR="00FA6A1F" w:rsidRPr="0003777A" w:rsidRDefault="00FA6A1F" w:rsidP="007B7120">
            <w:pPr>
              <w:pStyle w:val="TableText"/>
              <w:jc w:val="center"/>
            </w:pPr>
            <w:r w:rsidRPr="0003777A">
              <w:t>25.2</w:t>
            </w:r>
          </w:p>
        </w:tc>
        <w:tc>
          <w:tcPr>
            <w:tcW w:w="478"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4F6652A8" w14:textId="77777777" w:rsidR="00FA6A1F" w:rsidRPr="0003777A" w:rsidRDefault="00FA6A1F" w:rsidP="007B7120">
            <w:pPr>
              <w:pStyle w:val="TableText"/>
              <w:jc w:val="center"/>
            </w:pPr>
            <w:r w:rsidRPr="0003777A">
              <w:t>325</w:t>
            </w:r>
          </w:p>
        </w:tc>
        <w:tc>
          <w:tcPr>
            <w:tcW w:w="477"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4F6652A9" w14:textId="77777777" w:rsidR="00FA6A1F" w:rsidRPr="0003777A" w:rsidRDefault="00FA6A1F" w:rsidP="007B7120">
            <w:pPr>
              <w:pStyle w:val="TableText"/>
              <w:jc w:val="center"/>
            </w:pPr>
            <w:r w:rsidRPr="0003777A">
              <w:t>15.5</w:t>
            </w:r>
          </w:p>
        </w:tc>
        <w:tc>
          <w:tcPr>
            <w:tcW w:w="478"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4F6652AA" w14:textId="77777777" w:rsidR="00FA6A1F" w:rsidRPr="0003777A" w:rsidRDefault="00FA6A1F" w:rsidP="007B7120">
            <w:pPr>
              <w:pStyle w:val="TableText"/>
              <w:jc w:val="center"/>
            </w:pPr>
            <w:r w:rsidRPr="0003777A">
              <w:t>420</w:t>
            </w:r>
          </w:p>
        </w:tc>
        <w:tc>
          <w:tcPr>
            <w:tcW w:w="478"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4F6652AB" w14:textId="77777777" w:rsidR="00FA6A1F" w:rsidRPr="0003777A" w:rsidRDefault="00FA6A1F" w:rsidP="007B7120">
            <w:pPr>
              <w:pStyle w:val="TableText"/>
              <w:jc w:val="center"/>
            </w:pPr>
            <w:r w:rsidRPr="0003777A">
              <w:t>20.1</w:t>
            </w:r>
          </w:p>
        </w:tc>
        <w:tc>
          <w:tcPr>
            <w:tcW w:w="525" w:type="pct"/>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4F6652AC" w14:textId="77777777" w:rsidR="00FA6A1F" w:rsidRPr="0003777A" w:rsidRDefault="00FA6A1F" w:rsidP="007B7120">
            <w:pPr>
              <w:pStyle w:val="TableText"/>
              <w:jc w:val="center"/>
            </w:pPr>
            <w:r w:rsidRPr="0003777A">
              <w:t>2,091</w:t>
            </w:r>
          </w:p>
        </w:tc>
      </w:tr>
      <w:tr w:rsidR="00FA6A1F" w:rsidRPr="002B3CBB" w14:paraId="4F6652B8" w14:textId="77777777" w:rsidTr="007B7120">
        <w:trPr>
          <w:cantSplit/>
        </w:trPr>
        <w:tc>
          <w:tcPr>
            <w:tcW w:w="655" w:type="pct"/>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F6652AE" w14:textId="77777777" w:rsidR="00FA6A1F" w:rsidRPr="0003777A" w:rsidRDefault="00FA6A1F" w:rsidP="007B7120">
            <w:pPr>
              <w:pStyle w:val="TableText"/>
            </w:pPr>
            <w:r w:rsidRPr="0003777A">
              <w:t>2015/16</w:t>
            </w:r>
          </w:p>
        </w:tc>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4F6652AF" w14:textId="77777777" w:rsidR="00FA6A1F" w:rsidRPr="0003777A" w:rsidRDefault="00FA6A1F" w:rsidP="007B7120">
            <w:pPr>
              <w:pStyle w:val="TableText"/>
              <w:jc w:val="center"/>
            </w:pPr>
            <w:r w:rsidRPr="0003777A">
              <w:t>843</w:t>
            </w:r>
          </w:p>
        </w:tc>
        <w:tc>
          <w:tcPr>
            <w:tcW w:w="478"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4F6652B0" w14:textId="77777777" w:rsidR="00FA6A1F" w:rsidRPr="0003777A" w:rsidRDefault="00FA6A1F" w:rsidP="007B7120">
            <w:pPr>
              <w:pStyle w:val="TableText"/>
              <w:jc w:val="center"/>
            </w:pPr>
            <w:r w:rsidRPr="0003777A">
              <w:t>38.2</w:t>
            </w:r>
          </w:p>
        </w:tc>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4F6652B1" w14:textId="77777777" w:rsidR="00FA6A1F" w:rsidRPr="0003777A" w:rsidRDefault="00FA6A1F" w:rsidP="007B7120">
            <w:pPr>
              <w:pStyle w:val="TableText"/>
              <w:jc w:val="center"/>
            </w:pPr>
            <w:r w:rsidRPr="0003777A">
              <w:t>586</w:t>
            </w:r>
          </w:p>
        </w:tc>
        <w:tc>
          <w:tcPr>
            <w:tcW w:w="478"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4F6652B2" w14:textId="77777777" w:rsidR="00FA6A1F" w:rsidRPr="0003777A" w:rsidRDefault="00FA6A1F" w:rsidP="007B7120">
            <w:pPr>
              <w:pStyle w:val="TableText"/>
              <w:jc w:val="center"/>
            </w:pPr>
            <w:r w:rsidRPr="0003777A">
              <w:t>26.5</w:t>
            </w:r>
          </w:p>
        </w:tc>
        <w:tc>
          <w:tcPr>
            <w:tcW w:w="478"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4F6652B3" w14:textId="77777777" w:rsidR="00FA6A1F" w:rsidRPr="0003777A" w:rsidRDefault="00FA6A1F" w:rsidP="007B7120">
            <w:pPr>
              <w:pStyle w:val="TableText"/>
              <w:jc w:val="center"/>
            </w:pPr>
            <w:r w:rsidRPr="0003777A">
              <w:t>342</w:t>
            </w:r>
          </w:p>
        </w:tc>
        <w:tc>
          <w:tcPr>
            <w:tcW w:w="477"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4F6652B4" w14:textId="77777777" w:rsidR="00FA6A1F" w:rsidRPr="0003777A" w:rsidRDefault="00FA6A1F" w:rsidP="007B7120">
            <w:pPr>
              <w:pStyle w:val="TableText"/>
              <w:jc w:val="center"/>
            </w:pPr>
            <w:r w:rsidRPr="0003777A">
              <w:t>15.5</w:t>
            </w:r>
          </w:p>
        </w:tc>
        <w:tc>
          <w:tcPr>
            <w:tcW w:w="478"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4F6652B5" w14:textId="77777777" w:rsidR="00FA6A1F" w:rsidRPr="0003777A" w:rsidRDefault="00FA6A1F" w:rsidP="007B7120">
            <w:pPr>
              <w:pStyle w:val="TableText"/>
              <w:jc w:val="center"/>
            </w:pPr>
            <w:r w:rsidRPr="0003777A">
              <w:t>437</w:t>
            </w:r>
          </w:p>
        </w:tc>
        <w:tc>
          <w:tcPr>
            <w:tcW w:w="478"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4F6652B6" w14:textId="77777777" w:rsidR="00FA6A1F" w:rsidRPr="0003777A" w:rsidRDefault="00FA6A1F" w:rsidP="007B7120">
            <w:pPr>
              <w:pStyle w:val="TableText"/>
              <w:jc w:val="center"/>
            </w:pPr>
            <w:r w:rsidRPr="0003777A">
              <w:t>19.8</w:t>
            </w:r>
          </w:p>
        </w:tc>
        <w:tc>
          <w:tcPr>
            <w:tcW w:w="525" w:type="pct"/>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4F6652B7" w14:textId="77777777" w:rsidR="00FA6A1F" w:rsidRPr="0003777A" w:rsidRDefault="00FA6A1F" w:rsidP="007B7120">
            <w:pPr>
              <w:pStyle w:val="TableText"/>
              <w:jc w:val="center"/>
            </w:pPr>
            <w:r w:rsidRPr="0003777A">
              <w:t>2,209</w:t>
            </w:r>
          </w:p>
        </w:tc>
      </w:tr>
      <w:tr w:rsidR="00FA6A1F" w:rsidRPr="002B3CBB" w14:paraId="4F6652C3" w14:textId="77777777" w:rsidTr="007B7120">
        <w:trPr>
          <w:cantSplit/>
        </w:trPr>
        <w:tc>
          <w:tcPr>
            <w:tcW w:w="655" w:type="pct"/>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F6652B9" w14:textId="77777777" w:rsidR="00FA6A1F" w:rsidRPr="0003777A" w:rsidRDefault="00FA6A1F" w:rsidP="007B7120">
            <w:pPr>
              <w:pStyle w:val="TableText"/>
            </w:pPr>
            <w:r w:rsidRPr="0003777A">
              <w:t>2016/17</w:t>
            </w:r>
          </w:p>
        </w:tc>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4F6652BA" w14:textId="77777777" w:rsidR="00FA6A1F" w:rsidRPr="0003777A" w:rsidRDefault="00FA6A1F" w:rsidP="007B7120">
            <w:pPr>
              <w:pStyle w:val="TableText"/>
              <w:jc w:val="center"/>
            </w:pPr>
            <w:r w:rsidRPr="0003777A">
              <w:t>870</w:t>
            </w:r>
          </w:p>
        </w:tc>
        <w:tc>
          <w:tcPr>
            <w:tcW w:w="478" w:type="pct"/>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F6652BB" w14:textId="77777777" w:rsidR="00FA6A1F" w:rsidRPr="0003777A" w:rsidRDefault="00FA6A1F" w:rsidP="007B7120">
            <w:pPr>
              <w:pStyle w:val="TableText"/>
              <w:jc w:val="center"/>
            </w:pPr>
            <w:r w:rsidRPr="0003777A">
              <w:t>37.3</w:t>
            </w:r>
          </w:p>
        </w:tc>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4F6652BC" w14:textId="77777777" w:rsidR="00FA6A1F" w:rsidRPr="0003777A" w:rsidRDefault="00FA6A1F" w:rsidP="007B7120">
            <w:pPr>
              <w:pStyle w:val="TableText"/>
              <w:jc w:val="center"/>
            </w:pPr>
            <w:r w:rsidRPr="0003777A">
              <w:t>572</w:t>
            </w:r>
          </w:p>
        </w:tc>
        <w:tc>
          <w:tcPr>
            <w:tcW w:w="478" w:type="pct"/>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F6652BD" w14:textId="77777777" w:rsidR="00FA6A1F" w:rsidRPr="0003777A" w:rsidRDefault="00FA6A1F" w:rsidP="007B7120">
            <w:pPr>
              <w:pStyle w:val="TableText"/>
              <w:jc w:val="center"/>
            </w:pPr>
            <w:r w:rsidRPr="0003777A">
              <w:t>24.5</w:t>
            </w:r>
          </w:p>
        </w:tc>
        <w:tc>
          <w:tcPr>
            <w:tcW w:w="478" w:type="pct"/>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4F6652BE" w14:textId="77777777" w:rsidR="00FA6A1F" w:rsidRPr="0003777A" w:rsidRDefault="00FA6A1F" w:rsidP="007B7120">
            <w:pPr>
              <w:pStyle w:val="TableText"/>
              <w:jc w:val="center"/>
            </w:pPr>
            <w:r w:rsidRPr="0003777A">
              <w:t>338</w:t>
            </w:r>
          </w:p>
        </w:tc>
        <w:tc>
          <w:tcPr>
            <w:tcW w:w="477" w:type="pct"/>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F6652BF" w14:textId="77777777" w:rsidR="00FA6A1F" w:rsidRPr="0003777A" w:rsidRDefault="00FA6A1F" w:rsidP="007B7120">
            <w:pPr>
              <w:pStyle w:val="TableText"/>
              <w:jc w:val="center"/>
            </w:pPr>
            <w:r w:rsidRPr="0003777A">
              <w:t>14.5</w:t>
            </w:r>
          </w:p>
        </w:tc>
        <w:tc>
          <w:tcPr>
            <w:tcW w:w="478" w:type="pct"/>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4F6652C0" w14:textId="77777777" w:rsidR="00FA6A1F" w:rsidRPr="0003777A" w:rsidRDefault="00FA6A1F" w:rsidP="007B7120">
            <w:pPr>
              <w:pStyle w:val="TableText"/>
              <w:jc w:val="center"/>
            </w:pPr>
            <w:r w:rsidRPr="0003777A">
              <w:t>555</w:t>
            </w:r>
          </w:p>
        </w:tc>
        <w:tc>
          <w:tcPr>
            <w:tcW w:w="478" w:type="pct"/>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F6652C1" w14:textId="77777777" w:rsidR="00FA6A1F" w:rsidRPr="0003777A" w:rsidRDefault="00FA6A1F" w:rsidP="007B7120">
            <w:pPr>
              <w:pStyle w:val="TableText"/>
              <w:jc w:val="center"/>
            </w:pPr>
            <w:r w:rsidRPr="0003777A">
              <w:t>23.8</w:t>
            </w:r>
          </w:p>
        </w:tc>
        <w:tc>
          <w:tcPr>
            <w:tcW w:w="525" w:type="pct"/>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4F6652C2" w14:textId="77777777" w:rsidR="00FA6A1F" w:rsidRPr="0003777A" w:rsidRDefault="00FA6A1F" w:rsidP="007B7120">
            <w:pPr>
              <w:pStyle w:val="TableText"/>
              <w:jc w:val="center"/>
            </w:pPr>
            <w:r w:rsidRPr="0003777A">
              <w:t>2,334</w:t>
            </w:r>
          </w:p>
        </w:tc>
      </w:tr>
      <w:tr w:rsidR="00FA6A1F" w:rsidRPr="002B3CBB" w14:paraId="4F6652CE" w14:textId="77777777" w:rsidTr="007B7120">
        <w:trPr>
          <w:cantSplit/>
        </w:trPr>
        <w:tc>
          <w:tcPr>
            <w:tcW w:w="655" w:type="pct"/>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F6652C4" w14:textId="77777777" w:rsidR="00FA6A1F" w:rsidRPr="0003777A" w:rsidRDefault="00FA6A1F" w:rsidP="007B7120">
            <w:pPr>
              <w:pStyle w:val="TableText"/>
            </w:pPr>
            <w:r w:rsidRPr="0003777A">
              <w:t>2017/18</w:t>
            </w:r>
          </w:p>
        </w:tc>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4F6652C5" w14:textId="77777777" w:rsidR="00FA6A1F" w:rsidRPr="0003777A" w:rsidRDefault="00FA6A1F" w:rsidP="007B7120">
            <w:pPr>
              <w:pStyle w:val="TableText"/>
              <w:jc w:val="center"/>
            </w:pPr>
            <w:r w:rsidRPr="0003777A">
              <w:t>895</w:t>
            </w:r>
          </w:p>
        </w:tc>
        <w:tc>
          <w:tcPr>
            <w:tcW w:w="478" w:type="pct"/>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F6652C6" w14:textId="77777777" w:rsidR="00FA6A1F" w:rsidRPr="0003777A" w:rsidRDefault="00FA6A1F" w:rsidP="007B7120">
            <w:pPr>
              <w:pStyle w:val="TableText"/>
              <w:jc w:val="center"/>
            </w:pPr>
            <w:r w:rsidRPr="0003777A">
              <w:t>37.6</w:t>
            </w:r>
          </w:p>
        </w:tc>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4F6652C7" w14:textId="77777777" w:rsidR="00FA6A1F" w:rsidRPr="0003777A" w:rsidRDefault="00FA6A1F" w:rsidP="007B7120">
            <w:pPr>
              <w:pStyle w:val="TableText"/>
              <w:jc w:val="center"/>
            </w:pPr>
            <w:r w:rsidRPr="0003777A">
              <w:t>578</w:t>
            </w:r>
          </w:p>
        </w:tc>
        <w:tc>
          <w:tcPr>
            <w:tcW w:w="478" w:type="pct"/>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F6652C8" w14:textId="77777777" w:rsidR="00FA6A1F" w:rsidRPr="0003777A" w:rsidRDefault="00FA6A1F" w:rsidP="007B7120">
            <w:pPr>
              <w:pStyle w:val="TableText"/>
              <w:jc w:val="center"/>
            </w:pPr>
            <w:r w:rsidRPr="0003777A">
              <w:t>24.3</w:t>
            </w:r>
          </w:p>
        </w:tc>
        <w:tc>
          <w:tcPr>
            <w:tcW w:w="478" w:type="pct"/>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4F6652C9" w14:textId="77777777" w:rsidR="00FA6A1F" w:rsidRPr="0003777A" w:rsidRDefault="00FA6A1F" w:rsidP="007B7120">
            <w:pPr>
              <w:pStyle w:val="TableText"/>
              <w:jc w:val="center"/>
            </w:pPr>
            <w:r w:rsidRPr="0003777A">
              <w:t>350</w:t>
            </w:r>
          </w:p>
        </w:tc>
        <w:tc>
          <w:tcPr>
            <w:tcW w:w="477" w:type="pct"/>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F6652CA" w14:textId="77777777" w:rsidR="00FA6A1F" w:rsidRPr="0003777A" w:rsidRDefault="00FA6A1F" w:rsidP="007B7120">
            <w:pPr>
              <w:pStyle w:val="TableText"/>
              <w:jc w:val="center"/>
            </w:pPr>
            <w:r w:rsidRPr="0003777A">
              <w:t>14.7</w:t>
            </w:r>
          </w:p>
        </w:tc>
        <w:tc>
          <w:tcPr>
            <w:tcW w:w="478" w:type="pct"/>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4F6652CB" w14:textId="77777777" w:rsidR="00FA6A1F" w:rsidRPr="0003777A" w:rsidRDefault="00FA6A1F" w:rsidP="007B7120">
            <w:pPr>
              <w:pStyle w:val="TableText"/>
              <w:jc w:val="center"/>
            </w:pPr>
            <w:r w:rsidRPr="0003777A">
              <w:t>561</w:t>
            </w:r>
          </w:p>
        </w:tc>
        <w:tc>
          <w:tcPr>
            <w:tcW w:w="478" w:type="pct"/>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F6652CC" w14:textId="77777777" w:rsidR="00FA6A1F" w:rsidRPr="0003777A" w:rsidRDefault="00FA6A1F" w:rsidP="007B7120">
            <w:pPr>
              <w:pStyle w:val="TableText"/>
              <w:jc w:val="center"/>
            </w:pPr>
            <w:r w:rsidRPr="0003777A">
              <w:t>23.5</w:t>
            </w:r>
          </w:p>
        </w:tc>
        <w:tc>
          <w:tcPr>
            <w:tcW w:w="525" w:type="pct"/>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4F6652CD" w14:textId="77777777" w:rsidR="00FA6A1F" w:rsidRPr="0003777A" w:rsidRDefault="00FA6A1F" w:rsidP="007B7120">
            <w:pPr>
              <w:pStyle w:val="TableText"/>
              <w:jc w:val="center"/>
            </w:pPr>
            <w:r w:rsidRPr="0003777A">
              <w:t>2,383</w:t>
            </w:r>
          </w:p>
        </w:tc>
      </w:tr>
      <w:tr w:rsidR="00FA6A1F" w:rsidRPr="002B3CBB" w14:paraId="4F6652D9" w14:textId="77777777" w:rsidTr="007B7120">
        <w:trPr>
          <w:cantSplit/>
        </w:trPr>
        <w:tc>
          <w:tcPr>
            <w:tcW w:w="655" w:type="pct"/>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F6652CF" w14:textId="77777777" w:rsidR="00FA6A1F" w:rsidRPr="0003777A" w:rsidRDefault="00FA6A1F" w:rsidP="007B7120">
            <w:pPr>
              <w:pStyle w:val="TableText"/>
            </w:pPr>
            <w:r w:rsidRPr="0003777A">
              <w:t>2018/19</w:t>
            </w:r>
          </w:p>
        </w:tc>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4F6652D0" w14:textId="77777777" w:rsidR="00FA6A1F" w:rsidRPr="0003777A" w:rsidRDefault="00FA6A1F" w:rsidP="007B7120">
            <w:pPr>
              <w:pStyle w:val="TableText"/>
              <w:jc w:val="center"/>
            </w:pPr>
            <w:r w:rsidRPr="0003777A">
              <w:t>924</w:t>
            </w:r>
          </w:p>
        </w:tc>
        <w:tc>
          <w:tcPr>
            <w:tcW w:w="478" w:type="pct"/>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F6652D1" w14:textId="77777777" w:rsidR="00FA6A1F" w:rsidRPr="0003777A" w:rsidRDefault="00FA6A1F" w:rsidP="007B7120">
            <w:pPr>
              <w:pStyle w:val="TableText"/>
              <w:jc w:val="center"/>
            </w:pPr>
            <w:r w:rsidRPr="0003777A">
              <w:t>38.5</w:t>
            </w:r>
          </w:p>
        </w:tc>
        <w:tc>
          <w:tcPr>
            <w:tcW w:w="477" w:type="pct"/>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4F6652D2" w14:textId="77777777" w:rsidR="00FA6A1F" w:rsidRPr="0003777A" w:rsidRDefault="00FA6A1F" w:rsidP="007B7120">
            <w:pPr>
              <w:pStyle w:val="TableText"/>
              <w:jc w:val="center"/>
            </w:pPr>
            <w:r w:rsidRPr="0003777A">
              <w:t>616</w:t>
            </w:r>
          </w:p>
        </w:tc>
        <w:tc>
          <w:tcPr>
            <w:tcW w:w="478" w:type="pct"/>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F6652D3" w14:textId="77777777" w:rsidR="00FA6A1F" w:rsidRPr="0003777A" w:rsidRDefault="00FA6A1F" w:rsidP="007B7120">
            <w:pPr>
              <w:pStyle w:val="TableText"/>
              <w:jc w:val="center"/>
            </w:pPr>
            <w:r w:rsidRPr="0003777A">
              <w:t>25.6</w:t>
            </w:r>
          </w:p>
        </w:tc>
        <w:tc>
          <w:tcPr>
            <w:tcW w:w="478" w:type="pct"/>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4F6652D4" w14:textId="77777777" w:rsidR="00FA6A1F" w:rsidRPr="0003777A" w:rsidRDefault="00FA6A1F" w:rsidP="007B7120">
            <w:pPr>
              <w:pStyle w:val="TableText"/>
              <w:jc w:val="center"/>
            </w:pPr>
            <w:r w:rsidRPr="0003777A">
              <w:t>332</w:t>
            </w:r>
          </w:p>
        </w:tc>
        <w:tc>
          <w:tcPr>
            <w:tcW w:w="477" w:type="pct"/>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F6652D5" w14:textId="77777777" w:rsidR="00FA6A1F" w:rsidRPr="0003777A" w:rsidRDefault="00FA6A1F" w:rsidP="007B7120">
            <w:pPr>
              <w:pStyle w:val="TableText"/>
              <w:jc w:val="center"/>
            </w:pPr>
            <w:r w:rsidRPr="0003777A">
              <w:t>13.8</w:t>
            </w:r>
          </w:p>
        </w:tc>
        <w:tc>
          <w:tcPr>
            <w:tcW w:w="478" w:type="pct"/>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4F6652D6" w14:textId="77777777" w:rsidR="00FA6A1F" w:rsidRPr="0003777A" w:rsidRDefault="00FA6A1F" w:rsidP="007B7120">
            <w:pPr>
              <w:pStyle w:val="TableText"/>
              <w:jc w:val="center"/>
            </w:pPr>
            <w:r w:rsidRPr="0003777A">
              <w:t>530</w:t>
            </w:r>
          </w:p>
        </w:tc>
        <w:tc>
          <w:tcPr>
            <w:tcW w:w="478" w:type="pct"/>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F6652D7" w14:textId="77777777" w:rsidR="00FA6A1F" w:rsidRPr="0003777A" w:rsidRDefault="00FA6A1F" w:rsidP="007B7120">
            <w:pPr>
              <w:pStyle w:val="TableText"/>
              <w:jc w:val="center"/>
            </w:pPr>
            <w:r w:rsidRPr="0003777A">
              <w:t>22.1</w:t>
            </w:r>
          </w:p>
        </w:tc>
        <w:tc>
          <w:tcPr>
            <w:tcW w:w="525" w:type="pct"/>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4F6652D8" w14:textId="77777777" w:rsidR="00FA6A1F" w:rsidRPr="0003777A" w:rsidRDefault="00FA6A1F" w:rsidP="007B7120">
            <w:pPr>
              <w:pStyle w:val="TableText"/>
              <w:jc w:val="center"/>
            </w:pPr>
            <w:r w:rsidRPr="0003777A">
              <w:t>2,402</w:t>
            </w:r>
          </w:p>
        </w:tc>
      </w:tr>
      <w:tr w:rsidR="00FA6A1F" w:rsidRPr="002B3CBB" w14:paraId="4F6652E4" w14:textId="77777777" w:rsidTr="007B7120">
        <w:trPr>
          <w:cantSplit/>
        </w:trPr>
        <w:tc>
          <w:tcPr>
            <w:tcW w:w="655" w:type="pct"/>
            <w:tcBorders>
              <w:top w:val="single" w:sz="4" w:space="0" w:color="A6A6A6" w:themeColor="background1" w:themeShade="A6"/>
              <w:right w:val="single" w:sz="4" w:space="0" w:color="A6A6A6" w:themeColor="background1" w:themeShade="A6"/>
            </w:tcBorders>
            <w:shd w:val="clear" w:color="auto" w:fill="auto"/>
          </w:tcPr>
          <w:p w14:paraId="4F6652DA" w14:textId="77777777" w:rsidR="00FA6A1F" w:rsidRPr="0003777A" w:rsidRDefault="00FA6A1F" w:rsidP="007B7120">
            <w:pPr>
              <w:pStyle w:val="TableText"/>
            </w:pPr>
            <w:r w:rsidRPr="0003777A">
              <w:t>2019/20</w:t>
            </w:r>
          </w:p>
        </w:tc>
        <w:tc>
          <w:tcPr>
            <w:tcW w:w="477" w:type="pct"/>
            <w:tcBorders>
              <w:top w:val="single" w:sz="4" w:space="0" w:color="A6A6A6" w:themeColor="background1" w:themeShade="A6"/>
              <w:left w:val="single" w:sz="4" w:space="0" w:color="A6A6A6" w:themeColor="background1" w:themeShade="A6"/>
              <w:bottom w:val="single" w:sz="4" w:space="0" w:color="auto"/>
            </w:tcBorders>
            <w:shd w:val="clear" w:color="auto" w:fill="auto"/>
          </w:tcPr>
          <w:p w14:paraId="4F6652DB" w14:textId="77777777" w:rsidR="00FA6A1F" w:rsidRPr="0003777A" w:rsidRDefault="00FA6A1F" w:rsidP="007B7120">
            <w:pPr>
              <w:pStyle w:val="TableText"/>
              <w:jc w:val="center"/>
            </w:pPr>
            <w:r w:rsidRPr="0003777A">
              <w:t>802</w:t>
            </w:r>
          </w:p>
        </w:tc>
        <w:tc>
          <w:tcPr>
            <w:tcW w:w="478" w:type="pct"/>
            <w:tcBorders>
              <w:top w:val="single" w:sz="4" w:space="0" w:color="A6A6A6" w:themeColor="background1" w:themeShade="A6"/>
              <w:bottom w:val="single" w:sz="4" w:space="0" w:color="auto"/>
              <w:right w:val="single" w:sz="4" w:space="0" w:color="A6A6A6" w:themeColor="background1" w:themeShade="A6"/>
            </w:tcBorders>
            <w:shd w:val="clear" w:color="auto" w:fill="auto"/>
          </w:tcPr>
          <w:p w14:paraId="4F6652DC" w14:textId="77777777" w:rsidR="00FA6A1F" w:rsidRPr="0003777A" w:rsidRDefault="00FA6A1F" w:rsidP="007B7120">
            <w:pPr>
              <w:pStyle w:val="TableText"/>
              <w:jc w:val="center"/>
            </w:pPr>
            <w:r w:rsidRPr="0003777A">
              <w:t>35.6</w:t>
            </w:r>
          </w:p>
        </w:tc>
        <w:tc>
          <w:tcPr>
            <w:tcW w:w="477" w:type="pct"/>
            <w:tcBorders>
              <w:top w:val="single" w:sz="4" w:space="0" w:color="A6A6A6" w:themeColor="background1" w:themeShade="A6"/>
              <w:left w:val="single" w:sz="4" w:space="0" w:color="A6A6A6" w:themeColor="background1" w:themeShade="A6"/>
            </w:tcBorders>
            <w:shd w:val="clear" w:color="auto" w:fill="auto"/>
          </w:tcPr>
          <w:p w14:paraId="4F6652DD" w14:textId="77777777" w:rsidR="00FA6A1F" w:rsidRPr="0003777A" w:rsidRDefault="00FA6A1F" w:rsidP="007B7120">
            <w:pPr>
              <w:pStyle w:val="TableText"/>
              <w:jc w:val="center"/>
            </w:pPr>
            <w:r w:rsidRPr="0003777A">
              <w:t>504</w:t>
            </w:r>
          </w:p>
        </w:tc>
        <w:tc>
          <w:tcPr>
            <w:tcW w:w="478" w:type="pct"/>
            <w:tcBorders>
              <w:top w:val="single" w:sz="4" w:space="0" w:color="A6A6A6" w:themeColor="background1" w:themeShade="A6"/>
              <w:right w:val="single" w:sz="4" w:space="0" w:color="A6A6A6" w:themeColor="background1" w:themeShade="A6"/>
            </w:tcBorders>
            <w:shd w:val="clear" w:color="auto" w:fill="auto"/>
          </w:tcPr>
          <w:p w14:paraId="4F6652DE" w14:textId="77777777" w:rsidR="00FA6A1F" w:rsidRPr="0003777A" w:rsidRDefault="00FA6A1F" w:rsidP="007B7120">
            <w:pPr>
              <w:pStyle w:val="TableText"/>
              <w:jc w:val="center"/>
            </w:pPr>
            <w:r w:rsidRPr="0003777A">
              <w:t>22.4</w:t>
            </w:r>
          </w:p>
        </w:tc>
        <w:tc>
          <w:tcPr>
            <w:tcW w:w="478" w:type="pct"/>
            <w:tcBorders>
              <w:top w:val="single" w:sz="4" w:space="0" w:color="A6A6A6" w:themeColor="background1" w:themeShade="A6"/>
              <w:left w:val="single" w:sz="4" w:space="0" w:color="A6A6A6" w:themeColor="background1" w:themeShade="A6"/>
              <w:bottom w:val="single" w:sz="4" w:space="0" w:color="auto"/>
            </w:tcBorders>
            <w:shd w:val="clear" w:color="auto" w:fill="auto"/>
          </w:tcPr>
          <w:p w14:paraId="4F6652DF" w14:textId="77777777" w:rsidR="00FA6A1F" w:rsidRPr="0003777A" w:rsidRDefault="00FA6A1F" w:rsidP="007B7120">
            <w:pPr>
              <w:pStyle w:val="TableText"/>
              <w:jc w:val="center"/>
            </w:pPr>
            <w:r w:rsidRPr="0003777A">
              <w:t>315</w:t>
            </w:r>
          </w:p>
        </w:tc>
        <w:tc>
          <w:tcPr>
            <w:tcW w:w="477" w:type="pct"/>
            <w:tcBorders>
              <w:top w:val="single" w:sz="4" w:space="0" w:color="A6A6A6" w:themeColor="background1" w:themeShade="A6"/>
              <w:bottom w:val="single" w:sz="4" w:space="0" w:color="auto"/>
              <w:right w:val="single" w:sz="4" w:space="0" w:color="A6A6A6" w:themeColor="background1" w:themeShade="A6"/>
            </w:tcBorders>
            <w:shd w:val="clear" w:color="auto" w:fill="auto"/>
          </w:tcPr>
          <w:p w14:paraId="4F6652E0" w14:textId="77777777" w:rsidR="00FA6A1F" w:rsidRPr="0003777A" w:rsidRDefault="00FA6A1F" w:rsidP="007B7120">
            <w:pPr>
              <w:pStyle w:val="TableText"/>
              <w:jc w:val="center"/>
            </w:pPr>
            <w:r w:rsidRPr="0003777A">
              <w:t>14.0</w:t>
            </w:r>
          </w:p>
        </w:tc>
        <w:tc>
          <w:tcPr>
            <w:tcW w:w="478" w:type="pct"/>
            <w:tcBorders>
              <w:top w:val="single" w:sz="4" w:space="0" w:color="A6A6A6" w:themeColor="background1" w:themeShade="A6"/>
              <w:left w:val="single" w:sz="4" w:space="0" w:color="A6A6A6" w:themeColor="background1" w:themeShade="A6"/>
            </w:tcBorders>
            <w:shd w:val="clear" w:color="auto" w:fill="auto"/>
          </w:tcPr>
          <w:p w14:paraId="4F6652E1" w14:textId="77777777" w:rsidR="00FA6A1F" w:rsidRPr="0003777A" w:rsidRDefault="00FA6A1F" w:rsidP="007B7120">
            <w:pPr>
              <w:pStyle w:val="TableText"/>
              <w:jc w:val="center"/>
            </w:pPr>
            <w:r w:rsidRPr="0003777A">
              <w:t>631</w:t>
            </w:r>
          </w:p>
        </w:tc>
        <w:tc>
          <w:tcPr>
            <w:tcW w:w="478" w:type="pct"/>
            <w:tcBorders>
              <w:top w:val="single" w:sz="4" w:space="0" w:color="A6A6A6" w:themeColor="background1" w:themeShade="A6"/>
              <w:right w:val="single" w:sz="4" w:space="0" w:color="A6A6A6" w:themeColor="background1" w:themeShade="A6"/>
            </w:tcBorders>
            <w:shd w:val="clear" w:color="auto" w:fill="auto"/>
          </w:tcPr>
          <w:p w14:paraId="4F6652E2" w14:textId="77777777" w:rsidR="00FA6A1F" w:rsidRPr="0003777A" w:rsidRDefault="00FA6A1F" w:rsidP="007B7120">
            <w:pPr>
              <w:pStyle w:val="TableText"/>
              <w:jc w:val="center"/>
            </w:pPr>
            <w:r w:rsidRPr="0003777A">
              <w:t>28.4</w:t>
            </w:r>
          </w:p>
        </w:tc>
        <w:tc>
          <w:tcPr>
            <w:tcW w:w="525" w:type="pct"/>
            <w:tcBorders>
              <w:top w:val="single" w:sz="4" w:space="0" w:color="A6A6A6" w:themeColor="background1" w:themeShade="A6"/>
              <w:left w:val="single" w:sz="4" w:space="0" w:color="A6A6A6" w:themeColor="background1" w:themeShade="A6"/>
              <w:bottom w:val="single" w:sz="4" w:space="0" w:color="auto"/>
            </w:tcBorders>
            <w:shd w:val="clear" w:color="auto" w:fill="auto"/>
          </w:tcPr>
          <w:p w14:paraId="4F6652E3" w14:textId="77777777" w:rsidR="00FA6A1F" w:rsidRPr="0003777A" w:rsidRDefault="00FA6A1F" w:rsidP="007B7120">
            <w:pPr>
              <w:pStyle w:val="TableText"/>
              <w:jc w:val="center"/>
            </w:pPr>
            <w:r w:rsidRPr="0003777A">
              <w:t>2,252</w:t>
            </w:r>
          </w:p>
        </w:tc>
      </w:tr>
    </w:tbl>
    <w:p w14:paraId="4F6652E5" w14:textId="77777777" w:rsidR="00FA6A1F" w:rsidRPr="0003777A" w:rsidRDefault="00FA6A1F" w:rsidP="007B7120">
      <w:pPr>
        <w:pStyle w:val="Note"/>
      </w:pPr>
      <w:r w:rsidRPr="0003777A">
        <w:t xml:space="preserve">Notes: All values are actual (not inflation adjusted), in NZ dollars, GST inclusive and rounded to the nearest million. The sum of the rows may differ from the total shown in the </w:t>
      </w:r>
      <w:r w:rsidR="008303C6">
        <w:t>‘</w:t>
      </w:r>
      <w:r w:rsidRPr="0003777A">
        <w:t>Total</w:t>
      </w:r>
      <w:r w:rsidR="008303C6">
        <w:t>’</w:t>
      </w:r>
      <w:r w:rsidRPr="0003777A">
        <w:t xml:space="preserve"> column due to rounding.</w:t>
      </w:r>
    </w:p>
    <w:p w14:paraId="4F6652E6" w14:textId="77777777" w:rsidR="00FA6A1F" w:rsidRDefault="00FA6A1F" w:rsidP="007B7120">
      <w:pPr>
        <w:pStyle w:val="Source"/>
        <w:rPr>
          <w:rFonts w:eastAsia="MS Gothic"/>
        </w:rPr>
      </w:pPr>
      <w:r w:rsidRPr="0003777A">
        <w:t>Source: The DIA expenditure figures from its website</w:t>
      </w:r>
      <w:r>
        <w:t>:</w:t>
      </w:r>
      <w:r w:rsidRPr="0003777A">
        <w:t xml:space="preserve"> </w:t>
      </w:r>
      <w:hyperlink r:id="rId41" w:history="1">
        <w:r w:rsidR="007B7120" w:rsidRPr="007B7120">
          <w:rPr>
            <w:rStyle w:val="Hyperlink"/>
          </w:rPr>
          <w:t>www.dia.govt.nz/gambling-statistics-expenditure</w:t>
        </w:r>
      </w:hyperlink>
      <w:r w:rsidRPr="0003777A">
        <w:rPr>
          <w:rStyle w:val="Hyperlink"/>
          <w:rFonts w:asciiTheme="minorHAnsi" w:eastAsia="MS Gothic" w:hAnsiTheme="minorHAnsi" w:cstheme="minorHAnsi"/>
        </w:rPr>
        <w:t xml:space="preserve"> </w:t>
      </w:r>
      <w:r w:rsidRPr="007B7120">
        <w:rPr>
          <w:rFonts w:eastAsia="MS Gothic"/>
        </w:rPr>
        <w:t>(accessed 12 March 2021).</w:t>
      </w:r>
    </w:p>
    <w:p w14:paraId="4F6652E7" w14:textId="77777777" w:rsidR="007B7120" w:rsidRPr="007B7120" w:rsidRDefault="007B7120" w:rsidP="007B7120"/>
    <w:p w14:paraId="4F6652E8" w14:textId="77777777" w:rsidR="00FA6A1F" w:rsidRPr="00C10A99" w:rsidRDefault="00FA6A1F" w:rsidP="00C25919">
      <w:pPr>
        <w:pStyle w:val="Heading3"/>
      </w:pPr>
      <w:bookmarkStart w:id="230" w:name="_Toc65389477"/>
      <w:bookmarkStart w:id="231" w:name="_Toc71102178"/>
      <w:bookmarkStart w:id="232" w:name="_Toc78882319"/>
      <w:bookmarkEnd w:id="224"/>
      <w:bookmarkEnd w:id="225"/>
      <w:r w:rsidRPr="00C10A99">
        <w:lastRenderedPageBreak/>
        <w:t>Presentations (B)</w:t>
      </w:r>
      <w:bookmarkEnd w:id="230"/>
      <w:bookmarkEnd w:id="231"/>
      <w:bookmarkEnd w:id="232"/>
    </w:p>
    <w:p w14:paraId="4F6652E9" w14:textId="77777777" w:rsidR="00FA6A1F" w:rsidRPr="00E312E8" w:rsidRDefault="00FA6A1F" w:rsidP="00C25919">
      <w:r w:rsidRPr="00C10A99">
        <w:t>The formula in the Act requires the levy rate calculation to take into account the latest, most reliable and most appropriate sources of information from the Ministry on c</w:t>
      </w:r>
      <w:r>
        <w:t xml:space="preserve">lient </w:t>
      </w:r>
      <w:r w:rsidRPr="00C10A99">
        <w:t>presentations to problem gambling sources.</w:t>
      </w:r>
    </w:p>
    <w:p w14:paraId="4F6652EA" w14:textId="77777777" w:rsidR="00C25919" w:rsidRDefault="00C25919" w:rsidP="00C25919"/>
    <w:p w14:paraId="4F6652EB" w14:textId="77777777" w:rsidR="008303C6" w:rsidRDefault="00FA6A1F" w:rsidP="00C25919">
      <w:r>
        <w:t>We</w:t>
      </w:r>
      <w:r w:rsidRPr="00C10A99">
        <w:t xml:space="preserve"> generated the presentation figures used in the levy calculations in this consultation document from data collected by </w:t>
      </w:r>
      <w:r>
        <w:t>our</w:t>
      </w:r>
      <w:r w:rsidRPr="00C10A99">
        <w:t xml:space="preserve"> psychosocial intervention service providers. The figures relate to all clients who received a full facilitation or follow-up intervention session</w:t>
      </w:r>
      <w:r>
        <w:t xml:space="preserve"> during the 12 months from 1 January 2020 to 31 December 2020</w:t>
      </w:r>
      <w:r w:rsidRPr="00C10A99">
        <w:t>.</w:t>
      </w:r>
    </w:p>
    <w:p w14:paraId="4F6652EC" w14:textId="77777777" w:rsidR="00C25919" w:rsidRDefault="00C25919" w:rsidP="00C25919"/>
    <w:p w14:paraId="4F6652ED" w14:textId="77777777" w:rsidR="008303C6" w:rsidRDefault="00FA6A1F" w:rsidP="00C25919">
      <w:r>
        <w:t>The figures exclude b</w:t>
      </w:r>
      <w:r w:rsidRPr="00C10A99">
        <w:t>rief screening interventions</w:t>
      </w:r>
      <w:r>
        <w:t xml:space="preserve"> </w:t>
      </w:r>
      <w:r w:rsidRPr="00C10A99">
        <w:t>and primary problem gambling modes</w:t>
      </w:r>
      <w:r>
        <w:t xml:space="preserve"> (PPGM)</w:t>
      </w:r>
      <w:r w:rsidRPr="00C10A99">
        <w:t xml:space="preserve"> in gambling sectors that are not subject to the levy</w:t>
      </w:r>
      <w:r>
        <w:t xml:space="preserve"> (although these are recorded). Brief interventions essentially mean brief screenings carried out in non</w:t>
      </w:r>
      <w:r w:rsidR="00C25919">
        <w:noBreakHyphen/>
      </w:r>
      <w:r>
        <w:t>clinical settings. They are excluded mainly because they are considered unrepresentative of a sector. This is because a sector</w:t>
      </w:r>
      <w:r w:rsidR="008303C6">
        <w:t>’</w:t>
      </w:r>
      <w:r>
        <w:t>s share of brief interventions will vary depending on the settings in which service providers decide to undertake them.</w:t>
      </w:r>
    </w:p>
    <w:p w14:paraId="4F6652EE" w14:textId="77777777" w:rsidR="00C25919" w:rsidRDefault="00C25919" w:rsidP="00C25919"/>
    <w:p w14:paraId="4F6652EF" w14:textId="77777777" w:rsidR="00FA6A1F" w:rsidRDefault="00FA6A1F" w:rsidP="00C25919">
      <w:r>
        <w:t>We</w:t>
      </w:r>
      <w:r w:rsidRPr="00C10A99">
        <w:t xml:space="preserve"> will update the presentation figures before the Gambling Commission</w:t>
      </w:r>
      <w:r w:rsidR="008303C6">
        <w:t>’</w:t>
      </w:r>
      <w:r w:rsidRPr="00C10A99">
        <w:t xml:space="preserve">s consultation meeting, to the year ending </w:t>
      </w:r>
      <w:r w:rsidRPr="00D91C0F">
        <w:t>30 June 20</w:t>
      </w:r>
      <w:r>
        <w:t>21</w:t>
      </w:r>
      <w:r w:rsidRPr="00C10A99">
        <w:t xml:space="preserve"> and will include the updated figures in </w:t>
      </w:r>
      <w:r>
        <w:t>our</w:t>
      </w:r>
      <w:r w:rsidRPr="00C10A99">
        <w:t xml:space="preserve"> proposals document for that meeting. </w:t>
      </w:r>
      <w:r>
        <w:t xml:space="preserve">Experience suggests </w:t>
      </w:r>
      <w:r w:rsidRPr="00C10A99">
        <w:t xml:space="preserve">there should be very little, if any, change to the levy rates </w:t>
      </w:r>
      <w:r>
        <w:t>in that updated</w:t>
      </w:r>
      <w:r w:rsidRPr="00C10A99">
        <w:t xml:space="preserve"> data.</w:t>
      </w:r>
    </w:p>
    <w:p w14:paraId="4F6652F0" w14:textId="77777777" w:rsidR="00C25919" w:rsidRPr="00C10A99" w:rsidRDefault="00C25919" w:rsidP="00C25919"/>
    <w:p w14:paraId="4F6652F1" w14:textId="77777777" w:rsidR="00FA6A1F" w:rsidRDefault="00FA6A1F" w:rsidP="00C25919">
      <w:r w:rsidRPr="00C10A99">
        <w:t xml:space="preserve">No changes have been made to the way in which </w:t>
      </w:r>
      <w:r>
        <w:t>we have</w:t>
      </w:r>
      <w:r w:rsidRPr="00C10A99">
        <w:t xml:space="preserve"> recorded or weighted PPGMs since the last levy period. As previous consultation documents have discussed the meaning of PPGMs at length, </w:t>
      </w:r>
      <w:r>
        <w:t>we do</w:t>
      </w:r>
      <w:r w:rsidRPr="00C10A99">
        <w:t xml:space="preserve"> not intend to repeat th</w:t>
      </w:r>
      <w:r>
        <w:t>at</w:t>
      </w:r>
      <w:r w:rsidRPr="00C10A99">
        <w:t xml:space="preserve"> detail in this document but can provide an in-depth description if required.</w:t>
      </w:r>
    </w:p>
    <w:p w14:paraId="4F6652F2" w14:textId="77777777" w:rsidR="00C25919" w:rsidRPr="00E312E8" w:rsidRDefault="00C25919" w:rsidP="00C25919"/>
    <w:p w14:paraId="4F6652F3" w14:textId="66A16788" w:rsidR="008303C6" w:rsidRDefault="00C25919" w:rsidP="00C25919">
      <w:r>
        <w:fldChar w:fldCharType="begin"/>
      </w:r>
      <w:r>
        <w:instrText xml:space="preserve"> REF _Ref80795731 \h </w:instrText>
      </w:r>
      <w:r>
        <w:fldChar w:fldCharType="separate"/>
      </w:r>
      <w:r w:rsidR="00F65B3A">
        <w:t>Table </w:t>
      </w:r>
      <w:r w:rsidR="00F65B3A">
        <w:rPr>
          <w:noProof/>
        </w:rPr>
        <w:t>10</w:t>
      </w:r>
      <w:r>
        <w:fldChar w:fldCharType="end"/>
      </w:r>
      <w:r w:rsidR="00FA6A1F" w:rsidRPr="00557E12">
        <w:t xml:space="preserve"> </w:t>
      </w:r>
      <w:r w:rsidR="00FA6A1F">
        <w:t xml:space="preserve">below show </w:t>
      </w:r>
      <w:r w:rsidR="00FA6A1F" w:rsidRPr="00557E12">
        <w:t xml:space="preserve">the presentations attributed to each of the four levy-paying sectors each year from </w:t>
      </w:r>
      <w:r w:rsidR="00FA6A1F">
        <w:t>2011/12</w:t>
      </w:r>
      <w:r w:rsidR="00FA6A1F" w:rsidRPr="00557E12">
        <w:t xml:space="preserve"> </w:t>
      </w:r>
      <w:r w:rsidR="00FA6A1F">
        <w:t>to 2020</w:t>
      </w:r>
      <w:r w:rsidR="00FA6A1F" w:rsidRPr="00557E12">
        <w:t>.</w:t>
      </w:r>
    </w:p>
    <w:p w14:paraId="4F6652F4" w14:textId="77777777" w:rsidR="00C25919" w:rsidRDefault="00C25919" w:rsidP="00C25919"/>
    <w:p w14:paraId="4F6652F5" w14:textId="4EEF0F8D" w:rsidR="00FA6A1F" w:rsidRPr="00440704" w:rsidRDefault="00C25919" w:rsidP="00C25919">
      <w:pPr>
        <w:pStyle w:val="Table"/>
      </w:pPr>
      <w:bookmarkStart w:id="233" w:name="_Ref80795731"/>
      <w:bookmarkStart w:id="234" w:name="_Toc517091245"/>
      <w:bookmarkStart w:id="235" w:name="_Toc522089449"/>
      <w:bookmarkStart w:id="236" w:name="_Toc80860354"/>
      <w:r>
        <w:lastRenderedPageBreak/>
        <w:t>Table </w:t>
      </w:r>
      <w:fldSimple w:instr=" SEQ Table \* ARABIC ">
        <w:r w:rsidR="00F65B3A">
          <w:rPr>
            <w:noProof/>
          </w:rPr>
          <w:t>10</w:t>
        </w:r>
      </w:fldSimple>
      <w:bookmarkEnd w:id="233"/>
      <w:r w:rsidR="00FA6A1F" w:rsidRPr="00440704">
        <w:t xml:space="preserve">: Presentations and </w:t>
      </w:r>
      <w:r w:rsidR="00FA6A1F" w:rsidRPr="00927967">
        <w:t>proportions</w:t>
      </w:r>
      <w:r w:rsidR="00FA6A1F" w:rsidRPr="00440704">
        <w:t xml:space="preserve"> attributed to the four main </w:t>
      </w:r>
      <w:r w:rsidR="00FA6A1F">
        <w:t xml:space="preserve">gambling </w:t>
      </w:r>
      <w:r w:rsidR="00FA6A1F" w:rsidRPr="00440704">
        <w:t>sectors, 20</w:t>
      </w:r>
      <w:r w:rsidR="00FA6A1F">
        <w:t>11</w:t>
      </w:r>
      <w:r w:rsidR="00FA6A1F" w:rsidRPr="00440704">
        <w:t>/</w:t>
      </w:r>
      <w:r w:rsidR="00FA6A1F">
        <w:t>12</w:t>
      </w:r>
      <w:r w:rsidR="00FA6A1F" w:rsidRPr="00440704">
        <w:t xml:space="preserve"> to 2020</w:t>
      </w:r>
      <w:bookmarkEnd w:id="234"/>
      <w:bookmarkEnd w:id="235"/>
      <w:bookmarkEnd w:id="236"/>
    </w:p>
    <w:tbl>
      <w:tblPr>
        <w:tblW w:w="5000" w:type="pct"/>
        <w:tblBorders>
          <w:top w:val="single" w:sz="12" w:space="0" w:color="auto"/>
          <w:bottom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44"/>
        <w:gridCol w:w="784"/>
        <w:gridCol w:w="782"/>
        <w:gridCol w:w="782"/>
        <w:gridCol w:w="782"/>
        <w:gridCol w:w="782"/>
        <w:gridCol w:w="782"/>
        <w:gridCol w:w="782"/>
        <w:gridCol w:w="782"/>
        <w:gridCol w:w="777"/>
      </w:tblGrid>
      <w:tr w:rsidR="00FA6A1F" w:rsidRPr="00C25919" w14:paraId="4F6652FC" w14:textId="77777777" w:rsidTr="00C25919">
        <w:trPr>
          <w:cantSplit/>
        </w:trPr>
        <w:tc>
          <w:tcPr>
            <w:tcW w:w="646" w:type="pct"/>
            <w:vMerge w:val="restart"/>
            <w:tcBorders>
              <w:top w:val="nil"/>
              <w:bottom w:val="nil"/>
              <w:right w:val="single" w:sz="4" w:space="0" w:color="A6A6A6" w:themeColor="background1" w:themeShade="A6"/>
            </w:tcBorders>
            <w:shd w:val="clear" w:color="auto" w:fill="D9D9D9" w:themeFill="background1" w:themeFillShade="D9"/>
            <w:vAlign w:val="bottom"/>
          </w:tcPr>
          <w:p w14:paraId="4F6652F6" w14:textId="77777777" w:rsidR="00FA6A1F" w:rsidRPr="00C25919" w:rsidRDefault="00FA6A1F" w:rsidP="00C25919">
            <w:pPr>
              <w:pStyle w:val="TableText"/>
              <w:keepNext/>
              <w:rPr>
                <w:b/>
              </w:rPr>
            </w:pPr>
            <w:r w:rsidRPr="00C25919">
              <w:rPr>
                <w:b/>
              </w:rPr>
              <w:t>Year</w:t>
            </w:r>
          </w:p>
        </w:tc>
        <w:tc>
          <w:tcPr>
            <w:tcW w:w="969" w:type="pct"/>
            <w:gridSpan w:val="2"/>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tcPr>
          <w:p w14:paraId="4F6652F7" w14:textId="77777777" w:rsidR="00FA6A1F" w:rsidRPr="00C25919" w:rsidRDefault="00FA6A1F" w:rsidP="00C25919">
            <w:pPr>
              <w:pStyle w:val="TableText"/>
              <w:spacing w:after="0"/>
              <w:jc w:val="center"/>
              <w:rPr>
                <w:b/>
              </w:rPr>
            </w:pPr>
            <w:r w:rsidRPr="00C25919">
              <w:rPr>
                <w:b/>
              </w:rPr>
              <w:t>NCGMs</w:t>
            </w:r>
          </w:p>
        </w:tc>
        <w:tc>
          <w:tcPr>
            <w:tcW w:w="968" w:type="pct"/>
            <w:gridSpan w:val="2"/>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tcPr>
          <w:p w14:paraId="4F6652F8" w14:textId="77777777" w:rsidR="00FA6A1F" w:rsidRPr="00C25919" w:rsidRDefault="00FA6A1F" w:rsidP="00C25919">
            <w:pPr>
              <w:pStyle w:val="TableText"/>
              <w:spacing w:after="0"/>
              <w:jc w:val="center"/>
              <w:rPr>
                <w:b/>
              </w:rPr>
            </w:pPr>
            <w:r w:rsidRPr="00C25919">
              <w:rPr>
                <w:b/>
              </w:rPr>
              <w:t>Casinos</w:t>
            </w:r>
          </w:p>
        </w:tc>
        <w:tc>
          <w:tcPr>
            <w:tcW w:w="968" w:type="pct"/>
            <w:gridSpan w:val="2"/>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tcPr>
          <w:p w14:paraId="4F6652F9" w14:textId="77777777" w:rsidR="00FA6A1F" w:rsidRPr="00C25919" w:rsidRDefault="00FA6A1F" w:rsidP="00C25919">
            <w:pPr>
              <w:pStyle w:val="TableText"/>
              <w:spacing w:after="0"/>
              <w:jc w:val="center"/>
              <w:rPr>
                <w:b/>
              </w:rPr>
            </w:pPr>
            <w:r w:rsidRPr="00C25919">
              <w:rPr>
                <w:b/>
              </w:rPr>
              <w:t>TAB NZ</w:t>
            </w:r>
          </w:p>
        </w:tc>
        <w:tc>
          <w:tcPr>
            <w:tcW w:w="968" w:type="pct"/>
            <w:gridSpan w:val="2"/>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tcPr>
          <w:p w14:paraId="4F6652FA" w14:textId="77777777" w:rsidR="00FA6A1F" w:rsidRPr="00C25919" w:rsidRDefault="00FA6A1F" w:rsidP="00C25919">
            <w:pPr>
              <w:pStyle w:val="TableText"/>
              <w:spacing w:after="0"/>
              <w:jc w:val="center"/>
              <w:rPr>
                <w:b/>
              </w:rPr>
            </w:pPr>
            <w:r w:rsidRPr="00C25919">
              <w:rPr>
                <w:b/>
              </w:rPr>
              <w:t>Lotto New Zealand</w:t>
            </w:r>
          </w:p>
        </w:tc>
        <w:tc>
          <w:tcPr>
            <w:tcW w:w="482" w:type="pct"/>
            <w:tcBorders>
              <w:top w:val="nil"/>
              <w:left w:val="single" w:sz="4" w:space="0" w:color="A6A6A6" w:themeColor="background1" w:themeShade="A6"/>
              <w:bottom w:val="nil"/>
            </w:tcBorders>
            <w:shd w:val="clear" w:color="auto" w:fill="D9D9D9" w:themeFill="background1" w:themeFillShade="D9"/>
          </w:tcPr>
          <w:p w14:paraId="4F6652FB" w14:textId="77777777" w:rsidR="00FA6A1F" w:rsidRPr="00C25919" w:rsidRDefault="00FA6A1F" w:rsidP="00C25919">
            <w:pPr>
              <w:pStyle w:val="TableText"/>
              <w:spacing w:after="0"/>
              <w:jc w:val="center"/>
              <w:rPr>
                <w:b/>
              </w:rPr>
            </w:pPr>
            <w:r w:rsidRPr="00C25919">
              <w:rPr>
                <w:b/>
              </w:rPr>
              <w:t>Total</w:t>
            </w:r>
          </w:p>
        </w:tc>
      </w:tr>
      <w:tr w:rsidR="00FA6A1F" w:rsidRPr="002B3CBB" w14:paraId="4F665307" w14:textId="77777777" w:rsidTr="00C25919">
        <w:trPr>
          <w:cantSplit/>
        </w:trPr>
        <w:tc>
          <w:tcPr>
            <w:tcW w:w="646" w:type="pct"/>
            <w:vMerge/>
            <w:tcBorders>
              <w:top w:val="nil"/>
              <w:bottom w:val="nil"/>
              <w:right w:val="single" w:sz="4" w:space="0" w:color="A6A6A6" w:themeColor="background1" w:themeShade="A6"/>
            </w:tcBorders>
            <w:shd w:val="clear" w:color="auto" w:fill="D9D9D9" w:themeFill="background1" w:themeFillShade="D9"/>
          </w:tcPr>
          <w:p w14:paraId="4F6652FD" w14:textId="77777777" w:rsidR="00FA6A1F" w:rsidRPr="0003777A" w:rsidRDefault="00FA6A1F" w:rsidP="00C25919">
            <w:pPr>
              <w:pStyle w:val="TableText"/>
              <w:keepNext/>
            </w:pPr>
          </w:p>
        </w:tc>
        <w:tc>
          <w:tcPr>
            <w:tcW w:w="485" w:type="pct"/>
            <w:tcBorders>
              <w:top w:val="nil"/>
              <w:left w:val="single" w:sz="4" w:space="0" w:color="A6A6A6" w:themeColor="background1" w:themeShade="A6"/>
              <w:bottom w:val="nil"/>
              <w:right w:val="nil"/>
            </w:tcBorders>
            <w:shd w:val="clear" w:color="auto" w:fill="D9D9D9" w:themeFill="background1" w:themeFillShade="D9"/>
          </w:tcPr>
          <w:p w14:paraId="4F6652FE" w14:textId="77777777" w:rsidR="00FA6A1F" w:rsidRPr="00C25919" w:rsidRDefault="00FA6A1F" w:rsidP="00C25919">
            <w:pPr>
              <w:pStyle w:val="TableText"/>
              <w:spacing w:before="0"/>
              <w:jc w:val="center"/>
              <w:rPr>
                <w:b/>
              </w:rPr>
            </w:pPr>
            <w:r w:rsidRPr="00C25919">
              <w:rPr>
                <w:b/>
              </w:rPr>
              <w:t>n</w:t>
            </w:r>
          </w:p>
        </w:tc>
        <w:tc>
          <w:tcPr>
            <w:tcW w:w="484" w:type="pct"/>
            <w:tcBorders>
              <w:top w:val="nil"/>
              <w:left w:val="nil"/>
              <w:bottom w:val="nil"/>
              <w:right w:val="single" w:sz="4" w:space="0" w:color="A6A6A6" w:themeColor="background1" w:themeShade="A6"/>
            </w:tcBorders>
            <w:shd w:val="clear" w:color="auto" w:fill="D9D9D9" w:themeFill="background1" w:themeFillShade="D9"/>
          </w:tcPr>
          <w:p w14:paraId="4F6652FF" w14:textId="77777777" w:rsidR="00FA6A1F" w:rsidRPr="00C25919" w:rsidRDefault="00FA6A1F" w:rsidP="00C25919">
            <w:pPr>
              <w:pStyle w:val="TableText"/>
              <w:spacing w:before="0"/>
              <w:jc w:val="center"/>
              <w:rPr>
                <w:b/>
              </w:rPr>
            </w:pPr>
            <w:r w:rsidRPr="00C25919">
              <w:rPr>
                <w:b/>
              </w:rPr>
              <w:t>%</w:t>
            </w:r>
          </w:p>
        </w:tc>
        <w:tc>
          <w:tcPr>
            <w:tcW w:w="484" w:type="pct"/>
            <w:tcBorders>
              <w:top w:val="nil"/>
              <w:left w:val="single" w:sz="4" w:space="0" w:color="A6A6A6" w:themeColor="background1" w:themeShade="A6"/>
              <w:bottom w:val="nil"/>
              <w:right w:val="nil"/>
            </w:tcBorders>
            <w:shd w:val="clear" w:color="auto" w:fill="D9D9D9" w:themeFill="background1" w:themeFillShade="D9"/>
          </w:tcPr>
          <w:p w14:paraId="4F665300" w14:textId="77777777" w:rsidR="00FA6A1F" w:rsidRPr="00C25919" w:rsidRDefault="00FA6A1F" w:rsidP="00C25919">
            <w:pPr>
              <w:pStyle w:val="TableText"/>
              <w:spacing w:before="0"/>
              <w:jc w:val="center"/>
              <w:rPr>
                <w:b/>
              </w:rPr>
            </w:pPr>
            <w:r w:rsidRPr="00C25919">
              <w:rPr>
                <w:b/>
              </w:rPr>
              <w:t>n</w:t>
            </w:r>
          </w:p>
        </w:tc>
        <w:tc>
          <w:tcPr>
            <w:tcW w:w="484" w:type="pct"/>
            <w:tcBorders>
              <w:top w:val="nil"/>
              <w:left w:val="nil"/>
              <w:bottom w:val="nil"/>
              <w:right w:val="single" w:sz="4" w:space="0" w:color="A6A6A6" w:themeColor="background1" w:themeShade="A6"/>
            </w:tcBorders>
            <w:shd w:val="clear" w:color="auto" w:fill="D9D9D9" w:themeFill="background1" w:themeFillShade="D9"/>
          </w:tcPr>
          <w:p w14:paraId="4F665301" w14:textId="77777777" w:rsidR="00FA6A1F" w:rsidRPr="00C25919" w:rsidRDefault="00FA6A1F" w:rsidP="00C25919">
            <w:pPr>
              <w:pStyle w:val="TableText"/>
              <w:spacing w:before="0"/>
              <w:jc w:val="center"/>
              <w:rPr>
                <w:b/>
              </w:rPr>
            </w:pPr>
            <w:r w:rsidRPr="00C25919">
              <w:rPr>
                <w:b/>
              </w:rPr>
              <w:t>%</w:t>
            </w:r>
          </w:p>
        </w:tc>
        <w:tc>
          <w:tcPr>
            <w:tcW w:w="484" w:type="pct"/>
            <w:tcBorders>
              <w:top w:val="nil"/>
              <w:left w:val="single" w:sz="4" w:space="0" w:color="A6A6A6" w:themeColor="background1" w:themeShade="A6"/>
              <w:bottom w:val="nil"/>
              <w:right w:val="nil"/>
            </w:tcBorders>
            <w:shd w:val="clear" w:color="auto" w:fill="D9D9D9" w:themeFill="background1" w:themeFillShade="D9"/>
          </w:tcPr>
          <w:p w14:paraId="4F665302" w14:textId="77777777" w:rsidR="00FA6A1F" w:rsidRPr="00C25919" w:rsidRDefault="00FA6A1F" w:rsidP="00C25919">
            <w:pPr>
              <w:pStyle w:val="TableText"/>
              <w:spacing w:before="0"/>
              <w:jc w:val="center"/>
              <w:rPr>
                <w:b/>
              </w:rPr>
            </w:pPr>
            <w:r w:rsidRPr="00C25919">
              <w:rPr>
                <w:b/>
              </w:rPr>
              <w:t>n</w:t>
            </w:r>
          </w:p>
        </w:tc>
        <w:tc>
          <w:tcPr>
            <w:tcW w:w="484" w:type="pct"/>
            <w:tcBorders>
              <w:top w:val="nil"/>
              <w:left w:val="nil"/>
              <w:bottom w:val="nil"/>
              <w:right w:val="single" w:sz="4" w:space="0" w:color="A6A6A6" w:themeColor="background1" w:themeShade="A6"/>
            </w:tcBorders>
            <w:shd w:val="clear" w:color="auto" w:fill="D9D9D9" w:themeFill="background1" w:themeFillShade="D9"/>
          </w:tcPr>
          <w:p w14:paraId="4F665303" w14:textId="77777777" w:rsidR="00FA6A1F" w:rsidRPr="00C25919" w:rsidRDefault="00FA6A1F" w:rsidP="00C25919">
            <w:pPr>
              <w:pStyle w:val="TableText"/>
              <w:spacing w:before="0"/>
              <w:jc w:val="center"/>
              <w:rPr>
                <w:b/>
              </w:rPr>
            </w:pPr>
            <w:r w:rsidRPr="00C25919">
              <w:rPr>
                <w:b/>
              </w:rPr>
              <w:t>%</w:t>
            </w:r>
          </w:p>
        </w:tc>
        <w:tc>
          <w:tcPr>
            <w:tcW w:w="484" w:type="pct"/>
            <w:tcBorders>
              <w:top w:val="nil"/>
              <w:left w:val="single" w:sz="4" w:space="0" w:color="A6A6A6" w:themeColor="background1" w:themeShade="A6"/>
              <w:bottom w:val="nil"/>
              <w:right w:val="nil"/>
            </w:tcBorders>
            <w:shd w:val="clear" w:color="auto" w:fill="D9D9D9" w:themeFill="background1" w:themeFillShade="D9"/>
          </w:tcPr>
          <w:p w14:paraId="4F665304" w14:textId="77777777" w:rsidR="00FA6A1F" w:rsidRPr="00C25919" w:rsidRDefault="00FA6A1F" w:rsidP="00C25919">
            <w:pPr>
              <w:pStyle w:val="TableText"/>
              <w:spacing w:before="0"/>
              <w:jc w:val="center"/>
              <w:rPr>
                <w:b/>
              </w:rPr>
            </w:pPr>
            <w:r w:rsidRPr="00C25919">
              <w:rPr>
                <w:b/>
              </w:rPr>
              <w:t>n</w:t>
            </w:r>
          </w:p>
        </w:tc>
        <w:tc>
          <w:tcPr>
            <w:tcW w:w="484" w:type="pct"/>
            <w:tcBorders>
              <w:top w:val="nil"/>
              <w:left w:val="nil"/>
              <w:bottom w:val="nil"/>
              <w:right w:val="single" w:sz="4" w:space="0" w:color="A6A6A6" w:themeColor="background1" w:themeShade="A6"/>
            </w:tcBorders>
            <w:shd w:val="clear" w:color="auto" w:fill="D9D9D9" w:themeFill="background1" w:themeFillShade="D9"/>
          </w:tcPr>
          <w:p w14:paraId="4F665305" w14:textId="77777777" w:rsidR="00FA6A1F" w:rsidRPr="00C25919" w:rsidRDefault="00FA6A1F" w:rsidP="00C25919">
            <w:pPr>
              <w:pStyle w:val="TableText"/>
              <w:spacing w:before="0"/>
              <w:jc w:val="center"/>
              <w:rPr>
                <w:b/>
              </w:rPr>
            </w:pPr>
            <w:r w:rsidRPr="00C25919">
              <w:rPr>
                <w:b/>
              </w:rPr>
              <w:t>%</w:t>
            </w:r>
          </w:p>
        </w:tc>
        <w:tc>
          <w:tcPr>
            <w:tcW w:w="482" w:type="pct"/>
            <w:tcBorders>
              <w:top w:val="nil"/>
              <w:left w:val="single" w:sz="4" w:space="0" w:color="A6A6A6" w:themeColor="background1" w:themeShade="A6"/>
              <w:bottom w:val="nil"/>
            </w:tcBorders>
            <w:shd w:val="clear" w:color="auto" w:fill="D9D9D9" w:themeFill="background1" w:themeFillShade="D9"/>
          </w:tcPr>
          <w:p w14:paraId="4F665306" w14:textId="77777777" w:rsidR="00FA6A1F" w:rsidRPr="00C25919" w:rsidRDefault="00FA6A1F" w:rsidP="00C25919">
            <w:pPr>
              <w:pStyle w:val="TableText"/>
              <w:spacing w:before="0"/>
              <w:jc w:val="center"/>
              <w:rPr>
                <w:b/>
              </w:rPr>
            </w:pPr>
            <w:r w:rsidRPr="00C25919">
              <w:rPr>
                <w:b/>
              </w:rPr>
              <w:t>n</w:t>
            </w:r>
          </w:p>
        </w:tc>
      </w:tr>
      <w:tr w:rsidR="00FA6A1F" w:rsidRPr="002B3CBB" w14:paraId="4F665312" w14:textId="77777777" w:rsidTr="00C25919">
        <w:trPr>
          <w:cantSplit/>
        </w:trPr>
        <w:tc>
          <w:tcPr>
            <w:tcW w:w="646" w:type="pct"/>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F665308" w14:textId="77777777" w:rsidR="00FA6A1F" w:rsidRPr="0003777A" w:rsidRDefault="00FA6A1F" w:rsidP="00C25919">
            <w:pPr>
              <w:pStyle w:val="TableText"/>
              <w:keepNext/>
            </w:pPr>
            <w:r w:rsidRPr="0003777A">
              <w:t>2011/12</w:t>
            </w:r>
          </w:p>
        </w:tc>
        <w:tc>
          <w:tcPr>
            <w:tcW w:w="485"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4F665309" w14:textId="77777777" w:rsidR="00FA6A1F" w:rsidRPr="0003777A" w:rsidRDefault="00FA6A1F" w:rsidP="00C25919">
            <w:pPr>
              <w:pStyle w:val="TableText"/>
              <w:jc w:val="center"/>
            </w:pPr>
            <w:r w:rsidRPr="0003777A">
              <w:t>3,708</w:t>
            </w:r>
          </w:p>
        </w:tc>
        <w:tc>
          <w:tcPr>
            <w:tcW w:w="484"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4F66530A" w14:textId="77777777" w:rsidR="00FA6A1F" w:rsidRPr="0003777A" w:rsidRDefault="00FA6A1F" w:rsidP="00C25919">
            <w:pPr>
              <w:pStyle w:val="TableText"/>
              <w:jc w:val="center"/>
            </w:pPr>
            <w:r w:rsidRPr="0003777A">
              <w:t>64</w:t>
            </w: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4F66530B" w14:textId="77777777" w:rsidR="00FA6A1F" w:rsidRPr="0003777A" w:rsidRDefault="00FA6A1F" w:rsidP="00C25919">
            <w:pPr>
              <w:pStyle w:val="TableText"/>
              <w:tabs>
                <w:tab w:val="decimal" w:pos="510"/>
              </w:tabs>
            </w:pPr>
            <w:r w:rsidRPr="0003777A">
              <w:t>1,188</w:t>
            </w:r>
          </w:p>
        </w:tc>
        <w:tc>
          <w:tcPr>
            <w:tcW w:w="484"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4F66530C" w14:textId="77777777" w:rsidR="00FA6A1F" w:rsidRPr="0003777A" w:rsidRDefault="00FA6A1F" w:rsidP="00C25919">
            <w:pPr>
              <w:pStyle w:val="TableText"/>
              <w:jc w:val="center"/>
            </w:pPr>
            <w:r w:rsidRPr="0003777A">
              <w:t>21</w:t>
            </w: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4F66530D" w14:textId="77777777" w:rsidR="00FA6A1F" w:rsidRPr="0003777A" w:rsidRDefault="00FA6A1F" w:rsidP="00C25919">
            <w:pPr>
              <w:pStyle w:val="TableText"/>
              <w:jc w:val="center"/>
            </w:pPr>
            <w:r w:rsidRPr="0003777A">
              <w:t>548</w:t>
            </w:r>
          </w:p>
        </w:tc>
        <w:tc>
          <w:tcPr>
            <w:tcW w:w="484"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4F66530E" w14:textId="77777777" w:rsidR="00FA6A1F" w:rsidRPr="0003777A" w:rsidRDefault="00FA6A1F" w:rsidP="00C25919">
            <w:pPr>
              <w:pStyle w:val="TableText"/>
              <w:tabs>
                <w:tab w:val="decimal" w:pos="380"/>
              </w:tabs>
            </w:pPr>
            <w:r w:rsidRPr="0003777A">
              <w:t>9</w:t>
            </w: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4F66530F" w14:textId="77777777" w:rsidR="00FA6A1F" w:rsidRPr="0003777A" w:rsidRDefault="00FA6A1F" w:rsidP="00C25919">
            <w:pPr>
              <w:pStyle w:val="TableText"/>
              <w:jc w:val="center"/>
            </w:pPr>
            <w:r w:rsidRPr="0003777A">
              <w:t>339</w:t>
            </w:r>
          </w:p>
        </w:tc>
        <w:tc>
          <w:tcPr>
            <w:tcW w:w="484"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4F665310" w14:textId="77777777" w:rsidR="00FA6A1F" w:rsidRPr="0003777A" w:rsidRDefault="00FA6A1F" w:rsidP="00C25919">
            <w:pPr>
              <w:pStyle w:val="TableText"/>
              <w:tabs>
                <w:tab w:val="decimal" w:pos="334"/>
              </w:tabs>
            </w:pPr>
            <w:r w:rsidRPr="0003777A">
              <w:t>6</w:t>
            </w:r>
          </w:p>
        </w:tc>
        <w:tc>
          <w:tcPr>
            <w:tcW w:w="482" w:type="pct"/>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4F665311" w14:textId="77777777" w:rsidR="00FA6A1F" w:rsidRPr="0003777A" w:rsidRDefault="00FA6A1F" w:rsidP="00C25919">
            <w:pPr>
              <w:pStyle w:val="TableText"/>
              <w:jc w:val="center"/>
            </w:pPr>
            <w:r w:rsidRPr="0003777A">
              <w:t>5,783</w:t>
            </w:r>
          </w:p>
        </w:tc>
      </w:tr>
      <w:tr w:rsidR="00FA6A1F" w:rsidRPr="002B3CBB" w14:paraId="4F66531D" w14:textId="77777777" w:rsidTr="00C25919">
        <w:trPr>
          <w:cantSplit/>
        </w:trPr>
        <w:tc>
          <w:tcPr>
            <w:tcW w:w="646" w:type="pct"/>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F665313" w14:textId="77777777" w:rsidR="00FA6A1F" w:rsidRPr="0003777A" w:rsidRDefault="00FA6A1F" w:rsidP="00C25919">
            <w:pPr>
              <w:pStyle w:val="TableText"/>
              <w:keepNext/>
            </w:pPr>
            <w:r w:rsidRPr="0003777A">
              <w:t>2012/13</w:t>
            </w:r>
          </w:p>
        </w:tc>
        <w:tc>
          <w:tcPr>
            <w:tcW w:w="485"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4F665314" w14:textId="77777777" w:rsidR="00FA6A1F" w:rsidRPr="0003777A" w:rsidRDefault="00FA6A1F" w:rsidP="00C25919">
            <w:pPr>
              <w:pStyle w:val="TableText"/>
              <w:jc w:val="center"/>
            </w:pPr>
            <w:r w:rsidRPr="0003777A">
              <w:t>3,721</w:t>
            </w:r>
          </w:p>
        </w:tc>
        <w:tc>
          <w:tcPr>
            <w:tcW w:w="484"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4F665315" w14:textId="77777777" w:rsidR="00FA6A1F" w:rsidRPr="0003777A" w:rsidRDefault="00FA6A1F" w:rsidP="00C25919">
            <w:pPr>
              <w:pStyle w:val="TableText"/>
              <w:jc w:val="center"/>
            </w:pPr>
            <w:r w:rsidRPr="0003777A">
              <w:t>59</w:t>
            </w: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4F665316" w14:textId="77777777" w:rsidR="00FA6A1F" w:rsidRPr="0003777A" w:rsidRDefault="00FA6A1F" w:rsidP="00C25919">
            <w:pPr>
              <w:pStyle w:val="TableText"/>
              <w:tabs>
                <w:tab w:val="decimal" w:pos="510"/>
              </w:tabs>
            </w:pPr>
            <w:r w:rsidRPr="0003777A">
              <w:t>1,403</w:t>
            </w:r>
          </w:p>
        </w:tc>
        <w:tc>
          <w:tcPr>
            <w:tcW w:w="484"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4F665317" w14:textId="77777777" w:rsidR="00FA6A1F" w:rsidRPr="0003777A" w:rsidRDefault="00FA6A1F" w:rsidP="00C25919">
            <w:pPr>
              <w:pStyle w:val="TableText"/>
              <w:jc w:val="center"/>
            </w:pPr>
            <w:r w:rsidRPr="0003777A">
              <w:t>22</w:t>
            </w: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4F665318" w14:textId="77777777" w:rsidR="00FA6A1F" w:rsidRPr="0003777A" w:rsidRDefault="00FA6A1F" w:rsidP="00C25919">
            <w:pPr>
              <w:pStyle w:val="TableText"/>
              <w:jc w:val="center"/>
            </w:pPr>
            <w:r w:rsidRPr="0003777A">
              <w:t>568</w:t>
            </w:r>
          </w:p>
        </w:tc>
        <w:tc>
          <w:tcPr>
            <w:tcW w:w="484"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4F665319" w14:textId="77777777" w:rsidR="00FA6A1F" w:rsidRPr="0003777A" w:rsidRDefault="00FA6A1F" w:rsidP="00C25919">
            <w:pPr>
              <w:pStyle w:val="TableText"/>
              <w:tabs>
                <w:tab w:val="decimal" w:pos="380"/>
              </w:tabs>
            </w:pPr>
            <w:r w:rsidRPr="0003777A">
              <w:t>9</w:t>
            </w: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4F66531A" w14:textId="77777777" w:rsidR="00FA6A1F" w:rsidRPr="0003777A" w:rsidRDefault="00FA6A1F" w:rsidP="00C25919">
            <w:pPr>
              <w:pStyle w:val="TableText"/>
              <w:jc w:val="center"/>
            </w:pPr>
            <w:r w:rsidRPr="0003777A">
              <w:t>652</w:t>
            </w:r>
          </w:p>
        </w:tc>
        <w:tc>
          <w:tcPr>
            <w:tcW w:w="484"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4F66531B" w14:textId="77777777" w:rsidR="00FA6A1F" w:rsidRPr="0003777A" w:rsidRDefault="00FA6A1F" w:rsidP="00C25919">
            <w:pPr>
              <w:pStyle w:val="TableText"/>
              <w:tabs>
                <w:tab w:val="decimal" w:pos="334"/>
              </w:tabs>
            </w:pPr>
            <w:r w:rsidRPr="0003777A">
              <w:t>10</w:t>
            </w:r>
          </w:p>
        </w:tc>
        <w:tc>
          <w:tcPr>
            <w:tcW w:w="482" w:type="pct"/>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4F66531C" w14:textId="77777777" w:rsidR="00FA6A1F" w:rsidRPr="0003777A" w:rsidRDefault="00FA6A1F" w:rsidP="00C25919">
            <w:pPr>
              <w:pStyle w:val="TableText"/>
              <w:jc w:val="center"/>
            </w:pPr>
            <w:r w:rsidRPr="0003777A">
              <w:t>6,344</w:t>
            </w:r>
          </w:p>
        </w:tc>
      </w:tr>
      <w:tr w:rsidR="00FA6A1F" w:rsidRPr="002B3CBB" w14:paraId="4F665328" w14:textId="77777777" w:rsidTr="00C25919">
        <w:trPr>
          <w:cantSplit/>
        </w:trPr>
        <w:tc>
          <w:tcPr>
            <w:tcW w:w="646" w:type="pct"/>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F66531E" w14:textId="77777777" w:rsidR="00FA6A1F" w:rsidRPr="0003777A" w:rsidRDefault="00FA6A1F" w:rsidP="00C25919">
            <w:pPr>
              <w:pStyle w:val="TableText"/>
              <w:keepNext/>
            </w:pPr>
            <w:r w:rsidRPr="0003777A">
              <w:t>2013/14</w:t>
            </w:r>
          </w:p>
        </w:tc>
        <w:tc>
          <w:tcPr>
            <w:tcW w:w="485"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4F66531F" w14:textId="77777777" w:rsidR="00FA6A1F" w:rsidRPr="0003777A" w:rsidRDefault="00FA6A1F" w:rsidP="00C25919">
            <w:pPr>
              <w:pStyle w:val="TableText"/>
              <w:jc w:val="center"/>
            </w:pPr>
            <w:r w:rsidRPr="0003777A">
              <w:t>3,871</w:t>
            </w:r>
          </w:p>
        </w:tc>
        <w:tc>
          <w:tcPr>
            <w:tcW w:w="484"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4F665320" w14:textId="77777777" w:rsidR="00FA6A1F" w:rsidRPr="0003777A" w:rsidRDefault="00FA6A1F" w:rsidP="00C25919">
            <w:pPr>
              <w:pStyle w:val="TableText"/>
              <w:jc w:val="center"/>
            </w:pPr>
            <w:r w:rsidRPr="0003777A">
              <w:t>59</w:t>
            </w: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4F665321" w14:textId="77777777" w:rsidR="00FA6A1F" w:rsidRPr="0003777A" w:rsidRDefault="00FA6A1F" w:rsidP="00C25919">
            <w:pPr>
              <w:pStyle w:val="TableText"/>
              <w:tabs>
                <w:tab w:val="decimal" w:pos="510"/>
              </w:tabs>
            </w:pPr>
            <w:r w:rsidRPr="0003777A">
              <w:t>1,413</w:t>
            </w:r>
          </w:p>
        </w:tc>
        <w:tc>
          <w:tcPr>
            <w:tcW w:w="484"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4F665322" w14:textId="77777777" w:rsidR="00FA6A1F" w:rsidRPr="0003777A" w:rsidRDefault="00FA6A1F" w:rsidP="00C25919">
            <w:pPr>
              <w:pStyle w:val="TableText"/>
              <w:jc w:val="center"/>
            </w:pPr>
            <w:r w:rsidRPr="0003777A">
              <w:t>22</w:t>
            </w: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4F665323" w14:textId="77777777" w:rsidR="00FA6A1F" w:rsidRPr="0003777A" w:rsidRDefault="00FA6A1F" w:rsidP="00C25919">
            <w:pPr>
              <w:pStyle w:val="TableText"/>
              <w:jc w:val="center"/>
            </w:pPr>
            <w:r w:rsidRPr="0003777A">
              <w:t>651</w:t>
            </w:r>
          </w:p>
        </w:tc>
        <w:tc>
          <w:tcPr>
            <w:tcW w:w="484"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4F665324" w14:textId="77777777" w:rsidR="00FA6A1F" w:rsidRPr="0003777A" w:rsidRDefault="00FA6A1F" w:rsidP="00C25919">
            <w:pPr>
              <w:pStyle w:val="TableText"/>
              <w:tabs>
                <w:tab w:val="decimal" w:pos="380"/>
              </w:tabs>
            </w:pPr>
            <w:r w:rsidRPr="0003777A">
              <w:t>10</w:t>
            </w: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4F665325" w14:textId="77777777" w:rsidR="00FA6A1F" w:rsidRPr="0003777A" w:rsidRDefault="00FA6A1F" w:rsidP="00C25919">
            <w:pPr>
              <w:pStyle w:val="TableText"/>
              <w:jc w:val="center"/>
            </w:pPr>
            <w:r w:rsidRPr="0003777A">
              <w:t>590</w:t>
            </w:r>
          </w:p>
        </w:tc>
        <w:tc>
          <w:tcPr>
            <w:tcW w:w="484"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4F665326" w14:textId="77777777" w:rsidR="00FA6A1F" w:rsidRPr="0003777A" w:rsidRDefault="00FA6A1F" w:rsidP="00C25919">
            <w:pPr>
              <w:pStyle w:val="TableText"/>
              <w:tabs>
                <w:tab w:val="decimal" w:pos="334"/>
              </w:tabs>
            </w:pPr>
            <w:r w:rsidRPr="0003777A">
              <w:t>9</w:t>
            </w:r>
          </w:p>
        </w:tc>
        <w:tc>
          <w:tcPr>
            <w:tcW w:w="482" w:type="pct"/>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4F665327" w14:textId="77777777" w:rsidR="00FA6A1F" w:rsidRPr="0003777A" w:rsidRDefault="00FA6A1F" w:rsidP="00C25919">
            <w:pPr>
              <w:pStyle w:val="TableText"/>
              <w:jc w:val="center"/>
            </w:pPr>
            <w:r w:rsidRPr="0003777A">
              <w:t>6,525</w:t>
            </w:r>
          </w:p>
        </w:tc>
      </w:tr>
      <w:tr w:rsidR="00FA6A1F" w:rsidRPr="002B3CBB" w14:paraId="4F665333" w14:textId="77777777" w:rsidTr="00C25919">
        <w:trPr>
          <w:cantSplit/>
        </w:trPr>
        <w:tc>
          <w:tcPr>
            <w:tcW w:w="646" w:type="pct"/>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F665329" w14:textId="77777777" w:rsidR="00FA6A1F" w:rsidRPr="0003777A" w:rsidRDefault="00FA6A1F" w:rsidP="00C25919">
            <w:pPr>
              <w:pStyle w:val="TableText"/>
              <w:keepNext/>
            </w:pPr>
            <w:r w:rsidRPr="0003777A">
              <w:t>2014/15</w:t>
            </w:r>
          </w:p>
        </w:tc>
        <w:tc>
          <w:tcPr>
            <w:tcW w:w="485"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4F66532A" w14:textId="77777777" w:rsidR="00FA6A1F" w:rsidRPr="0003777A" w:rsidRDefault="00FA6A1F" w:rsidP="00C25919">
            <w:pPr>
              <w:pStyle w:val="TableText"/>
              <w:jc w:val="center"/>
            </w:pPr>
            <w:r w:rsidRPr="0003777A">
              <w:t>3,674</w:t>
            </w:r>
          </w:p>
        </w:tc>
        <w:tc>
          <w:tcPr>
            <w:tcW w:w="484"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4F66532B" w14:textId="77777777" w:rsidR="00FA6A1F" w:rsidRPr="0003777A" w:rsidRDefault="00FA6A1F" w:rsidP="00C25919">
            <w:pPr>
              <w:pStyle w:val="TableText"/>
              <w:jc w:val="center"/>
            </w:pPr>
            <w:r w:rsidRPr="0003777A">
              <w:t>57</w:t>
            </w: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4F66532C" w14:textId="77777777" w:rsidR="00FA6A1F" w:rsidRPr="0003777A" w:rsidRDefault="00FA6A1F" w:rsidP="00C25919">
            <w:pPr>
              <w:pStyle w:val="TableText"/>
              <w:tabs>
                <w:tab w:val="decimal" w:pos="510"/>
              </w:tabs>
            </w:pPr>
            <w:r w:rsidRPr="0003777A">
              <w:t>1,449</w:t>
            </w:r>
          </w:p>
        </w:tc>
        <w:tc>
          <w:tcPr>
            <w:tcW w:w="484"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4F66532D" w14:textId="77777777" w:rsidR="00FA6A1F" w:rsidRPr="0003777A" w:rsidRDefault="00FA6A1F" w:rsidP="00C25919">
            <w:pPr>
              <w:pStyle w:val="TableText"/>
              <w:jc w:val="center"/>
            </w:pPr>
            <w:r w:rsidRPr="0003777A">
              <w:t>22</w:t>
            </w: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4F66532E" w14:textId="77777777" w:rsidR="00FA6A1F" w:rsidRPr="0003777A" w:rsidRDefault="00FA6A1F" w:rsidP="00C25919">
            <w:pPr>
              <w:pStyle w:val="TableText"/>
              <w:jc w:val="center"/>
            </w:pPr>
            <w:r w:rsidRPr="0003777A">
              <w:t>729</w:t>
            </w:r>
          </w:p>
        </w:tc>
        <w:tc>
          <w:tcPr>
            <w:tcW w:w="484"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4F66532F" w14:textId="77777777" w:rsidR="00FA6A1F" w:rsidRPr="0003777A" w:rsidRDefault="00FA6A1F" w:rsidP="00C25919">
            <w:pPr>
              <w:pStyle w:val="TableText"/>
              <w:tabs>
                <w:tab w:val="decimal" w:pos="380"/>
              </w:tabs>
            </w:pPr>
            <w:r w:rsidRPr="0003777A">
              <w:t>11</w:t>
            </w: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4F665330" w14:textId="77777777" w:rsidR="00FA6A1F" w:rsidRPr="0003777A" w:rsidRDefault="00FA6A1F" w:rsidP="00C25919">
            <w:pPr>
              <w:pStyle w:val="TableText"/>
              <w:jc w:val="center"/>
            </w:pPr>
            <w:r w:rsidRPr="0003777A">
              <w:t>624</w:t>
            </w:r>
          </w:p>
        </w:tc>
        <w:tc>
          <w:tcPr>
            <w:tcW w:w="484"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4F665331" w14:textId="77777777" w:rsidR="00FA6A1F" w:rsidRPr="0003777A" w:rsidRDefault="00FA6A1F" w:rsidP="00C25919">
            <w:pPr>
              <w:pStyle w:val="TableText"/>
              <w:tabs>
                <w:tab w:val="decimal" w:pos="334"/>
              </w:tabs>
            </w:pPr>
            <w:r w:rsidRPr="0003777A">
              <w:t>10</w:t>
            </w:r>
          </w:p>
        </w:tc>
        <w:tc>
          <w:tcPr>
            <w:tcW w:w="482" w:type="pct"/>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4F665332" w14:textId="77777777" w:rsidR="00FA6A1F" w:rsidRPr="0003777A" w:rsidRDefault="00FA6A1F" w:rsidP="00C25919">
            <w:pPr>
              <w:pStyle w:val="TableText"/>
              <w:jc w:val="center"/>
            </w:pPr>
            <w:r w:rsidRPr="0003777A">
              <w:t>6,476</w:t>
            </w:r>
          </w:p>
        </w:tc>
      </w:tr>
      <w:tr w:rsidR="00FA6A1F" w:rsidRPr="002B3CBB" w14:paraId="4F66533E" w14:textId="77777777" w:rsidTr="00C25919">
        <w:trPr>
          <w:cantSplit/>
        </w:trPr>
        <w:tc>
          <w:tcPr>
            <w:tcW w:w="646" w:type="pct"/>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F665334" w14:textId="77777777" w:rsidR="00FA6A1F" w:rsidRPr="0003777A" w:rsidRDefault="00FA6A1F" w:rsidP="00C25919">
            <w:pPr>
              <w:pStyle w:val="TableText"/>
              <w:keepNext/>
            </w:pPr>
            <w:r w:rsidRPr="0003777A">
              <w:t>2015/16</w:t>
            </w:r>
          </w:p>
        </w:tc>
        <w:tc>
          <w:tcPr>
            <w:tcW w:w="485"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4F665335" w14:textId="77777777" w:rsidR="00FA6A1F" w:rsidRPr="0003777A" w:rsidRDefault="00FA6A1F" w:rsidP="00C25919">
            <w:pPr>
              <w:pStyle w:val="TableText"/>
              <w:jc w:val="center"/>
            </w:pPr>
            <w:r w:rsidRPr="0003777A">
              <w:t>3,251</w:t>
            </w:r>
          </w:p>
        </w:tc>
        <w:tc>
          <w:tcPr>
            <w:tcW w:w="484"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4F665336" w14:textId="77777777" w:rsidR="00FA6A1F" w:rsidRPr="0003777A" w:rsidRDefault="00FA6A1F" w:rsidP="00C25919">
            <w:pPr>
              <w:pStyle w:val="TableText"/>
              <w:jc w:val="center"/>
            </w:pPr>
            <w:r w:rsidRPr="0003777A">
              <w:t>54</w:t>
            </w: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4F665337" w14:textId="77777777" w:rsidR="00FA6A1F" w:rsidRPr="0003777A" w:rsidRDefault="00FA6A1F" w:rsidP="00C25919">
            <w:pPr>
              <w:pStyle w:val="TableText"/>
              <w:tabs>
                <w:tab w:val="decimal" w:pos="510"/>
              </w:tabs>
            </w:pPr>
            <w:r w:rsidRPr="0003777A">
              <w:t>1,221</w:t>
            </w:r>
          </w:p>
        </w:tc>
        <w:tc>
          <w:tcPr>
            <w:tcW w:w="484"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4F665338" w14:textId="77777777" w:rsidR="00FA6A1F" w:rsidRPr="0003777A" w:rsidRDefault="00FA6A1F" w:rsidP="00C25919">
            <w:pPr>
              <w:pStyle w:val="TableText"/>
              <w:jc w:val="center"/>
            </w:pPr>
            <w:r w:rsidRPr="0003777A">
              <w:t>20</w:t>
            </w: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4F665339" w14:textId="77777777" w:rsidR="00FA6A1F" w:rsidRPr="0003777A" w:rsidRDefault="00FA6A1F" w:rsidP="00C25919">
            <w:pPr>
              <w:pStyle w:val="TableText"/>
              <w:jc w:val="center"/>
            </w:pPr>
            <w:r w:rsidRPr="0003777A">
              <w:t>696</w:t>
            </w:r>
          </w:p>
        </w:tc>
        <w:tc>
          <w:tcPr>
            <w:tcW w:w="484"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4F66533A" w14:textId="77777777" w:rsidR="00FA6A1F" w:rsidRPr="0003777A" w:rsidRDefault="00FA6A1F" w:rsidP="00C25919">
            <w:pPr>
              <w:pStyle w:val="TableText"/>
              <w:tabs>
                <w:tab w:val="decimal" w:pos="380"/>
              </w:tabs>
            </w:pPr>
            <w:r w:rsidRPr="0003777A">
              <w:t>12</w:t>
            </w: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4F66533B" w14:textId="77777777" w:rsidR="00FA6A1F" w:rsidRPr="0003777A" w:rsidRDefault="00FA6A1F" w:rsidP="00C25919">
            <w:pPr>
              <w:pStyle w:val="TableText"/>
              <w:jc w:val="center"/>
            </w:pPr>
            <w:r w:rsidRPr="0003777A">
              <w:t>812</w:t>
            </w:r>
          </w:p>
        </w:tc>
        <w:tc>
          <w:tcPr>
            <w:tcW w:w="484"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4F66533C" w14:textId="77777777" w:rsidR="00FA6A1F" w:rsidRPr="0003777A" w:rsidRDefault="00FA6A1F" w:rsidP="00C25919">
            <w:pPr>
              <w:pStyle w:val="TableText"/>
              <w:tabs>
                <w:tab w:val="decimal" w:pos="334"/>
              </w:tabs>
            </w:pPr>
            <w:r w:rsidRPr="0003777A">
              <w:t>14</w:t>
            </w:r>
          </w:p>
        </w:tc>
        <w:tc>
          <w:tcPr>
            <w:tcW w:w="482" w:type="pct"/>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4F66533D" w14:textId="77777777" w:rsidR="00FA6A1F" w:rsidRPr="0003777A" w:rsidRDefault="00FA6A1F" w:rsidP="00C25919">
            <w:pPr>
              <w:pStyle w:val="TableText"/>
              <w:jc w:val="center"/>
            </w:pPr>
            <w:r w:rsidRPr="0003777A">
              <w:t>5,980</w:t>
            </w:r>
          </w:p>
        </w:tc>
      </w:tr>
      <w:tr w:rsidR="00FA6A1F" w:rsidRPr="002B3CBB" w14:paraId="4F665349" w14:textId="77777777" w:rsidTr="00C25919">
        <w:trPr>
          <w:cantSplit/>
        </w:trPr>
        <w:tc>
          <w:tcPr>
            <w:tcW w:w="646" w:type="pct"/>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F66533F" w14:textId="77777777" w:rsidR="00FA6A1F" w:rsidRPr="0003777A" w:rsidRDefault="00FA6A1F" w:rsidP="00C25919">
            <w:pPr>
              <w:pStyle w:val="TableText"/>
              <w:keepNext/>
            </w:pPr>
            <w:r w:rsidRPr="0003777A">
              <w:t>2016/17</w:t>
            </w:r>
          </w:p>
        </w:tc>
        <w:tc>
          <w:tcPr>
            <w:tcW w:w="485"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4F665340" w14:textId="77777777" w:rsidR="00FA6A1F" w:rsidRPr="0003777A" w:rsidRDefault="00FA6A1F" w:rsidP="00C25919">
            <w:pPr>
              <w:pStyle w:val="TableText"/>
              <w:jc w:val="center"/>
            </w:pPr>
            <w:r w:rsidRPr="0003777A">
              <w:t>3,060</w:t>
            </w:r>
          </w:p>
        </w:tc>
        <w:tc>
          <w:tcPr>
            <w:tcW w:w="484"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4F665341" w14:textId="77777777" w:rsidR="00FA6A1F" w:rsidRPr="0003777A" w:rsidRDefault="00FA6A1F" w:rsidP="00C25919">
            <w:pPr>
              <w:pStyle w:val="TableText"/>
              <w:jc w:val="center"/>
            </w:pPr>
            <w:r w:rsidRPr="0003777A">
              <w:t>54</w:t>
            </w: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4F665342" w14:textId="77777777" w:rsidR="00FA6A1F" w:rsidRPr="0003777A" w:rsidRDefault="00FA6A1F" w:rsidP="00C25919">
            <w:pPr>
              <w:pStyle w:val="TableText"/>
              <w:tabs>
                <w:tab w:val="decimal" w:pos="510"/>
              </w:tabs>
            </w:pPr>
            <w:r w:rsidRPr="0003777A">
              <w:t>1,240</w:t>
            </w:r>
          </w:p>
        </w:tc>
        <w:tc>
          <w:tcPr>
            <w:tcW w:w="484"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4F665343" w14:textId="77777777" w:rsidR="00FA6A1F" w:rsidRPr="0003777A" w:rsidRDefault="00FA6A1F" w:rsidP="00C25919">
            <w:pPr>
              <w:pStyle w:val="TableText"/>
              <w:jc w:val="center"/>
            </w:pPr>
            <w:r w:rsidRPr="0003777A">
              <w:t>22</w:t>
            </w: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4F665344" w14:textId="77777777" w:rsidR="00FA6A1F" w:rsidRPr="0003777A" w:rsidRDefault="00FA6A1F" w:rsidP="00C25919">
            <w:pPr>
              <w:pStyle w:val="TableText"/>
              <w:jc w:val="center"/>
            </w:pPr>
            <w:r w:rsidRPr="0003777A">
              <w:t>593</w:t>
            </w:r>
          </w:p>
        </w:tc>
        <w:tc>
          <w:tcPr>
            <w:tcW w:w="484"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4F665345" w14:textId="77777777" w:rsidR="00FA6A1F" w:rsidRPr="0003777A" w:rsidRDefault="00FA6A1F" w:rsidP="00C25919">
            <w:pPr>
              <w:pStyle w:val="TableText"/>
              <w:tabs>
                <w:tab w:val="decimal" w:pos="380"/>
              </w:tabs>
            </w:pPr>
            <w:r w:rsidRPr="0003777A">
              <w:t>10</w:t>
            </w: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4F665346" w14:textId="77777777" w:rsidR="00FA6A1F" w:rsidRPr="0003777A" w:rsidRDefault="00FA6A1F" w:rsidP="00C25919">
            <w:pPr>
              <w:pStyle w:val="TableText"/>
              <w:jc w:val="center"/>
            </w:pPr>
            <w:r w:rsidRPr="0003777A">
              <w:t>820</w:t>
            </w:r>
          </w:p>
        </w:tc>
        <w:tc>
          <w:tcPr>
            <w:tcW w:w="484"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4F665347" w14:textId="77777777" w:rsidR="00FA6A1F" w:rsidRPr="0003777A" w:rsidRDefault="00FA6A1F" w:rsidP="00C25919">
            <w:pPr>
              <w:pStyle w:val="TableText"/>
              <w:tabs>
                <w:tab w:val="decimal" w:pos="334"/>
              </w:tabs>
            </w:pPr>
            <w:r w:rsidRPr="0003777A">
              <w:t>14</w:t>
            </w:r>
          </w:p>
        </w:tc>
        <w:tc>
          <w:tcPr>
            <w:tcW w:w="482" w:type="pct"/>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4F665348" w14:textId="77777777" w:rsidR="00FA6A1F" w:rsidRPr="0003777A" w:rsidRDefault="00FA6A1F" w:rsidP="00C25919">
            <w:pPr>
              <w:pStyle w:val="TableText"/>
              <w:jc w:val="center"/>
            </w:pPr>
            <w:r w:rsidRPr="0003777A">
              <w:t>5,713</w:t>
            </w:r>
          </w:p>
        </w:tc>
      </w:tr>
      <w:tr w:rsidR="00FA6A1F" w:rsidRPr="002B3CBB" w14:paraId="4F665354" w14:textId="77777777" w:rsidTr="00C25919">
        <w:trPr>
          <w:cantSplit/>
        </w:trPr>
        <w:tc>
          <w:tcPr>
            <w:tcW w:w="646" w:type="pct"/>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F66534A" w14:textId="77777777" w:rsidR="00FA6A1F" w:rsidRPr="0003777A" w:rsidRDefault="00FA6A1F" w:rsidP="00C25919">
            <w:pPr>
              <w:pStyle w:val="TableText"/>
              <w:keepNext/>
            </w:pPr>
            <w:r w:rsidRPr="0003777A">
              <w:t>2017/18</w:t>
            </w:r>
          </w:p>
        </w:tc>
        <w:tc>
          <w:tcPr>
            <w:tcW w:w="485"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4F66534B" w14:textId="77777777" w:rsidR="00FA6A1F" w:rsidRPr="0003777A" w:rsidRDefault="00FA6A1F" w:rsidP="00C25919">
            <w:pPr>
              <w:pStyle w:val="TableText"/>
              <w:jc w:val="center"/>
            </w:pPr>
            <w:r w:rsidRPr="0003777A">
              <w:t>2,635</w:t>
            </w:r>
          </w:p>
        </w:tc>
        <w:tc>
          <w:tcPr>
            <w:tcW w:w="484"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4F66534C" w14:textId="77777777" w:rsidR="00FA6A1F" w:rsidRPr="0003777A" w:rsidRDefault="00FA6A1F" w:rsidP="00C25919">
            <w:pPr>
              <w:pStyle w:val="TableText"/>
              <w:jc w:val="center"/>
            </w:pPr>
            <w:r w:rsidRPr="0003777A">
              <w:t>53</w:t>
            </w: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4F66534D" w14:textId="77777777" w:rsidR="00FA6A1F" w:rsidRPr="0003777A" w:rsidRDefault="00FA6A1F" w:rsidP="00C25919">
            <w:pPr>
              <w:pStyle w:val="TableText"/>
              <w:tabs>
                <w:tab w:val="decimal" w:pos="510"/>
              </w:tabs>
            </w:pPr>
            <w:r w:rsidRPr="0003777A">
              <w:t>1,135</w:t>
            </w:r>
          </w:p>
        </w:tc>
        <w:tc>
          <w:tcPr>
            <w:tcW w:w="484"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4F66534E" w14:textId="77777777" w:rsidR="00FA6A1F" w:rsidRPr="0003777A" w:rsidRDefault="00FA6A1F" w:rsidP="00C25919">
            <w:pPr>
              <w:pStyle w:val="TableText"/>
              <w:jc w:val="center"/>
            </w:pPr>
            <w:r w:rsidRPr="0003777A">
              <w:t>23</w:t>
            </w: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4F66534F" w14:textId="77777777" w:rsidR="00FA6A1F" w:rsidRPr="0003777A" w:rsidRDefault="00FA6A1F" w:rsidP="00C25919">
            <w:pPr>
              <w:pStyle w:val="TableText"/>
              <w:jc w:val="center"/>
            </w:pPr>
            <w:r w:rsidRPr="0003777A">
              <w:t>515</w:t>
            </w:r>
          </w:p>
        </w:tc>
        <w:tc>
          <w:tcPr>
            <w:tcW w:w="484"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4F665350" w14:textId="77777777" w:rsidR="00FA6A1F" w:rsidRPr="0003777A" w:rsidRDefault="00FA6A1F" w:rsidP="00C25919">
            <w:pPr>
              <w:pStyle w:val="TableText"/>
              <w:tabs>
                <w:tab w:val="decimal" w:pos="380"/>
              </w:tabs>
            </w:pPr>
            <w:r w:rsidRPr="0003777A">
              <w:t>10</w:t>
            </w: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4F665351" w14:textId="77777777" w:rsidR="00FA6A1F" w:rsidRPr="0003777A" w:rsidRDefault="00FA6A1F" w:rsidP="00C25919">
            <w:pPr>
              <w:pStyle w:val="TableText"/>
              <w:jc w:val="center"/>
            </w:pPr>
            <w:r w:rsidRPr="0003777A">
              <w:t>657</w:t>
            </w:r>
          </w:p>
        </w:tc>
        <w:tc>
          <w:tcPr>
            <w:tcW w:w="484"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4F665352" w14:textId="77777777" w:rsidR="00FA6A1F" w:rsidRPr="0003777A" w:rsidRDefault="00FA6A1F" w:rsidP="00C25919">
            <w:pPr>
              <w:pStyle w:val="TableText"/>
              <w:tabs>
                <w:tab w:val="decimal" w:pos="334"/>
              </w:tabs>
            </w:pPr>
            <w:r w:rsidRPr="0003777A">
              <w:t>13</w:t>
            </w:r>
          </w:p>
        </w:tc>
        <w:tc>
          <w:tcPr>
            <w:tcW w:w="482" w:type="pct"/>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4F665353" w14:textId="77777777" w:rsidR="00FA6A1F" w:rsidRPr="0003777A" w:rsidRDefault="00FA6A1F" w:rsidP="00C25919">
            <w:pPr>
              <w:pStyle w:val="TableText"/>
              <w:jc w:val="center"/>
            </w:pPr>
            <w:r w:rsidRPr="0003777A">
              <w:t>4,941</w:t>
            </w:r>
          </w:p>
        </w:tc>
      </w:tr>
      <w:tr w:rsidR="00FA6A1F" w:rsidRPr="002B3CBB" w14:paraId="4F66535F" w14:textId="77777777" w:rsidTr="00C25919">
        <w:trPr>
          <w:cantSplit/>
        </w:trPr>
        <w:tc>
          <w:tcPr>
            <w:tcW w:w="646" w:type="pct"/>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F665355" w14:textId="77777777" w:rsidR="00FA6A1F" w:rsidRPr="0003777A" w:rsidRDefault="00FA6A1F" w:rsidP="00C25919">
            <w:pPr>
              <w:pStyle w:val="TableText"/>
              <w:keepNext/>
            </w:pPr>
            <w:r w:rsidRPr="0003777A">
              <w:t>2018/19</w:t>
            </w:r>
          </w:p>
        </w:tc>
        <w:tc>
          <w:tcPr>
            <w:tcW w:w="485"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4F665356" w14:textId="77777777" w:rsidR="00FA6A1F" w:rsidRPr="0003777A" w:rsidRDefault="00FA6A1F" w:rsidP="00C25919">
            <w:pPr>
              <w:pStyle w:val="TableText"/>
              <w:jc w:val="center"/>
            </w:pPr>
            <w:r w:rsidRPr="0003777A">
              <w:t>2,403</w:t>
            </w:r>
          </w:p>
        </w:tc>
        <w:tc>
          <w:tcPr>
            <w:tcW w:w="484"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4F665357" w14:textId="77777777" w:rsidR="00FA6A1F" w:rsidRPr="0003777A" w:rsidRDefault="00FA6A1F" w:rsidP="00C25919">
            <w:pPr>
              <w:pStyle w:val="TableText"/>
              <w:jc w:val="center"/>
            </w:pPr>
            <w:r w:rsidRPr="0003777A">
              <w:t>55</w:t>
            </w: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4F665358" w14:textId="77777777" w:rsidR="00FA6A1F" w:rsidRPr="0003777A" w:rsidRDefault="00FA6A1F" w:rsidP="00C25919">
            <w:pPr>
              <w:pStyle w:val="TableText"/>
              <w:tabs>
                <w:tab w:val="decimal" w:pos="510"/>
              </w:tabs>
            </w:pPr>
            <w:r w:rsidRPr="0003777A">
              <w:t>942</w:t>
            </w:r>
          </w:p>
        </w:tc>
        <w:tc>
          <w:tcPr>
            <w:tcW w:w="484"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4F665359" w14:textId="77777777" w:rsidR="00FA6A1F" w:rsidRPr="0003777A" w:rsidRDefault="00FA6A1F" w:rsidP="00C25919">
            <w:pPr>
              <w:pStyle w:val="TableText"/>
              <w:jc w:val="center"/>
            </w:pPr>
            <w:r w:rsidRPr="0003777A">
              <w:t>22</w:t>
            </w: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4F66535A" w14:textId="77777777" w:rsidR="00FA6A1F" w:rsidRPr="0003777A" w:rsidRDefault="00FA6A1F" w:rsidP="00C25919">
            <w:pPr>
              <w:pStyle w:val="TableText"/>
              <w:jc w:val="center"/>
            </w:pPr>
            <w:r w:rsidRPr="0003777A">
              <w:t>489</w:t>
            </w:r>
          </w:p>
        </w:tc>
        <w:tc>
          <w:tcPr>
            <w:tcW w:w="484"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4F66535B" w14:textId="77777777" w:rsidR="00FA6A1F" w:rsidRPr="0003777A" w:rsidRDefault="00FA6A1F" w:rsidP="00C25919">
            <w:pPr>
              <w:pStyle w:val="TableText"/>
              <w:tabs>
                <w:tab w:val="decimal" w:pos="380"/>
              </w:tabs>
            </w:pPr>
            <w:r w:rsidRPr="0003777A">
              <w:t>11</w:t>
            </w: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4F66535C" w14:textId="77777777" w:rsidR="00FA6A1F" w:rsidRPr="0003777A" w:rsidRDefault="00FA6A1F" w:rsidP="00C25919">
            <w:pPr>
              <w:pStyle w:val="TableText"/>
              <w:jc w:val="center"/>
            </w:pPr>
            <w:r w:rsidRPr="0003777A">
              <w:t>514</w:t>
            </w:r>
          </w:p>
        </w:tc>
        <w:tc>
          <w:tcPr>
            <w:tcW w:w="484"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4F66535D" w14:textId="77777777" w:rsidR="00FA6A1F" w:rsidRPr="0003777A" w:rsidRDefault="00FA6A1F" w:rsidP="00C25919">
            <w:pPr>
              <w:pStyle w:val="TableText"/>
              <w:tabs>
                <w:tab w:val="decimal" w:pos="334"/>
              </w:tabs>
            </w:pPr>
            <w:r w:rsidRPr="0003777A">
              <w:t>12</w:t>
            </w:r>
          </w:p>
        </w:tc>
        <w:tc>
          <w:tcPr>
            <w:tcW w:w="482" w:type="pct"/>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4F66535E" w14:textId="77777777" w:rsidR="00FA6A1F" w:rsidRPr="0003777A" w:rsidRDefault="00FA6A1F" w:rsidP="00C25919">
            <w:pPr>
              <w:pStyle w:val="TableText"/>
              <w:jc w:val="center"/>
            </w:pPr>
            <w:r w:rsidRPr="0003777A">
              <w:t>4,348</w:t>
            </w:r>
          </w:p>
        </w:tc>
      </w:tr>
      <w:tr w:rsidR="00FA6A1F" w:rsidRPr="002B3CBB" w14:paraId="4F66536A" w14:textId="77777777" w:rsidTr="00C25919">
        <w:trPr>
          <w:cantSplit/>
        </w:trPr>
        <w:tc>
          <w:tcPr>
            <w:tcW w:w="646" w:type="pct"/>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F665360" w14:textId="77777777" w:rsidR="00FA6A1F" w:rsidRPr="0003777A" w:rsidRDefault="00FA6A1F" w:rsidP="00C25919">
            <w:pPr>
              <w:pStyle w:val="TableText"/>
              <w:keepNext/>
            </w:pPr>
            <w:r w:rsidRPr="0003777A">
              <w:t>2019/20</w:t>
            </w:r>
          </w:p>
        </w:tc>
        <w:tc>
          <w:tcPr>
            <w:tcW w:w="485"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4F665361" w14:textId="77777777" w:rsidR="00FA6A1F" w:rsidRPr="0003777A" w:rsidRDefault="00FA6A1F" w:rsidP="00C25919">
            <w:pPr>
              <w:pStyle w:val="TableText"/>
              <w:jc w:val="center"/>
            </w:pPr>
            <w:r w:rsidRPr="0003777A">
              <w:t>2,098</w:t>
            </w:r>
          </w:p>
        </w:tc>
        <w:tc>
          <w:tcPr>
            <w:tcW w:w="484"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4F665362" w14:textId="77777777" w:rsidR="00FA6A1F" w:rsidRPr="0003777A" w:rsidRDefault="00FA6A1F" w:rsidP="00C25919">
            <w:pPr>
              <w:pStyle w:val="TableText"/>
              <w:jc w:val="center"/>
            </w:pPr>
            <w:r w:rsidRPr="0003777A">
              <w:t>54</w:t>
            </w: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4F665363" w14:textId="77777777" w:rsidR="00FA6A1F" w:rsidRPr="0003777A" w:rsidRDefault="00FA6A1F" w:rsidP="00C25919">
            <w:pPr>
              <w:pStyle w:val="TableText"/>
              <w:tabs>
                <w:tab w:val="decimal" w:pos="510"/>
              </w:tabs>
            </w:pPr>
            <w:r w:rsidRPr="0003777A">
              <w:t>898</w:t>
            </w:r>
          </w:p>
        </w:tc>
        <w:tc>
          <w:tcPr>
            <w:tcW w:w="484"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4F665364" w14:textId="77777777" w:rsidR="00FA6A1F" w:rsidRPr="0003777A" w:rsidRDefault="00FA6A1F" w:rsidP="00C25919">
            <w:pPr>
              <w:pStyle w:val="TableText"/>
              <w:jc w:val="center"/>
            </w:pPr>
            <w:r w:rsidRPr="0003777A">
              <w:t>23</w:t>
            </w: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4F665365" w14:textId="77777777" w:rsidR="00FA6A1F" w:rsidRPr="0003777A" w:rsidRDefault="00FA6A1F" w:rsidP="00C25919">
            <w:pPr>
              <w:pStyle w:val="TableText"/>
              <w:jc w:val="center"/>
            </w:pPr>
            <w:r w:rsidRPr="0003777A">
              <w:t>405</w:t>
            </w:r>
          </w:p>
        </w:tc>
        <w:tc>
          <w:tcPr>
            <w:tcW w:w="484"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4F665366" w14:textId="77777777" w:rsidR="00FA6A1F" w:rsidRPr="0003777A" w:rsidRDefault="00FA6A1F" w:rsidP="00C25919">
            <w:pPr>
              <w:pStyle w:val="TableText"/>
              <w:tabs>
                <w:tab w:val="decimal" w:pos="380"/>
              </w:tabs>
            </w:pPr>
            <w:r w:rsidRPr="0003777A">
              <w:t>10</w:t>
            </w:r>
          </w:p>
        </w:tc>
        <w:tc>
          <w:tcPr>
            <w:tcW w:w="484"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4F665367" w14:textId="77777777" w:rsidR="00FA6A1F" w:rsidRPr="0003777A" w:rsidRDefault="00FA6A1F" w:rsidP="00C25919">
            <w:pPr>
              <w:pStyle w:val="TableText"/>
              <w:jc w:val="center"/>
            </w:pPr>
            <w:r w:rsidRPr="0003777A">
              <w:t>508</w:t>
            </w:r>
          </w:p>
        </w:tc>
        <w:tc>
          <w:tcPr>
            <w:tcW w:w="484" w:type="pct"/>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4F665368" w14:textId="77777777" w:rsidR="00FA6A1F" w:rsidRPr="0003777A" w:rsidRDefault="00FA6A1F" w:rsidP="00C25919">
            <w:pPr>
              <w:pStyle w:val="TableText"/>
              <w:tabs>
                <w:tab w:val="decimal" w:pos="334"/>
              </w:tabs>
            </w:pPr>
            <w:r w:rsidRPr="0003777A">
              <w:t>13</w:t>
            </w:r>
          </w:p>
        </w:tc>
        <w:tc>
          <w:tcPr>
            <w:tcW w:w="482" w:type="pct"/>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14:paraId="4F665369" w14:textId="77777777" w:rsidR="00FA6A1F" w:rsidRPr="0003777A" w:rsidRDefault="00FA6A1F" w:rsidP="00C25919">
            <w:pPr>
              <w:pStyle w:val="TableText"/>
              <w:jc w:val="center"/>
            </w:pPr>
            <w:r>
              <w:t>3</w:t>
            </w:r>
            <w:r w:rsidR="00C25919">
              <w:t>,</w:t>
            </w:r>
            <w:r>
              <w:t>909</w:t>
            </w:r>
          </w:p>
        </w:tc>
      </w:tr>
      <w:tr w:rsidR="00FA6A1F" w:rsidRPr="002B3CBB" w14:paraId="4F665375" w14:textId="77777777" w:rsidTr="00C25919">
        <w:trPr>
          <w:cantSplit/>
        </w:trPr>
        <w:tc>
          <w:tcPr>
            <w:tcW w:w="646" w:type="pct"/>
            <w:tcBorders>
              <w:top w:val="single" w:sz="4" w:space="0" w:color="A6A6A6" w:themeColor="background1" w:themeShade="A6"/>
              <w:bottom w:val="single" w:sz="4" w:space="0" w:color="auto"/>
              <w:right w:val="single" w:sz="4" w:space="0" w:color="A6A6A6" w:themeColor="background1" w:themeShade="A6"/>
            </w:tcBorders>
            <w:shd w:val="clear" w:color="auto" w:fill="auto"/>
          </w:tcPr>
          <w:p w14:paraId="4F66536B" w14:textId="77777777" w:rsidR="00FA6A1F" w:rsidRPr="0003777A" w:rsidRDefault="00FA6A1F" w:rsidP="00C25919">
            <w:pPr>
              <w:pStyle w:val="TableText"/>
              <w:keepNext/>
            </w:pPr>
            <w:r w:rsidRPr="0003777A">
              <w:t>2020</w:t>
            </w:r>
          </w:p>
        </w:tc>
        <w:tc>
          <w:tcPr>
            <w:tcW w:w="485" w:type="pct"/>
            <w:tcBorders>
              <w:top w:val="single" w:sz="4" w:space="0" w:color="A6A6A6" w:themeColor="background1" w:themeShade="A6"/>
              <w:left w:val="single" w:sz="4" w:space="0" w:color="A6A6A6" w:themeColor="background1" w:themeShade="A6"/>
              <w:bottom w:val="single" w:sz="4" w:space="0" w:color="auto"/>
              <w:right w:val="nil"/>
            </w:tcBorders>
            <w:shd w:val="clear" w:color="auto" w:fill="auto"/>
          </w:tcPr>
          <w:p w14:paraId="4F66536C" w14:textId="77777777" w:rsidR="00FA6A1F" w:rsidRPr="0003777A" w:rsidRDefault="00FA6A1F" w:rsidP="00C25919">
            <w:pPr>
              <w:pStyle w:val="TableText"/>
              <w:jc w:val="center"/>
            </w:pPr>
            <w:r w:rsidRPr="0003777A">
              <w:t>2,163</w:t>
            </w:r>
          </w:p>
        </w:tc>
        <w:tc>
          <w:tcPr>
            <w:tcW w:w="484" w:type="pct"/>
            <w:tcBorders>
              <w:top w:val="single" w:sz="4" w:space="0" w:color="A6A6A6" w:themeColor="background1" w:themeShade="A6"/>
              <w:left w:val="nil"/>
              <w:bottom w:val="single" w:sz="4" w:space="0" w:color="auto"/>
              <w:right w:val="single" w:sz="4" w:space="0" w:color="A6A6A6" w:themeColor="background1" w:themeShade="A6"/>
            </w:tcBorders>
            <w:shd w:val="clear" w:color="auto" w:fill="auto"/>
          </w:tcPr>
          <w:p w14:paraId="4F66536D" w14:textId="77777777" w:rsidR="00FA6A1F" w:rsidRPr="0003777A" w:rsidRDefault="00FA6A1F" w:rsidP="00C25919">
            <w:pPr>
              <w:pStyle w:val="TableText"/>
              <w:jc w:val="center"/>
            </w:pPr>
            <w:r w:rsidRPr="0003777A">
              <w:t>55</w:t>
            </w:r>
          </w:p>
        </w:tc>
        <w:tc>
          <w:tcPr>
            <w:tcW w:w="484" w:type="pct"/>
            <w:tcBorders>
              <w:top w:val="single" w:sz="4" w:space="0" w:color="A6A6A6" w:themeColor="background1" w:themeShade="A6"/>
              <w:left w:val="single" w:sz="4" w:space="0" w:color="A6A6A6" w:themeColor="background1" w:themeShade="A6"/>
              <w:bottom w:val="single" w:sz="4" w:space="0" w:color="auto"/>
              <w:right w:val="nil"/>
            </w:tcBorders>
            <w:shd w:val="clear" w:color="auto" w:fill="auto"/>
          </w:tcPr>
          <w:p w14:paraId="4F66536E" w14:textId="77777777" w:rsidR="00FA6A1F" w:rsidRPr="0003777A" w:rsidRDefault="00FA6A1F" w:rsidP="00C25919">
            <w:pPr>
              <w:pStyle w:val="TableText"/>
              <w:tabs>
                <w:tab w:val="decimal" w:pos="510"/>
              </w:tabs>
            </w:pPr>
            <w:r w:rsidRPr="0003777A">
              <w:t>889</w:t>
            </w:r>
          </w:p>
        </w:tc>
        <w:tc>
          <w:tcPr>
            <w:tcW w:w="484" w:type="pct"/>
            <w:tcBorders>
              <w:top w:val="single" w:sz="4" w:space="0" w:color="A6A6A6" w:themeColor="background1" w:themeShade="A6"/>
              <w:left w:val="nil"/>
              <w:bottom w:val="single" w:sz="4" w:space="0" w:color="auto"/>
              <w:right w:val="single" w:sz="4" w:space="0" w:color="A6A6A6" w:themeColor="background1" w:themeShade="A6"/>
            </w:tcBorders>
            <w:shd w:val="clear" w:color="auto" w:fill="auto"/>
          </w:tcPr>
          <w:p w14:paraId="4F66536F" w14:textId="77777777" w:rsidR="00FA6A1F" w:rsidRPr="0003777A" w:rsidRDefault="00FA6A1F" w:rsidP="00C25919">
            <w:pPr>
              <w:pStyle w:val="TableText"/>
              <w:jc w:val="center"/>
            </w:pPr>
            <w:r w:rsidRPr="0003777A">
              <w:t>23</w:t>
            </w:r>
          </w:p>
        </w:tc>
        <w:tc>
          <w:tcPr>
            <w:tcW w:w="484" w:type="pct"/>
            <w:tcBorders>
              <w:top w:val="single" w:sz="4" w:space="0" w:color="A6A6A6" w:themeColor="background1" w:themeShade="A6"/>
              <w:left w:val="single" w:sz="4" w:space="0" w:color="A6A6A6" w:themeColor="background1" w:themeShade="A6"/>
              <w:bottom w:val="single" w:sz="4" w:space="0" w:color="auto"/>
              <w:right w:val="nil"/>
            </w:tcBorders>
            <w:shd w:val="clear" w:color="auto" w:fill="auto"/>
          </w:tcPr>
          <w:p w14:paraId="4F665370" w14:textId="77777777" w:rsidR="00FA6A1F" w:rsidRPr="0003777A" w:rsidRDefault="00FA6A1F" w:rsidP="00C25919">
            <w:pPr>
              <w:pStyle w:val="TableText"/>
              <w:jc w:val="center"/>
            </w:pPr>
            <w:r w:rsidRPr="0003777A">
              <w:t>385</w:t>
            </w:r>
          </w:p>
        </w:tc>
        <w:tc>
          <w:tcPr>
            <w:tcW w:w="484" w:type="pct"/>
            <w:tcBorders>
              <w:top w:val="single" w:sz="4" w:space="0" w:color="A6A6A6" w:themeColor="background1" w:themeShade="A6"/>
              <w:left w:val="nil"/>
              <w:bottom w:val="single" w:sz="4" w:space="0" w:color="auto"/>
              <w:right w:val="single" w:sz="4" w:space="0" w:color="A6A6A6" w:themeColor="background1" w:themeShade="A6"/>
            </w:tcBorders>
            <w:shd w:val="clear" w:color="auto" w:fill="auto"/>
          </w:tcPr>
          <w:p w14:paraId="4F665371" w14:textId="77777777" w:rsidR="00FA6A1F" w:rsidRPr="0003777A" w:rsidRDefault="00FA6A1F" w:rsidP="00C25919">
            <w:pPr>
              <w:pStyle w:val="TableText"/>
              <w:tabs>
                <w:tab w:val="decimal" w:pos="380"/>
              </w:tabs>
            </w:pPr>
            <w:r w:rsidRPr="0003777A">
              <w:t>10</w:t>
            </w:r>
          </w:p>
        </w:tc>
        <w:tc>
          <w:tcPr>
            <w:tcW w:w="484" w:type="pct"/>
            <w:tcBorders>
              <w:top w:val="single" w:sz="4" w:space="0" w:color="A6A6A6" w:themeColor="background1" w:themeShade="A6"/>
              <w:left w:val="single" w:sz="4" w:space="0" w:color="A6A6A6" w:themeColor="background1" w:themeShade="A6"/>
              <w:bottom w:val="single" w:sz="4" w:space="0" w:color="auto"/>
              <w:right w:val="nil"/>
            </w:tcBorders>
            <w:shd w:val="clear" w:color="auto" w:fill="auto"/>
          </w:tcPr>
          <w:p w14:paraId="4F665372" w14:textId="77777777" w:rsidR="00FA6A1F" w:rsidRPr="0003777A" w:rsidRDefault="00FA6A1F" w:rsidP="00C25919">
            <w:pPr>
              <w:pStyle w:val="TableText"/>
              <w:jc w:val="center"/>
            </w:pPr>
            <w:r w:rsidRPr="0003777A">
              <w:t>488</w:t>
            </w:r>
          </w:p>
        </w:tc>
        <w:tc>
          <w:tcPr>
            <w:tcW w:w="484" w:type="pct"/>
            <w:tcBorders>
              <w:top w:val="single" w:sz="4" w:space="0" w:color="A6A6A6" w:themeColor="background1" w:themeShade="A6"/>
              <w:left w:val="nil"/>
              <w:bottom w:val="single" w:sz="4" w:space="0" w:color="auto"/>
              <w:right w:val="single" w:sz="4" w:space="0" w:color="A6A6A6" w:themeColor="background1" w:themeShade="A6"/>
            </w:tcBorders>
            <w:shd w:val="clear" w:color="auto" w:fill="auto"/>
          </w:tcPr>
          <w:p w14:paraId="4F665373" w14:textId="77777777" w:rsidR="00FA6A1F" w:rsidRPr="0003777A" w:rsidRDefault="00FA6A1F" w:rsidP="00C25919">
            <w:pPr>
              <w:pStyle w:val="TableText"/>
              <w:tabs>
                <w:tab w:val="decimal" w:pos="334"/>
              </w:tabs>
            </w:pPr>
            <w:r w:rsidRPr="0003777A">
              <w:t>12</w:t>
            </w:r>
          </w:p>
        </w:tc>
        <w:tc>
          <w:tcPr>
            <w:tcW w:w="482" w:type="pct"/>
            <w:tcBorders>
              <w:top w:val="single" w:sz="4" w:space="0" w:color="A6A6A6" w:themeColor="background1" w:themeShade="A6"/>
              <w:left w:val="single" w:sz="4" w:space="0" w:color="A6A6A6" w:themeColor="background1" w:themeShade="A6"/>
              <w:bottom w:val="single" w:sz="4" w:space="0" w:color="auto"/>
            </w:tcBorders>
            <w:shd w:val="clear" w:color="auto" w:fill="auto"/>
          </w:tcPr>
          <w:p w14:paraId="4F665374" w14:textId="77777777" w:rsidR="00FA6A1F" w:rsidRPr="0003777A" w:rsidRDefault="00FA6A1F" w:rsidP="00C25919">
            <w:pPr>
              <w:pStyle w:val="TableText"/>
              <w:jc w:val="center"/>
            </w:pPr>
            <w:r w:rsidRPr="0003777A">
              <w:t>3,925</w:t>
            </w:r>
          </w:p>
        </w:tc>
      </w:tr>
    </w:tbl>
    <w:p w14:paraId="4F665376" w14:textId="77777777" w:rsidR="00FA6A1F" w:rsidRPr="0003777A" w:rsidRDefault="00FA6A1F" w:rsidP="00C25919">
      <w:pPr>
        <w:pStyle w:val="Note"/>
      </w:pPr>
      <w:r w:rsidRPr="0003777A">
        <w:t xml:space="preserve">Note: The sum of the rows may differ from the total shown in the </w:t>
      </w:r>
      <w:r w:rsidR="008303C6">
        <w:t>‘</w:t>
      </w:r>
      <w:r w:rsidRPr="0003777A">
        <w:t>Total</w:t>
      </w:r>
      <w:r w:rsidR="008303C6">
        <w:t>’</w:t>
      </w:r>
      <w:r w:rsidRPr="0003777A">
        <w:t xml:space="preserve"> column due to rounding.</w:t>
      </w:r>
    </w:p>
    <w:p w14:paraId="4F665377" w14:textId="77777777" w:rsidR="00FA6A1F" w:rsidRPr="00C25919" w:rsidRDefault="00FA6A1F" w:rsidP="00C25919">
      <w:pPr>
        <w:pStyle w:val="Source"/>
      </w:pPr>
      <w:r w:rsidRPr="00C25919">
        <w:t xml:space="preserve">Source: Service user data, Ministry of Health and 2020 CLIC data. URL: </w:t>
      </w:r>
      <w:hyperlink r:id="rId42" w:history="1">
        <w:r w:rsidRPr="00C25919">
          <w:rPr>
            <w:rStyle w:val="Hyperlink"/>
          </w:rPr>
          <w:t>www.health.govt.nz/our-work/mental-health-and-addictions/problem-gambling/service-user-data/intervention-client-data</w:t>
        </w:r>
      </w:hyperlink>
      <w:r w:rsidRPr="00C25919">
        <w:t xml:space="preserve"> (accessed 18 June 2021).</w:t>
      </w:r>
    </w:p>
    <w:p w14:paraId="4F665378" w14:textId="77777777" w:rsidR="00C25919" w:rsidRDefault="00C25919" w:rsidP="00C25919"/>
    <w:p w14:paraId="4F665379" w14:textId="6A5F97F7" w:rsidR="008303C6" w:rsidRDefault="00FA6A1F" w:rsidP="00C25919">
      <w:r w:rsidRPr="00E312E8">
        <w:t xml:space="preserve">There are </w:t>
      </w:r>
      <w:r>
        <w:t>two</w:t>
      </w:r>
      <w:r w:rsidRPr="00E312E8">
        <w:t xml:space="preserve"> qualifications to bear in mind when considering the </w:t>
      </w:r>
      <w:r>
        <w:t xml:space="preserve">data presented in </w:t>
      </w:r>
      <w:r w:rsidR="00C25919">
        <w:fldChar w:fldCharType="begin"/>
      </w:r>
      <w:r w:rsidR="00C25919">
        <w:instrText xml:space="preserve"> REF _Ref80795731 \h </w:instrText>
      </w:r>
      <w:r w:rsidR="00C25919">
        <w:fldChar w:fldCharType="separate"/>
      </w:r>
      <w:r w:rsidR="00F65B3A">
        <w:t>Table </w:t>
      </w:r>
      <w:r w:rsidR="00F65B3A">
        <w:rPr>
          <w:noProof/>
        </w:rPr>
        <w:t>10</w:t>
      </w:r>
      <w:r w:rsidR="00C25919">
        <w:fldChar w:fldCharType="end"/>
      </w:r>
      <w:r>
        <w:t>.</w:t>
      </w:r>
    </w:p>
    <w:p w14:paraId="4F66537A" w14:textId="77777777" w:rsidR="00FA6A1F" w:rsidRPr="0003777A" w:rsidRDefault="00FA6A1F" w:rsidP="00C25919">
      <w:pPr>
        <w:pStyle w:val="Bullet"/>
      </w:pPr>
      <w:r w:rsidRPr="0003777A">
        <w:t xml:space="preserve">From 1 October 2011, the Ministry required service providers to enter as PPGMs all forms of gambling that were causing a client </w:t>
      </w:r>
      <w:r w:rsidR="008303C6">
        <w:t>‘</w:t>
      </w:r>
      <w:r w:rsidRPr="0003777A">
        <w:t>significant harm</w:t>
      </w:r>
      <w:r w:rsidR="008303C6">
        <w:t>’</w:t>
      </w:r>
      <w:r w:rsidRPr="0003777A">
        <w:t xml:space="preserve"> and to enter as secondary modes of problem gambling all forms of gambling that were causing a client </w:t>
      </w:r>
      <w:r w:rsidR="008303C6">
        <w:t>‘</w:t>
      </w:r>
      <w:r w:rsidRPr="0003777A">
        <w:t>harm</w:t>
      </w:r>
      <w:r w:rsidR="008303C6">
        <w:t>’</w:t>
      </w:r>
      <w:r w:rsidRPr="0003777A">
        <w:t xml:space="preserve"> (up to a maximum of five in each case). Accordingly, the Ministry considers that its presentation figures from 2012/13 onwards are more reliable and appropriate than its earlier figures.</w:t>
      </w:r>
    </w:p>
    <w:p w14:paraId="4F66537B" w14:textId="77777777" w:rsidR="00FA6A1F" w:rsidRPr="0003777A" w:rsidRDefault="00FA6A1F" w:rsidP="00C25919">
      <w:pPr>
        <w:pStyle w:val="Bullet"/>
      </w:pPr>
      <w:r w:rsidRPr="0003777A">
        <w:t xml:space="preserve">The </w:t>
      </w:r>
      <w:r>
        <w:t>numbers</w:t>
      </w:r>
      <w:r w:rsidRPr="0003777A">
        <w:t xml:space="preserve"> for 2020 relate to the 12 months from 1 January 2020 to 31 December 2020 (the latest figures available at the time of drafting this consultation document), not the standard 1 July 2020 to 30 June 2021 year.</w:t>
      </w:r>
      <w:r w:rsidR="008303C6">
        <w:t xml:space="preserve"> </w:t>
      </w:r>
      <w:r>
        <w:t>This is because preparing this draft strategy document occurs before all the data can be collected and confirmed for the 30 June year.</w:t>
      </w:r>
    </w:p>
    <w:p w14:paraId="4F66537C" w14:textId="77777777" w:rsidR="00C25919" w:rsidRDefault="00C25919" w:rsidP="00C25919"/>
    <w:p w14:paraId="4F66537D" w14:textId="77777777" w:rsidR="00FA6A1F" w:rsidRDefault="00FA6A1F" w:rsidP="00C25919">
      <w:r>
        <w:t>Other points to note from this table are as follows.</w:t>
      </w:r>
    </w:p>
    <w:p w14:paraId="4F66537E" w14:textId="77777777" w:rsidR="008303C6" w:rsidRDefault="00FA6A1F" w:rsidP="00C25919">
      <w:pPr>
        <w:pStyle w:val="Bullet"/>
      </w:pPr>
      <w:r w:rsidRPr="009B6541">
        <w:t xml:space="preserve">The </w:t>
      </w:r>
      <w:r w:rsidRPr="00050166">
        <w:rPr>
          <w:i/>
          <w:iCs/>
        </w:rPr>
        <w:t>number</w:t>
      </w:r>
      <w:r w:rsidRPr="009B6541">
        <w:t xml:space="preserve"> of NCGM presentations peaked in 2009/10, but the</w:t>
      </w:r>
      <w:r w:rsidRPr="0003777A">
        <w:rPr>
          <w:i/>
          <w:iCs/>
        </w:rPr>
        <w:t xml:space="preserve"> </w:t>
      </w:r>
      <w:r w:rsidRPr="00050166">
        <w:rPr>
          <w:i/>
          <w:iCs/>
        </w:rPr>
        <w:t>share</w:t>
      </w:r>
      <w:r w:rsidRPr="0003777A">
        <w:rPr>
          <w:i/>
          <w:iCs/>
        </w:rPr>
        <w:t xml:space="preserve"> </w:t>
      </w:r>
      <w:r w:rsidRPr="009B6541">
        <w:t>of NCGM presentations peaked in 2004/05. Both figures have been declining unevenly since those respective dates. These patterns probably largely reflect the trend for reductions in both the number of NCGMs and NCGM venues and in the total NCGM sector expenditure as a proportion of the total gambling expenditure. Since 2015/16</w:t>
      </w:r>
      <w:r>
        <w:t>, the</w:t>
      </w:r>
      <w:r w:rsidRPr="009B6541">
        <w:t xml:space="preserve"> NCGMs</w:t>
      </w:r>
      <w:r w:rsidR="008303C6">
        <w:t>’</w:t>
      </w:r>
      <w:r w:rsidRPr="009B6541">
        <w:t xml:space="preserve"> share has remained at 53</w:t>
      </w:r>
      <w:r>
        <w:t>–</w:t>
      </w:r>
      <w:r w:rsidRPr="009B6541">
        <w:t>55</w:t>
      </w:r>
      <w:r>
        <w:t xml:space="preserve"> percent</w:t>
      </w:r>
      <w:r w:rsidRPr="009B6541">
        <w:t>.</w:t>
      </w:r>
    </w:p>
    <w:p w14:paraId="4F66537F" w14:textId="77777777" w:rsidR="00FA6A1F" w:rsidRPr="009B6541" w:rsidRDefault="00FA6A1F" w:rsidP="00C25919">
      <w:pPr>
        <w:pStyle w:val="Bullet"/>
      </w:pPr>
      <w:r w:rsidRPr="009B6541">
        <w:t xml:space="preserve">The </w:t>
      </w:r>
      <w:r w:rsidRPr="00050166">
        <w:rPr>
          <w:i/>
          <w:iCs/>
        </w:rPr>
        <w:t>number</w:t>
      </w:r>
      <w:r w:rsidRPr="0003777A">
        <w:rPr>
          <w:i/>
          <w:iCs/>
        </w:rPr>
        <w:t xml:space="preserve"> </w:t>
      </w:r>
      <w:r w:rsidRPr="009B6541">
        <w:t>of casino presentations has increased each year since 2004/05 until peaking in 2014/15 and ha</w:t>
      </w:r>
      <w:r>
        <w:t>s</w:t>
      </w:r>
      <w:r w:rsidRPr="009B6541">
        <w:t xml:space="preserve"> declined slightly since. However, the casino </w:t>
      </w:r>
      <w:r w:rsidRPr="004811B3">
        <w:rPr>
          <w:i/>
          <w:iCs/>
        </w:rPr>
        <w:t>share</w:t>
      </w:r>
      <w:r w:rsidRPr="009B6541">
        <w:t xml:space="preserve"> of presentations has remained steady at around 22</w:t>
      </w:r>
      <w:r>
        <w:t>–</w:t>
      </w:r>
      <w:r w:rsidRPr="009B6541">
        <w:t>23</w:t>
      </w:r>
      <w:r>
        <w:t xml:space="preserve"> percent</w:t>
      </w:r>
      <w:r w:rsidRPr="009B6541">
        <w:t xml:space="preserve"> since 2016/17.</w:t>
      </w:r>
    </w:p>
    <w:p w14:paraId="4F665380" w14:textId="77777777" w:rsidR="00FA6A1F" w:rsidRPr="009B6541" w:rsidRDefault="00FA6A1F" w:rsidP="00C25919">
      <w:pPr>
        <w:pStyle w:val="Bullet"/>
      </w:pPr>
      <w:r w:rsidRPr="009B6541">
        <w:lastRenderedPageBreak/>
        <w:t xml:space="preserve">The </w:t>
      </w:r>
      <w:r w:rsidRPr="00050166">
        <w:rPr>
          <w:i/>
          <w:iCs/>
        </w:rPr>
        <w:t>number</w:t>
      </w:r>
      <w:r w:rsidRPr="0003777A">
        <w:rPr>
          <w:i/>
          <w:iCs/>
        </w:rPr>
        <w:t xml:space="preserve"> </w:t>
      </w:r>
      <w:r w:rsidRPr="009B6541">
        <w:t xml:space="preserve">of </w:t>
      </w:r>
      <w:r>
        <w:t>TAB NZ</w:t>
      </w:r>
      <w:r w:rsidRPr="009B6541">
        <w:t xml:space="preserve"> presentations has risen each year since 2004/05 until peaking in 2014/15. The </w:t>
      </w:r>
      <w:r w:rsidRPr="004811B3">
        <w:rPr>
          <w:i/>
          <w:iCs/>
        </w:rPr>
        <w:t>share</w:t>
      </w:r>
      <w:r w:rsidRPr="009B6541">
        <w:t xml:space="preserve"> of </w:t>
      </w:r>
      <w:r>
        <w:t>TAB NZ</w:t>
      </w:r>
      <w:r w:rsidRPr="009B6541">
        <w:t xml:space="preserve"> presentations has remained steady at about 10</w:t>
      </w:r>
      <w:r>
        <w:t xml:space="preserve"> percent</w:t>
      </w:r>
      <w:r w:rsidRPr="009B6541">
        <w:t xml:space="preserve"> since 2016/17.</w:t>
      </w:r>
    </w:p>
    <w:p w14:paraId="4F665381" w14:textId="77777777" w:rsidR="008303C6" w:rsidRDefault="00FA6A1F" w:rsidP="00C25919">
      <w:pPr>
        <w:pStyle w:val="Bullet"/>
      </w:pPr>
      <w:r w:rsidRPr="00050166">
        <w:t>The</w:t>
      </w:r>
      <w:r w:rsidRPr="0003777A">
        <w:rPr>
          <w:i/>
          <w:iCs/>
        </w:rPr>
        <w:t xml:space="preserve"> </w:t>
      </w:r>
      <w:r w:rsidRPr="00050166">
        <w:rPr>
          <w:i/>
          <w:iCs/>
        </w:rPr>
        <w:t>number</w:t>
      </w:r>
      <w:r w:rsidRPr="0003777A">
        <w:rPr>
          <w:i/>
          <w:iCs/>
        </w:rPr>
        <w:t xml:space="preserve"> </w:t>
      </w:r>
      <w:r w:rsidRPr="009B6541">
        <w:t xml:space="preserve">of </w:t>
      </w:r>
      <w:r>
        <w:t>Lotto New Zealand</w:t>
      </w:r>
      <w:r w:rsidRPr="009B6541">
        <w:t xml:space="preserve"> presentations has continued to increase since 2013/14 and peaked in 2016/17. The </w:t>
      </w:r>
      <w:r w:rsidRPr="0003777A">
        <w:rPr>
          <w:i/>
          <w:iCs/>
        </w:rPr>
        <w:t>share</w:t>
      </w:r>
      <w:r w:rsidRPr="009B6541">
        <w:t xml:space="preserve"> of presentations also peaked in 2016/17 and has remained steady over the last few years. These patterns coincide with the increase in expenditure over this time.</w:t>
      </w:r>
    </w:p>
    <w:p w14:paraId="4F665382" w14:textId="77777777" w:rsidR="00C25919" w:rsidRDefault="00C25919" w:rsidP="00C25919"/>
    <w:p w14:paraId="4F665383" w14:textId="77777777" w:rsidR="00FA6A1F" w:rsidRPr="00D528A0" w:rsidRDefault="00FA6A1F" w:rsidP="00C25919">
      <w:pPr>
        <w:pStyle w:val="Heading3"/>
      </w:pPr>
      <w:bookmarkStart w:id="237" w:name="_Toc71102179"/>
      <w:bookmarkStart w:id="238" w:name="_Toc78882320"/>
      <w:bookmarkStart w:id="239" w:name="_Toc65389478"/>
      <w:r w:rsidRPr="00D528A0">
        <w:t>The funding requirement (C)</w:t>
      </w:r>
      <w:bookmarkEnd w:id="237"/>
      <w:bookmarkEnd w:id="238"/>
    </w:p>
    <w:p w14:paraId="4F665384" w14:textId="77777777" w:rsidR="00FA6A1F" w:rsidRDefault="00FA6A1F" w:rsidP="00C25919">
      <w:r w:rsidRPr="00C10A99">
        <w:t xml:space="preserve">The funding requirement represented by </w:t>
      </w:r>
      <w:r w:rsidRPr="00C10A99">
        <w:rPr>
          <w:b/>
        </w:rPr>
        <w:t>C</w:t>
      </w:r>
      <w:r w:rsidRPr="00C10A99">
        <w:t xml:space="preserve"> in the formula is the </w:t>
      </w:r>
      <w:r>
        <w:t xml:space="preserve">total cost of the strategy for </w:t>
      </w:r>
      <w:r w:rsidRPr="007F5A5A">
        <w:t>2022/23 to 2024/25</w:t>
      </w:r>
      <w:r>
        <w:t xml:space="preserve">, which the </w:t>
      </w:r>
      <w:r w:rsidRPr="00C10A99">
        <w:t xml:space="preserve">Ministry </w:t>
      </w:r>
      <w:r>
        <w:t>estimates as $67.374</w:t>
      </w:r>
      <w:r w:rsidRPr="00C10A99">
        <w:t xml:space="preserve"> million</w:t>
      </w:r>
      <w:r>
        <w:t>.</w:t>
      </w:r>
    </w:p>
    <w:p w14:paraId="4F665385" w14:textId="77777777" w:rsidR="00C25919" w:rsidRDefault="00C25919" w:rsidP="00C25919"/>
    <w:p w14:paraId="4F665386" w14:textId="77777777" w:rsidR="008303C6" w:rsidRDefault="00FA6A1F" w:rsidP="00C25919">
      <w:r>
        <w:t xml:space="preserve">The draft service plan described in </w:t>
      </w:r>
      <w:hyperlink w:anchor="_3_Draft_service" w:history="1">
        <w:r w:rsidR="00E5081A" w:rsidRPr="00E5081A">
          <w:rPr>
            <w:rStyle w:val="Hyperlink"/>
          </w:rPr>
          <w:t>section 3</w:t>
        </w:r>
      </w:hyperlink>
      <w:r>
        <w:t xml:space="preserve"> above sets out details about the $67.374</w:t>
      </w:r>
      <w:r w:rsidR="00C25919">
        <w:t> </w:t>
      </w:r>
      <w:r>
        <w:t>million cost to provide and implement the strategy.</w:t>
      </w:r>
    </w:p>
    <w:p w14:paraId="4F665387" w14:textId="77777777" w:rsidR="00C25919" w:rsidRDefault="00C25919" w:rsidP="00C25919"/>
    <w:p w14:paraId="4F665388" w14:textId="77777777" w:rsidR="00FA6A1F" w:rsidRPr="00C10A99" w:rsidRDefault="00FA6A1F" w:rsidP="00C25919">
      <w:pPr>
        <w:pStyle w:val="Heading3"/>
      </w:pPr>
      <w:bookmarkStart w:id="240" w:name="_Toc71102180"/>
      <w:bookmarkStart w:id="241" w:name="_Toc78882321"/>
      <w:r w:rsidRPr="00C10A99">
        <w:t>Forecast player expenditure (D)</w:t>
      </w:r>
      <w:bookmarkEnd w:id="240"/>
      <w:bookmarkEnd w:id="241"/>
    </w:p>
    <w:p w14:paraId="4F665389" w14:textId="77777777" w:rsidR="00FA6A1F" w:rsidRPr="00C10A99" w:rsidRDefault="00FA6A1F" w:rsidP="00C25919">
      <w:r w:rsidRPr="00C10A99">
        <w:t xml:space="preserve">The amounts represented by </w:t>
      </w:r>
      <w:r w:rsidRPr="00C10A99">
        <w:rPr>
          <w:b/>
        </w:rPr>
        <w:t>D</w:t>
      </w:r>
      <w:r w:rsidRPr="00C10A99">
        <w:t xml:space="preserve"> in the formula are sector-by-sector forecasts of the amounts that</w:t>
      </w:r>
      <w:r>
        <w:t xml:space="preserve"> </w:t>
      </w:r>
      <w:r w:rsidRPr="00C10A99">
        <w:t>DIA expects gamblers to spend on the gambling products of the four levy-paying gambling sectors in the period 20</w:t>
      </w:r>
      <w:r>
        <w:t>22/23–</w:t>
      </w:r>
      <w:r w:rsidRPr="00C10A99">
        <w:t>20</w:t>
      </w:r>
      <w:r>
        <w:t>24/25</w:t>
      </w:r>
      <w:r w:rsidRPr="00C10A99">
        <w:t>. The higher</w:t>
      </w:r>
      <w:r>
        <w:t xml:space="preserve"> the</w:t>
      </w:r>
      <w:r w:rsidRPr="00C10A99">
        <w:t xml:space="preserve"> forecast expenditure, the lower the levy rate necessary for a sector to pay its required contribution (as determined by the top line of the formula).</w:t>
      </w:r>
    </w:p>
    <w:p w14:paraId="4F66538A" w14:textId="77777777" w:rsidR="00C25919" w:rsidRDefault="00C25919" w:rsidP="00C25919"/>
    <w:p w14:paraId="4F66538B" w14:textId="77777777" w:rsidR="00FA6A1F" w:rsidRPr="00C10A99" w:rsidRDefault="00FA6A1F" w:rsidP="00C25919">
      <w:r>
        <w:t xml:space="preserve">As noted above, these forecasts by DIA took into </w:t>
      </w:r>
      <w:r w:rsidRPr="00C10A99">
        <w:t xml:space="preserve">account the latest, most reliable and most appropriate sources of information </w:t>
      </w:r>
      <w:r>
        <w:t xml:space="preserve">on player expenditure, </w:t>
      </w:r>
      <w:r w:rsidRPr="00C10A99">
        <w:t xml:space="preserve">including its NCGM </w:t>
      </w:r>
      <w:r>
        <w:t>EMS</w:t>
      </w:r>
      <w:r w:rsidRPr="00C10A99">
        <w:t>, gambling operators</w:t>
      </w:r>
      <w:r w:rsidR="008303C6">
        <w:t>’</w:t>
      </w:r>
      <w:r w:rsidRPr="00C10A99">
        <w:t xml:space="preserve"> annual and half-yearly reports and information from</w:t>
      </w:r>
      <w:r>
        <w:t xml:space="preserve"> </w:t>
      </w:r>
      <w:r w:rsidRPr="00C10A99">
        <w:t>IRD</w:t>
      </w:r>
      <w:r>
        <w:t xml:space="preserve">. </w:t>
      </w:r>
      <w:r w:rsidRPr="00C10A99">
        <w:t>The reasoning behind the</w:t>
      </w:r>
      <w:r>
        <w:t xml:space="preserve"> DIA</w:t>
      </w:r>
      <w:r w:rsidRPr="00C10A99">
        <w:t xml:space="preserve"> forecast for each sector is set out below</w:t>
      </w:r>
      <w:r>
        <w:t>.</w:t>
      </w:r>
    </w:p>
    <w:p w14:paraId="4F66538C" w14:textId="77777777" w:rsidR="00C25919" w:rsidRDefault="00C25919" w:rsidP="00C25919"/>
    <w:p w14:paraId="4F66538D" w14:textId="77777777" w:rsidR="00FA6A1F" w:rsidRDefault="00FA6A1F" w:rsidP="00C25919">
      <w:r>
        <w:t>Future changes in gambling regulation could have an impact on the levy rates and levy amount collected.</w:t>
      </w:r>
      <w:r w:rsidR="008303C6">
        <w:t xml:space="preserve"> </w:t>
      </w:r>
      <w:r>
        <w:t xml:space="preserve">These forecasts assume the current regulatory settings will remain and there is no significant shift in gambling expenditure patterns, for example towards offshore online gambling. </w:t>
      </w:r>
      <w:r w:rsidRPr="00976DA2">
        <w:t>There may be changes in gambling expenditure as a result of future changes to the Act or regulations</w:t>
      </w:r>
      <w:r>
        <w:t xml:space="preserve">, for example many people are of the view there should be stronger regulatory control on NCGM. </w:t>
      </w:r>
      <w:r w:rsidRPr="00BC2756">
        <w:rPr>
          <w:rFonts w:cs="Segoe UI"/>
          <w:szCs w:val="21"/>
          <w:lang w:eastAsia="en-NZ"/>
        </w:rPr>
        <w:t>Should there be changes to the Act or regulations, this could have an impact on expenditure. However</w:t>
      </w:r>
      <w:r>
        <w:rPr>
          <w:rFonts w:cs="Segoe UI"/>
          <w:szCs w:val="21"/>
          <w:lang w:eastAsia="en-NZ"/>
        </w:rPr>
        <w:t xml:space="preserve">, </w:t>
      </w:r>
      <w:r>
        <w:t>i</w:t>
      </w:r>
      <w:r w:rsidRPr="00976DA2">
        <w:t xml:space="preserve">t is not possible to forecast the likely impact of any changes until the nature of any legislative or policy changes </w:t>
      </w:r>
      <w:r>
        <w:t>has been made clear</w:t>
      </w:r>
      <w:r w:rsidRPr="00976DA2">
        <w:t>.</w:t>
      </w:r>
    </w:p>
    <w:p w14:paraId="4F66538E" w14:textId="77777777" w:rsidR="00C25919" w:rsidRDefault="00C25919" w:rsidP="00C25919"/>
    <w:p w14:paraId="4F66538F" w14:textId="77777777" w:rsidR="00FA6A1F" w:rsidRPr="00976DA2" w:rsidRDefault="00FA6A1F" w:rsidP="00C25919">
      <w:pPr>
        <w:pStyle w:val="Heading4"/>
      </w:pPr>
      <w:bookmarkStart w:id="242" w:name="_Toc71102181"/>
      <w:r w:rsidRPr="00976DA2">
        <w:lastRenderedPageBreak/>
        <w:t>Non-casino gaming machines</w:t>
      </w:r>
      <w:bookmarkEnd w:id="242"/>
    </w:p>
    <w:p w14:paraId="4F665390" w14:textId="77777777" w:rsidR="00FA6A1F" w:rsidRPr="00976DA2" w:rsidRDefault="00FA6A1F" w:rsidP="00C25919">
      <w:pPr>
        <w:keepLines/>
      </w:pPr>
      <w:r w:rsidRPr="00976DA2">
        <w:t>The number of NCGM</w:t>
      </w:r>
      <w:r>
        <w:t xml:space="preserve">s has declined from </w:t>
      </w:r>
      <w:r w:rsidRPr="00976DA2">
        <w:t>2</w:t>
      </w:r>
      <w:r>
        <w:t xml:space="preserve">5,221 in 2003 to </w:t>
      </w:r>
      <w:r w:rsidRPr="00976DA2">
        <w:t>1</w:t>
      </w:r>
      <w:r>
        <w:t>4</w:t>
      </w:r>
      <w:r w:rsidRPr="00976DA2">
        <w:t>,</w:t>
      </w:r>
      <w:r>
        <w:t>847</w:t>
      </w:r>
      <w:r w:rsidRPr="00976DA2">
        <w:t xml:space="preserve"> </w:t>
      </w:r>
      <w:r>
        <w:t>a</w:t>
      </w:r>
      <w:r w:rsidRPr="00976DA2">
        <w:t xml:space="preserve">s of </w:t>
      </w:r>
      <w:r>
        <w:t>30 June 2020 (there are 1,068 active venues).</w:t>
      </w:r>
      <w:r w:rsidRPr="00C25919">
        <w:rPr>
          <w:rStyle w:val="FootnoteReference"/>
          <w:rFonts w:eastAsia="MS Gothic"/>
        </w:rPr>
        <w:footnoteReference w:id="20"/>
      </w:r>
      <w:r>
        <w:t xml:space="preserve"> NCGM e</w:t>
      </w:r>
      <w:r w:rsidRPr="00976DA2">
        <w:t>xpenditure also declined for several years</w:t>
      </w:r>
      <w:r>
        <w:t xml:space="preserve"> but</w:t>
      </w:r>
      <w:r w:rsidRPr="00976DA2">
        <w:t xml:space="preserve"> has seen </w:t>
      </w:r>
      <w:r>
        <w:t xml:space="preserve">yearly </w:t>
      </w:r>
      <w:r w:rsidRPr="00976DA2">
        <w:t xml:space="preserve">increases since 2013/14. For example, from a historical low of $806 million in </w:t>
      </w:r>
      <w:r>
        <w:t>2013/14</w:t>
      </w:r>
      <w:r w:rsidRPr="00976DA2">
        <w:t>, expenditure increased to $818</w:t>
      </w:r>
      <w:r>
        <w:t> </w:t>
      </w:r>
      <w:r w:rsidRPr="00976DA2">
        <w:t>million in 2014/15, $843 million in 2015/16</w:t>
      </w:r>
      <w:r>
        <w:t>,</w:t>
      </w:r>
      <w:r w:rsidRPr="00976DA2">
        <w:t xml:space="preserve"> $870 million in 2016/17</w:t>
      </w:r>
      <w:r>
        <w:t>, $895 million in 2017/18 and $924 million in 2018/19</w:t>
      </w:r>
      <w:r w:rsidRPr="00976DA2">
        <w:t>.</w:t>
      </w:r>
      <w:r>
        <w:t xml:space="preserve"> There was a noticeable decrease down to $802 million in 2019/20, reflecting the impacts of COVID-19 restrictions </w:t>
      </w:r>
      <w:r w:rsidRPr="00E30B1C">
        <w:t xml:space="preserve">as </w:t>
      </w:r>
      <w:r>
        <w:t>c</w:t>
      </w:r>
      <w:r w:rsidRPr="00E30B1C">
        <w:t>lass 4 venues were closed during the COVID-19 lockdown</w:t>
      </w:r>
      <w:r>
        <w:t>.</w:t>
      </w:r>
    </w:p>
    <w:p w14:paraId="4F665391" w14:textId="77777777" w:rsidR="00C25919" w:rsidRDefault="00C25919" w:rsidP="00C25919"/>
    <w:p w14:paraId="4F665392" w14:textId="77777777" w:rsidR="00FA6A1F" w:rsidRDefault="00FA6A1F" w:rsidP="00C25919">
      <w:r w:rsidRPr="00976DA2">
        <w:t xml:space="preserve">DIA forecasts expenditure to continue with small annual increases </w:t>
      </w:r>
      <w:r>
        <w:t>over</w:t>
      </w:r>
      <w:r w:rsidRPr="00976DA2">
        <w:t xml:space="preserve"> the next three year</w:t>
      </w:r>
      <w:r>
        <w:t>s</w:t>
      </w:r>
      <w:r w:rsidRPr="00976DA2">
        <w:t>.</w:t>
      </w:r>
      <w:r>
        <w:t xml:space="preserve"> </w:t>
      </w:r>
      <w:r w:rsidRPr="00976DA2">
        <w:t>Some variation in expenditure from year to year is expected, but the size of that variation cannot be forecast in advance.</w:t>
      </w:r>
    </w:p>
    <w:p w14:paraId="4F665393" w14:textId="77777777" w:rsidR="00C25919" w:rsidRPr="00976DA2" w:rsidRDefault="00C25919" w:rsidP="00C25919"/>
    <w:p w14:paraId="4F665394" w14:textId="77777777" w:rsidR="00FA6A1F" w:rsidRPr="00976DA2" w:rsidRDefault="00FA6A1F" w:rsidP="00C25919">
      <w:pPr>
        <w:pStyle w:val="Heading4"/>
      </w:pPr>
      <w:bookmarkStart w:id="243" w:name="_Toc71102182"/>
      <w:r w:rsidRPr="00976DA2">
        <w:t>Casinos</w:t>
      </w:r>
      <w:bookmarkEnd w:id="243"/>
    </w:p>
    <w:p w14:paraId="4F665395" w14:textId="77777777" w:rsidR="00FA6A1F" w:rsidRDefault="00FA6A1F" w:rsidP="00C25919">
      <w:r w:rsidRPr="00976DA2">
        <w:t>Over the last three years</w:t>
      </w:r>
      <w:r>
        <w:t>,</w:t>
      </w:r>
      <w:r w:rsidRPr="00976DA2">
        <w:t xml:space="preserve"> spending on casino gambling has fluctuated. Figures from </w:t>
      </w:r>
      <w:r>
        <w:t xml:space="preserve">the </w:t>
      </w:r>
      <w:r w:rsidRPr="00976DA2">
        <w:t>DIA show expenditure of $</w:t>
      </w:r>
      <w:r>
        <w:t xml:space="preserve">578 </w:t>
      </w:r>
      <w:r w:rsidRPr="00976DA2">
        <w:t>million in 201</w:t>
      </w:r>
      <w:r>
        <w:t>7</w:t>
      </w:r>
      <w:r w:rsidRPr="00976DA2">
        <w:t>/1</w:t>
      </w:r>
      <w:r>
        <w:t>8</w:t>
      </w:r>
      <w:r w:rsidRPr="00976DA2">
        <w:t>, $</w:t>
      </w:r>
      <w:r>
        <w:t>616</w:t>
      </w:r>
      <w:r w:rsidRPr="00976DA2">
        <w:t> million in 201</w:t>
      </w:r>
      <w:r>
        <w:t>8</w:t>
      </w:r>
      <w:r w:rsidRPr="00976DA2">
        <w:t>/1</w:t>
      </w:r>
      <w:r>
        <w:t>9</w:t>
      </w:r>
      <w:r w:rsidRPr="00976DA2">
        <w:t xml:space="preserve"> and $5</w:t>
      </w:r>
      <w:r>
        <w:t>04</w:t>
      </w:r>
      <w:r w:rsidRPr="00976DA2">
        <w:t> million in 201</w:t>
      </w:r>
      <w:r>
        <w:t>9</w:t>
      </w:r>
      <w:r w:rsidRPr="00976DA2">
        <w:t>/</w:t>
      </w:r>
      <w:r>
        <w:t>20</w:t>
      </w:r>
      <w:r w:rsidRPr="00976DA2">
        <w:t xml:space="preserve">. Casino expenditure is impacted by variations in international tourist numbers, including </w:t>
      </w:r>
      <w:r w:rsidR="008303C6">
        <w:t>‘</w:t>
      </w:r>
      <w:r w:rsidRPr="00976DA2">
        <w:t>VIP</w:t>
      </w:r>
      <w:r w:rsidR="008303C6">
        <w:t>’</w:t>
      </w:r>
      <w:r>
        <w:t>(high-stakes)</w:t>
      </w:r>
      <w:r w:rsidRPr="00976DA2">
        <w:t xml:space="preserve"> gamblers.</w:t>
      </w:r>
      <w:r>
        <w:t xml:space="preserve"> This has been most noticeable in the 2019/20 year given the restrictions due to COVID-19, which are ongoing at the time of preparing this document. </w:t>
      </w:r>
      <w:r w:rsidRPr="00976DA2">
        <w:t xml:space="preserve">DIA anticipates some growth in expenditure for </w:t>
      </w:r>
      <w:r>
        <w:t xml:space="preserve">2020/21 to </w:t>
      </w:r>
      <w:r w:rsidRPr="00976DA2">
        <w:t>202</w:t>
      </w:r>
      <w:r>
        <w:t>4</w:t>
      </w:r>
      <w:r w:rsidRPr="00976DA2">
        <w:t>/2</w:t>
      </w:r>
      <w:r>
        <w:t>5</w:t>
      </w:r>
      <w:r w:rsidRPr="00976DA2">
        <w:t xml:space="preserve">, but </w:t>
      </w:r>
      <w:r>
        <w:t xml:space="preserve">its </w:t>
      </w:r>
      <w:r w:rsidRPr="00976DA2">
        <w:t>forecast is relatively conservative.</w:t>
      </w:r>
    </w:p>
    <w:p w14:paraId="4F665396" w14:textId="77777777" w:rsidR="00C25919" w:rsidRDefault="00C25919" w:rsidP="00C25919"/>
    <w:p w14:paraId="4F665397" w14:textId="77777777" w:rsidR="00FA6A1F" w:rsidRPr="00976DA2" w:rsidRDefault="00FA6A1F" w:rsidP="00C25919">
      <w:pPr>
        <w:pStyle w:val="Heading4"/>
      </w:pPr>
      <w:bookmarkStart w:id="244" w:name="_Toc71102183"/>
      <w:r>
        <w:t>TAB NZ</w:t>
      </w:r>
      <w:bookmarkEnd w:id="244"/>
    </w:p>
    <w:p w14:paraId="4F665398" w14:textId="77777777" w:rsidR="00FA6A1F" w:rsidRDefault="00FA6A1F" w:rsidP="00C25919">
      <w:r w:rsidRPr="00976DA2">
        <w:t xml:space="preserve">Spending on </w:t>
      </w:r>
      <w:r>
        <w:t>TAB NZ</w:t>
      </w:r>
      <w:r w:rsidRPr="00976DA2">
        <w:t xml:space="preserve"> products was relatively flat for some years. However, it </w:t>
      </w:r>
      <w:r>
        <w:t>hit a high of $350 million in 2017/18</w:t>
      </w:r>
      <w:r w:rsidRPr="00976DA2">
        <w:t>, with</w:t>
      </w:r>
      <w:r>
        <w:t xml:space="preserve"> </w:t>
      </w:r>
      <w:r w:rsidRPr="00976DA2">
        <w:t>slight decline</w:t>
      </w:r>
      <w:r>
        <w:t>s</w:t>
      </w:r>
      <w:r w:rsidRPr="00976DA2">
        <w:t xml:space="preserve"> to </w:t>
      </w:r>
      <w:r>
        <w:t>$332 million in 2018/19 and $315</w:t>
      </w:r>
      <w:r w:rsidR="00C25919">
        <w:t> </w:t>
      </w:r>
      <w:r>
        <w:t xml:space="preserve">million in 2019/20. </w:t>
      </w:r>
      <w:r w:rsidRPr="00976DA2">
        <w:t>DIA anticipates modest expenditure growth in the next three</w:t>
      </w:r>
      <w:r>
        <w:t>-</w:t>
      </w:r>
      <w:r w:rsidRPr="00976DA2">
        <w:t>year period. Potential increases in expenditure brought about by technical innovation</w:t>
      </w:r>
      <w:r>
        <w:t>s</w:t>
      </w:r>
      <w:r w:rsidRPr="00976DA2">
        <w:t xml:space="preserve"> and product development</w:t>
      </w:r>
      <w:r>
        <w:t>s</w:t>
      </w:r>
      <w:r w:rsidRPr="00976DA2">
        <w:t xml:space="preserve"> may be impacted by competition in the racing and sports betting market from offshore betting agencies.</w:t>
      </w:r>
    </w:p>
    <w:p w14:paraId="4F665399" w14:textId="77777777" w:rsidR="00C25919" w:rsidRDefault="00C25919" w:rsidP="00C25919"/>
    <w:p w14:paraId="4F66539A" w14:textId="77777777" w:rsidR="00FA6A1F" w:rsidRPr="00976DA2" w:rsidRDefault="00FA6A1F" w:rsidP="00C25919">
      <w:pPr>
        <w:pStyle w:val="Heading4"/>
      </w:pPr>
      <w:r>
        <w:t>Lotto New Zealand</w:t>
      </w:r>
    </w:p>
    <w:p w14:paraId="4F66539B" w14:textId="77777777" w:rsidR="008303C6" w:rsidRDefault="00FA6A1F" w:rsidP="00C25919">
      <w:r w:rsidRPr="00976DA2">
        <w:t xml:space="preserve">Spending growth on </w:t>
      </w:r>
      <w:r>
        <w:t>Lotto New Zealand</w:t>
      </w:r>
      <w:r w:rsidRPr="00976DA2">
        <w:t xml:space="preserve"> products has been relatively high</w:t>
      </w:r>
      <w:r>
        <w:t>,</w:t>
      </w:r>
      <w:r w:rsidRPr="00976DA2">
        <w:t xml:space="preserve"> but volatile, since 2005/06. This volatility appears to relate to the number of large jackpots in a year. Strong growth has continued over recent years</w:t>
      </w:r>
      <w:r>
        <w:t>:</w:t>
      </w:r>
      <w:r w:rsidRPr="00976DA2">
        <w:t xml:space="preserve"> </w:t>
      </w:r>
      <w:r>
        <w:t>DIA</w:t>
      </w:r>
      <w:r w:rsidRPr="00976DA2">
        <w:t xml:space="preserve"> </w:t>
      </w:r>
      <w:r>
        <w:t>noted player expendi</w:t>
      </w:r>
      <w:r w:rsidRPr="00976DA2">
        <w:t xml:space="preserve">ture of </w:t>
      </w:r>
      <w:r>
        <w:t>$555 million in 2016/17, $561 million in 2017/18, $530 million in 2018/19 and $631</w:t>
      </w:r>
      <w:r w:rsidR="00C25919">
        <w:t> </w:t>
      </w:r>
      <w:r>
        <w:t>million in 2019/20. The significant increase in 2019/20 has been largely attributed to the growth in the number of people playing MyLotto online games during and after the first COVID-19 lockdown.</w:t>
      </w:r>
    </w:p>
    <w:p w14:paraId="4F66539C" w14:textId="77777777" w:rsidR="00C25919" w:rsidRDefault="00C25919" w:rsidP="00C25919"/>
    <w:p w14:paraId="4F66539D" w14:textId="77777777" w:rsidR="00FA6A1F" w:rsidRDefault="00FA6A1F" w:rsidP="00C25919">
      <w:r>
        <w:lastRenderedPageBreak/>
        <w:t>Lotto New Zealand</w:t>
      </w:r>
      <w:r w:rsidRPr="00976DA2">
        <w:t xml:space="preserve"> is also working to diversify its portfolio by introducing new games</w:t>
      </w:r>
      <w:r>
        <w:t>, like online bingo,</w:t>
      </w:r>
      <w:r w:rsidRPr="00C25919">
        <w:rPr>
          <w:rStyle w:val="FootnoteReference"/>
          <w:rFonts w:eastAsia="MS Gothic"/>
        </w:rPr>
        <w:footnoteReference w:id="21"/>
      </w:r>
      <w:r w:rsidRPr="00976DA2">
        <w:t xml:space="preserve"> to help mitigate fluctuations in spending on its lottery products.</w:t>
      </w:r>
    </w:p>
    <w:p w14:paraId="4F66539E" w14:textId="77777777" w:rsidR="00C25919" w:rsidRPr="00976DA2" w:rsidRDefault="00C25919" w:rsidP="00C25919"/>
    <w:p w14:paraId="4F66539F" w14:textId="3AE04689" w:rsidR="00FA6A1F" w:rsidRDefault="00FA6A1F" w:rsidP="00C25919">
      <w:r>
        <w:t xml:space="preserve">DIA expenditure </w:t>
      </w:r>
      <w:r w:rsidRPr="00976DA2">
        <w:t>forecast</w:t>
      </w:r>
      <w:r>
        <w:t xml:space="preserve">s by year and sector are shown in </w:t>
      </w:r>
      <w:r w:rsidR="00C25919">
        <w:fldChar w:fldCharType="begin"/>
      </w:r>
      <w:r w:rsidR="00C25919">
        <w:instrText xml:space="preserve"> REF _Ref80796021 \h </w:instrText>
      </w:r>
      <w:r w:rsidR="00C25919">
        <w:fldChar w:fldCharType="separate"/>
      </w:r>
      <w:r w:rsidR="00F65B3A">
        <w:t>Table </w:t>
      </w:r>
      <w:r w:rsidR="00F65B3A">
        <w:rPr>
          <w:noProof/>
        </w:rPr>
        <w:t>11</w:t>
      </w:r>
      <w:r w:rsidR="00C25919">
        <w:fldChar w:fldCharType="end"/>
      </w:r>
      <w:r>
        <w:t xml:space="preserve">. DIA forecasts that Lotto New Zealand will experience stronger expenditure growth but that the other three sectors will experience steadier </w:t>
      </w:r>
      <w:r w:rsidRPr="00976DA2">
        <w:t xml:space="preserve">expenditure growth </w:t>
      </w:r>
      <w:r>
        <w:t>over the same period.</w:t>
      </w:r>
    </w:p>
    <w:p w14:paraId="4F6653A0" w14:textId="77777777" w:rsidR="00C25919" w:rsidRDefault="00C25919" w:rsidP="00C25919"/>
    <w:p w14:paraId="4F6653A1" w14:textId="19A9AEEF" w:rsidR="00FA6A1F" w:rsidRPr="00440704" w:rsidRDefault="00C25919" w:rsidP="00C25919">
      <w:pPr>
        <w:pStyle w:val="Table"/>
      </w:pPr>
      <w:bookmarkStart w:id="245" w:name="_Ref80796021"/>
      <w:bookmarkStart w:id="246" w:name="_Toc517091246"/>
      <w:bookmarkStart w:id="247" w:name="_Toc530487445"/>
      <w:bookmarkStart w:id="248" w:name="_Toc4156639"/>
      <w:bookmarkStart w:id="249" w:name="_Toc8398939"/>
      <w:bookmarkStart w:id="250" w:name="_Toc522089450"/>
      <w:bookmarkStart w:id="251" w:name="_Toc80860355"/>
      <w:r>
        <w:t>Table </w:t>
      </w:r>
      <w:fldSimple w:instr=" SEQ Table \* ARABIC ">
        <w:r w:rsidR="00F65B3A">
          <w:rPr>
            <w:noProof/>
          </w:rPr>
          <w:t>11</w:t>
        </w:r>
      </w:fldSimple>
      <w:bookmarkEnd w:id="245"/>
      <w:r w:rsidR="00FA6A1F" w:rsidRPr="00440704">
        <w:t xml:space="preserve">: Forecast expenditure by </w:t>
      </w:r>
      <w:r w:rsidR="00FA6A1F" w:rsidRPr="00927967">
        <w:t>sector</w:t>
      </w:r>
      <w:r w:rsidR="00FA6A1F" w:rsidRPr="00440704">
        <w:t xml:space="preserve"> (GST-inclusive), 2022/23</w:t>
      </w:r>
      <w:r w:rsidR="00FA6A1F">
        <w:t xml:space="preserve"> to </w:t>
      </w:r>
      <w:r w:rsidR="00FA6A1F" w:rsidRPr="00440704">
        <w:t>2024/</w:t>
      </w:r>
      <w:bookmarkEnd w:id="246"/>
      <w:bookmarkEnd w:id="247"/>
      <w:bookmarkEnd w:id="248"/>
      <w:bookmarkEnd w:id="249"/>
      <w:bookmarkEnd w:id="250"/>
      <w:r w:rsidR="00FA6A1F" w:rsidRPr="00440704">
        <w:t>25</w:t>
      </w:r>
      <w:bookmarkEnd w:id="251"/>
    </w:p>
    <w:tbl>
      <w:tblPr>
        <w:tblW w:w="8080" w:type="dxa"/>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00" w:firstRow="0" w:lastRow="0" w:firstColumn="0" w:lastColumn="0" w:noHBand="0" w:noVBand="0"/>
      </w:tblPr>
      <w:tblGrid>
        <w:gridCol w:w="2127"/>
        <w:gridCol w:w="1370"/>
        <w:gridCol w:w="1370"/>
        <w:gridCol w:w="1370"/>
        <w:gridCol w:w="1843"/>
      </w:tblGrid>
      <w:tr w:rsidR="00FA6A1F" w:rsidRPr="00C25919" w14:paraId="4F6653A7" w14:textId="77777777" w:rsidTr="00C25919">
        <w:trPr>
          <w:cantSplit/>
        </w:trPr>
        <w:tc>
          <w:tcPr>
            <w:tcW w:w="2127" w:type="dxa"/>
            <w:tcBorders>
              <w:top w:val="nil"/>
              <w:bottom w:val="nil"/>
            </w:tcBorders>
            <w:shd w:val="clear" w:color="auto" w:fill="D9D9D9" w:themeFill="background1" w:themeFillShade="D9"/>
          </w:tcPr>
          <w:p w14:paraId="4F6653A2" w14:textId="77777777" w:rsidR="00FA6A1F" w:rsidRPr="00C25919" w:rsidRDefault="00FA6A1F" w:rsidP="00C25919">
            <w:pPr>
              <w:pStyle w:val="TableText"/>
              <w:rPr>
                <w:rFonts w:eastAsia="Arial Unicode MS"/>
                <w:b/>
              </w:rPr>
            </w:pPr>
            <w:r w:rsidRPr="00C25919">
              <w:rPr>
                <w:rFonts w:eastAsia="Arial Unicode MS"/>
                <w:b/>
              </w:rPr>
              <w:t>Forecast expenditure</w:t>
            </w:r>
          </w:p>
        </w:tc>
        <w:tc>
          <w:tcPr>
            <w:tcW w:w="1370" w:type="dxa"/>
            <w:tcBorders>
              <w:top w:val="nil"/>
              <w:bottom w:val="nil"/>
            </w:tcBorders>
            <w:shd w:val="clear" w:color="auto" w:fill="D9D9D9" w:themeFill="background1" w:themeFillShade="D9"/>
          </w:tcPr>
          <w:p w14:paraId="4F6653A3" w14:textId="77777777" w:rsidR="00FA6A1F" w:rsidRPr="00C25919" w:rsidRDefault="00FA6A1F" w:rsidP="00C25919">
            <w:pPr>
              <w:pStyle w:val="TableText"/>
              <w:jc w:val="center"/>
              <w:rPr>
                <w:b/>
              </w:rPr>
            </w:pPr>
            <w:r w:rsidRPr="00C25919">
              <w:rPr>
                <w:b/>
              </w:rPr>
              <w:t>NCGMs</w:t>
            </w:r>
          </w:p>
        </w:tc>
        <w:tc>
          <w:tcPr>
            <w:tcW w:w="1370" w:type="dxa"/>
            <w:tcBorders>
              <w:top w:val="nil"/>
              <w:bottom w:val="nil"/>
            </w:tcBorders>
            <w:shd w:val="clear" w:color="auto" w:fill="D9D9D9" w:themeFill="background1" w:themeFillShade="D9"/>
            <w:tcMar>
              <w:top w:w="0" w:type="dxa"/>
              <w:left w:w="108" w:type="dxa"/>
              <w:bottom w:w="0" w:type="dxa"/>
              <w:right w:w="108" w:type="dxa"/>
            </w:tcMar>
          </w:tcPr>
          <w:p w14:paraId="4F6653A4" w14:textId="77777777" w:rsidR="00FA6A1F" w:rsidRPr="00C25919" w:rsidRDefault="00FA6A1F" w:rsidP="00C25919">
            <w:pPr>
              <w:pStyle w:val="TableText"/>
              <w:jc w:val="center"/>
              <w:rPr>
                <w:rFonts w:eastAsia="Arial Unicode MS"/>
                <w:b/>
              </w:rPr>
            </w:pPr>
            <w:r w:rsidRPr="00C25919">
              <w:rPr>
                <w:b/>
              </w:rPr>
              <w:t>Casinos</w:t>
            </w:r>
          </w:p>
        </w:tc>
        <w:tc>
          <w:tcPr>
            <w:tcW w:w="1370" w:type="dxa"/>
            <w:tcBorders>
              <w:top w:val="nil"/>
              <w:bottom w:val="nil"/>
            </w:tcBorders>
            <w:shd w:val="clear" w:color="auto" w:fill="D9D9D9" w:themeFill="background1" w:themeFillShade="D9"/>
            <w:tcMar>
              <w:top w:w="0" w:type="dxa"/>
              <w:left w:w="108" w:type="dxa"/>
              <w:bottom w:w="0" w:type="dxa"/>
              <w:right w:w="108" w:type="dxa"/>
            </w:tcMar>
          </w:tcPr>
          <w:p w14:paraId="4F6653A5" w14:textId="77777777" w:rsidR="00FA6A1F" w:rsidRPr="00C25919" w:rsidRDefault="00FA6A1F" w:rsidP="00C25919">
            <w:pPr>
              <w:pStyle w:val="TableText"/>
              <w:jc w:val="center"/>
              <w:rPr>
                <w:rFonts w:eastAsia="Arial Unicode MS"/>
                <w:b/>
              </w:rPr>
            </w:pPr>
            <w:r w:rsidRPr="00C25919">
              <w:rPr>
                <w:b/>
              </w:rPr>
              <w:t>TAB NZ</w:t>
            </w:r>
          </w:p>
        </w:tc>
        <w:tc>
          <w:tcPr>
            <w:tcW w:w="1843" w:type="dxa"/>
            <w:tcBorders>
              <w:top w:val="nil"/>
              <w:bottom w:val="nil"/>
            </w:tcBorders>
            <w:shd w:val="clear" w:color="auto" w:fill="D9D9D9" w:themeFill="background1" w:themeFillShade="D9"/>
            <w:tcMar>
              <w:top w:w="0" w:type="dxa"/>
              <w:left w:w="108" w:type="dxa"/>
              <w:bottom w:w="0" w:type="dxa"/>
              <w:right w:w="108" w:type="dxa"/>
            </w:tcMar>
          </w:tcPr>
          <w:p w14:paraId="4F6653A6" w14:textId="77777777" w:rsidR="00FA6A1F" w:rsidRPr="00C25919" w:rsidRDefault="00FA6A1F" w:rsidP="00C25919">
            <w:pPr>
              <w:pStyle w:val="TableText"/>
              <w:jc w:val="center"/>
              <w:rPr>
                <w:rFonts w:eastAsia="Arial Unicode MS"/>
                <w:b/>
              </w:rPr>
            </w:pPr>
            <w:r w:rsidRPr="00C25919">
              <w:rPr>
                <w:b/>
              </w:rPr>
              <w:t>Lotto New Zealand</w:t>
            </w:r>
          </w:p>
        </w:tc>
      </w:tr>
      <w:tr w:rsidR="00FA6A1F" w:rsidRPr="002B3CBB" w14:paraId="4F6653AD" w14:textId="77777777" w:rsidTr="00C25919">
        <w:trPr>
          <w:cantSplit/>
        </w:trPr>
        <w:tc>
          <w:tcPr>
            <w:tcW w:w="2127" w:type="dxa"/>
            <w:tcBorders>
              <w:top w:val="nil"/>
            </w:tcBorders>
            <w:shd w:val="clear" w:color="auto" w:fill="auto"/>
            <w:noWrap/>
          </w:tcPr>
          <w:p w14:paraId="4F6653A8" w14:textId="77777777" w:rsidR="00FA6A1F" w:rsidRPr="0003777A" w:rsidRDefault="00FA6A1F" w:rsidP="00C25919">
            <w:pPr>
              <w:pStyle w:val="TableText"/>
            </w:pPr>
            <w:r w:rsidRPr="0003777A">
              <w:t>2022/23 ($m)</w:t>
            </w:r>
          </w:p>
        </w:tc>
        <w:tc>
          <w:tcPr>
            <w:tcW w:w="1370" w:type="dxa"/>
            <w:tcBorders>
              <w:top w:val="nil"/>
            </w:tcBorders>
            <w:shd w:val="clear" w:color="auto" w:fill="auto"/>
            <w:vAlign w:val="center"/>
          </w:tcPr>
          <w:p w14:paraId="4F6653A9" w14:textId="77777777" w:rsidR="00FA6A1F" w:rsidRPr="0003777A" w:rsidRDefault="00FA6A1F" w:rsidP="00C25919">
            <w:pPr>
              <w:pStyle w:val="TableText"/>
              <w:jc w:val="center"/>
            </w:pPr>
            <w:r w:rsidRPr="0003777A">
              <w:rPr>
                <w:color w:val="000000"/>
              </w:rPr>
              <w:t>1</w:t>
            </w:r>
            <w:r>
              <w:rPr>
                <w:color w:val="000000"/>
              </w:rPr>
              <w:t>,</w:t>
            </w:r>
            <w:r w:rsidRPr="0003777A">
              <w:rPr>
                <w:color w:val="000000"/>
              </w:rPr>
              <w:t>044.40</w:t>
            </w:r>
          </w:p>
        </w:tc>
        <w:tc>
          <w:tcPr>
            <w:tcW w:w="1370" w:type="dxa"/>
            <w:tcBorders>
              <w:top w:val="nil"/>
            </w:tcBorders>
            <w:shd w:val="clear" w:color="auto" w:fill="auto"/>
            <w:noWrap/>
            <w:tcMar>
              <w:top w:w="0" w:type="dxa"/>
              <w:left w:w="108" w:type="dxa"/>
              <w:bottom w:w="0" w:type="dxa"/>
              <w:right w:w="108" w:type="dxa"/>
            </w:tcMar>
            <w:vAlign w:val="center"/>
          </w:tcPr>
          <w:p w14:paraId="4F6653AA" w14:textId="77777777" w:rsidR="00FA6A1F" w:rsidRPr="0003777A" w:rsidRDefault="00FA6A1F" w:rsidP="00C25919">
            <w:pPr>
              <w:pStyle w:val="TableText"/>
              <w:jc w:val="center"/>
            </w:pPr>
            <w:r w:rsidRPr="0003777A">
              <w:rPr>
                <w:color w:val="000000"/>
              </w:rPr>
              <w:t>618.74</w:t>
            </w:r>
          </w:p>
        </w:tc>
        <w:tc>
          <w:tcPr>
            <w:tcW w:w="1370" w:type="dxa"/>
            <w:tcBorders>
              <w:top w:val="nil"/>
            </w:tcBorders>
            <w:shd w:val="clear" w:color="auto" w:fill="auto"/>
            <w:noWrap/>
            <w:tcMar>
              <w:top w:w="0" w:type="dxa"/>
              <w:left w:w="108" w:type="dxa"/>
              <w:bottom w:w="0" w:type="dxa"/>
              <w:right w:w="108" w:type="dxa"/>
            </w:tcMar>
            <w:vAlign w:val="center"/>
          </w:tcPr>
          <w:p w14:paraId="4F6653AB" w14:textId="77777777" w:rsidR="00FA6A1F" w:rsidRPr="0003777A" w:rsidRDefault="00FA6A1F" w:rsidP="00C25919">
            <w:pPr>
              <w:pStyle w:val="TableText"/>
              <w:jc w:val="center"/>
            </w:pPr>
            <w:r w:rsidRPr="0003777A">
              <w:rPr>
                <w:color w:val="000000"/>
              </w:rPr>
              <w:t>359.98</w:t>
            </w:r>
          </w:p>
        </w:tc>
        <w:tc>
          <w:tcPr>
            <w:tcW w:w="1843" w:type="dxa"/>
            <w:tcBorders>
              <w:top w:val="nil"/>
            </w:tcBorders>
            <w:shd w:val="clear" w:color="auto" w:fill="auto"/>
            <w:noWrap/>
            <w:tcMar>
              <w:top w:w="0" w:type="dxa"/>
              <w:left w:w="108" w:type="dxa"/>
              <w:bottom w:w="0" w:type="dxa"/>
              <w:right w:w="108" w:type="dxa"/>
            </w:tcMar>
            <w:vAlign w:val="center"/>
          </w:tcPr>
          <w:p w14:paraId="4F6653AC" w14:textId="77777777" w:rsidR="00FA6A1F" w:rsidRPr="0003777A" w:rsidRDefault="00FA6A1F" w:rsidP="00C25919">
            <w:pPr>
              <w:pStyle w:val="TableText"/>
              <w:jc w:val="center"/>
            </w:pPr>
            <w:r w:rsidRPr="0003777A">
              <w:rPr>
                <w:color w:val="000000"/>
              </w:rPr>
              <w:t>748.02</w:t>
            </w:r>
          </w:p>
        </w:tc>
      </w:tr>
      <w:tr w:rsidR="00FA6A1F" w:rsidRPr="002B3CBB" w14:paraId="4F6653B3" w14:textId="77777777" w:rsidTr="00C25919">
        <w:trPr>
          <w:cantSplit/>
        </w:trPr>
        <w:tc>
          <w:tcPr>
            <w:tcW w:w="2127" w:type="dxa"/>
            <w:shd w:val="clear" w:color="auto" w:fill="auto"/>
            <w:noWrap/>
          </w:tcPr>
          <w:p w14:paraId="4F6653AE" w14:textId="77777777" w:rsidR="00FA6A1F" w:rsidRPr="0003777A" w:rsidRDefault="00FA6A1F" w:rsidP="00C25919">
            <w:pPr>
              <w:pStyle w:val="TableText"/>
            </w:pPr>
            <w:r w:rsidRPr="0003777A">
              <w:t>2023/24 ($m)</w:t>
            </w:r>
          </w:p>
        </w:tc>
        <w:tc>
          <w:tcPr>
            <w:tcW w:w="1370" w:type="dxa"/>
            <w:shd w:val="clear" w:color="auto" w:fill="auto"/>
            <w:vAlign w:val="center"/>
          </w:tcPr>
          <w:p w14:paraId="4F6653AF" w14:textId="77777777" w:rsidR="00FA6A1F" w:rsidRPr="0003777A" w:rsidRDefault="00FA6A1F" w:rsidP="00C25919">
            <w:pPr>
              <w:pStyle w:val="TableText"/>
              <w:jc w:val="center"/>
            </w:pPr>
            <w:r w:rsidRPr="0003777A">
              <w:rPr>
                <w:color w:val="000000"/>
              </w:rPr>
              <w:t>1</w:t>
            </w:r>
            <w:r>
              <w:rPr>
                <w:color w:val="000000"/>
              </w:rPr>
              <w:t>,</w:t>
            </w:r>
            <w:r w:rsidRPr="0003777A">
              <w:rPr>
                <w:color w:val="000000"/>
              </w:rPr>
              <w:t>069.16</w:t>
            </w:r>
          </w:p>
        </w:tc>
        <w:tc>
          <w:tcPr>
            <w:tcW w:w="1370" w:type="dxa"/>
            <w:shd w:val="clear" w:color="auto" w:fill="auto"/>
            <w:noWrap/>
            <w:tcMar>
              <w:top w:w="0" w:type="dxa"/>
              <w:left w:w="108" w:type="dxa"/>
              <w:bottom w:w="0" w:type="dxa"/>
              <w:right w:w="108" w:type="dxa"/>
            </w:tcMar>
            <w:vAlign w:val="center"/>
          </w:tcPr>
          <w:p w14:paraId="4F6653B0" w14:textId="77777777" w:rsidR="00FA6A1F" w:rsidRPr="0003777A" w:rsidRDefault="00FA6A1F" w:rsidP="00C25919">
            <w:pPr>
              <w:pStyle w:val="TableText"/>
              <w:jc w:val="center"/>
            </w:pPr>
            <w:r w:rsidRPr="0003777A">
              <w:rPr>
                <w:color w:val="000000"/>
              </w:rPr>
              <w:t>630.30</w:t>
            </w:r>
          </w:p>
        </w:tc>
        <w:tc>
          <w:tcPr>
            <w:tcW w:w="1370" w:type="dxa"/>
            <w:shd w:val="clear" w:color="auto" w:fill="auto"/>
            <w:noWrap/>
            <w:tcMar>
              <w:top w:w="0" w:type="dxa"/>
              <w:left w:w="108" w:type="dxa"/>
              <w:bottom w:w="0" w:type="dxa"/>
              <w:right w:w="108" w:type="dxa"/>
            </w:tcMar>
            <w:vAlign w:val="center"/>
          </w:tcPr>
          <w:p w14:paraId="4F6653B1" w14:textId="77777777" w:rsidR="00FA6A1F" w:rsidRPr="0003777A" w:rsidRDefault="00FA6A1F" w:rsidP="00C25919">
            <w:pPr>
              <w:pStyle w:val="TableText"/>
              <w:jc w:val="center"/>
            </w:pPr>
            <w:r w:rsidRPr="0003777A">
              <w:rPr>
                <w:color w:val="000000"/>
              </w:rPr>
              <w:t>365.54</w:t>
            </w:r>
          </w:p>
        </w:tc>
        <w:tc>
          <w:tcPr>
            <w:tcW w:w="1843" w:type="dxa"/>
            <w:shd w:val="clear" w:color="auto" w:fill="auto"/>
            <w:noWrap/>
            <w:tcMar>
              <w:top w:w="0" w:type="dxa"/>
              <w:left w:w="108" w:type="dxa"/>
              <w:bottom w:w="0" w:type="dxa"/>
              <w:right w:w="108" w:type="dxa"/>
            </w:tcMar>
            <w:vAlign w:val="center"/>
          </w:tcPr>
          <w:p w14:paraId="4F6653B2" w14:textId="77777777" w:rsidR="00FA6A1F" w:rsidRPr="0003777A" w:rsidRDefault="00FA6A1F" w:rsidP="00C25919">
            <w:pPr>
              <w:pStyle w:val="TableText"/>
              <w:jc w:val="center"/>
            </w:pPr>
            <w:r w:rsidRPr="0003777A">
              <w:rPr>
                <w:color w:val="000000"/>
              </w:rPr>
              <w:t>791.67</w:t>
            </w:r>
          </w:p>
        </w:tc>
      </w:tr>
      <w:tr w:rsidR="00FA6A1F" w:rsidRPr="002B3CBB" w14:paraId="4F6653B9" w14:textId="77777777" w:rsidTr="00C25919">
        <w:trPr>
          <w:cantSplit/>
        </w:trPr>
        <w:tc>
          <w:tcPr>
            <w:tcW w:w="2127" w:type="dxa"/>
            <w:shd w:val="clear" w:color="auto" w:fill="auto"/>
            <w:noWrap/>
          </w:tcPr>
          <w:p w14:paraId="4F6653B4" w14:textId="77777777" w:rsidR="00FA6A1F" w:rsidRPr="0003777A" w:rsidRDefault="00FA6A1F" w:rsidP="00C25919">
            <w:pPr>
              <w:pStyle w:val="TableText"/>
            </w:pPr>
            <w:r w:rsidRPr="0003777A">
              <w:t>2024/25 ($m)</w:t>
            </w:r>
          </w:p>
        </w:tc>
        <w:tc>
          <w:tcPr>
            <w:tcW w:w="1370" w:type="dxa"/>
            <w:shd w:val="clear" w:color="auto" w:fill="auto"/>
            <w:vAlign w:val="center"/>
          </w:tcPr>
          <w:p w14:paraId="4F6653B5" w14:textId="77777777" w:rsidR="00FA6A1F" w:rsidRPr="0003777A" w:rsidRDefault="00FA6A1F" w:rsidP="00C25919">
            <w:pPr>
              <w:pStyle w:val="TableText"/>
              <w:jc w:val="center"/>
              <w:rPr>
                <w:bCs/>
              </w:rPr>
            </w:pPr>
            <w:r w:rsidRPr="0003777A">
              <w:rPr>
                <w:color w:val="000000"/>
              </w:rPr>
              <w:t>1</w:t>
            </w:r>
            <w:r>
              <w:rPr>
                <w:color w:val="000000"/>
              </w:rPr>
              <w:t>,</w:t>
            </w:r>
            <w:r w:rsidRPr="0003777A">
              <w:rPr>
                <w:color w:val="000000"/>
              </w:rPr>
              <w:t>098.43</w:t>
            </w:r>
          </w:p>
        </w:tc>
        <w:tc>
          <w:tcPr>
            <w:tcW w:w="1370" w:type="dxa"/>
            <w:shd w:val="clear" w:color="auto" w:fill="auto"/>
            <w:noWrap/>
            <w:tcMar>
              <w:top w:w="0" w:type="dxa"/>
              <w:left w:w="108" w:type="dxa"/>
              <w:bottom w:w="0" w:type="dxa"/>
              <w:right w:w="108" w:type="dxa"/>
            </w:tcMar>
            <w:vAlign w:val="center"/>
          </w:tcPr>
          <w:p w14:paraId="4F6653B6" w14:textId="77777777" w:rsidR="00FA6A1F" w:rsidRPr="0003777A" w:rsidRDefault="00FA6A1F" w:rsidP="00C25919">
            <w:pPr>
              <w:pStyle w:val="TableText"/>
              <w:jc w:val="center"/>
              <w:rPr>
                <w:bCs/>
              </w:rPr>
            </w:pPr>
            <w:r w:rsidRPr="0003777A">
              <w:rPr>
                <w:color w:val="000000"/>
              </w:rPr>
              <w:t>641.87</w:t>
            </w:r>
          </w:p>
        </w:tc>
        <w:tc>
          <w:tcPr>
            <w:tcW w:w="1370" w:type="dxa"/>
            <w:shd w:val="clear" w:color="auto" w:fill="auto"/>
            <w:noWrap/>
            <w:tcMar>
              <w:top w:w="0" w:type="dxa"/>
              <w:left w:w="108" w:type="dxa"/>
              <w:bottom w:w="0" w:type="dxa"/>
              <w:right w:w="108" w:type="dxa"/>
            </w:tcMar>
            <w:vAlign w:val="center"/>
          </w:tcPr>
          <w:p w14:paraId="4F6653B7" w14:textId="77777777" w:rsidR="00FA6A1F" w:rsidRPr="0003777A" w:rsidRDefault="00FA6A1F" w:rsidP="00C25919">
            <w:pPr>
              <w:pStyle w:val="TableText"/>
              <w:jc w:val="center"/>
              <w:rPr>
                <w:bCs/>
              </w:rPr>
            </w:pPr>
            <w:r w:rsidRPr="0003777A">
              <w:rPr>
                <w:color w:val="000000"/>
              </w:rPr>
              <w:t>371.11</w:t>
            </w:r>
          </w:p>
        </w:tc>
        <w:tc>
          <w:tcPr>
            <w:tcW w:w="1843" w:type="dxa"/>
            <w:shd w:val="clear" w:color="auto" w:fill="auto"/>
            <w:noWrap/>
            <w:tcMar>
              <w:top w:w="0" w:type="dxa"/>
              <w:left w:w="108" w:type="dxa"/>
              <w:bottom w:w="0" w:type="dxa"/>
              <w:right w:w="108" w:type="dxa"/>
            </w:tcMar>
            <w:vAlign w:val="center"/>
          </w:tcPr>
          <w:p w14:paraId="4F6653B8" w14:textId="77777777" w:rsidR="00FA6A1F" w:rsidRPr="0003777A" w:rsidRDefault="00FA6A1F" w:rsidP="00C25919">
            <w:pPr>
              <w:pStyle w:val="TableText"/>
              <w:jc w:val="center"/>
              <w:rPr>
                <w:bCs/>
              </w:rPr>
            </w:pPr>
            <w:r w:rsidRPr="0003777A">
              <w:rPr>
                <w:color w:val="000000"/>
              </w:rPr>
              <w:t>837.86</w:t>
            </w:r>
          </w:p>
        </w:tc>
      </w:tr>
    </w:tbl>
    <w:p w14:paraId="4F6653BA" w14:textId="77777777" w:rsidR="00FA6A1F" w:rsidRDefault="00FA6A1F" w:rsidP="00C25919">
      <w:pPr>
        <w:pStyle w:val="Note"/>
      </w:pPr>
      <w:r w:rsidRPr="0003777A">
        <w:t xml:space="preserve">Note: These forecasts are for the next levy period. They are based on best estimates at this time; but </w:t>
      </w:r>
      <w:r>
        <w:t>were</w:t>
      </w:r>
      <w:r w:rsidRPr="0003777A">
        <w:t xml:space="preserve"> made before the actuals for 2020/21 (expected in early 2022) were available. The further we forecast out</w:t>
      </w:r>
      <w:r>
        <w:t>,</w:t>
      </w:r>
      <w:r w:rsidRPr="0003777A">
        <w:t xml:space="preserve"> the less reliable that forecast can be. Therefore</w:t>
      </w:r>
      <w:r>
        <w:t>,</w:t>
      </w:r>
      <w:r w:rsidRPr="0003777A">
        <w:t xml:space="preserve"> we advise that while these </w:t>
      </w:r>
      <w:r w:rsidR="008303C6">
        <w:t>‘</w:t>
      </w:r>
      <w:r w:rsidRPr="0003777A">
        <w:t>out years</w:t>
      </w:r>
      <w:r w:rsidR="008303C6">
        <w:t>’</w:t>
      </w:r>
      <w:r w:rsidRPr="0003777A">
        <w:t xml:space="preserve"> follow a general trend, they are not as reliable as a yearly forecast, for the next year ahead.</w:t>
      </w:r>
    </w:p>
    <w:p w14:paraId="4F6653BB" w14:textId="77777777" w:rsidR="00C25919" w:rsidRPr="00C25919" w:rsidRDefault="00C25919" w:rsidP="00C25919"/>
    <w:p w14:paraId="4F6653BC" w14:textId="77777777" w:rsidR="00FA6A1F" w:rsidRPr="00C10A99" w:rsidRDefault="00FA6A1F" w:rsidP="00C25919">
      <w:pPr>
        <w:pStyle w:val="Heading3"/>
      </w:pPr>
      <w:bookmarkStart w:id="252" w:name="_Toc71102185"/>
      <w:bookmarkStart w:id="253" w:name="_Toc78882322"/>
      <w:r w:rsidRPr="00C10A99">
        <w:t>Estimated levy under- or over-recovery, by</w:t>
      </w:r>
      <w:r>
        <w:t xml:space="preserve"> </w:t>
      </w:r>
      <w:r w:rsidRPr="00C10A99">
        <w:t>sector</w:t>
      </w:r>
      <w:r>
        <w:t xml:space="preserve"> </w:t>
      </w:r>
      <w:r w:rsidRPr="00C10A99">
        <w:t>(R)</w:t>
      </w:r>
      <w:bookmarkEnd w:id="252"/>
      <w:bookmarkEnd w:id="253"/>
    </w:p>
    <w:p w14:paraId="4F6653BD" w14:textId="77777777" w:rsidR="00FA6A1F" w:rsidRDefault="00FA6A1F" w:rsidP="00C25919">
      <w:r w:rsidRPr="00C10A99">
        <w:t xml:space="preserve">Section 107 of the Gambling Amendment Act 2015 came into effect on </w:t>
      </w:r>
      <w:r>
        <w:t xml:space="preserve">2 </w:t>
      </w:r>
      <w:r w:rsidRPr="00C10A99">
        <w:t>March</w:t>
      </w:r>
      <w:r>
        <w:t xml:space="preserve"> </w:t>
      </w:r>
      <w:r w:rsidRPr="00C10A99">
        <w:t>2015</w:t>
      </w:r>
      <w:r>
        <w:t xml:space="preserve">. It </w:t>
      </w:r>
      <w:r w:rsidRPr="00C10A99">
        <w:t>requires the calculation of each sector</w:t>
      </w:r>
      <w:r w:rsidR="008303C6">
        <w:t>’</w:t>
      </w:r>
      <w:r w:rsidRPr="00C10A99">
        <w:t>s levy rate to take into account any under</w:t>
      </w:r>
      <w:r>
        <w:t xml:space="preserve">payment or overpayment </w:t>
      </w:r>
      <w:r w:rsidRPr="00C10A99">
        <w:t xml:space="preserve">from that sector in previous levy periods. </w:t>
      </w:r>
      <w:r w:rsidRPr="00252C71">
        <w:t xml:space="preserve">This change ended the previous system, </w:t>
      </w:r>
      <w:r>
        <w:t xml:space="preserve">which had been </w:t>
      </w:r>
      <w:r w:rsidRPr="00252C71">
        <w:t>deemed unfair, whereby all four gambling sectors were required to meet any net underpayment or overpayment of the levy amount across all sectors from the previous levy period.</w:t>
      </w:r>
    </w:p>
    <w:p w14:paraId="4F6653BE" w14:textId="77777777" w:rsidR="00C25919" w:rsidRDefault="00C25919" w:rsidP="00C25919"/>
    <w:p w14:paraId="4F6653BF" w14:textId="77777777" w:rsidR="00FA6A1F" w:rsidRDefault="00FA6A1F" w:rsidP="00C25919">
      <w:r>
        <w:t>In its 2019 report to the responsible Ministers, the Gambling Commission commented that R should be calculated by hindsight adjustment of earlier estimates of both C and</w:t>
      </w:r>
      <w:r w:rsidR="00C25919">
        <w:t> </w:t>
      </w:r>
      <w:r>
        <w:t xml:space="preserve">D to produce </w:t>
      </w:r>
      <w:r w:rsidRPr="00937C68">
        <w:t>(amend)</w:t>
      </w:r>
      <w:r>
        <w:t xml:space="preserve"> the previously expected relative contribution from each sector to a corrected calculation of the actual cost of the strategy to the end of the previous levy period</w:t>
      </w:r>
      <w:r w:rsidR="00C25919">
        <w:t>.</w:t>
      </w:r>
      <w:r w:rsidRPr="00C25919">
        <w:rPr>
          <w:rStyle w:val="FootnoteReference"/>
          <w:rFonts w:eastAsia="MS Gothic"/>
        </w:rPr>
        <w:footnoteReference w:id="22"/>
      </w:r>
      <w:r>
        <w:t xml:space="preserve"> The Commission considered this approach to be consistent with the objective intent of the 2015 amendments to the Act and to provide a fairer allocation of any underpayment</w:t>
      </w:r>
      <w:r w:rsidRPr="00FB4267">
        <w:t xml:space="preserve"> </w:t>
      </w:r>
      <w:r>
        <w:t>or overpayment, as adjustments to each sector would be made in the same proportions as received.</w:t>
      </w:r>
    </w:p>
    <w:p w14:paraId="4F6653C0" w14:textId="77777777" w:rsidR="00C25919" w:rsidRDefault="00C25919" w:rsidP="00C25919">
      <w:bookmarkStart w:id="254" w:name="_Toc517091247"/>
      <w:bookmarkStart w:id="255" w:name="_Toc530487446"/>
    </w:p>
    <w:p w14:paraId="4F6653C1" w14:textId="77777777" w:rsidR="00FA6A1F" w:rsidRDefault="00FA6A1F" w:rsidP="00C25919">
      <w:r>
        <w:t>Accordingly, the Ministry has calculated R by c</w:t>
      </w:r>
      <w:r w:rsidRPr="00D045C0">
        <w:t xml:space="preserve">alculating </w:t>
      </w:r>
      <w:r>
        <w:t xml:space="preserve">its </w:t>
      </w:r>
      <w:r w:rsidRPr="00D045C0">
        <w:t xml:space="preserve">projected total spending for the period 2004 to </w:t>
      </w:r>
      <w:r>
        <w:t>2022</w:t>
      </w:r>
      <w:r w:rsidRPr="00D045C0">
        <w:t xml:space="preserve"> by</w:t>
      </w:r>
      <w:r>
        <w:t>:</w:t>
      </w:r>
    </w:p>
    <w:p w14:paraId="4F6653C2" w14:textId="77777777" w:rsidR="00FA6A1F" w:rsidRPr="0003777A" w:rsidRDefault="00FA6A1F" w:rsidP="00C25919">
      <w:pPr>
        <w:pStyle w:val="Bullet"/>
      </w:pPr>
      <w:r w:rsidRPr="0003777A">
        <w:t xml:space="preserve">using the actual spending from </w:t>
      </w:r>
      <w:r>
        <w:t>the Ministry</w:t>
      </w:r>
      <w:r w:rsidR="008303C6">
        <w:t>’</w:t>
      </w:r>
      <w:r>
        <w:t>s</w:t>
      </w:r>
      <w:r w:rsidRPr="0003777A">
        <w:t xml:space="preserve"> annual reports </w:t>
      </w:r>
      <w:r>
        <w:t xml:space="preserve">from 2015/16 </w:t>
      </w:r>
      <w:r w:rsidRPr="0003777A">
        <w:t>to 2019/20</w:t>
      </w:r>
    </w:p>
    <w:p w14:paraId="4F6653C3" w14:textId="77777777" w:rsidR="00FA6A1F" w:rsidRPr="0003777A" w:rsidRDefault="00FA6A1F" w:rsidP="00C25919">
      <w:pPr>
        <w:pStyle w:val="Bullet"/>
      </w:pPr>
      <w:r w:rsidRPr="0003777A">
        <w:t>using estimated expenditure for 2020/21 and 2021/22</w:t>
      </w:r>
    </w:p>
    <w:p w14:paraId="4F6653C4" w14:textId="77777777" w:rsidR="00FA6A1F" w:rsidRDefault="00FA6A1F" w:rsidP="00C25919">
      <w:pPr>
        <w:pStyle w:val="Bullet"/>
      </w:pPr>
      <w:r w:rsidRPr="0003777A">
        <w:t>adding these sums to the actual spending recorded for the levy period for each previous year between 2004</w:t>
      </w:r>
      <w:r>
        <w:t>/05</w:t>
      </w:r>
      <w:r w:rsidRPr="0003777A">
        <w:t xml:space="preserve"> and </w:t>
      </w:r>
      <w:r>
        <w:t>2014/</w:t>
      </w:r>
      <w:r w:rsidRPr="0003777A">
        <w:t>2015.</w:t>
      </w:r>
    </w:p>
    <w:p w14:paraId="4F6653C5" w14:textId="77777777" w:rsidR="00FA6A1F" w:rsidRPr="00D045C0" w:rsidRDefault="00FA6A1F" w:rsidP="00C25919">
      <w:pPr>
        <w:spacing w:before="240"/>
      </w:pPr>
      <w:r w:rsidRPr="00D045C0">
        <w:lastRenderedPageBreak/>
        <w:t>This totals</w:t>
      </w:r>
      <w:r>
        <w:t xml:space="preserve"> to</w:t>
      </w:r>
      <w:r w:rsidRPr="00D045C0">
        <w:t xml:space="preserve"> $</w:t>
      </w:r>
      <w:r>
        <w:t>315.619</w:t>
      </w:r>
      <w:r w:rsidRPr="00D045C0">
        <w:t xml:space="preserve"> million, which becomes the target recovery amount from the four levy-paying gambling sectors. </w:t>
      </w:r>
      <w:r>
        <w:t>We</w:t>
      </w:r>
      <w:r w:rsidRPr="00D045C0">
        <w:t xml:space="preserve"> estimate the levy payments received by IRD will total $</w:t>
      </w:r>
      <w:r>
        <w:t>319.815</w:t>
      </w:r>
      <w:r w:rsidRPr="00D045C0">
        <w:t> million by 30 June 20</w:t>
      </w:r>
      <w:r>
        <w:t>22</w:t>
      </w:r>
      <w:r w:rsidRPr="00D045C0">
        <w:t xml:space="preserve">. </w:t>
      </w:r>
      <w:r>
        <w:t>We</w:t>
      </w:r>
      <w:r w:rsidRPr="00E93A4A">
        <w:t xml:space="preserve"> </w:t>
      </w:r>
      <w:r w:rsidRPr="00D045C0">
        <w:t>calculated</w:t>
      </w:r>
      <w:r>
        <w:t xml:space="preserve"> this</w:t>
      </w:r>
      <w:r w:rsidRPr="00D045C0">
        <w:t xml:space="preserve"> by totalling actual payments from each sector made to IRD up to 30 June 20</w:t>
      </w:r>
      <w:r>
        <w:t>20</w:t>
      </w:r>
      <w:r w:rsidRPr="00D045C0">
        <w:t>, together with the estimates of sector payments up to 30 June 20</w:t>
      </w:r>
      <w:r>
        <w:t>22</w:t>
      </w:r>
      <w:r w:rsidRPr="00D045C0">
        <w:t>.</w:t>
      </w:r>
      <w:r>
        <w:t xml:space="preserve"> We</w:t>
      </w:r>
      <w:r w:rsidRPr="00CD14E4">
        <w:t xml:space="preserve"> then calculated the amount of levy</w:t>
      </w:r>
      <w:r>
        <w:t xml:space="preserve"> that</w:t>
      </w:r>
      <w:r w:rsidRPr="00CD14E4">
        <w:t xml:space="preserve"> </w:t>
      </w:r>
      <w:r w:rsidRPr="00D045C0">
        <w:t>each sector was expected to pay by:</w:t>
      </w:r>
    </w:p>
    <w:p w14:paraId="4F6653C6" w14:textId="77777777" w:rsidR="00FA6A1F" w:rsidRPr="0003777A" w:rsidRDefault="00FA6A1F" w:rsidP="00C25919">
      <w:pPr>
        <w:pStyle w:val="Bullet"/>
      </w:pPr>
      <w:r w:rsidRPr="0003777A">
        <w:t xml:space="preserve">referring to the relevant Cabinet-approved </w:t>
      </w:r>
      <w:r>
        <w:t>s</w:t>
      </w:r>
      <w:r w:rsidRPr="0003777A">
        <w:t>trategy before the start of each levy period to identify each sector</w:t>
      </w:r>
      <w:r w:rsidR="008303C6">
        <w:t>’</w:t>
      </w:r>
      <w:r w:rsidRPr="0003777A">
        <w:t>s expected share of the levy requirement for each three-year period</w:t>
      </w:r>
    </w:p>
    <w:p w14:paraId="4F6653C7" w14:textId="77777777" w:rsidR="00FA6A1F" w:rsidRPr="0003777A" w:rsidRDefault="00FA6A1F" w:rsidP="00C25919">
      <w:pPr>
        <w:pStyle w:val="Bullet"/>
      </w:pPr>
      <w:r w:rsidRPr="0003777A">
        <w:t>using those shares to calculate the amount each sector was expected to pay as its contribution to the Ministry</w:t>
      </w:r>
      <w:r w:rsidR="008303C6">
        <w:t>’</w:t>
      </w:r>
      <w:r w:rsidRPr="0003777A">
        <w:t>s spending in each levy period</w:t>
      </w:r>
    </w:p>
    <w:p w14:paraId="4F6653C8" w14:textId="77777777" w:rsidR="008303C6" w:rsidRDefault="00FA6A1F" w:rsidP="00C25919">
      <w:pPr>
        <w:pStyle w:val="Bullet"/>
      </w:pPr>
      <w:r w:rsidRPr="0003777A">
        <w:t>totalling these amounts across all levy periods to arrive at the amount each sector was expected to pay up to 30 June 2022.</w:t>
      </w:r>
    </w:p>
    <w:p w14:paraId="4F6653C9" w14:textId="77777777" w:rsidR="00C25919" w:rsidRDefault="00C25919" w:rsidP="00C25919"/>
    <w:p w14:paraId="4F6653CA" w14:textId="4CB3A97C" w:rsidR="008303C6" w:rsidRDefault="00FA6A1F" w:rsidP="00C25919">
      <w:r>
        <w:t xml:space="preserve">R is the difference between the expected levy payments for each sector and the actual amount received in payments. </w:t>
      </w:r>
      <w:r w:rsidR="00C25919">
        <w:fldChar w:fldCharType="begin"/>
      </w:r>
      <w:r w:rsidR="00C25919">
        <w:instrText xml:space="preserve"> REF _Ref80796239 \h </w:instrText>
      </w:r>
      <w:r w:rsidR="00C25919">
        <w:fldChar w:fldCharType="separate"/>
      </w:r>
      <w:r w:rsidR="00F65B3A">
        <w:t>Table </w:t>
      </w:r>
      <w:r w:rsidR="00F65B3A">
        <w:rPr>
          <w:noProof/>
        </w:rPr>
        <w:t>12</w:t>
      </w:r>
      <w:r w:rsidR="00C25919">
        <w:fldChar w:fldCharType="end"/>
      </w:r>
      <w:r w:rsidRPr="00A32BB8">
        <w:t xml:space="preserve"> shows the values of R obtained. Overpayment amounts are deducted from (credited to) the next levy period amounts required from each sector, while any underpayments are added</w:t>
      </w:r>
      <w:r>
        <w:t xml:space="preserve"> to those amounts</w:t>
      </w:r>
      <w:r w:rsidRPr="00A32BB8">
        <w:t>.</w:t>
      </w:r>
    </w:p>
    <w:p w14:paraId="4F6653CB" w14:textId="77777777" w:rsidR="00C25919" w:rsidRDefault="00C25919" w:rsidP="00C25919"/>
    <w:p w14:paraId="4F6653CC" w14:textId="1D90806B" w:rsidR="00FA6A1F" w:rsidRPr="00440704" w:rsidRDefault="00C25919" w:rsidP="00C25919">
      <w:pPr>
        <w:pStyle w:val="Table"/>
      </w:pPr>
      <w:bookmarkStart w:id="256" w:name="_Ref80796239"/>
      <w:bookmarkStart w:id="257" w:name="_Toc4156640"/>
      <w:bookmarkStart w:id="258" w:name="_Toc8398940"/>
      <w:bookmarkStart w:id="259" w:name="_Toc522089451"/>
      <w:bookmarkStart w:id="260" w:name="_Toc80860356"/>
      <w:r>
        <w:t>Table </w:t>
      </w:r>
      <w:fldSimple w:instr=" SEQ Table \* ARABIC ">
        <w:r w:rsidR="00F65B3A">
          <w:rPr>
            <w:noProof/>
          </w:rPr>
          <w:t>12</w:t>
        </w:r>
      </w:fldSimple>
      <w:bookmarkEnd w:id="256"/>
      <w:r w:rsidR="00FA6A1F" w:rsidRPr="00440704">
        <w:t>: Estimated underpayment or overpayment of problem gambling levy,</w:t>
      </w:r>
      <w:r w:rsidR="00FA6A1F">
        <w:t xml:space="preserve"> </w:t>
      </w:r>
      <w:r w:rsidR="00FA6A1F" w:rsidRPr="00440704">
        <w:t>2004/05</w:t>
      </w:r>
      <w:r w:rsidR="00FA6A1F">
        <w:t xml:space="preserve"> to </w:t>
      </w:r>
      <w:r w:rsidR="00FA6A1F" w:rsidRPr="00440704">
        <w:t xml:space="preserve">2021/22, </w:t>
      </w:r>
      <w:r w:rsidR="00FA6A1F" w:rsidRPr="00A15C4B">
        <w:t>by</w:t>
      </w:r>
      <w:r w:rsidR="00FA6A1F" w:rsidRPr="00440704">
        <w:t xml:space="preserve"> sector</w:t>
      </w:r>
      <w:bookmarkEnd w:id="257"/>
      <w:bookmarkEnd w:id="258"/>
      <w:bookmarkEnd w:id="259"/>
      <w:bookmarkEnd w:id="260"/>
    </w:p>
    <w:tbl>
      <w:tblPr>
        <w:tblW w:w="2667" w:type="pct"/>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00" w:firstRow="0" w:lastRow="0" w:firstColumn="0" w:lastColumn="0" w:noHBand="0" w:noVBand="0"/>
      </w:tblPr>
      <w:tblGrid>
        <w:gridCol w:w="2377"/>
        <w:gridCol w:w="1932"/>
      </w:tblGrid>
      <w:tr w:rsidR="00FA6A1F" w:rsidRPr="00C25919" w14:paraId="4F6653CF" w14:textId="77777777" w:rsidTr="002C2F26">
        <w:trPr>
          <w:cantSplit/>
        </w:trPr>
        <w:tc>
          <w:tcPr>
            <w:tcW w:w="2758" w:type="pct"/>
            <w:tcBorders>
              <w:top w:val="nil"/>
              <w:bottom w:val="nil"/>
            </w:tcBorders>
            <w:shd w:val="clear" w:color="auto" w:fill="D9D9D9" w:themeFill="background1" w:themeFillShade="D9"/>
            <w:noWrap/>
          </w:tcPr>
          <w:p w14:paraId="4F6653CD" w14:textId="77777777" w:rsidR="00FA6A1F" w:rsidRPr="00C25919" w:rsidRDefault="00FA6A1F" w:rsidP="00C25919">
            <w:pPr>
              <w:pStyle w:val="TableText"/>
              <w:rPr>
                <w:b/>
                <w:lang w:eastAsia="en-US"/>
              </w:rPr>
            </w:pPr>
            <w:r w:rsidRPr="00C25919">
              <w:rPr>
                <w:b/>
                <w:lang w:eastAsia="en-US"/>
              </w:rPr>
              <w:t>Sector</w:t>
            </w:r>
          </w:p>
        </w:tc>
        <w:tc>
          <w:tcPr>
            <w:tcW w:w="2242" w:type="pct"/>
            <w:tcBorders>
              <w:top w:val="nil"/>
              <w:bottom w:val="nil"/>
            </w:tcBorders>
            <w:shd w:val="clear" w:color="auto" w:fill="D9D9D9" w:themeFill="background1" w:themeFillShade="D9"/>
          </w:tcPr>
          <w:p w14:paraId="4F6653CE" w14:textId="77777777" w:rsidR="00FA6A1F" w:rsidRPr="00C25919" w:rsidRDefault="00FA6A1F" w:rsidP="00C25919">
            <w:pPr>
              <w:pStyle w:val="TableText"/>
              <w:jc w:val="center"/>
              <w:rPr>
                <w:b/>
                <w:lang w:eastAsia="en-US"/>
              </w:rPr>
            </w:pPr>
            <w:r w:rsidRPr="00C25919">
              <w:rPr>
                <w:b/>
                <w:lang w:eastAsia="en-US"/>
              </w:rPr>
              <w:t>$m (GST exclusive)</w:t>
            </w:r>
          </w:p>
        </w:tc>
      </w:tr>
      <w:tr w:rsidR="00FA6A1F" w:rsidRPr="00092A9A" w14:paraId="4F6653D2" w14:textId="77777777" w:rsidTr="002C2F26">
        <w:trPr>
          <w:cantSplit/>
        </w:trPr>
        <w:tc>
          <w:tcPr>
            <w:tcW w:w="2758" w:type="pct"/>
            <w:tcBorders>
              <w:top w:val="nil"/>
            </w:tcBorders>
            <w:shd w:val="clear" w:color="auto" w:fill="auto"/>
            <w:noWrap/>
          </w:tcPr>
          <w:p w14:paraId="4F6653D0" w14:textId="77777777" w:rsidR="00FA6A1F" w:rsidRPr="0003777A" w:rsidRDefault="00FA6A1F" w:rsidP="00C25919">
            <w:pPr>
              <w:pStyle w:val="TableText"/>
              <w:rPr>
                <w:lang w:eastAsia="en-US"/>
              </w:rPr>
            </w:pPr>
            <w:r w:rsidRPr="0003777A">
              <w:rPr>
                <w:lang w:eastAsia="en-US"/>
              </w:rPr>
              <w:t>NCGMs</w:t>
            </w:r>
          </w:p>
        </w:tc>
        <w:tc>
          <w:tcPr>
            <w:tcW w:w="2242" w:type="pct"/>
            <w:tcBorders>
              <w:top w:val="nil"/>
            </w:tcBorders>
          </w:tcPr>
          <w:p w14:paraId="4F6653D1" w14:textId="77777777" w:rsidR="00FA6A1F" w:rsidRPr="0003777A" w:rsidRDefault="00FA6A1F" w:rsidP="00C25919">
            <w:pPr>
              <w:pStyle w:val="TableText"/>
              <w:tabs>
                <w:tab w:val="decimal" w:pos="794"/>
              </w:tabs>
              <w:rPr>
                <w:rFonts w:eastAsia="Arial Unicode MS"/>
              </w:rPr>
            </w:pPr>
            <w:r w:rsidRPr="0003777A">
              <w:rPr>
                <w:rFonts w:eastAsia="Arial Unicode MS"/>
              </w:rPr>
              <w:t>–3.104</w:t>
            </w:r>
          </w:p>
        </w:tc>
      </w:tr>
      <w:tr w:rsidR="00FA6A1F" w:rsidRPr="00092A9A" w14:paraId="4F6653D5" w14:textId="77777777" w:rsidTr="002C2F26">
        <w:trPr>
          <w:cantSplit/>
        </w:trPr>
        <w:tc>
          <w:tcPr>
            <w:tcW w:w="2758" w:type="pct"/>
            <w:shd w:val="clear" w:color="auto" w:fill="auto"/>
            <w:noWrap/>
          </w:tcPr>
          <w:p w14:paraId="4F6653D3" w14:textId="77777777" w:rsidR="00FA6A1F" w:rsidRPr="0003777A" w:rsidRDefault="00FA6A1F" w:rsidP="00C25919">
            <w:pPr>
              <w:pStyle w:val="TableText"/>
              <w:rPr>
                <w:lang w:eastAsia="en-US"/>
              </w:rPr>
            </w:pPr>
            <w:r w:rsidRPr="0003777A">
              <w:rPr>
                <w:lang w:eastAsia="en-US"/>
              </w:rPr>
              <w:t>Casinos</w:t>
            </w:r>
          </w:p>
        </w:tc>
        <w:tc>
          <w:tcPr>
            <w:tcW w:w="2242" w:type="pct"/>
          </w:tcPr>
          <w:p w14:paraId="4F6653D4" w14:textId="77777777" w:rsidR="00FA6A1F" w:rsidRPr="0003777A" w:rsidRDefault="00FA6A1F" w:rsidP="00C25919">
            <w:pPr>
              <w:pStyle w:val="TableText"/>
              <w:tabs>
                <w:tab w:val="decimal" w:pos="794"/>
              </w:tabs>
              <w:rPr>
                <w:rFonts w:eastAsia="Arial Unicode MS"/>
              </w:rPr>
            </w:pPr>
            <w:r w:rsidRPr="0003777A">
              <w:rPr>
                <w:rFonts w:eastAsia="Arial Unicode MS"/>
              </w:rPr>
              <w:t>0.057</w:t>
            </w:r>
          </w:p>
        </w:tc>
      </w:tr>
      <w:tr w:rsidR="00FA6A1F" w:rsidRPr="00092A9A" w14:paraId="4F6653D8" w14:textId="77777777" w:rsidTr="002C2F26">
        <w:trPr>
          <w:cantSplit/>
        </w:trPr>
        <w:tc>
          <w:tcPr>
            <w:tcW w:w="2758" w:type="pct"/>
            <w:shd w:val="clear" w:color="auto" w:fill="auto"/>
            <w:noWrap/>
          </w:tcPr>
          <w:p w14:paraId="4F6653D6" w14:textId="77777777" w:rsidR="00FA6A1F" w:rsidRPr="0003777A" w:rsidRDefault="00FA6A1F" w:rsidP="00C25919">
            <w:pPr>
              <w:pStyle w:val="TableText"/>
              <w:rPr>
                <w:lang w:eastAsia="en-US"/>
              </w:rPr>
            </w:pPr>
            <w:r w:rsidRPr="0003777A">
              <w:rPr>
                <w:lang w:eastAsia="en-US"/>
              </w:rPr>
              <w:t>TAB NZ</w:t>
            </w:r>
          </w:p>
        </w:tc>
        <w:tc>
          <w:tcPr>
            <w:tcW w:w="2242" w:type="pct"/>
          </w:tcPr>
          <w:p w14:paraId="4F6653D7" w14:textId="77777777" w:rsidR="00FA6A1F" w:rsidRPr="0003777A" w:rsidRDefault="00FA6A1F" w:rsidP="00C25919">
            <w:pPr>
              <w:pStyle w:val="TableText"/>
              <w:tabs>
                <w:tab w:val="decimal" w:pos="794"/>
              </w:tabs>
              <w:rPr>
                <w:rFonts w:eastAsia="Arial Unicode MS"/>
              </w:rPr>
            </w:pPr>
            <w:r w:rsidRPr="0003777A">
              <w:rPr>
                <w:rFonts w:eastAsia="Arial Unicode MS"/>
              </w:rPr>
              <w:t>0.282</w:t>
            </w:r>
          </w:p>
        </w:tc>
      </w:tr>
      <w:tr w:rsidR="00FA6A1F" w:rsidRPr="00092A9A" w14:paraId="4F6653DB" w14:textId="77777777" w:rsidTr="002C2F26">
        <w:trPr>
          <w:cantSplit/>
        </w:trPr>
        <w:tc>
          <w:tcPr>
            <w:tcW w:w="2758" w:type="pct"/>
            <w:shd w:val="clear" w:color="auto" w:fill="auto"/>
            <w:noWrap/>
          </w:tcPr>
          <w:p w14:paraId="4F6653D9" w14:textId="77777777" w:rsidR="00FA6A1F" w:rsidRPr="0003777A" w:rsidRDefault="00FA6A1F" w:rsidP="00C25919">
            <w:pPr>
              <w:pStyle w:val="TableText"/>
              <w:rPr>
                <w:lang w:eastAsia="en-US"/>
              </w:rPr>
            </w:pPr>
            <w:r>
              <w:rPr>
                <w:lang w:eastAsia="en-US"/>
              </w:rPr>
              <w:t>Lotto New Zealand</w:t>
            </w:r>
          </w:p>
        </w:tc>
        <w:tc>
          <w:tcPr>
            <w:tcW w:w="2242" w:type="pct"/>
          </w:tcPr>
          <w:p w14:paraId="4F6653DA" w14:textId="77777777" w:rsidR="00FA6A1F" w:rsidRPr="0003777A" w:rsidRDefault="00FA6A1F" w:rsidP="00C25919">
            <w:pPr>
              <w:pStyle w:val="TableText"/>
              <w:tabs>
                <w:tab w:val="decimal" w:pos="794"/>
              </w:tabs>
              <w:rPr>
                <w:rFonts w:eastAsia="Arial Unicode MS"/>
              </w:rPr>
            </w:pPr>
            <w:r w:rsidRPr="0003777A">
              <w:rPr>
                <w:rFonts w:eastAsia="Arial Unicode MS"/>
              </w:rPr>
              <w:t>–1.431</w:t>
            </w:r>
          </w:p>
        </w:tc>
      </w:tr>
      <w:tr w:rsidR="00FA6A1F" w:rsidRPr="00092A9A" w14:paraId="4F6653DE" w14:textId="77777777" w:rsidTr="002C2F26">
        <w:trPr>
          <w:cantSplit/>
        </w:trPr>
        <w:tc>
          <w:tcPr>
            <w:tcW w:w="2758" w:type="pct"/>
            <w:shd w:val="clear" w:color="auto" w:fill="auto"/>
            <w:noWrap/>
          </w:tcPr>
          <w:p w14:paraId="4F6653DC" w14:textId="77777777" w:rsidR="00FA6A1F" w:rsidRPr="0003777A" w:rsidRDefault="00FA6A1F" w:rsidP="00C25919">
            <w:pPr>
              <w:pStyle w:val="TableText"/>
              <w:rPr>
                <w:lang w:eastAsia="en-US"/>
              </w:rPr>
            </w:pPr>
            <w:r w:rsidRPr="0003777A">
              <w:rPr>
                <w:lang w:eastAsia="en-US"/>
              </w:rPr>
              <w:t>Net difference (total)</w:t>
            </w:r>
          </w:p>
        </w:tc>
        <w:tc>
          <w:tcPr>
            <w:tcW w:w="2242" w:type="pct"/>
          </w:tcPr>
          <w:p w14:paraId="4F6653DD" w14:textId="77777777" w:rsidR="00FA6A1F" w:rsidRPr="0003777A" w:rsidRDefault="00FA6A1F" w:rsidP="00C25919">
            <w:pPr>
              <w:pStyle w:val="TableText"/>
              <w:tabs>
                <w:tab w:val="decimal" w:pos="794"/>
              </w:tabs>
              <w:rPr>
                <w:rFonts w:eastAsia="Arial Unicode MS"/>
              </w:rPr>
            </w:pPr>
            <w:r w:rsidRPr="0003777A">
              <w:rPr>
                <w:rFonts w:eastAsia="Arial Unicode MS"/>
              </w:rPr>
              <w:t>–4.196</w:t>
            </w:r>
          </w:p>
        </w:tc>
      </w:tr>
    </w:tbl>
    <w:p w14:paraId="4F6653DF" w14:textId="77777777" w:rsidR="00FA6A1F" w:rsidRDefault="00FA6A1F" w:rsidP="00C25919">
      <w:pPr>
        <w:pStyle w:val="Note"/>
      </w:pPr>
      <w:r w:rsidRPr="0003777A">
        <w:t>Note: A negative figure indicates an expected overpayment for the levy periods to 30 June 2022.</w:t>
      </w:r>
    </w:p>
    <w:p w14:paraId="4F6653E0" w14:textId="77777777" w:rsidR="00C25919" w:rsidRPr="00C25919" w:rsidRDefault="00C25919" w:rsidP="00C25919"/>
    <w:p w14:paraId="4F6653E1" w14:textId="77777777" w:rsidR="00FA6A1F" w:rsidRPr="007F4B4C" w:rsidRDefault="00FA6A1F" w:rsidP="00C25919">
      <w:pPr>
        <w:pStyle w:val="Heading3"/>
      </w:pPr>
      <w:bookmarkStart w:id="261" w:name="_Toc71102186"/>
      <w:bookmarkStart w:id="262" w:name="_Toc78882323"/>
      <w:bookmarkEnd w:id="254"/>
      <w:bookmarkEnd w:id="255"/>
      <w:r w:rsidRPr="009F4054">
        <w:t xml:space="preserve">The </w:t>
      </w:r>
      <w:r w:rsidRPr="003B62D8">
        <w:t>weightings</w:t>
      </w:r>
      <w:r w:rsidRPr="009F4054">
        <w:t xml:space="preserve"> (W1 and W2)</w:t>
      </w:r>
      <w:bookmarkEnd w:id="261"/>
      <w:bookmarkEnd w:id="262"/>
    </w:p>
    <w:p w14:paraId="4F6653E2" w14:textId="77777777" w:rsidR="00FA6A1F" w:rsidRPr="00C10A99" w:rsidRDefault="00FA6A1F" w:rsidP="00C25919">
      <w:r w:rsidRPr="00C10A99">
        <w:t xml:space="preserve">The Act requires the Ministry to </w:t>
      </w:r>
      <w:r>
        <w:t xml:space="preserve">apply </w:t>
      </w:r>
      <w:r w:rsidRPr="00C10A99">
        <w:t xml:space="preserve">a weighting between current </w:t>
      </w:r>
      <w:r>
        <w:t xml:space="preserve">player </w:t>
      </w:r>
      <w:r w:rsidRPr="00C10A99">
        <w:t xml:space="preserve">expenditure </w:t>
      </w:r>
      <w:r>
        <w:t>(</w:t>
      </w:r>
      <w:r w:rsidRPr="00A710BB">
        <w:rPr>
          <w:b/>
        </w:rPr>
        <w:t>W1</w:t>
      </w:r>
      <w:r>
        <w:t xml:space="preserve">) </w:t>
      </w:r>
      <w:r w:rsidRPr="00C10A99">
        <w:t xml:space="preserve">and presentations </w:t>
      </w:r>
      <w:r>
        <w:t>(</w:t>
      </w:r>
      <w:r w:rsidRPr="00A710BB">
        <w:rPr>
          <w:b/>
        </w:rPr>
        <w:t>W2</w:t>
      </w:r>
      <w:r>
        <w:t xml:space="preserve">) </w:t>
      </w:r>
      <w:r w:rsidRPr="00C10A99">
        <w:t xml:space="preserve">to help determine the </w:t>
      </w:r>
      <w:r>
        <w:t>cost (</w:t>
      </w:r>
      <w:r w:rsidRPr="00A710BB">
        <w:rPr>
          <w:b/>
        </w:rPr>
        <w:t>C</w:t>
      </w:r>
      <w:r>
        <w:t>) that each sector is required to pay in levy.</w:t>
      </w:r>
    </w:p>
    <w:p w14:paraId="4F6653E3" w14:textId="77777777" w:rsidR="00C25919" w:rsidRDefault="00C25919" w:rsidP="00C25919"/>
    <w:p w14:paraId="4F6653E4" w14:textId="0495CD6B" w:rsidR="00FA6A1F" w:rsidRDefault="00C25919" w:rsidP="00C25919">
      <w:r>
        <w:fldChar w:fldCharType="begin"/>
      </w:r>
      <w:r>
        <w:instrText xml:space="preserve"> REF _Ref80796283 \h </w:instrText>
      </w:r>
      <w:r>
        <w:fldChar w:fldCharType="separate"/>
      </w:r>
      <w:r w:rsidR="00F65B3A">
        <w:t>Table </w:t>
      </w:r>
      <w:r w:rsidR="00F65B3A">
        <w:rPr>
          <w:noProof/>
        </w:rPr>
        <w:t>13</w:t>
      </w:r>
      <w:r>
        <w:fldChar w:fldCharType="end"/>
      </w:r>
      <w:r w:rsidR="00FA6A1F" w:rsidRPr="00FE7705">
        <w:t xml:space="preserve"> show</w:t>
      </w:r>
      <w:r w:rsidR="00FA6A1F">
        <w:t>s</w:t>
      </w:r>
      <w:r w:rsidR="00FA6A1F" w:rsidRPr="00FE7705">
        <w:t xml:space="preserve"> the proportion of </w:t>
      </w:r>
      <w:r w:rsidR="00FA6A1F">
        <w:t>expenditure (</w:t>
      </w:r>
      <w:r w:rsidR="00FA6A1F" w:rsidRPr="00A710BB">
        <w:rPr>
          <w:b/>
        </w:rPr>
        <w:t>A</w:t>
      </w:r>
      <w:r w:rsidR="00FA6A1F">
        <w:t xml:space="preserve">) and </w:t>
      </w:r>
      <w:r w:rsidR="00FA6A1F" w:rsidRPr="00FE7705">
        <w:t xml:space="preserve">presentations </w:t>
      </w:r>
      <w:r w:rsidR="00FA6A1F">
        <w:t>(</w:t>
      </w:r>
      <w:r w:rsidR="00FA6A1F" w:rsidRPr="00A710BB">
        <w:rPr>
          <w:b/>
        </w:rPr>
        <w:t>B</w:t>
      </w:r>
      <w:r w:rsidR="00FA6A1F">
        <w:t xml:space="preserve">) </w:t>
      </w:r>
      <w:r w:rsidR="00FA6A1F" w:rsidRPr="00FE7705">
        <w:t>attributed to each levy-paying</w:t>
      </w:r>
      <w:r w:rsidR="00FA6A1F" w:rsidRPr="007269AE">
        <w:t xml:space="preserve"> sector for </w:t>
      </w:r>
      <w:r w:rsidR="00FA6A1F" w:rsidRPr="00687344">
        <w:t>the 12-month period from 1 January to 31 to December 20</w:t>
      </w:r>
      <w:r w:rsidR="00FA6A1F">
        <w:t>20</w:t>
      </w:r>
      <w:r w:rsidR="00FA6A1F" w:rsidRPr="00687344">
        <w:t xml:space="preserve"> and each levy-paying sector</w:t>
      </w:r>
      <w:r w:rsidR="008303C6">
        <w:t>’</w:t>
      </w:r>
      <w:r w:rsidR="00FA6A1F" w:rsidRPr="00687344">
        <w:t>s proportion of expenditure for the 201</w:t>
      </w:r>
      <w:r w:rsidR="00FA6A1F">
        <w:t>9</w:t>
      </w:r>
      <w:r w:rsidR="00FA6A1F" w:rsidRPr="00687344">
        <w:t>/</w:t>
      </w:r>
      <w:r w:rsidR="00FA6A1F">
        <w:t>20</w:t>
      </w:r>
      <w:r w:rsidR="00FA6A1F" w:rsidRPr="00687344">
        <w:t xml:space="preserve"> financial year (to be updated when 20</w:t>
      </w:r>
      <w:r w:rsidR="00FA6A1F">
        <w:t>20</w:t>
      </w:r>
      <w:r w:rsidR="00FA6A1F" w:rsidRPr="00687344">
        <w:t>/</w:t>
      </w:r>
      <w:r w:rsidR="00FA6A1F">
        <w:t>21</w:t>
      </w:r>
      <w:r w:rsidR="00FA6A1F" w:rsidRPr="00687344">
        <w:t xml:space="preserve"> data become available).</w:t>
      </w:r>
    </w:p>
    <w:p w14:paraId="4F6653E5" w14:textId="77777777" w:rsidR="00C25919" w:rsidRDefault="00C25919" w:rsidP="00F27BD7"/>
    <w:p w14:paraId="4F6653E6" w14:textId="668F84DB" w:rsidR="00FA6A1F" w:rsidRPr="00440704" w:rsidRDefault="00C25919" w:rsidP="00C25919">
      <w:pPr>
        <w:pStyle w:val="Table"/>
      </w:pPr>
      <w:bookmarkStart w:id="263" w:name="_Ref80796283"/>
      <w:bookmarkStart w:id="264" w:name="_Toc517091248"/>
      <w:bookmarkStart w:id="265" w:name="_Toc522089452"/>
      <w:bookmarkStart w:id="266" w:name="_Toc530487447"/>
      <w:bookmarkStart w:id="267" w:name="_Toc4156641"/>
      <w:bookmarkStart w:id="268" w:name="_Toc8398941"/>
      <w:bookmarkStart w:id="269" w:name="_Toc80860357"/>
      <w:r>
        <w:lastRenderedPageBreak/>
        <w:t>Table </w:t>
      </w:r>
      <w:fldSimple w:instr=" SEQ Table \* ARABIC ">
        <w:r w:rsidR="00F65B3A">
          <w:rPr>
            <w:noProof/>
          </w:rPr>
          <w:t>13</w:t>
        </w:r>
      </w:fldSimple>
      <w:bookmarkEnd w:id="263"/>
      <w:r w:rsidR="00FA6A1F" w:rsidRPr="00440704">
        <w:t xml:space="preserve">: Share of </w:t>
      </w:r>
      <w:r w:rsidR="00FA6A1F" w:rsidRPr="00A15C4B">
        <w:t>expenditure</w:t>
      </w:r>
      <w:r w:rsidR="00FA6A1F" w:rsidRPr="00440704">
        <w:t xml:space="preserve"> and presentations by sector, 2020</w:t>
      </w:r>
      <w:bookmarkEnd w:id="264"/>
      <w:bookmarkEnd w:id="265"/>
      <w:bookmarkEnd w:id="266"/>
      <w:bookmarkEnd w:id="267"/>
      <w:bookmarkEnd w:id="268"/>
      <w:bookmarkEnd w:id="269"/>
    </w:p>
    <w:tbl>
      <w:tblPr>
        <w:tblW w:w="4931" w:type="pct"/>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00" w:firstRow="0" w:lastRow="0" w:firstColumn="0" w:lastColumn="0" w:noHBand="0" w:noVBand="0"/>
      </w:tblPr>
      <w:tblGrid>
        <w:gridCol w:w="996"/>
        <w:gridCol w:w="996"/>
        <w:gridCol w:w="996"/>
        <w:gridCol w:w="996"/>
        <w:gridCol w:w="996"/>
        <w:gridCol w:w="996"/>
        <w:gridCol w:w="996"/>
        <w:gridCol w:w="996"/>
      </w:tblGrid>
      <w:tr w:rsidR="00FA6A1F" w:rsidRPr="00C25919" w14:paraId="4F6653EB" w14:textId="77777777" w:rsidTr="00F27BD7">
        <w:trPr>
          <w:cantSplit/>
        </w:trPr>
        <w:tc>
          <w:tcPr>
            <w:tcW w:w="1250" w:type="pct"/>
            <w:gridSpan w:val="2"/>
            <w:tcBorders>
              <w:top w:val="nil"/>
              <w:bottom w:val="nil"/>
              <w:right w:val="single" w:sz="4" w:space="0" w:color="A6A6A6" w:themeColor="background1" w:themeShade="A6"/>
            </w:tcBorders>
            <w:shd w:val="clear" w:color="auto" w:fill="D9D9D9" w:themeFill="background1" w:themeFillShade="D9"/>
            <w:tcMar>
              <w:top w:w="0" w:type="dxa"/>
              <w:left w:w="28" w:type="dxa"/>
              <w:bottom w:w="0" w:type="dxa"/>
              <w:right w:w="28" w:type="dxa"/>
            </w:tcMar>
          </w:tcPr>
          <w:p w14:paraId="4F6653E7" w14:textId="77777777" w:rsidR="00FA6A1F" w:rsidRPr="00C25919" w:rsidRDefault="00FA6A1F" w:rsidP="00F27BD7">
            <w:pPr>
              <w:pStyle w:val="TableText"/>
              <w:keepNext/>
              <w:spacing w:after="0"/>
              <w:jc w:val="center"/>
              <w:rPr>
                <w:rFonts w:eastAsia="Arial Unicode MS"/>
                <w:b/>
              </w:rPr>
            </w:pPr>
            <w:r w:rsidRPr="00C25919">
              <w:rPr>
                <w:b/>
              </w:rPr>
              <w:t>NCGMs</w:t>
            </w:r>
          </w:p>
        </w:tc>
        <w:tc>
          <w:tcPr>
            <w:tcW w:w="1250" w:type="pct"/>
            <w:gridSpan w:val="2"/>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tcMar>
              <w:top w:w="0" w:type="dxa"/>
              <w:left w:w="28" w:type="dxa"/>
              <w:bottom w:w="0" w:type="dxa"/>
              <w:right w:w="28" w:type="dxa"/>
            </w:tcMar>
          </w:tcPr>
          <w:p w14:paraId="4F6653E8" w14:textId="77777777" w:rsidR="00FA6A1F" w:rsidRPr="00C25919" w:rsidRDefault="00FA6A1F" w:rsidP="00F27BD7">
            <w:pPr>
              <w:pStyle w:val="TableText"/>
              <w:spacing w:after="0"/>
              <w:jc w:val="center"/>
              <w:rPr>
                <w:rFonts w:eastAsia="Arial Unicode MS"/>
                <w:b/>
              </w:rPr>
            </w:pPr>
            <w:r w:rsidRPr="00C25919">
              <w:rPr>
                <w:b/>
              </w:rPr>
              <w:t>Casinos</w:t>
            </w:r>
          </w:p>
        </w:tc>
        <w:tc>
          <w:tcPr>
            <w:tcW w:w="1250" w:type="pct"/>
            <w:gridSpan w:val="2"/>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tcMar>
              <w:top w:w="0" w:type="dxa"/>
              <w:left w:w="28" w:type="dxa"/>
              <w:bottom w:w="0" w:type="dxa"/>
              <w:right w:w="28" w:type="dxa"/>
            </w:tcMar>
          </w:tcPr>
          <w:p w14:paraId="4F6653E9" w14:textId="77777777" w:rsidR="00FA6A1F" w:rsidRPr="00C25919" w:rsidRDefault="00FA6A1F" w:rsidP="00F27BD7">
            <w:pPr>
              <w:pStyle w:val="TableText"/>
              <w:spacing w:after="0"/>
              <w:jc w:val="center"/>
              <w:rPr>
                <w:rFonts w:eastAsia="Arial Unicode MS"/>
                <w:b/>
              </w:rPr>
            </w:pPr>
            <w:r w:rsidRPr="00C25919">
              <w:rPr>
                <w:b/>
              </w:rPr>
              <w:t>TAB NZ</w:t>
            </w:r>
          </w:p>
        </w:tc>
        <w:tc>
          <w:tcPr>
            <w:tcW w:w="1250" w:type="pct"/>
            <w:gridSpan w:val="2"/>
            <w:tcBorders>
              <w:top w:val="nil"/>
              <w:left w:val="single" w:sz="4" w:space="0" w:color="A6A6A6" w:themeColor="background1" w:themeShade="A6"/>
              <w:bottom w:val="nil"/>
            </w:tcBorders>
            <w:shd w:val="clear" w:color="auto" w:fill="D9D9D9" w:themeFill="background1" w:themeFillShade="D9"/>
          </w:tcPr>
          <w:p w14:paraId="4F6653EA" w14:textId="77777777" w:rsidR="00FA6A1F" w:rsidRPr="00C25919" w:rsidRDefault="00FA6A1F" w:rsidP="00F27BD7">
            <w:pPr>
              <w:pStyle w:val="TableText"/>
              <w:spacing w:after="0"/>
              <w:jc w:val="center"/>
              <w:rPr>
                <w:b/>
              </w:rPr>
            </w:pPr>
            <w:r w:rsidRPr="00C25919">
              <w:rPr>
                <w:b/>
              </w:rPr>
              <w:t>Lotto New Zealand</w:t>
            </w:r>
          </w:p>
        </w:tc>
      </w:tr>
      <w:tr w:rsidR="00FA6A1F" w:rsidRPr="00F27BD7" w14:paraId="4F6653F4" w14:textId="77777777" w:rsidTr="00F27BD7">
        <w:trPr>
          <w:cantSplit/>
        </w:trPr>
        <w:tc>
          <w:tcPr>
            <w:tcW w:w="625" w:type="pct"/>
            <w:tcBorders>
              <w:top w:val="nil"/>
              <w:bottom w:val="nil"/>
            </w:tcBorders>
            <w:shd w:val="clear" w:color="auto" w:fill="D9D9D9" w:themeFill="background1" w:themeFillShade="D9"/>
            <w:tcMar>
              <w:top w:w="0" w:type="dxa"/>
              <w:left w:w="28" w:type="dxa"/>
              <w:bottom w:w="0" w:type="dxa"/>
              <w:right w:w="28" w:type="dxa"/>
            </w:tcMar>
          </w:tcPr>
          <w:p w14:paraId="4F6653EC" w14:textId="77777777" w:rsidR="00FA6A1F" w:rsidRPr="00F27BD7" w:rsidRDefault="00FA6A1F" w:rsidP="00F27BD7">
            <w:pPr>
              <w:pStyle w:val="TableText"/>
              <w:keepNext/>
              <w:spacing w:before="0"/>
              <w:jc w:val="center"/>
              <w:rPr>
                <w:sz w:val="15"/>
                <w:szCs w:val="15"/>
              </w:rPr>
            </w:pPr>
            <w:r w:rsidRPr="00F27BD7">
              <w:rPr>
                <w:sz w:val="15"/>
                <w:szCs w:val="15"/>
              </w:rPr>
              <w:t>Expenditure</w:t>
            </w:r>
          </w:p>
        </w:tc>
        <w:tc>
          <w:tcPr>
            <w:tcW w:w="625" w:type="pct"/>
            <w:tcBorders>
              <w:top w:val="nil"/>
              <w:bottom w:val="nil"/>
              <w:right w:val="single" w:sz="4" w:space="0" w:color="A6A6A6" w:themeColor="background1" w:themeShade="A6"/>
            </w:tcBorders>
            <w:shd w:val="clear" w:color="auto" w:fill="D9D9D9" w:themeFill="background1" w:themeFillShade="D9"/>
          </w:tcPr>
          <w:p w14:paraId="4F6653ED" w14:textId="77777777" w:rsidR="00FA6A1F" w:rsidRPr="00F27BD7" w:rsidRDefault="00FA6A1F" w:rsidP="00F27BD7">
            <w:pPr>
              <w:pStyle w:val="TableText"/>
              <w:spacing w:before="0"/>
              <w:jc w:val="center"/>
              <w:rPr>
                <w:sz w:val="15"/>
                <w:szCs w:val="15"/>
              </w:rPr>
            </w:pPr>
            <w:r w:rsidRPr="00F27BD7">
              <w:rPr>
                <w:sz w:val="15"/>
                <w:szCs w:val="15"/>
              </w:rPr>
              <w:t>Presentations</w:t>
            </w:r>
          </w:p>
        </w:tc>
        <w:tc>
          <w:tcPr>
            <w:tcW w:w="625" w:type="pct"/>
            <w:tcBorders>
              <w:top w:val="nil"/>
              <w:left w:val="single" w:sz="4" w:space="0" w:color="A6A6A6" w:themeColor="background1" w:themeShade="A6"/>
              <w:bottom w:val="nil"/>
            </w:tcBorders>
            <w:shd w:val="clear" w:color="auto" w:fill="D9D9D9" w:themeFill="background1" w:themeFillShade="D9"/>
            <w:tcMar>
              <w:top w:w="0" w:type="dxa"/>
              <w:left w:w="28" w:type="dxa"/>
              <w:bottom w:w="0" w:type="dxa"/>
              <w:right w:w="28" w:type="dxa"/>
            </w:tcMar>
          </w:tcPr>
          <w:p w14:paraId="4F6653EE" w14:textId="77777777" w:rsidR="00FA6A1F" w:rsidRPr="00F27BD7" w:rsidRDefault="00FA6A1F" w:rsidP="00F27BD7">
            <w:pPr>
              <w:pStyle w:val="TableText"/>
              <w:spacing w:before="0"/>
              <w:jc w:val="center"/>
              <w:rPr>
                <w:sz w:val="15"/>
                <w:szCs w:val="15"/>
              </w:rPr>
            </w:pPr>
            <w:r w:rsidRPr="00F27BD7">
              <w:rPr>
                <w:sz w:val="15"/>
                <w:szCs w:val="15"/>
              </w:rPr>
              <w:t>Expenditure</w:t>
            </w:r>
          </w:p>
        </w:tc>
        <w:tc>
          <w:tcPr>
            <w:tcW w:w="625" w:type="pct"/>
            <w:tcBorders>
              <w:top w:val="nil"/>
              <w:bottom w:val="nil"/>
              <w:right w:val="single" w:sz="4" w:space="0" w:color="A6A6A6" w:themeColor="background1" w:themeShade="A6"/>
            </w:tcBorders>
            <w:shd w:val="clear" w:color="auto" w:fill="D9D9D9" w:themeFill="background1" w:themeFillShade="D9"/>
          </w:tcPr>
          <w:p w14:paraId="4F6653EF" w14:textId="77777777" w:rsidR="00FA6A1F" w:rsidRPr="00F27BD7" w:rsidRDefault="00FA6A1F" w:rsidP="00F27BD7">
            <w:pPr>
              <w:pStyle w:val="TableText"/>
              <w:spacing w:before="0"/>
              <w:jc w:val="center"/>
              <w:rPr>
                <w:spacing w:val="-2"/>
                <w:sz w:val="15"/>
                <w:szCs w:val="15"/>
              </w:rPr>
            </w:pPr>
            <w:r w:rsidRPr="00F27BD7">
              <w:rPr>
                <w:spacing w:val="-2"/>
                <w:sz w:val="15"/>
                <w:szCs w:val="15"/>
              </w:rPr>
              <w:t>Presentations</w:t>
            </w:r>
          </w:p>
        </w:tc>
        <w:tc>
          <w:tcPr>
            <w:tcW w:w="625" w:type="pct"/>
            <w:tcBorders>
              <w:top w:val="nil"/>
              <w:left w:val="single" w:sz="4" w:space="0" w:color="A6A6A6" w:themeColor="background1" w:themeShade="A6"/>
              <w:bottom w:val="nil"/>
            </w:tcBorders>
            <w:shd w:val="clear" w:color="auto" w:fill="D9D9D9" w:themeFill="background1" w:themeFillShade="D9"/>
            <w:tcMar>
              <w:top w:w="0" w:type="dxa"/>
              <w:left w:w="28" w:type="dxa"/>
              <w:bottom w:w="0" w:type="dxa"/>
              <w:right w:w="28" w:type="dxa"/>
            </w:tcMar>
          </w:tcPr>
          <w:p w14:paraId="4F6653F0" w14:textId="77777777" w:rsidR="00FA6A1F" w:rsidRPr="00F27BD7" w:rsidRDefault="00FA6A1F" w:rsidP="00F27BD7">
            <w:pPr>
              <w:pStyle w:val="TableText"/>
              <w:spacing w:before="0"/>
              <w:jc w:val="center"/>
              <w:rPr>
                <w:sz w:val="15"/>
                <w:szCs w:val="15"/>
              </w:rPr>
            </w:pPr>
            <w:r w:rsidRPr="00F27BD7">
              <w:rPr>
                <w:sz w:val="15"/>
                <w:szCs w:val="15"/>
              </w:rPr>
              <w:t>Expenditure</w:t>
            </w:r>
          </w:p>
        </w:tc>
        <w:tc>
          <w:tcPr>
            <w:tcW w:w="625" w:type="pct"/>
            <w:tcBorders>
              <w:top w:val="nil"/>
              <w:bottom w:val="nil"/>
              <w:right w:val="single" w:sz="4" w:space="0" w:color="A6A6A6" w:themeColor="background1" w:themeShade="A6"/>
            </w:tcBorders>
            <w:shd w:val="clear" w:color="auto" w:fill="D9D9D9" w:themeFill="background1" w:themeFillShade="D9"/>
          </w:tcPr>
          <w:p w14:paraId="4F6653F1" w14:textId="77777777" w:rsidR="00FA6A1F" w:rsidRPr="00F27BD7" w:rsidRDefault="00FA6A1F" w:rsidP="00F27BD7">
            <w:pPr>
              <w:pStyle w:val="TableText"/>
              <w:spacing w:before="0"/>
              <w:jc w:val="center"/>
              <w:rPr>
                <w:spacing w:val="-2"/>
                <w:sz w:val="15"/>
                <w:szCs w:val="15"/>
              </w:rPr>
            </w:pPr>
            <w:r w:rsidRPr="00F27BD7">
              <w:rPr>
                <w:spacing w:val="-2"/>
                <w:sz w:val="15"/>
                <w:szCs w:val="15"/>
              </w:rPr>
              <w:t>Presentations</w:t>
            </w:r>
          </w:p>
        </w:tc>
        <w:tc>
          <w:tcPr>
            <w:tcW w:w="625" w:type="pct"/>
            <w:tcBorders>
              <w:top w:val="nil"/>
              <w:left w:val="single" w:sz="4" w:space="0" w:color="A6A6A6" w:themeColor="background1" w:themeShade="A6"/>
              <w:bottom w:val="nil"/>
            </w:tcBorders>
            <w:shd w:val="clear" w:color="auto" w:fill="D9D9D9" w:themeFill="background1" w:themeFillShade="D9"/>
          </w:tcPr>
          <w:p w14:paraId="4F6653F2" w14:textId="77777777" w:rsidR="00FA6A1F" w:rsidRPr="00F27BD7" w:rsidRDefault="00FA6A1F" w:rsidP="00F27BD7">
            <w:pPr>
              <w:pStyle w:val="TableText"/>
              <w:spacing w:before="0"/>
              <w:jc w:val="center"/>
              <w:rPr>
                <w:sz w:val="15"/>
                <w:szCs w:val="15"/>
              </w:rPr>
            </w:pPr>
            <w:r w:rsidRPr="00F27BD7">
              <w:rPr>
                <w:sz w:val="15"/>
                <w:szCs w:val="15"/>
              </w:rPr>
              <w:t>Expenditure</w:t>
            </w:r>
          </w:p>
        </w:tc>
        <w:tc>
          <w:tcPr>
            <w:tcW w:w="625" w:type="pct"/>
            <w:tcBorders>
              <w:top w:val="nil"/>
              <w:bottom w:val="nil"/>
            </w:tcBorders>
            <w:shd w:val="clear" w:color="auto" w:fill="D9D9D9" w:themeFill="background1" w:themeFillShade="D9"/>
          </w:tcPr>
          <w:p w14:paraId="4F6653F3" w14:textId="77777777" w:rsidR="00FA6A1F" w:rsidRPr="00F27BD7" w:rsidRDefault="00FA6A1F" w:rsidP="00F27BD7">
            <w:pPr>
              <w:pStyle w:val="TableText"/>
              <w:spacing w:before="0"/>
              <w:jc w:val="center"/>
              <w:rPr>
                <w:spacing w:val="-2"/>
                <w:sz w:val="15"/>
                <w:szCs w:val="15"/>
              </w:rPr>
            </w:pPr>
            <w:r w:rsidRPr="00F27BD7">
              <w:rPr>
                <w:spacing w:val="-2"/>
                <w:sz w:val="15"/>
                <w:szCs w:val="15"/>
              </w:rPr>
              <w:t>Presentations</w:t>
            </w:r>
          </w:p>
        </w:tc>
      </w:tr>
      <w:tr w:rsidR="00FA6A1F" w:rsidRPr="003B6A3A" w14:paraId="4F6653FD" w14:textId="77777777" w:rsidTr="00F27BD7">
        <w:trPr>
          <w:cantSplit/>
        </w:trPr>
        <w:tc>
          <w:tcPr>
            <w:tcW w:w="625" w:type="pct"/>
            <w:tcBorders>
              <w:top w:val="nil"/>
            </w:tcBorders>
            <w:shd w:val="clear" w:color="auto" w:fill="auto"/>
            <w:noWrap/>
            <w:tcMar>
              <w:top w:w="0" w:type="dxa"/>
              <w:left w:w="28" w:type="dxa"/>
              <w:bottom w:w="0" w:type="dxa"/>
              <w:right w:w="28" w:type="dxa"/>
            </w:tcMar>
          </w:tcPr>
          <w:p w14:paraId="4F6653F5" w14:textId="77777777" w:rsidR="00FA6A1F" w:rsidRPr="007B2B87" w:rsidRDefault="00FA6A1F" w:rsidP="00F27BD7">
            <w:pPr>
              <w:pStyle w:val="TableText"/>
              <w:keepNext/>
              <w:jc w:val="center"/>
              <w:rPr>
                <w:rFonts w:eastAsia="Arial Unicode MS"/>
              </w:rPr>
            </w:pPr>
            <w:bookmarkStart w:id="270" w:name="_Toc516835903"/>
            <w:bookmarkStart w:id="271" w:name="_Toc516836151"/>
            <w:r w:rsidRPr="007B2B87">
              <w:rPr>
                <w:rFonts w:eastAsia="Arial Unicode MS"/>
              </w:rPr>
              <w:t>0.</w:t>
            </w:r>
            <w:r w:rsidRPr="00DA6AC4">
              <w:rPr>
                <w:rFonts w:eastAsia="Arial Unicode MS"/>
              </w:rPr>
              <w:t>3</w:t>
            </w:r>
            <w:r>
              <w:rPr>
                <w:rFonts w:eastAsia="Arial Unicode MS"/>
              </w:rPr>
              <w:t>56</w:t>
            </w:r>
            <w:bookmarkEnd w:id="270"/>
            <w:bookmarkEnd w:id="271"/>
          </w:p>
        </w:tc>
        <w:tc>
          <w:tcPr>
            <w:tcW w:w="625" w:type="pct"/>
            <w:tcBorders>
              <w:top w:val="nil"/>
              <w:right w:val="single" w:sz="4" w:space="0" w:color="A6A6A6" w:themeColor="background1" w:themeShade="A6"/>
            </w:tcBorders>
            <w:shd w:val="clear" w:color="auto" w:fill="auto"/>
          </w:tcPr>
          <w:p w14:paraId="4F6653F6" w14:textId="77777777" w:rsidR="00FA6A1F" w:rsidRPr="007B2B87" w:rsidRDefault="00FA6A1F" w:rsidP="00C25919">
            <w:pPr>
              <w:pStyle w:val="TableText"/>
              <w:jc w:val="center"/>
              <w:rPr>
                <w:rFonts w:eastAsia="Arial Unicode MS"/>
              </w:rPr>
            </w:pPr>
            <w:r w:rsidRPr="007B2B87">
              <w:rPr>
                <w:rFonts w:eastAsia="Arial Unicode MS"/>
              </w:rPr>
              <w:t>0.</w:t>
            </w:r>
            <w:r w:rsidRPr="00DA6AC4">
              <w:rPr>
                <w:rFonts w:eastAsia="Arial Unicode MS"/>
              </w:rPr>
              <w:t>5</w:t>
            </w:r>
            <w:r>
              <w:rPr>
                <w:rFonts w:eastAsia="Arial Unicode MS"/>
              </w:rPr>
              <w:t>51</w:t>
            </w:r>
          </w:p>
        </w:tc>
        <w:tc>
          <w:tcPr>
            <w:tcW w:w="625" w:type="pct"/>
            <w:tcBorders>
              <w:top w:val="nil"/>
              <w:left w:val="single" w:sz="4" w:space="0" w:color="A6A6A6" w:themeColor="background1" w:themeShade="A6"/>
            </w:tcBorders>
            <w:shd w:val="clear" w:color="auto" w:fill="auto"/>
            <w:noWrap/>
            <w:tcMar>
              <w:top w:w="0" w:type="dxa"/>
              <w:left w:w="28" w:type="dxa"/>
              <w:bottom w:w="0" w:type="dxa"/>
              <w:right w:w="28" w:type="dxa"/>
            </w:tcMar>
          </w:tcPr>
          <w:p w14:paraId="4F6653F7" w14:textId="77777777" w:rsidR="00FA6A1F" w:rsidRPr="007B2B87" w:rsidRDefault="00FA6A1F" w:rsidP="00C25919">
            <w:pPr>
              <w:pStyle w:val="TableText"/>
              <w:jc w:val="center"/>
              <w:rPr>
                <w:rFonts w:eastAsia="Arial Unicode MS"/>
              </w:rPr>
            </w:pPr>
            <w:r w:rsidRPr="007B2B87">
              <w:rPr>
                <w:rFonts w:eastAsia="Arial Unicode MS"/>
              </w:rPr>
              <w:t>0.</w:t>
            </w:r>
            <w:r w:rsidRPr="00DA6AC4">
              <w:rPr>
                <w:rFonts w:eastAsia="Arial Unicode MS"/>
              </w:rPr>
              <w:t>2</w:t>
            </w:r>
            <w:r>
              <w:rPr>
                <w:rFonts w:eastAsia="Arial Unicode MS"/>
              </w:rPr>
              <w:t>24</w:t>
            </w:r>
          </w:p>
        </w:tc>
        <w:tc>
          <w:tcPr>
            <w:tcW w:w="625" w:type="pct"/>
            <w:tcBorders>
              <w:top w:val="nil"/>
              <w:right w:val="single" w:sz="4" w:space="0" w:color="A6A6A6" w:themeColor="background1" w:themeShade="A6"/>
            </w:tcBorders>
            <w:shd w:val="clear" w:color="auto" w:fill="auto"/>
          </w:tcPr>
          <w:p w14:paraId="4F6653F8" w14:textId="77777777" w:rsidR="00FA6A1F" w:rsidRPr="007B2B87" w:rsidRDefault="00FA6A1F" w:rsidP="00C25919">
            <w:pPr>
              <w:pStyle w:val="TableText"/>
              <w:jc w:val="center"/>
              <w:rPr>
                <w:rFonts w:eastAsia="Arial Unicode MS"/>
              </w:rPr>
            </w:pPr>
            <w:r w:rsidRPr="007B2B87">
              <w:rPr>
                <w:rFonts w:eastAsia="Arial Unicode MS"/>
              </w:rPr>
              <w:t>0.</w:t>
            </w:r>
            <w:r w:rsidRPr="00DA6AC4">
              <w:rPr>
                <w:rFonts w:eastAsia="Arial Unicode MS"/>
              </w:rPr>
              <w:t>2</w:t>
            </w:r>
            <w:r>
              <w:rPr>
                <w:rFonts w:eastAsia="Arial Unicode MS"/>
              </w:rPr>
              <w:t>26</w:t>
            </w:r>
          </w:p>
        </w:tc>
        <w:tc>
          <w:tcPr>
            <w:tcW w:w="625" w:type="pct"/>
            <w:tcBorders>
              <w:top w:val="nil"/>
              <w:left w:val="single" w:sz="4" w:space="0" w:color="A6A6A6" w:themeColor="background1" w:themeShade="A6"/>
            </w:tcBorders>
            <w:shd w:val="clear" w:color="auto" w:fill="auto"/>
            <w:noWrap/>
            <w:tcMar>
              <w:top w:w="0" w:type="dxa"/>
              <w:left w:w="28" w:type="dxa"/>
              <w:bottom w:w="0" w:type="dxa"/>
              <w:right w:w="28" w:type="dxa"/>
            </w:tcMar>
          </w:tcPr>
          <w:p w14:paraId="4F6653F9" w14:textId="77777777" w:rsidR="00FA6A1F" w:rsidRPr="007B2B87" w:rsidRDefault="00FA6A1F" w:rsidP="00C25919">
            <w:pPr>
              <w:pStyle w:val="TableText"/>
              <w:jc w:val="center"/>
              <w:rPr>
                <w:rFonts w:eastAsia="Arial Unicode MS"/>
              </w:rPr>
            </w:pPr>
            <w:r w:rsidRPr="007B2B87">
              <w:rPr>
                <w:rFonts w:eastAsia="Arial Unicode MS"/>
              </w:rPr>
              <w:t>0.</w:t>
            </w:r>
            <w:r w:rsidRPr="00DA6AC4">
              <w:rPr>
                <w:rFonts w:eastAsia="Arial Unicode MS"/>
              </w:rPr>
              <w:t>14</w:t>
            </w:r>
            <w:r>
              <w:rPr>
                <w:rFonts w:eastAsia="Arial Unicode MS"/>
              </w:rPr>
              <w:t>0</w:t>
            </w:r>
          </w:p>
        </w:tc>
        <w:tc>
          <w:tcPr>
            <w:tcW w:w="625" w:type="pct"/>
            <w:tcBorders>
              <w:top w:val="nil"/>
              <w:right w:val="single" w:sz="4" w:space="0" w:color="A6A6A6" w:themeColor="background1" w:themeShade="A6"/>
            </w:tcBorders>
            <w:shd w:val="clear" w:color="auto" w:fill="auto"/>
          </w:tcPr>
          <w:p w14:paraId="4F6653FA" w14:textId="77777777" w:rsidR="00FA6A1F" w:rsidRPr="007B2B87" w:rsidRDefault="00FA6A1F" w:rsidP="00C25919">
            <w:pPr>
              <w:pStyle w:val="TableText"/>
              <w:jc w:val="center"/>
              <w:rPr>
                <w:rFonts w:eastAsia="Arial Unicode MS"/>
              </w:rPr>
            </w:pPr>
            <w:r w:rsidRPr="007B2B87">
              <w:rPr>
                <w:rFonts w:eastAsia="Arial Unicode MS"/>
              </w:rPr>
              <w:t>0.</w:t>
            </w:r>
            <w:r>
              <w:rPr>
                <w:rFonts w:eastAsia="Arial Unicode MS"/>
              </w:rPr>
              <w:t>098</w:t>
            </w:r>
          </w:p>
        </w:tc>
        <w:tc>
          <w:tcPr>
            <w:tcW w:w="625" w:type="pct"/>
            <w:tcBorders>
              <w:top w:val="nil"/>
              <w:left w:val="single" w:sz="4" w:space="0" w:color="A6A6A6" w:themeColor="background1" w:themeShade="A6"/>
            </w:tcBorders>
            <w:shd w:val="clear" w:color="auto" w:fill="auto"/>
          </w:tcPr>
          <w:p w14:paraId="4F6653FB" w14:textId="77777777" w:rsidR="00FA6A1F" w:rsidRPr="007B2B87" w:rsidRDefault="00FA6A1F" w:rsidP="00C25919">
            <w:pPr>
              <w:pStyle w:val="TableText"/>
              <w:jc w:val="center"/>
              <w:rPr>
                <w:rFonts w:eastAsia="Arial Unicode MS"/>
              </w:rPr>
            </w:pPr>
            <w:r w:rsidRPr="007B2B87">
              <w:rPr>
                <w:rFonts w:eastAsia="Arial Unicode MS"/>
              </w:rPr>
              <w:t>0.</w:t>
            </w:r>
            <w:r w:rsidRPr="00DA6AC4">
              <w:rPr>
                <w:rFonts w:eastAsia="Arial Unicode MS"/>
              </w:rPr>
              <w:t>2</w:t>
            </w:r>
            <w:r>
              <w:rPr>
                <w:rFonts w:eastAsia="Arial Unicode MS"/>
              </w:rPr>
              <w:t>80</w:t>
            </w:r>
          </w:p>
        </w:tc>
        <w:tc>
          <w:tcPr>
            <w:tcW w:w="625" w:type="pct"/>
            <w:tcBorders>
              <w:top w:val="nil"/>
            </w:tcBorders>
            <w:shd w:val="clear" w:color="auto" w:fill="auto"/>
          </w:tcPr>
          <w:p w14:paraId="4F6653FC" w14:textId="77777777" w:rsidR="00FA6A1F" w:rsidRPr="007B2B87" w:rsidRDefault="00FA6A1F" w:rsidP="00C25919">
            <w:pPr>
              <w:pStyle w:val="TableText"/>
              <w:jc w:val="center"/>
              <w:rPr>
                <w:rFonts w:eastAsia="Arial Unicode MS"/>
              </w:rPr>
            </w:pPr>
            <w:r w:rsidRPr="007B2B87">
              <w:rPr>
                <w:rFonts w:eastAsia="Arial Unicode MS"/>
              </w:rPr>
              <w:t>0.</w:t>
            </w:r>
            <w:r w:rsidRPr="00DA6AC4">
              <w:rPr>
                <w:rFonts w:eastAsia="Arial Unicode MS"/>
              </w:rPr>
              <w:t>1</w:t>
            </w:r>
            <w:r>
              <w:rPr>
                <w:rFonts w:eastAsia="Arial Unicode MS"/>
              </w:rPr>
              <w:t>24</w:t>
            </w:r>
          </w:p>
        </w:tc>
      </w:tr>
    </w:tbl>
    <w:p w14:paraId="4F6653FE" w14:textId="77777777" w:rsidR="00C25919" w:rsidRDefault="00C25919" w:rsidP="00C25919"/>
    <w:p w14:paraId="4F6653FF" w14:textId="77777777" w:rsidR="008303C6" w:rsidRDefault="00FA6A1F" w:rsidP="00C25919">
      <w:r w:rsidRPr="00E312E8">
        <w:t xml:space="preserve">The top line of the </w:t>
      </w:r>
      <w:r>
        <w:t xml:space="preserve">levy </w:t>
      </w:r>
      <w:r w:rsidRPr="00E312E8">
        <w:t xml:space="preserve">formula determines the amount </w:t>
      </w:r>
      <w:r>
        <w:t>each sector shall pay.</w:t>
      </w:r>
      <w:r w:rsidRPr="00E312E8">
        <w:t xml:space="preserve"> When a sector</w:t>
      </w:r>
      <w:r w:rsidR="008303C6">
        <w:t>’</w:t>
      </w:r>
      <w:r w:rsidRPr="00E312E8">
        <w:t>s proportion of expenditure is substantially different from its proportion of presentations</w:t>
      </w:r>
      <w:r>
        <w:t xml:space="preserve"> (</w:t>
      </w:r>
      <w:r w:rsidRPr="00D65DD0">
        <w:t>W1</w:t>
      </w:r>
      <w:r w:rsidRPr="00792FE4">
        <w:t xml:space="preserve"> </w:t>
      </w:r>
      <w:r w:rsidRPr="00E312E8">
        <w:t xml:space="preserve">and </w:t>
      </w:r>
      <w:r w:rsidRPr="00D65DD0">
        <w:t>W2</w:t>
      </w:r>
      <w:r>
        <w:t xml:space="preserve"> respectively</w:t>
      </w:r>
      <w:r w:rsidRPr="00D65DD0">
        <w:t>)</w:t>
      </w:r>
      <w:r w:rsidRPr="00C10A99">
        <w:t>, the weighting between expenditure and presentations is critical to determin</w:t>
      </w:r>
      <w:r>
        <w:t xml:space="preserve">e how much each </w:t>
      </w:r>
      <w:r w:rsidRPr="00C10A99">
        <w:t>sector will be required to pay</w:t>
      </w:r>
      <w:r>
        <w:t>.</w:t>
      </w:r>
    </w:p>
    <w:p w14:paraId="4F665400" w14:textId="77777777" w:rsidR="00C25919" w:rsidRDefault="00C25919" w:rsidP="00C25919"/>
    <w:p w14:paraId="4F665401" w14:textId="77777777" w:rsidR="00FA6A1F" w:rsidRPr="00E0156C" w:rsidRDefault="00FA6A1F" w:rsidP="00F27BD7">
      <w:pPr>
        <w:pStyle w:val="Heading2"/>
      </w:pPr>
      <w:bookmarkStart w:id="272" w:name="_Toc71102187"/>
      <w:bookmarkStart w:id="273" w:name="_Toc78882324"/>
      <w:bookmarkStart w:id="274" w:name="_Toc80965862"/>
      <w:r>
        <w:t>Options</w:t>
      </w:r>
      <w:bookmarkEnd w:id="272"/>
      <w:bookmarkEnd w:id="273"/>
      <w:bookmarkEnd w:id="274"/>
    </w:p>
    <w:p w14:paraId="4F665402" w14:textId="77777777" w:rsidR="00FA6A1F" w:rsidRPr="00E0156C" w:rsidRDefault="00FA6A1F" w:rsidP="00F27BD7">
      <w:pPr>
        <w:pStyle w:val="Heading3"/>
      </w:pPr>
      <w:bookmarkStart w:id="275" w:name="_Toc65389480"/>
      <w:bookmarkStart w:id="276" w:name="_Toc230066537"/>
      <w:bookmarkStart w:id="277" w:name="_Toc329860065"/>
      <w:bookmarkStart w:id="278" w:name="_Toc421026480"/>
      <w:bookmarkStart w:id="279" w:name="_Toc517090914"/>
      <w:bookmarkStart w:id="280" w:name="_Toc522089416"/>
      <w:bookmarkStart w:id="281" w:name="_Toc61962075"/>
      <w:bookmarkStart w:id="282" w:name="_Toc71102188"/>
      <w:bookmarkStart w:id="283" w:name="_Toc78882325"/>
      <w:bookmarkEnd w:id="239"/>
      <w:r w:rsidRPr="00C10A99">
        <w:t>Levy calculations</w:t>
      </w:r>
      <w:bookmarkEnd w:id="275"/>
      <w:bookmarkEnd w:id="276"/>
      <w:bookmarkEnd w:id="277"/>
      <w:bookmarkEnd w:id="278"/>
      <w:bookmarkEnd w:id="279"/>
      <w:bookmarkEnd w:id="280"/>
      <w:bookmarkEnd w:id="281"/>
      <w:r>
        <w:t xml:space="preserve"> for each option</w:t>
      </w:r>
      <w:bookmarkEnd w:id="282"/>
      <w:bookmarkEnd w:id="283"/>
    </w:p>
    <w:p w14:paraId="4F665403" w14:textId="77777777" w:rsidR="00FA6A1F" w:rsidRDefault="00FA6A1F" w:rsidP="00F27BD7">
      <w:r w:rsidRPr="00A32BB8">
        <w:t>Tables 1</w:t>
      </w:r>
      <w:r>
        <w:t>4</w:t>
      </w:r>
      <w:r w:rsidRPr="00A32BB8">
        <w:t>–1</w:t>
      </w:r>
      <w:r>
        <w:t xml:space="preserve">7 </w:t>
      </w:r>
      <w:r w:rsidRPr="009A6D57">
        <w:t xml:space="preserve">set out the implications </w:t>
      </w:r>
      <w:r>
        <w:t xml:space="preserve">for </w:t>
      </w:r>
      <w:r w:rsidRPr="00E312E8">
        <w:t xml:space="preserve">each of the four alternative </w:t>
      </w:r>
      <w:r>
        <w:t xml:space="preserve">levy </w:t>
      </w:r>
      <w:r w:rsidRPr="00E312E8">
        <w:t>weightings</w:t>
      </w:r>
      <w:r>
        <w:t xml:space="preserve"> 5/95, 10/90, 20/80 and 30/70</w:t>
      </w:r>
      <w:r w:rsidRPr="003D2737">
        <w:t xml:space="preserve"> </w:t>
      </w:r>
      <w:r>
        <w:t xml:space="preserve">respectively, </w:t>
      </w:r>
      <w:r w:rsidRPr="009A6D57">
        <w:t>based on an appropriation of $</w:t>
      </w:r>
      <w:r>
        <w:t>67.374</w:t>
      </w:r>
      <w:r w:rsidR="00F27BD7">
        <w:t> </w:t>
      </w:r>
      <w:r w:rsidRPr="009A6D57">
        <w:t>million to the Ministry for problem gambling activities for 20</w:t>
      </w:r>
      <w:r>
        <w:t>22</w:t>
      </w:r>
      <w:r w:rsidRPr="009A6D57">
        <w:t>/2</w:t>
      </w:r>
      <w:r>
        <w:t xml:space="preserve">3 to </w:t>
      </w:r>
      <w:r w:rsidRPr="009A6D57">
        <w:t>202</w:t>
      </w:r>
      <w:r>
        <w:t>4</w:t>
      </w:r>
      <w:r w:rsidRPr="009A6D57">
        <w:t>/2</w:t>
      </w:r>
      <w:r>
        <w:t xml:space="preserve">5. Each table shows the levy rate per sector and the expected amount of </w:t>
      </w:r>
      <w:r w:rsidRPr="009A6D57">
        <w:t>levy payments over the three</w:t>
      </w:r>
      <w:r>
        <w:t>-</w:t>
      </w:r>
      <w:r w:rsidRPr="009A6D57">
        <w:t>year period</w:t>
      </w:r>
      <w:r>
        <w:t xml:space="preserve"> and compares these with each sector</w:t>
      </w:r>
      <w:r w:rsidR="008303C6">
        <w:t>’</w:t>
      </w:r>
      <w:r>
        <w:t>s levy payments for the current levy period. A positive figure indicates that the sector is expected to pay more in the next levy period, and a negative figure indicates that the sector is expected to pay less.</w:t>
      </w:r>
    </w:p>
    <w:p w14:paraId="4F665404" w14:textId="77777777" w:rsidR="00F27BD7" w:rsidRDefault="00F27BD7" w:rsidP="00F27BD7"/>
    <w:p w14:paraId="4F665405" w14:textId="038CC764" w:rsidR="00FA6A1F" w:rsidRDefault="00F27BD7" w:rsidP="00F27BD7">
      <w:pPr>
        <w:pStyle w:val="Table"/>
      </w:pPr>
      <w:bookmarkStart w:id="284" w:name="_Toc517091249"/>
      <w:bookmarkStart w:id="285" w:name="_Toc522089453"/>
      <w:bookmarkStart w:id="286" w:name="_Toc80860358"/>
      <w:bookmarkStart w:id="287" w:name="_Toc130198439"/>
      <w:bookmarkStart w:id="288" w:name="_Toc230066538"/>
      <w:r>
        <w:t>Table </w:t>
      </w:r>
      <w:fldSimple w:instr=" SEQ Table \* ARABIC ">
        <w:r w:rsidR="00F65B3A">
          <w:rPr>
            <w:noProof/>
          </w:rPr>
          <w:t>14</w:t>
        </w:r>
      </w:fldSimple>
      <w:r w:rsidR="00FA6A1F" w:rsidRPr="00440704">
        <w:t xml:space="preserve">: Estimated </w:t>
      </w:r>
      <w:r w:rsidR="00FA6A1F" w:rsidRPr="00A15C4B">
        <w:t>levy</w:t>
      </w:r>
      <w:r w:rsidR="00FA6A1F" w:rsidRPr="00440704">
        <w:t xml:space="preserve"> rates and payments ($m) per sector</w:t>
      </w:r>
      <w:r w:rsidR="00FA6A1F">
        <w:t>,</w:t>
      </w:r>
      <w:r w:rsidR="00FA6A1F" w:rsidRPr="00440704">
        <w:t xml:space="preserve"> 5/95 weighting</w:t>
      </w:r>
      <w:bookmarkEnd w:id="284"/>
      <w:bookmarkEnd w:id="285"/>
      <w:bookmarkEnd w:id="286"/>
    </w:p>
    <w:tbl>
      <w:tblPr>
        <w:tblW w:w="4940" w:type="pct"/>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3218"/>
        <w:gridCol w:w="977"/>
        <w:gridCol w:w="977"/>
        <w:gridCol w:w="977"/>
        <w:gridCol w:w="1833"/>
      </w:tblGrid>
      <w:tr w:rsidR="00FA6A1F" w:rsidRPr="00F27BD7" w14:paraId="4F66540B" w14:textId="77777777" w:rsidTr="00F27BD7">
        <w:trPr>
          <w:cantSplit/>
        </w:trPr>
        <w:tc>
          <w:tcPr>
            <w:tcW w:w="2015" w:type="pct"/>
            <w:tcBorders>
              <w:top w:val="nil"/>
              <w:bottom w:val="nil"/>
            </w:tcBorders>
            <w:shd w:val="clear" w:color="auto" w:fill="D9D9D9" w:themeFill="background1" w:themeFillShade="D9"/>
            <w:tcMar>
              <w:top w:w="0" w:type="dxa"/>
              <w:left w:w="57" w:type="dxa"/>
              <w:bottom w:w="0" w:type="dxa"/>
              <w:right w:w="57" w:type="dxa"/>
            </w:tcMar>
          </w:tcPr>
          <w:p w14:paraId="4F665406" w14:textId="77777777" w:rsidR="00FA6A1F" w:rsidRPr="00F27BD7" w:rsidRDefault="00FA6A1F" w:rsidP="00F27BD7">
            <w:pPr>
              <w:pStyle w:val="TableText"/>
              <w:rPr>
                <w:rFonts w:eastAsia="Arial Unicode MS"/>
                <w:b/>
              </w:rPr>
            </w:pPr>
            <w:r w:rsidRPr="00F27BD7">
              <w:rPr>
                <w:rFonts w:eastAsia="Arial Unicode MS"/>
                <w:b/>
              </w:rPr>
              <w:t>Collection period starts 1 July 2022 (all GST exclusive)</w:t>
            </w:r>
          </w:p>
        </w:tc>
        <w:tc>
          <w:tcPr>
            <w:tcW w:w="612" w:type="pct"/>
            <w:tcBorders>
              <w:top w:val="nil"/>
              <w:bottom w:val="nil"/>
            </w:tcBorders>
            <w:shd w:val="clear" w:color="auto" w:fill="D9D9D9" w:themeFill="background1" w:themeFillShade="D9"/>
            <w:tcMar>
              <w:top w:w="0" w:type="dxa"/>
              <w:left w:w="108" w:type="dxa"/>
              <w:bottom w:w="0" w:type="dxa"/>
              <w:right w:w="108" w:type="dxa"/>
            </w:tcMar>
          </w:tcPr>
          <w:p w14:paraId="4F665407" w14:textId="77777777" w:rsidR="00FA6A1F" w:rsidRPr="00F27BD7" w:rsidRDefault="00FA6A1F" w:rsidP="00F27BD7">
            <w:pPr>
              <w:pStyle w:val="TableText"/>
              <w:jc w:val="center"/>
              <w:rPr>
                <w:rFonts w:eastAsia="Arial Unicode MS"/>
                <w:b/>
              </w:rPr>
            </w:pPr>
            <w:r w:rsidRPr="00F27BD7">
              <w:rPr>
                <w:rFonts w:eastAsia="Arial Unicode MS"/>
                <w:b/>
              </w:rPr>
              <w:t>NCGMs</w:t>
            </w:r>
          </w:p>
        </w:tc>
        <w:tc>
          <w:tcPr>
            <w:tcW w:w="612" w:type="pct"/>
            <w:tcBorders>
              <w:top w:val="nil"/>
              <w:bottom w:val="nil"/>
            </w:tcBorders>
            <w:shd w:val="clear" w:color="auto" w:fill="D9D9D9" w:themeFill="background1" w:themeFillShade="D9"/>
            <w:tcMar>
              <w:top w:w="0" w:type="dxa"/>
              <w:left w:w="108" w:type="dxa"/>
              <w:bottom w:w="0" w:type="dxa"/>
              <w:right w:w="108" w:type="dxa"/>
            </w:tcMar>
          </w:tcPr>
          <w:p w14:paraId="4F665408" w14:textId="77777777" w:rsidR="00FA6A1F" w:rsidRPr="00F27BD7" w:rsidRDefault="00FA6A1F" w:rsidP="00F27BD7">
            <w:pPr>
              <w:pStyle w:val="TableText"/>
              <w:jc w:val="center"/>
              <w:rPr>
                <w:rFonts w:eastAsia="Arial Unicode MS"/>
                <w:b/>
              </w:rPr>
            </w:pPr>
            <w:r w:rsidRPr="00F27BD7">
              <w:rPr>
                <w:rFonts w:eastAsia="Arial Unicode MS"/>
                <w:b/>
              </w:rPr>
              <w:t>Casinos</w:t>
            </w:r>
          </w:p>
        </w:tc>
        <w:tc>
          <w:tcPr>
            <w:tcW w:w="612" w:type="pct"/>
            <w:tcBorders>
              <w:top w:val="nil"/>
              <w:bottom w:val="nil"/>
            </w:tcBorders>
            <w:shd w:val="clear" w:color="auto" w:fill="D9D9D9" w:themeFill="background1" w:themeFillShade="D9"/>
            <w:tcMar>
              <w:top w:w="0" w:type="dxa"/>
              <w:left w:w="108" w:type="dxa"/>
              <w:bottom w:w="0" w:type="dxa"/>
              <w:right w:w="108" w:type="dxa"/>
            </w:tcMar>
          </w:tcPr>
          <w:p w14:paraId="4F665409" w14:textId="77777777" w:rsidR="00FA6A1F" w:rsidRPr="00F27BD7" w:rsidRDefault="00FA6A1F" w:rsidP="00F27BD7">
            <w:pPr>
              <w:pStyle w:val="TableText"/>
              <w:jc w:val="center"/>
              <w:rPr>
                <w:rFonts w:eastAsia="Arial Unicode MS"/>
                <w:b/>
              </w:rPr>
            </w:pPr>
            <w:r w:rsidRPr="00F27BD7">
              <w:rPr>
                <w:rFonts w:eastAsia="Arial Unicode MS"/>
                <w:b/>
              </w:rPr>
              <w:t>TAB NZ</w:t>
            </w:r>
          </w:p>
        </w:tc>
        <w:tc>
          <w:tcPr>
            <w:tcW w:w="1148" w:type="pct"/>
            <w:tcBorders>
              <w:top w:val="nil"/>
              <w:bottom w:val="nil"/>
            </w:tcBorders>
            <w:shd w:val="clear" w:color="auto" w:fill="D9D9D9" w:themeFill="background1" w:themeFillShade="D9"/>
          </w:tcPr>
          <w:p w14:paraId="4F66540A" w14:textId="77777777" w:rsidR="00FA6A1F" w:rsidRPr="00F27BD7" w:rsidRDefault="00FA6A1F" w:rsidP="00F27BD7">
            <w:pPr>
              <w:pStyle w:val="TableText"/>
              <w:jc w:val="center"/>
              <w:rPr>
                <w:rFonts w:eastAsia="Arial Unicode MS"/>
                <w:b/>
              </w:rPr>
            </w:pPr>
            <w:r w:rsidRPr="00F27BD7">
              <w:rPr>
                <w:rFonts w:eastAsia="Arial Unicode MS"/>
                <w:b/>
              </w:rPr>
              <w:t>Lotto New Zealand</w:t>
            </w:r>
          </w:p>
        </w:tc>
      </w:tr>
      <w:tr w:rsidR="00FA6A1F" w:rsidRPr="00092A9A" w14:paraId="4F665411" w14:textId="77777777" w:rsidTr="00F27BD7">
        <w:trPr>
          <w:cantSplit/>
        </w:trPr>
        <w:tc>
          <w:tcPr>
            <w:tcW w:w="2015" w:type="pct"/>
            <w:tcBorders>
              <w:top w:val="nil"/>
              <w:bottom w:val="single" w:sz="4" w:space="0" w:color="BFBFBF" w:themeColor="background1" w:themeShade="BF"/>
            </w:tcBorders>
            <w:shd w:val="clear" w:color="auto" w:fill="auto"/>
            <w:noWrap/>
            <w:tcMar>
              <w:top w:w="0" w:type="dxa"/>
              <w:left w:w="57" w:type="dxa"/>
              <w:bottom w:w="0" w:type="dxa"/>
              <w:right w:w="57" w:type="dxa"/>
            </w:tcMar>
          </w:tcPr>
          <w:p w14:paraId="4F66540C" w14:textId="77777777" w:rsidR="00FA6A1F" w:rsidRPr="0003777A" w:rsidRDefault="00FA6A1F" w:rsidP="00F27BD7">
            <w:pPr>
              <w:pStyle w:val="TableText"/>
              <w:rPr>
                <w:rFonts w:eastAsia="Arial Unicode MS"/>
              </w:rPr>
            </w:pPr>
            <w:r w:rsidRPr="0003777A">
              <w:rPr>
                <w:rFonts w:eastAsia="Arial Unicode MS"/>
              </w:rPr>
              <w:t>Sector levy rates (%)</w:t>
            </w:r>
          </w:p>
        </w:tc>
        <w:tc>
          <w:tcPr>
            <w:tcW w:w="612" w:type="pct"/>
            <w:tcBorders>
              <w:top w:val="nil"/>
              <w:left w:val="nil"/>
              <w:bottom w:val="single" w:sz="4" w:space="0" w:color="A6A6A6" w:themeColor="background1" w:themeShade="A6"/>
              <w:right w:val="nil"/>
            </w:tcBorders>
            <w:shd w:val="clear" w:color="auto" w:fill="auto"/>
            <w:noWrap/>
            <w:tcMar>
              <w:top w:w="0" w:type="dxa"/>
              <w:left w:w="108" w:type="dxa"/>
              <w:bottom w:w="0" w:type="dxa"/>
              <w:right w:w="108" w:type="dxa"/>
            </w:tcMar>
          </w:tcPr>
          <w:p w14:paraId="4F66540D" w14:textId="77777777" w:rsidR="00FA6A1F" w:rsidRPr="0003777A" w:rsidRDefault="00FA6A1F" w:rsidP="00F27BD7">
            <w:pPr>
              <w:pStyle w:val="TableText"/>
              <w:jc w:val="center"/>
              <w:rPr>
                <w:rFonts w:eastAsia="Arial Unicode MS"/>
              </w:rPr>
            </w:pPr>
            <w:r w:rsidRPr="0003777A">
              <w:t>1.04</w:t>
            </w:r>
          </w:p>
        </w:tc>
        <w:tc>
          <w:tcPr>
            <w:tcW w:w="612" w:type="pct"/>
            <w:tcBorders>
              <w:top w:val="nil"/>
              <w:left w:val="nil"/>
              <w:bottom w:val="single" w:sz="4" w:space="0" w:color="A6A6A6" w:themeColor="background1" w:themeShade="A6"/>
              <w:right w:val="nil"/>
            </w:tcBorders>
            <w:shd w:val="clear" w:color="auto" w:fill="auto"/>
            <w:noWrap/>
            <w:tcMar>
              <w:top w:w="0" w:type="dxa"/>
              <w:left w:w="108" w:type="dxa"/>
              <w:bottom w:w="0" w:type="dxa"/>
              <w:right w:w="108" w:type="dxa"/>
            </w:tcMar>
          </w:tcPr>
          <w:p w14:paraId="4F66540E" w14:textId="77777777" w:rsidR="00FA6A1F" w:rsidRPr="0003777A" w:rsidRDefault="00FA6A1F" w:rsidP="00F27BD7">
            <w:pPr>
              <w:pStyle w:val="TableText"/>
              <w:jc w:val="center"/>
              <w:rPr>
                <w:rFonts w:eastAsia="Arial Unicode MS"/>
              </w:rPr>
            </w:pPr>
            <w:r w:rsidRPr="0003777A">
              <w:t>0.81</w:t>
            </w:r>
          </w:p>
        </w:tc>
        <w:tc>
          <w:tcPr>
            <w:tcW w:w="612" w:type="pct"/>
            <w:tcBorders>
              <w:top w:val="nil"/>
              <w:left w:val="nil"/>
              <w:bottom w:val="single" w:sz="4" w:space="0" w:color="A6A6A6" w:themeColor="background1" w:themeShade="A6"/>
              <w:right w:val="nil"/>
            </w:tcBorders>
            <w:shd w:val="clear" w:color="auto" w:fill="auto"/>
            <w:noWrap/>
            <w:tcMar>
              <w:top w:w="0" w:type="dxa"/>
              <w:left w:w="108" w:type="dxa"/>
              <w:bottom w:w="0" w:type="dxa"/>
              <w:right w:w="108" w:type="dxa"/>
            </w:tcMar>
          </w:tcPr>
          <w:p w14:paraId="4F66540F" w14:textId="77777777" w:rsidR="00FA6A1F" w:rsidRPr="0003777A" w:rsidRDefault="00FA6A1F" w:rsidP="00F27BD7">
            <w:pPr>
              <w:pStyle w:val="TableText"/>
              <w:jc w:val="center"/>
              <w:rPr>
                <w:rFonts w:eastAsia="Arial Unicode MS"/>
              </w:rPr>
            </w:pPr>
            <w:r w:rsidRPr="0003777A">
              <w:t>0.64</w:t>
            </w:r>
          </w:p>
        </w:tc>
        <w:tc>
          <w:tcPr>
            <w:tcW w:w="1148" w:type="pct"/>
            <w:tcBorders>
              <w:top w:val="nil"/>
              <w:left w:val="nil"/>
              <w:bottom w:val="single" w:sz="4" w:space="0" w:color="A6A6A6" w:themeColor="background1" w:themeShade="A6"/>
              <w:right w:val="nil"/>
            </w:tcBorders>
            <w:shd w:val="clear" w:color="auto" w:fill="auto"/>
          </w:tcPr>
          <w:p w14:paraId="4F665410" w14:textId="77777777" w:rsidR="00FA6A1F" w:rsidRPr="0003777A" w:rsidRDefault="00FA6A1F" w:rsidP="00F27BD7">
            <w:pPr>
              <w:pStyle w:val="TableText"/>
              <w:jc w:val="center"/>
              <w:rPr>
                <w:rFonts w:eastAsia="Arial Unicode MS"/>
              </w:rPr>
            </w:pPr>
            <w:r w:rsidRPr="0003777A">
              <w:t>0.31</w:t>
            </w:r>
          </w:p>
        </w:tc>
      </w:tr>
      <w:tr w:rsidR="00FA6A1F" w:rsidRPr="00092A9A" w14:paraId="4F665417" w14:textId="77777777" w:rsidTr="00F27BD7">
        <w:trPr>
          <w:cantSplit/>
        </w:trPr>
        <w:tc>
          <w:tcPr>
            <w:tcW w:w="2015" w:type="pct"/>
            <w:tcBorders>
              <w:top w:val="single" w:sz="4" w:space="0" w:color="BFBFBF" w:themeColor="background1" w:themeShade="BF"/>
              <w:bottom w:val="single" w:sz="4" w:space="0" w:color="BFBFBF" w:themeColor="background1" w:themeShade="BF"/>
            </w:tcBorders>
            <w:shd w:val="clear" w:color="auto" w:fill="auto"/>
            <w:noWrap/>
            <w:tcMar>
              <w:top w:w="0" w:type="dxa"/>
              <w:left w:w="57" w:type="dxa"/>
              <w:bottom w:w="0" w:type="dxa"/>
              <w:right w:w="57" w:type="dxa"/>
            </w:tcMar>
          </w:tcPr>
          <w:p w14:paraId="4F665412" w14:textId="77777777" w:rsidR="00FA6A1F" w:rsidRPr="0003777A" w:rsidRDefault="00FA6A1F" w:rsidP="00F27BD7">
            <w:pPr>
              <w:pStyle w:val="TableText"/>
              <w:rPr>
                <w:rFonts w:eastAsia="Arial Unicode MS"/>
              </w:rPr>
            </w:pPr>
            <w:r w:rsidRPr="0003777A">
              <w:rPr>
                <w:rFonts w:eastAsia="Arial Unicode MS"/>
              </w:rPr>
              <w:t>Expected levy payment ($m)</w:t>
            </w:r>
          </w:p>
        </w:tc>
        <w:tc>
          <w:tcPr>
            <w:tcW w:w="612" w:type="pct"/>
            <w:tcBorders>
              <w:top w:val="single" w:sz="4" w:space="0" w:color="A6A6A6" w:themeColor="background1" w:themeShade="A6"/>
              <w:left w:val="nil"/>
              <w:bottom w:val="single" w:sz="4" w:space="0" w:color="A6A6A6" w:themeColor="background1" w:themeShade="A6"/>
              <w:right w:val="nil"/>
            </w:tcBorders>
            <w:shd w:val="clear" w:color="auto" w:fill="auto"/>
            <w:noWrap/>
            <w:tcMar>
              <w:top w:w="0" w:type="dxa"/>
              <w:left w:w="108" w:type="dxa"/>
              <w:bottom w:w="0" w:type="dxa"/>
              <w:right w:w="108" w:type="dxa"/>
            </w:tcMar>
          </w:tcPr>
          <w:p w14:paraId="4F665413" w14:textId="77777777" w:rsidR="00FA6A1F" w:rsidRPr="0003777A" w:rsidRDefault="00FA6A1F" w:rsidP="00F27BD7">
            <w:pPr>
              <w:pStyle w:val="TableText"/>
              <w:jc w:val="center"/>
              <w:rPr>
                <w:rFonts w:eastAsia="Arial Unicode MS"/>
              </w:rPr>
            </w:pPr>
            <w:r w:rsidRPr="0003777A">
              <w:t>33.405</w:t>
            </w:r>
          </w:p>
        </w:tc>
        <w:tc>
          <w:tcPr>
            <w:tcW w:w="612" w:type="pct"/>
            <w:tcBorders>
              <w:top w:val="single" w:sz="4" w:space="0" w:color="A6A6A6" w:themeColor="background1" w:themeShade="A6"/>
              <w:left w:val="nil"/>
              <w:bottom w:val="single" w:sz="4" w:space="0" w:color="A6A6A6" w:themeColor="background1" w:themeShade="A6"/>
              <w:right w:val="nil"/>
            </w:tcBorders>
            <w:shd w:val="clear" w:color="auto" w:fill="auto"/>
            <w:noWrap/>
            <w:tcMar>
              <w:top w:w="0" w:type="dxa"/>
              <w:left w:w="108" w:type="dxa"/>
              <w:bottom w:w="0" w:type="dxa"/>
              <w:right w:w="108" w:type="dxa"/>
            </w:tcMar>
          </w:tcPr>
          <w:p w14:paraId="4F665414" w14:textId="77777777" w:rsidR="00FA6A1F" w:rsidRPr="0003777A" w:rsidRDefault="00FA6A1F" w:rsidP="00F27BD7">
            <w:pPr>
              <w:pStyle w:val="TableText"/>
              <w:jc w:val="center"/>
              <w:rPr>
                <w:rFonts w:eastAsia="Arial Unicode MS"/>
              </w:rPr>
            </w:pPr>
            <w:r w:rsidRPr="0003777A">
              <w:t>15.316</w:t>
            </w:r>
          </w:p>
        </w:tc>
        <w:tc>
          <w:tcPr>
            <w:tcW w:w="612" w:type="pct"/>
            <w:tcBorders>
              <w:top w:val="single" w:sz="4" w:space="0" w:color="A6A6A6" w:themeColor="background1" w:themeShade="A6"/>
              <w:left w:val="nil"/>
              <w:bottom w:val="single" w:sz="4" w:space="0" w:color="A6A6A6" w:themeColor="background1" w:themeShade="A6"/>
              <w:right w:val="nil"/>
            </w:tcBorders>
            <w:shd w:val="clear" w:color="auto" w:fill="auto"/>
            <w:noWrap/>
            <w:tcMar>
              <w:top w:w="0" w:type="dxa"/>
              <w:left w:w="108" w:type="dxa"/>
              <w:bottom w:w="0" w:type="dxa"/>
              <w:right w:w="108" w:type="dxa"/>
            </w:tcMar>
          </w:tcPr>
          <w:p w14:paraId="4F665415" w14:textId="77777777" w:rsidR="00FA6A1F" w:rsidRPr="0003777A" w:rsidRDefault="00FA6A1F" w:rsidP="00F27BD7">
            <w:pPr>
              <w:pStyle w:val="TableText"/>
              <w:jc w:val="center"/>
              <w:rPr>
                <w:rFonts w:eastAsia="Arial Unicode MS"/>
              </w:rPr>
            </w:pPr>
            <w:r w:rsidRPr="0003777A">
              <w:t>7.018</w:t>
            </w:r>
          </w:p>
        </w:tc>
        <w:tc>
          <w:tcPr>
            <w:tcW w:w="1148" w:type="pct"/>
            <w:tcBorders>
              <w:top w:val="single" w:sz="4" w:space="0" w:color="A6A6A6" w:themeColor="background1" w:themeShade="A6"/>
              <w:left w:val="nil"/>
              <w:bottom w:val="single" w:sz="4" w:space="0" w:color="A6A6A6" w:themeColor="background1" w:themeShade="A6"/>
              <w:right w:val="nil"/>
            </w:tcBorders>
            <w:shd w:val="clear" w:color="auto" w:fill="auto"/>
          </w:tcPr>
          <w:p w14:paraId="4F665416" w14:textId="77777777" w:rsidR="00FA6A1F" w:rsidRPr="0003777A" w:rsidRDefault="00FA6A1F" w:rsidP="00F27BD7">
            <w:pPr>
              <w:pStyle w:val="TableText"/>
              <w:jc w:val="center"/>
              <w:rPr>
                <w:rFonts w:eastAsia="Arial Unicode MS"/>
              </w:rPr>
            </w:pPr>
            <w:r w:rsidRPr="0003777A">
              <w:t>7.370</w:t>
            </w:r>
          </w:p>
        </w:tc>
      </w:tr>
      <w:tr w:rsidR="00FA6A1F" w:rsidRPr="00092A9A" w14:paraId="4F66541D" w14:textId="77777777" w:rsidTr="00F27BD7">
        <w:trPr>
          <w:cantSplit/>
        </w:trPr>
        <w:tc>
          <w:tcPr>
            <w:tcW w:w="2015" w:type="pct"/>
            <w:tcBorders>
              <w:top w:val="single" w:sz="4" w:space="0" w:color="BFBFBF" w:themeColor="background1" w:themeShade="BF"/>
              <w:bottom w:val="single" w:sz="4" w:space="0" w:color="A6A6A6" w:themeColor="background1" w:themeShade="A6"/>
            </w:tcBorders>
            <w:shd w:val="clear" w:color="auto" w:fill="auto"/>
            <w:noWrap/>
            <w:tcMar>
              <w:top w:w="0" w:type="dxa"/>
              <w:left w:w="57" w:type="dxa"/>
              <w:bottom w:w="0" w:type="dxa"/>
              <w:right w:w="57" w:type="dxa"/>
            </w:tcMar>
          </w:tcPr>
          <w:p w14:paraId="4F665418" w14:textId="77777777" w:rsidR="00FA6A1F" w:rsidRPr="0003777A" w:rsidRDefault="00FA6A1F" w:rsidP="00F27BD7">
            <w:pPr>
              <w:pStyle w:val="TableText"/>
              <w:rPr>
                <w:rFonts w:eastAsia="Arial Unicode MS"/>
              </w:rPr>
            </w:pPr>
            <w:r w:rsidRPr="0003777A">
              <w:rPr>
                <w:rFonts w:eastAsia="Arial Unicode MS"/>
              </w:rPr>
              <w:t>($m) Comparison with current levy payments (negative = less)</w:t>
            </w:r>
          </w:p>
        </w:tc>
        <w:tc>
          <w:tcPr>
            <w:tcW w:w="612" w:type="pct"/>
            <w:tcBorders>
              <w:top w:val="single" w:sz="4" w:space="0" w:color="A6A6A6" w:themeColor="background1" w:themeShade="A6"/>
              <w:left w:val="nil"/>
              <w:bottom w:val="single" w:sz="4" w:space="0" w:color="A6A6A6" w:themeColor="background1" w:themeShade="A6"/>
              <w:right w:val="nil"/>
            </w:tcBorders>
            <w:shd w:val="clear" w:color="auto" w:fill="auto"/>
            <w:noWrap/>
            <w:tcMar>
              <w:top w:w="0" w:type="dxa"/>
              <w:left w:w="108" w:type="dxa"/>
              <w:bottom w:w="0" w:type="dxa"/>
              <w:right w:w="108" w:type="dxa"/>
            </w:tcMar>
          </w:tcPr>
          <w:p w14:paraId="4F665419" w14:textId="77777777" w:rsidR="00FA6A1F" w:rsidRPr="0003777A" w:rsidRDefault="00FA6A1F" w:rsidP="00F27BD7">
            <w:pPr>
              <w:pStyle w:val="TableText"/>
              <w:jc w:val="center"/>
              <w:rPr>
                <w:rFonts w:eastAsia="Arial Unicode MS"/>
              </w:rPr>
            </w:pPr>
            <w:r w:rsidRPr="0003777A">
              <w:t>10.438</w:t>
            </w:r>
          </w:p>
        </w:tc>
        <w:tc>
          <w:tcPr>
            <w:tcW w:w="612" w:type="pct"/>
            <w:tcBorders>
              <w:top w:val="single" w:sz="4" w:space="0" w:color="A6A6A6" w:themeColor="background1" w:themeShade="A6"/>
              <w:left w:val="nil"/>
              <w:bottom w:val="single" w:sz="4" w:space="0" w:color="A6A6A6" w:themeColor="background1" w:themeShade="A6"/>
              <w:right w:val="nil"/>
            </w:tcBorders>
            <w:shd w:val="clear" w:color="auto" w:fill="auto"/>
            <w:noWrap/>
            <w:tcMar>
              <w:top w:w="0" w:type="dxa"/>
              <w:left w:w="108" w:type="dxa"/>
              <w:bottom w:w="0" w:type="dxa"/>
              <w:right w:w="108" w:type="dxa"/>
            </w:tcMar>
          </w:tcPr>
          <w:p w14:paraId="4F66541A" w14:textId="77777777" w:rsidR="00FA6A1F" w:rsidRPr="0003777A" w:rsidRDefault="00FA6A1F" w:rsidP="00F27BD7">
            <w:pPr>
              <w:pStyle w:val="TableText"/>
              <w:jc w:val="center"/>
              <w:rPr>
                <w:rFonts w:eastAsia="Arial Unicode MS"/>
              </w:rPr>
            </w:pPr>
            <w:r w:rsidRPr="0003777A">
              <w:t>4.103</w:t>
            </w:r>
          </w:p>
        </w:tc>
        <w:tc>
          <w:tcPr>
            <w:tcW w:w="612" w:type="pct"/>
            <w:tcBorders>
              <w:top w:val="single" w:sz="4" w:space="0" w:color="A6A6A6" w:themeColor="background1" w:themeShade="A6"/>
              <w:left w:val="nil"/>
              <w:bottom w:val="single" w:sz="4" w:space="0" w:color="A6A6A6" w:themeColor="background1" w:themeShade="A6"/>
              <w:right w:val="nil"/>
            </w:tcBorders>
            <w:shd w:val="clear" w:color="auto" w:fill="auto"/>
            <w:noWrap/>
            <w:tcMar>
              <w:top w:w="0" w:type="dxa"/>
              <w:left w:w="108" w:type="dxa"/>
              <w:bottom w:w="0" w:type="dxa"/>
              <w:right w:w="108" w:type="dxa"/>
            </w:tcMar>
          </w:tcPr>
          <w:p w14:paraId="4F66541B" w14:textId="77777777" w:rsidR="00FA6A1F" w:rsidRPr="0003777A" w:rsidRDefault="00FA6A1F" w:rsidP="00F27BD7">
            <w:pPr>
              <w:pStyle w:val="TableText"/>
              <w:jc w:val="center"/>
              <w:rPr>
                <w:rFonts w:eastAsia="Arial Unicode MS"/>
              </w:rPr>
            </w:pPr>
            <w:r w:rsidRPr="0003777A">
              <w:t>0.844</w:t>
            </w:r>
          </w:p>
        </w:tc>
        <w:tc>
          <w:tcPr>
            <w:tcW w:w="1148" w:type="pct"/>
            <w:tcBorders>
              <w:top w:val="single" w:sz="4" w:space="0" w:color="A6A6A6" w:themeColor="background1" w:themeShade="A6"/>
              <w:left w:val="nil"/>
              <w:bottom w:val="single" w:sz="4" w:space="0" w:color="A6A6A6" w:themeColor="background1" w:themeShade="A6"/>
              <w:right w:val="nil"/>
            </w:tcBorders>
            <w:shd w:val="clear" w:color="auto" w:fill="auto"/>
          </w:tcPr>
          <w:p w14:paraId="4F66541C" w14:textId="77777777" w:rsidR="00FA6A1F" w:rsidRPr="0003777A" w:rsidRDefault="00FA6A1F" w:rsidP="00F27BD7">
            <w:pPr>
              <w:pStyle w:val="TableText"/>
              <w:jc w:val="center"/>
              <w:rPr>
                <w:rFonts w:eastAsia="Arial Unicode MS"/>
              </w:rPr>
            </w:pPr>
            <w:r w:rsidRPr="0003777A">
              <w:t>-0.536</w:t>
            </w:r>
          </w:p>
        </w:tc>
      </w:tr>
    </w:tbl>
    <w:p w14:paraId="4F66541E" w14:textId="77777777" w:rsidR="00F27BD7" w:rsidRDefault="00F27BD7" w:rsidP="00F27BD7">
      <w:bookmarkStart w:id="289" w:name="_Toc517091250"/>
      <w:bookmarkStart w:id="290" w:name="_Toc522089454"/>
    </w:p>
    <w:p w14:paraId="4F66541F" w14:textId="766E6924" w:rsidR="00FA6A1F" w:rsidRPr="00092A9A" w:rsidRDefault="00F27BD7" w:rsidP="00F27BD7">
      <w:pPr>
        <w:pStyle w:val="Table"/>
      </w:pPr>
      <w:bookmarkStart w:id="291" w:name="_Toc80860359"/>
      <w:r>
        <w:t>Table </w:t>
      </w:r>
      <w:fldSimple w:instr=" SEQ Table \* ARABIC ">
        <w:r w:rsidR="00F65B3A">
          <w:rPr>
            <w:noProof/>
          </w:rPr>
          <w:t>15</w:t>
        </w:r>
      </w:fldSimple>
      <w:r w:rsidR="00FA6A1F" w:rsidRPr="00092A9A">
        <w:t xml:space="preserve">: Estimated </w:t>
      </w:r>
      <w:r w:rsidR="00FA6A1F" w:rsidRPr="00A15C4B">
        <w:t>levy</w:t>
      </w:r>
      <w:r w:rsidR="00FA6A1F" w:rsidRPr="00092A9A">
        <w:t xml:space="preserve"> rates and payments ($m) per sector</w:t>
      </w:r>
      <w:r w:rsidR="00FA6A1F">
        <w:t>,</w:t>
      </w:r>
      <w:r w:rsidR="00FA6A1F" w:rsidRPr="00092A9A">
        <w:t xml:space="preserve"> 10/90 weighting</w:t>
      </w:r>
      <w:bookmarkEnd w:id="289"/>
      <w:bookmarkEnd w:id="290"/>
      <w:bookmarkEnd w:id="291"/>
    </w:p>
    <w:tbl>
      <w:tblPr>
        <w:tblW w:w="4940" w:type="pct"/>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3214"/>
        <w:gridCol w:w="977"/>
        <w:gridCol w:w="979"/>
        <w:gridCol w:w="979"/>
        <w:gridCol w:w="1833"/>
      </w:tblGrid>
      <w:tr w:rsidR="00FA6A1F" w:rsidRPr="00F27BD7" w14:paraId="4F665425" w14:textId="77777777" w:rsidTr="00F27BD7">
        <w:trPr>
          <w:cantSplit/>
        </w:trPr>
        <w:tc>
          <w:tcPr>
            <w:tcW w:w="2014" w:type="pct"/>
            <w:tcBorders>
              <w:top w:val="nil"/>
              <w:bottom w:val="nil"/>
            </w:tcBorders>
            <w:shd w:val="clear" w:color="auto" w:fill="D9D9D9" w:themeFill="background1" w:themeFillShade="D9"/>
            <w:tcMar>
              <w:top w:w="0" w:type="dxa"/>
              <w:left w:w="57" w:type="dxa"/>
              <w:bottom w:w="0" w:type="dxa"/>
              <w:right w:w="57" w:type="dxa"/>
            </w:tcMar>
          </w:tcPr>
          <w:p w14:paraId="4F665420" w14:textId="77777777" w:rsidR="00FA6A1F" w:rsidRPr="00F27BD7" w:rsidRDefault="00FA6A1F" w:rsidP="00F27BD7">
            <w:pPr>
              <w:pStyle w:val="TableText"/>
              <w:rPr>
                <w:rFonts w:eastAsia="Arial Unicode MS"/>
                <w:b/>
              </w:rPr>
            </w:pPr>
            <w:r w:rsidRPr="00F27BD7">
              <w:rPr>
                <w:rFonts w:eastAsia="Arial Unicode MS"/>
                <w:b/>
              </w:rPr>
              <w:t>Collection period starts 1 July 2022 (all GST exclusive)</w:t>
            </w:r>
          </w:p>
        </w:tc>
        <w:tc>
          <w:tcPr>
            <w:tcW w:w="612" w:type="pct"/>
            <w:tcBorders>
              <w:top w:val="nil"/>
              <w:bottom w:val="nil"/>
            </w:tcBorders>
            <w:shd w:val="clear" w:color="auto" w:fill="D9D9D9" w:themeFill="background1" w:themeFillShade="D9"/>
            <w:tcMar>
              <w:top w:w="0" w:type="dxa"/>
              <w:left w:w="108" w:type="dxa"/>
              <w:bottom w:w="0" w:type="dxa"/>
              <w:right w:w="108" w:type="dxa"/>
            </w:tcMar>
          </w:tcPr>
          <w:p w14:paraId="4F665421" w14:textId="77777777" w:rsidR="00FA6A1F" w:rsidRPr="00F27BD7" w:rsidRDefault="00FA6A1F" w:rsidP="00F27BD7">
            <w:pPr>
              <w:pStyle w:val="TableText"/>
              <w:jc w:val="center"/>
              <w:rPr>
                <w:rFonts w:eastAsia="Arial Unicode MS"/>
                <w:b/>
              </w:rPr>
            </w:pPr>
            <w:r w:rsidRPr="00F27BD7">
              <w:rPr>
                <w:rFonts w:eastAsia="Arial Unicode MS"/>
                <w:b/>
              </w:rPr>
              <w:t>NCGMs</w:t>
            </w:r>
          </w:p>
        </w:tc>
        <w:tc>
          <w:tcPr>
            <w:tcW w:w="613" w:type="pct"/>
            <w:tcBorders>
              <w:top w:val="nil"/>
              <w:bottom w:val="nil"/>
            </w:tcBorders>
            <w:shd w:val="clear" w:color="auto" w:fill="D9D9D9" w:themeFill="background1" w:themeFillShade="D9"/>
            <w:tcMar>
              <w:top w:w="0" w:type="dxa"/>
              <w:left w:w="108" w:type="dxa"/>
              <w:bottom w:w="0" w:type="dxa"/>
              <w:right w:w="108" w:type="dxa"/>
            </w:tcMar>
          </w:tcPr>
          <w:p w14:paraId="4F665422" w14:textId="77777777" w:rsidR="00FA6A1F" w:rsidRPr="00F27BD7" w:rsidRDefault="00FA6A1F" w:rsidP="00F27BD7">
            <w:pPr>
              <w:pStyle w:val="TableText"/>
              <w:jc w:val="center"/>
              <w:rPr>
                <w:rFonts w:eastAsia="Arial Unicode MS"/>
                <w:b/>
              </w:rPr>
            </w:pPr>
            <w:r w:rsidRPr="00F27BD7">
              <w:rPr>
                <w:rFonts w:eastAsia="Arial Unicode MS"/>
                <w:b/>
              </w:rPr>
              <w:t>Casinos</w:t>
            </w:r>
          </w:p>
        </w:tc>
        <w:tc>
          <w:tcPr>
            <w:tcW w:w="613" w:type="pct"/>
            <w:tcBorders>
              <w:top w:val="nil"/>
              <w:bottom w:val="nil"/>
            </w:tcBorders>
            <w:shd w:val="clear" w:color="auto" w:fill="D9D9D9" w:themeFill="background1" w:themeFillShade="D9"/>
            <w:tcMar>
              <w:top w:w="0" w:type="dxa"/>
              <w:left w:w="108" w:type="dxa"/>
              <w:bottom w:w="0" w:type="dxa"/>
              <w:right w:w="108" w:type="dxa"/>
            </w:tcMar>
          </w:tcPr>
          <w:p w14:paraId="4F665423" w14:textId="77777777" w:rsidR="00FA6A1F" w:rsidRPr="00F27BD7" w:rsidRDefault="00FA6A1F" w:rsidP="00F27BD7">
            <w:pPr>
              <w:pStyle w:val="TableText"/>
              <w:jc w:val="center"/>
              <w:rPr>
                <w:rFonts w:eastAsia="Arial Unicode MS"/>
                <w:b/>
              </w:rPr>
            </w:pPr>
            <w:r w:rsidRPr="00F27BD7">
              <w:rPr>
                <w:rFonts w:eastAsia="Arial Unicode MS"/>
                <w:b/>
              </w:rPr>
              <w:t>TAB NZ</w:t>
            </w:r>
          </w:p>
        </w:tc>
        <w:tc>
          <w:tcPr>
            <w:tcW w:w="1148" w:type="pct"/>
            <w:tcBorders>
              <w:top w:val="nil"/>
              <w:bottom w:val="nil"/>
            </w:tcBorders>
            <w:shd w:val="clear" w:color="auto" w:fill="D9D9D9" w:themeFill="background1" w:themeFillShade="D9"/>
          </w:tcPr>
          <w:p w14:paraId="4F665424" w14:textId="77777777" w:rsidR="00FA6A1F" w:rsidRPr="00F27BD7" w:rsidRDefault="00FA6A1F" w:rsidP="00F27BD7">
            <w:pPr>
              <w:pStyle w:val="TableText"/>
              <w:jc w:val="center"/>
              <w:rPr>
                <w:rFonts w:eastAsia="Arial Unicode MS"/>
                <w:b/>
              </w:rPr>
            </w:pPr>
            <w:r w:rsidRPr="00F27BD7">
              <w:rPr>
                <w:rFonts w:eastAsia="Arial Unicode MS"/>
                <w:b/>
              </w:rPr>
              <w:t>Lotto New Zealand</w:t>
            </w:r>
          </w:p>
        </w:tc>
      </w:tr>
      <w:tr w:rsidR="00FA6A1F" w:rsidRPr="00092A9A" w14:paraId="4F66542B" w14:textId="77777777" w:rsidTr="00F27BD7">
        <w:trPr>
          <w:cantSplit/>
        </w:trPr>
        <w:tc>
          <w:tcPr>
            <w:tcW w:w="2014" w:type="pct"/>
            <w:tcBorders>
              <w:top w:val="nil"/>
              <w:bottom w:val="single" w:sz="4" w:space="0" w:color="BFBFBF" w:themeColor="background1" w:themeShade="BF"/>
            </w:tcBorders>
            <w:shd w:val="clear" w:color="auto" w:fill="auto"/>
            <w:noWrap/>
            <w:tcMar>
              <w:top w:w="0" w:type="dxa"/>
              <w:left w:w="57" w:type="dxa"/>
              <w:bottom w:w="0" w:type="dxa"/>
              <w:right w:w="57" w:type="dxa"/>
            </w:tcMar>
          </w:tcPr>
          <w:p w14:paraId="4F665426" w14:textId="77777777" w:rsidR="00FA6A1F" w:rsidRPr="0003777A" w:rsidRDefault="00FA6A1F" w:rsidP="00F27BD7">
            <w:pPr>
              <w:pStyle w:val="TableText"/>
              <w:rPr>
                <w:rFonts w:eastAsia="Arial Unicode MS"/>
              </w:rPr>
            </w:pPr>
            <w:r w:rsidRPr="0003777A">
              <w:rPr>
                <w:rFonts w:eastAsia="Arial Unicode MS"/>
              </w:rPr>
              <w:t>Sector levy rates (%)</w:t>
            </w:r>
          </w:p>
        </w:tc>
        <w:tc>
          <w:tcPr>
            <w:tcW w:w="612" w:type="pct"/>
            <w:tcBorders>
              <w:top w:val="nil"/>
              <w:left w:val="nil"/>
              <w:bottom w:val="single" w:sz="4" w:space="0" w:color="A6A6A6" w:themeColor="background1" w:themeShade="A6"/>
              <w:right w:val="nil"/>
            </w:tcBorders>
            <w:shd w:val="clear" w:color="auto" w:fill="auto"/>
            <w:noWrap/>
            <w:tcMar>
              <w:top w:w="0" w:type="dxa"/>
              <w:left w:w="108" w:type="dxa"/>
              <w:bottom w:w="0" w:type="dxa"/>
              <w:right w:w="108" w:type="dxa"/>
            </w:tcMar>
          </w:tcPr>
          <w:p w14:paraId="4F665427" w14:textId="77777777" w:rsidR="00FA6A1F" w:rsidRPr="0003777A" w:rsidRDefault="00FA6A1F" w:rsidP="00F27BD7">
            <w:pPr>
              <w:pStyle w:val="TableText"/>
              <w:jc w:val="center"/>
              <w:rPr>
                <w:rFonts w:eastAsia="Arial Unicode MS"/>
              </w:rPr>
            </w:pPr>
            <w:r w:rsidRPr="0003777A">
              <w:t>1.02</w:t>
            </w:r>
          </w:p>
        </w:tc>
        <w:tc>
          <w:tcPr>
            <w:tcW w:w="613" w:type="pct"/>
            <w:tcBorders>
              <w:top w:val="nil"/>
              <w:left w:val="nil"/>
              <w:bottom w:val="single" w:sz="4" w:space="0" w:color="A6A6A6" w:themeColor="background1" w:themeShade="A6"/>
              <w:right w:val="nil"/>
            </w:tcBorders>
            <w:shd w:val="clear" w:color="auto" w:fill="auto"/>
            <w:noWrap/>
            <w:tcMar>
              <w:top w:w="0" w:type="dxa"/>
              <w:left w:w="108" w:type="dxa"/>
              <w:bottom w:w="0" w:type="dxa"/>
              <w:right w:w="108" w:type="dxa"/>
            </w:tcMar>
          </w:tcPr>
          <w:p w14:paraId="4F665428" w14:textId="77777777" w:rsidR="00FA6A1F" w:rsidRPr="0003777A" w:rsidRDefault="00FA6A1F" w:rsidP="00F27BD7">
            <w:pPr>
              <w:pStyle w:val="TableText"/>
              <w:jc w:val="center"/>
              <w:rPr>
                <w:rFonts w:eastAsia="Arial Unicode MS"/>
              </w:rPr>
            </w:pPr>
            <w:r w:rsidRPr="0003777A">
              <w:t>0.81</w:t>
            </w:r>
          </w:p>
        </w:tc>
        <w:tc>
          <w:tcPr>
            <w:tcW w:w="613" w:type="pct"/>
            <w:tcBorders>
              <w:top w:val="nil"/>
              <w:left w:val="nil"/>
              <w:bottom w:val="single" w:sz="4" w:space="0" w:color="A6A6A6" w:themeColor="background1" w:themeShade="A6"/>
              <w:right w:val="nil"/>
            </w:tcBorders>
            <w:shd w:val="clear" w:color="auto" w:fill="auto"/>
            <w:noWrap/>
            <w:tcMar>
              <w:top w:w="0" w:type="dxa"/>
              <w:left w:w="108" w:type="dxa"/>
              <w:bottom w:w="0" w:type="dxa"/>
              <w:right w:w="108" w:type="dxa"/>
            </w:tcMar>
          </w:tcPr>
          <w:p w14:paraId="4F665429" w14:textId="77777777" w:rsidR="00FA6A1F" w:rsidRPr="0003777A" w:rsidRDefault="00FA6A1F" w:rsidP="00F27BD7">
            <w:pPr>
              <w:pStyle w:val="TableText"/>
              <w:jc w:val="center"/>
              <w:rPr>
                <w:rFonts w:eastAsia="Arial Unicode MS"/>
              </w:rPr>
            </w:pPr>
            <w:r w:rsidRPr="0003777A">
              <w:t>0.65</w:t>
            </w:r>
          </w:p>
        </w:tc>
        <w:tc>
          <w:tcPr>
            <w:tcW w:w="1148" w:type="pct"/>
            <w:tcBorders>
              <w:top w:val="nil"/>
              <w:left w:val="nil"/>
              <w:bottom w:val="single" w:sz="4" w:space="0" w:color="A6A6A6" w:themeColor="background1" w:themeShade="A6"/>
              <w:right w:val="nil"/>
            </w:tcBorders>
            <w:shd w:val="clear" w:color="auto" w:fill="auto"/>
          </w:tcPr>
          <w:p w14:paraId="4F66542A" w14:textId="77777777" w:rsidR="00FA6A1F" w:rsidRPr="0003777A" w:rsidRDefault="00FA6A1F" w:rsidP="00F27BD7">
            <w:pPr>
              <w:pStyle w:val="TableText"/>
              <w:jc w:val="center"/>
              <w:rPr>
                <w:rFonts w:eastAsia="Arial Unicode MS"/>
              </w:rPr>
            </w:pPr>
            <w:r w:rsidRPr="0003777A">
              <w:t>0.34</w:t>
            </w:r>
          </w:p>
        </w:tc>
      </w:tr>
      <w:tr w:rsidR="00FA6A1F" w:rsidRPr="00092A9A" w14:paraId="4F665431" w14:textId="77777777" w:rsidTr="00F27BD7">
        <w:trPr>
          <w:cantSplit/>
        </w:trPr>
        <w:tc>
          <w:tcPr>
            <w:tcW w:w="2014" w:type="pct"/>
            <w:tcBorders>
              <w:top w:val="single" w:sz="4" w:space="0" w:color="BFBFBF" w:themeColor="background1" w:themeShade="BF"/>
              <w:bottom w:val="single" w:sz="4" w:space="0" w:color="BFBFBF" w:themeColor="background1" w:themeShade="BF"/>
            </w:tcBorders>
            <w:shd w:val="clear" w:color="auto" w:fill="auto"/>
            <w:noWrap/>
            <w:tcMar>
              <w:top w:w="0" w:type="dxa"/>
              <w:left w:w="57" w:type="dxa"/>
              <w:bottom w:w="0" w:type="dxa"/>
              <w:right w:w="57" w:type="dxa"/>
            </w:tcMar>
          </w:tcPr>
          <w:p w14:paraId="4F66542C" w14:textId="77777777" w:rsidR="00FA6A1F" w:rsidRPr="0003777A" w:rsidRDefault="00FA6A1F" w:rsidP="00F27BD7">
            <w:pPr>
              <w:pStyle w:val="TableText"/>
              <w:rPr>
                <w:rFonts w:eastAsia="Arial Unicode MS"/>
              </w:rPr>
            </w:pPr>
            <w:r w:rsidRPr="0003777A">
              <w:rPr>
                <w:rFonts w:eastAsia="Arial Unicode MS"/>
              </w:rPr>
              <w:t>Expected levy payment ($m)</w:t>
            </w:r>
          </w:p>
        </w:tc>
        <w:tc>
          <w:tcPr>
            <w:tcW w:w="612" w:type="pct"/>
            <w:tcBorders>
              <w:top w:val="single" w:sz="4" w:space="0" w:color="A6A6A6" w:themeColor="background1" w:themeShade="A6"/>
              <w:left w:val="nil"/>
              <w:bottom w:val="single" w:sz="4" w:space="0" w:color="A6A6A6" w:themeColor="background1" w:themeShade="A6"/>
              <w:right w:val="nil"/>
            </w:tcBorders>
            <w:shd w:val="clear" w:color="auto" w:fill="auto"/>
            <w:noWrap/>
            <w:tcMar>
              <w:top w:w="0" w:type="dxa"/>
              <w:left w:w="108" w:type="dxa"/>
              <w:bottom w:w="0" w:type="dxa"/>
              <w:right w:w="108" w:type="dxa"/>
            </w:tcMar>
          </w:tcPr>
          <w:p w14:paraId="4F66542D" w14:textId="77777777" w:rsidR="00FA6A1F" w:rsidRPr="0003777A" w:rsidRDefault="00FA6A1F" w:rsidP="00F27BD7">
            <w:pPr>
              <w:pStyle w:val="TableText"/>
              <w:jc w:val="center"/>
              <w:rPr>
                <w:rFonts w:eastAsia="Arial Unicode MS"/>
              </w:rPr>
            </w:pPr>
            <w:r w:rsidRPr="0003777A">
              <w:t>32.762</w:t>
            </w:r>
          </w:p>
        </w:tc>
        <w:tc>
          <w:tcPr>
            <w:tcW w:w="613" w:type="pct"/>
            <w:tcBorders>
              <w:top w:val="single" w:sz="4" w:space="0" w:color="A6A6A6" w:themeColor="background1" w:themeShade="A6"/>
              <w:left w:val="nil"/>
              <w:bottom w:val="single" w:sz="4" w:space="0" w:color="A6A6A6" w:themeColor="background1" w:themeShade="A6"/>
              <w:right w:val="nil"/>
            </w:tcBorders>
            <w:shd w:val="clear" w:color="auto" w:fill="auto"/>
            <w:noWrap/>
            <w:tcMar>
              <w:top w:w="0" w:type="dxa"/>
              <w:left w:w="108" w:type="dxa"/>
              <w:bottom w:w="0" w:type="dxa"/>
              <w:right w:w="108" w:type="dxa"/>
            </w:tcMar>
          </w:tcPr>
          <w:p w14:paraId="4F66542E" w14:textId="77777777" w:rsidR="00FA6A1F" w:rsidRPr="0003777A" w:rsidRDefault="00FA6A1F" w:rsidP="00F27BD7">
            <w:pPr>
              <w:pStyle w:val="TableText"/>
              <w:jc w:val="center"/>
              <w:rPr>
                <w:rFonts w:eastAsia="Arial Unicode MS"/>
              </w:rPr>
            </w:pPr>
            <w:r w:rsidRPr="0003777A">
              <w:t>15.316</w:t>
            </w:r>
          </w:p>
        </w:tc>
        <w:tc>
          <w:tcPr>
            <w:tcW w:w="613" w:type="pct"/>
            <w:tcBorders>
              <w:top w:val="single" w:sz="4" w:space="0" w:color="A6A6A6" w:themeColor="background1" w:themeShade="A6"/>
              <w:left w:val="nil"/>
              <w:bottom w:val="single" w:sz="4" w:space="0" w:color="A6A6A6" w:themeColor="background1" w:themeShade="A6"/>
              <w:right w:val="nil"/>
            </w:tcBorders>
            <w:shd w:val="clear" w:color="auto" w:fill="auto"/>
            <w:noWrap/>
            <w:tcMar>
              <w:top w:w="0" w:type="dxa"/>
              <w:left w:w="108" w:type="dxa"/>
              <w:bottom w:w="0" w:type="dxa"/>
              <w:right w:w="108" w:type="dxa"/>
            </w:tcMar>
          </w:tcPr>
          <w:p w14:paraId="4F66542F" w14:textId="77777777" w:rsidR="00FA6A1F" w:rsidRPr="0003777A" w:rsidRDefault="00FA6A1F" w:rsidP="00F27BD7">
            <w:pPr>
              <w:pStyle w:val="TableText"/>
              <w:jc w:val="center"/>
              <w:rPr>
                <w:rFonts w:eastAsia="Arial Unicode MS"/>
              </w:rPr>
            </w:pPr>
            <w:r w:rsidRPr="0003777A">
              <w:t>7.128</w:t>
            </w:r>
          </w:p>
        </w:tc>
        <w:tc>
          <w:tcPr>
            <w:tcW w:w="1148" w:type="pct"/>
            <w:tcBorders>
              <w:top w:val="single" w:sz="4" w:space="0" w:color="A6A6A6" w:themeColor="background1" w:themeShade="A6"/>
              <w:left w:val="nil"/>
              <w:bottom w:val="single" w:sz="4" w:space="0" w:color="A6A6A6" w:themeColor="background1" w:themeShade="A6"/>
              <w:right w:val="nil"/>
            </w:tcBorders>
            <w:shd w:val="clear" w:color="auto" w:fill="auto"/>
          </w:tcPr>
          <w:p w14:paraId="4F665430" w14:textId="77777777" w:rsidR="00FA6A1F" w:rsidRPr="0003777A" w:rsidRDefault="00FA6A1F" w:rsidP="00F27BD7">
            <w:pPr>
              <w:pStyle w:val="TableText"/>
              <w:jc w:val="center"/>
              <w:rPr>
                <w:rFonts w:eastAsia="Arial Unicode MS"/>
              </w:rPr>
            </w:pPr>
            <w:r w:rsidRPr="0003777A">
              <w:t>8.084</w:t>
            </w:r>
          </w:p>
        </w:tc>
      </w:tr>
      <w:tr w:rsidR="00FA6A1F" w:rsidRPr="00092A9A" w14:paraId="4F665437" w14:textId="77777777" w:rsidTr="00F27BD7">
        <w:trPr>
          <w:cantSplit/>
        </w:trPr>
        <w:tc>
          <w:tcPr>
            <w:tcW w:w="2014" w:type="pct"/>
            <w:tcBorders>
              <w:top w:val="single" w:sz="4" w:space="0" w:color="BFBFBF" w:themeColor="background1" w:themeShade="BF"/>
              <w:bottom w:val="single" w:sz="4" w:space="0" w:color="A6A6A6" w:themeColor="background1" w:themeShade="A6"/>
            </w:tcBorders>
            <w:shd w:val="clear" w:color="auto" w:fill="auto"/>
            <w:noWrap/>
            <w:tcMar>
              <w:top w:w="0" w:type="dxa"/>
              <w:left w:w="57" w:type="dxa"/>
              <w:bottom w:w="0" w:type="dxa"/>
              <w:right w:w="57" w:type="dxa"/>
            </w:tcMar>
          </w:tcPr>
          <w:p w14:paraId="4F665432" w14:textId="77777777" w:rsidR="00FA6A1F" w:rsidRPr="0003777A" w:rsidRDefault="00FA6A1F" w:rsidP="00F27BD7">
            <w:pPr>
              <w:pStyle w:val="TableText"/>
              <w:rPr>
                <w:rFonts w:eastAsia="Arial Unicode MS"/>
              </w:rPr>
            </w:pPr>
            <w:r w:rsidRPr="0003777A">
              <w:rPr>
                <w:rFonts w:eastAsia="Arial Unicode MS"/>
              </w:rPr>
              <w:t>($m) Comparison with current levy payments (negative = less)</w:t>
            </w:r>
          </w:p>
        </w:tc>
        <w:tc>
          <w:tcPr>
            <w:tcW w:w="612" w:type="pct"/>
            <w:tcBorders>
              <w:top w:val="single" w:sz="4" w:space="0" w:color="A6A6A6" w:themeColor="background1" w:themeShade="A6"/>
              <w:left w:val="nil"/>
              <w:bottom w:val="single" w:sz="4" w:space="0" w:color="A6A6A6" w:themeColor="background1" w:themeShade="A6"/>
              <w:right w:val="nil"/>
            </w:tcBorders>
            <w:shd w:val="clear" w:color="auto" w:fill="auto"/>
            <w:noWrap/>
            <w:tcMar>
              <w:top w:w="0" w:type="dxa"/>
              <w:left w:w="108" w:type="dxa"/>
              <w:bottom w:w="0" w:type="dxa"/>
              <w:right w:w="108" w:type="dxa"/>
            </w:tcMar>
          </w:tcPr>
          <w:p w14:paraId="4F665433" w14:textId="77777777" w:rsidR="00FA6A1F" w:rsidRPr="0003777A" w:rsidRDefault="00FA6A1F" w:rsidP="00F27BD7">
            <w:pPr>
              <w:pStyle w:val="TableText"/>
              <w:jc w:val="center"/>
              <w:rPr>
                <w:rFonts w:eastAsia="Arial Unicode MS"/>
              </w:rPr>
            </w:pPr>
            <w:r w:rsidRPr="0003777A">
              <w:t>9.795</w:t>
            </w:r>
          </w:p>
        </w:tc>
        <w:tc>
          <w:tcPr>
            <w:tcW w:w="613" w:type="pct"/>
            <w:tcBorders>
              <w:top w:val="single" w:sz="4" w:space="0" w:color="A6A6A6" w:themeColor="background1" w:themeShade="A6"/>
              <w:left w:val="nil"/>
              <w:bottom w:val="single" w:sz="4" w:space="0" w:color="A6A6A6" w:themeColor="background1" w:themeShade="A6"/>
              <w:right w:val="nil"/>
            </w:tcBorders>
            <w:shd w:val="clear" w:color="auto" w:fill="auto"/>
            <w:noWrap/>
            <w:tcMar>
              <w:top w:w="0" w:type="dxa"/>
              <w:left w:w="108" w:type="dxa"/>
              <w:bottom w:w="0" w:type="dxa"/>
              <w:right w:w="108" w:type="dxa"/>
            </w:tcMar>
          </w:tcPr>
          <w:p w14:paraId="4F665434" w14:textId="77777777" w:rsidR="00FA6A1F" w:rsidRPr="0003777A" w:rsidRDefault="00FA6A1F" w:rsidP="00F27BD7">
            <w:pPr>
              <w:pStyle w:val="TableText"/>
              <w:jc w:val="center"/>
              <w:rPr>
                <w:rFonts w:eastAsia="Arial Unicode MS"/>
              </w:rPr>
            </w:pPr>
            <w:r w:rsidRPr="0003777A">
              <w:t>4.103</w:t>
            </w:r>
          </w:p>
        </w:tc>
        <w:tc>
          <w:tcPr>
            <w:tcW w:w="613" w:type="pct"/>
            <w:tcBorders>
              <w:top w:val="single" w:sz="4" w:space="0" w:color="A6A6A6" w:themeColor="background1" w:themeShade="A6"/>
              <w:left w:val="nil"/>
              <w:bottom w:val="single" w:sz="4" w:space="0" w:color="A6A6A6" w:themeColor="background1" w:themeShade="A6"/>
              <w:right w:val="nil"/>
            </w:tcBorders>
            <w:shd w:val="clear" w:color="auto" w:fill="auto"/>
            <w:noWrap/>
            <w:tcMar>
              <w:top w:w="0" w:type="dxa"/>
              <w:left w:w="108" w:type="dxa"/>
              <w:bottom w:w="0" w:type="dxa"/>
              <w:right w:w="108" w:type="dxa"/>
            </w:tcMar>
          </w:tcPr>
          <w:p w14:paraId="4F665435" w14:textId="77777777" w:rsidR="00FA6A1F" w:rsidRPr="0003777A" w:rsidRDefault="00FA6A1F" w:rsidP="00F27BD7">
            <w:pPr>
              <w:pStyle w:val="TableText"/>
              <w:jc w:val="center"/>
              <w:rPr>
                <w:rFonts w:eastAsia="Arial Unicode MS"/>
              </w:rPr>
            </w:pPr>
            <w:r w:rsidRPr="0003777A">
              <w:t>0.954</w:t>
            </w:r>
          </w:p>
        </w:tc>
        <w:tc>
          <w:tcPr>
            <w:tcW w:w="1148" w:type="pct"/>
            <w:tcBorders>
              <w:top w:val="single" w:sz="4" w:space="0" w:color="A6A6A6" w:themeColor="background1" w:themeShade="A6"/>
              <w:left w:val="nil"/>
              <w:bottom w:val="single" w:sz="4" w:space="0" w:color="A6A6A6" w:themeColor="background1" w:themeShade="A6"/>
              <w:right w:val="nil"/>
            </w:tcBorders>
            <w:shd w:val="clear" w:color="auto" w:fill="auto"/>
          </w:tcPr>
          <w:p w14:paraId="4F665436" w14:textId="77777777" w:rsidR="00FA6A1F" w:rsidRPr="0003777A" w:rsidRDefault="00FA6A1F" w:rsidP="00F27BD7">
            <w:pPr>
              <w:pStyle w:val="TableText"/>
              <w:jc w:val="center"/>
              <w:rPr>
                <w:rFonts w:eastAsia="Arial Unicode MS"/>
              </w:rPr>
            </w:pPr>
            <w:r w:rsidRPr="0003777A">
              <w:t>0.178</w:t>
            </w:r>
          </w:p>
        </w:tc>
      </w:tr>
    </w:tbl>
    <w:p w14:paraId="4F665438" w14:textId="77777777" w:rsidR="00F27BD7" w:rsidRDefault="00F27BD7" w:rsidP="00F27BD7">
      <w:bookmarkStart w:id="292" w:name="_Toc517091251"/>
      <w:bookmarkStart w:id="293" w:name="_Toc522089455"/>
    </w:p>
    <w:p w14:paraId="4F665439" w14:textId="27481747" w:rsidR="00FA6A1F" w:rsidRPr="00092A9A" w:rsidRDefault="00F27BD7" w:rsidP="00F27BD7">
      <w:pPr>
        <w:pStyle w:val="Table"/>
      </w:pPr>
      <w:bookmarkStart w:id="294" w:name="_Toc80860360"/>
      <w:r>
        <w:lastRenderedPageBreak/>
        <w:t>Table </w:t>
      </w:r>
      <w:fldSimple w:instr=" SEQ Table \* ARABIC ">
        <w:r w:rsidR="00F65B3A">
          <w:rPr>
            <w:noProof/>
          </w:rPr>
          <w:t>16</w:t>
        </w:r>
      </w:fldSimple>
      <w:r w:rsidR="00FA6A1F" w:rsidRPr="00092A9A">
        <w:t xml:space="preserve">: </w:t>
      </w:r>
      <w:r w:rsidR="00FA6A1F" w:rsidRPr="00A15C4B">
        <w:t>Estimated</w:t>
      </w:r>
      <w:r w:rsidR="00FA6A1F" w:rsidRPr="00092A9A">
        <w:t xml:space="preserve"> levy rates and payments ($m) per sector</w:t>
      </w:r>
      <w:r w:rsidR="00FA6A1F">
        <w:t>,</w:t>
      </w:r>
      <w:r w:rsidR="00FA6A1F" w:rsidRPr="00092A9A">
        <w:t xml:space="preserve"> 20/80 weighting</w:t>
      </w:r>
      <w:bookmarkEnd w:id="292"/>
      <w:bookmarkEnd w:id="293"/>
      <w:bookmarkEnd w:id="294"/>
    </w:p>
    <w:tbl>
      <w:tblPr>
        <w:tblW w:w="4931" w:type="pct"/>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3219"/>
        <w:gridCol w:w="977"/>
        <w:gridCol w:w="977"/>
        <w:gridCol w:w="978"/>
        <w:gridCol w:w="1817"/>
      </w:tblGrid>
      <w:tr w:rsidR="00FA6A1F" w:rsidRPr="00092A9A" w14:paraId="4F66543F" w14:textId="77777777" w:rsidTr="00F27BD7">
        <w:trPr>
          <w:cantSplit/>
        </w:trPr>
        <w:tc>
          <w:tcPr>
            <w:tcW w:w="2020" w:type="pct"/>
            <w:tcBorders>
              <w:top w:val="nil"/>
              <w:bottom w:val="nil"/>
            </w:tcBorders>
            <w:shd w:val="clear" w:color="auto" w:fill="D9D9D9" w:themeFill="background1" w:themeFillShade="D9"/>
            <w:tcMar>
              <w:top w:w="0" w:type="dxa"/>
              <w:left w:w="57" w:type="dxa"/>
              <w:bottom w:w="0" w:type="dxa"/>
              <w:right w:w="57" w:type="dxa"/>
            </w:tcMar>
          </w:tcPr>
          <w:p w14:paraId="4F66543A" w14:textId="77777777" w:rsidR="00FA6A1F" w:rsidRPr="00F27BD7" w:rsidRDefault="00FA6A1F" w:rsidP="00F27BD7">
            <w:pPr>
              <w:pStyle w:val="TableText"/>
              <w:keepNext/>
              <w:rPr>
                <w:rFonts w:eastAsia="Arial Unicode MS"/>
                <w:b/>
              </w:rPr>
            </w:pPr>
            <w:r w:rsidRPr="00F27BD7">
              <w:rPr>
                <w:rFonts w:eastAsia="Arial Unicode MS"/>
                <w:b/>
              </w:rPr>
              <w:t>Collection period starts 1 July 2022 (all GST exclusive)</w:t>
            </w:r>
          </w:p>
        </w:tc>
        <w:tc>
          <w:tcPr>
            <w:tcW w:w="613" w:type="pct"/>
            <w:tcBorders>
              <w:top w:val="nil"/>
              <w:bottom w:val="nil"/>
            </w:tcBorders>
            <w:shd w:val="clear" w:color="auto" w:fill="D9D9D9" w:themeFill="background1" w:themeFillShade="D9"/>
            <w:tcMar>
              <w:top w:w="0" w:type="dxa"/>
              <w:left w:w="108" w:type="dxa"/>
              <w:bottom w:w="0" w:type="dxa"/>
              <w:right w:w="108" w:type="dxa"/>
            </w:tcMar>
          </w:tcPr>
          <w:p w14:paraId="4F66543B" w14:textId="77777777" w:rsidR="00FA6A1F" w:rsidRPr="00F27BD7" w:rsidRDefault="00FA6A1F" w:rsidP="00F27BD7">
            <w:pPr>
              <w:pStyle w:val="TableText"/>
              <w:keepNext/>
              <w:jc w:val="center"/>
              <w:rPr>
                <w:rFonts w:eastAsia="Arial Unicode MS"/>
                <w:b/>
              </w:rPr>
            </w:pPr>
            <w:r w:rsidRPr="00F27BD7">
              <w:rPr>
                <w:rFonts w:eastAsia="Arial Unicode MS"/>
                <w:b/>
              </w:rPr>
              <w:t>NCGMs</w:t>
            </w:r>
          </w:p>
        </w:tc>
        <w:tc>
          <w:tcPr>
            <w:tcW w:w="613" w:type="pct"/>
            <w:tcBorders>
              <w:top w:val="nil"/>
              <w:bottom w:val="nil"/>
            </w:tcBorders>
            <w:shd w:val="clear" w:color="auto" w:fill="D9D9D9" w:themeFill="background1" w:themeFillShade="D9"/>
            <w:tcMar>
              <w:top w:w="0" w:type="dxa"/>
              <w:left w:w="108" w:type="dxa"/>
              <w:bottom w:w="0" w:type="dxa"/>
              <w:right w:w="108" w:type="dxa"/>
            </w:tcMar>
          </w:tcPr>
          <w:p w14:paraId="4F66543C" w14:textId="77777777" w:rsidR="00FA6A1F" w:rsidRPr="00F27BD7" w:rsidRDefault="00FA6A1F" w:rsidP="00F27BD7">
            <w:pPr>
              <w:pStyle w:val="TableText"/>
              <w:keepNext/>
              <w:jc w:val="center"/>
              <w:rPr>
                <w:rFonts w:eastAsia="Arial Unicode MS"/>
                <w:b/>
              </w:rPr>
            </w:pPr>
            <w:r w:rsidRPr="00F27BD7">
              <w:rPr>
                <w:rFonts w:eastAsia="Arial Unicode MS"/>
                <w:b/>
              </w:rPr>
              <w:t>Casinos</w:t>
            </w:r>
          </w:p>
        </w:tc>
        <w:tc>
          <w:tcPr>
            <w:tcW w:w="614" w:type="pct"/>
            <w:tcBorders>
              <w:top w:val="nil"/>
              <w:bottom w:val="nil"/>
            </w:tcBorders>
            <w:shd w:val="clear" w:color="auto" w:fill="D9D9D9" w:themeFill="background1" w:themeFillShade="D9"/>
            <w:tcMar>
              <w:top w:w="0" w:type="dxa"/>
              <w:left w:w="108" w:type="dxa"/>
              <w:bottom w:w="0" w:type="dxa"/>
              <w:right w:w="108" w:type="dxa"/>
            </w:tcMar>
          </w:tcPr>
          <w:p w14:paraId="4F66543D" w14:textId="77777777" w:rsidR="00FA6A1F" w:rsidRPr="00F27BD7" w:rsidRDefault="00FA6A1F" w:rsidP="00F27BD7">
            <w:pPr>
              <w:pStyle w:val="TableText"/>
              <w:keepNext/>
              <w:jc w:val="center"/>
              <w:rPr>
                <w:rFonts w:eastAsia="Arial Unicode MS"/>
                <w:b/>
              </w:rPr>
            </w:pPr>
            <w:r w:rsidRPr="00F27BD7">
              <w:rPr>
                <w:rFonts w:eastAsia="Arial Unicode MS"/>
                <w:b/>
              </w:rPr>
              <w:t>TAB NZ</w:t>
            </w:r>
          </w:p>
        </w:tc>
        <w:tc>
          <w:tcPr>
            <w:tcW w:w="1140" w:type="pct"/>
            <w:tcBorders>
              <w:top w:val="nil"/>
              <w:bottom w:val="nil"/>
            </w:tcBorders>
            <w:shd w:val="clear" w:color="auto" w:fill="D9D9D9" w:themeFill="background1" w:themeFillShade="D9"/>
          </w:tcPr>
          <w:p w14:paraId="4F66543E" w14:textId="77777777" w:rsidR="00FA6A1F" w:rsidRPr="00F27BD7" w:rsidRDefault="00FA6A1F" w:rsidP="00F27BD7">
            <w:pPr>
              <w:pStyle w:val="TableText"/>
              <w:keepNext/>
              <w:jc w:val="center"/>
              <w:rPr>
                <w:rFonts w:eastAsia="Arial Unicode MS"/>
                <w:b/>
              </w:rPr>
            </w:pPr>
            <w:r w:rsidRPr="00F27BD7">
              <w:rPr>
                <w:rFonts w:eastAsia="Arial Unicode MS"/>
                <w:b/>
              </w:rPr>
              <w:t>Lotto New Zealand</w:t>
            </w:r>
          </w:p>
        </w:tc>
      </w:tr>
      <w:tr w:rsidR="00FA6A1F" w:rsidRPr="00092A9A" w14:paraId="4F665445" w14:textId="77777777" w:rsidTr="00F27BD7">
        <w:trPr>
          <w:cantSplit/>
        </w:trPr>
        <w:tc>
          <w:tcPr>
            <w:tcW w:w="2020" w:type="pct"/>
            <w:tcBorders>
              <w:top w:val="nil"/>
              <w:bottom w:val="single" w:sz="4" w:space="0" w:color="BFBFBF" w:themeColor="background1" w:themeShade="BF"/>
            </w:tcBorders>
            <w:shd w:val="clear" w:color="auto" w:fill="auto"/>
            <w:tcMar>
              <w:top w:w="0" w:type="dxa"/>
              <w:left w:w="57" w:type="dxa"/>
              <w:bottom w:w="0" w:type="dxa"/>
              <w:right w:w="57" w:type="dxa"/>
            </w:tcMar>
          </w:tcPr>
          <w:p w14:paraId="4F665440" w14:textId="77777777" w:rsidR="00FA6A1F" w:rsidRPr="0003777A" w:rsidRDefault="00FA6A1F" w:rsidP="00F27BD7">
            <w:pPr>
              <w:pStyle w:val="TableText"/>
              <w:rPr>
                <w:rFonts w:eastAsia="Arial Unicode MS"/>
              </w:rPr>
            </w:pPr>
            <w:r w:rsidRPr="0003777A">
              <w:rPr>
                <w:rFonts w:eastAsia="Arial Unicode MS"/>
              </w:rPr>
              <w:t>Sector levy rates (%)</w:t>
            </w:r>
          </w:p>
        </w:tc>
        <w:tc>
          <w:tcPr>
            <w:tcW w:w="613" w:type="pct"/>
            <w:tcBorders>
              <w:top w:val="nil"/>
              <w:left w:val="nil"/>
              <w:bottom w:val="single" w:sz="4" w:space="0" w:color="A6A6A6" w:themeColor="background1" w:themeShade="A6"/>
              <w:right w:val="nil"/>
            </w:tcBorders>
            <w:shd w:val="clear" w:color="auto" w:fill="auto"/>
            <w:noWrap/>
            <w:tcMar>
              <w:top w:w="0" w:type="dxa"/>
              <w:left w:w="108" w:type="dxa"/>
              <w:bottom w:w="0" w:type="dxa"/>
              <w:right w:w="108" w:type="dxa"/>
            </w:tcMar>
          </w:tcPr>
          <w:p w14:paraId="4F665441" w14:textId="77777777" w:rsidR="00FA6A1F" w:rsidRPr="0003777A" w:rsidRDefault="00FA6A1F" w:rsidP="00F27BD7">
            <w:pPr>
              <w:pStyle w:val="TableText"/>
              <w:jc w:val="center"/>
              <w:rPr>
                <w:rFonts w:eastAsia="Arial Unicode MS"/>
              </w:rPr>
            </w:pPr>
            <w:r w:rsidRPr="0003777A">
              <w:t>0.98</w:t>
            </w:r>
          </w:p>
        </w:tc>
        <w:tc>
          <w:tcPr>
            <w:tcW w:w="613" w:type="pct"/>
            <w:tcBorders>
              <w:top w:val="nil"/>
              <w:left w:val="nil"/>
              <w:bottom w:val="single" w:sz="4" w:space="0" w:color="A6A6A6" w:themeColor="background1" w:themeShade="A6"/>
              <w:right w:val="nil"/>
            </w:tcBorders>
            <w:shd w:val="clear" w:color="auto" w:fill="auto"/>
            <w:noWrap/>
            <w:tcMar>
              <w:top w:w="0" w:type="dxa"/>
              <w:left w:w="108" w:type="dxa"/>
              <w:bottom w:w="0" w:type="dxa"/>
              <w:right w:w="108" w:type="dxa"/>
            </w:tcMar>
          </w:tcPr>
          <w:p w14:paraId="4F665442" w14:textId="77777777" w:rsidR="00FA6A1F" w:rsidRPr="0003777A" w:rsidRDefault="00FA6A1F" w:rsidP="00F27BD7">
            <w:pPr>
              <w:pStyle w:val="TableText"/>
              <w:jc w:val="center"/>
              <w:rPr>
                <w:rFonts w:eastAsia="Arial Unicode MS"/>
              </w:rPr>
            </w:pPr>
            <w:r w:rsidRPr="0003777A">
              <w:t>0.81</w:t>
            </w:r>
          </w:p>
        </w:tc>
        <w:tc>
          <w:tcPr>
            <w:tcW w:w="614" w:type="pct"/>
            <w:tcBorders>
              <w:top w:val="nil"/>
              <w:left w:val="nil"/>
              <w:bottom w:val="single" w:sz="4" w:space="0" w:color="A6A6A6" w:themeColor="background1" w:themeShade="A6"/>
              <w:right w:val="nil"/>
            </w:tcBorders>
            <w:shd w:val="clear" w:color="auto" w:fill="auto"/>
            <w:noWrap/>
            <w:tcMar>
              <w:top w:w="0" w:type="dxa"/>
              <w:left w:w="108" w:type="dxa"/>
              <w:bottom w:w="0" w:type="dxa"/>
              <w:right w:w="108" w:type="dxa"/>
            </w:tcMar>
          </w:tcPr>
          <w:p w14:paraId="4F665443" w14:textId="77777777" w:rsidR="00FA6A1F" w:rsidRPr="0003777A" w:rsidRDefault="00FA6A1F" w:rsidP="00F27BD7">
            <w:pPr>
              <w:pStyle w:val="TableText"/>
              <w:jc w:val="center"/>
              <w:rPr>
                <w:rFonts w:eastAsia="Arial Unicode MS"/>
              </w:rPr>
            </w:pPr>
            <w:r w:rsidRPr="0003777A">
              <w:t>0.68</w:t>
            </w:r>
          </w:p>
        </w:tc>
        <w:tc>
          <w:tcPr>
            <w:tcW w:w="1140" w:type="pct"/>
            <w:tcBorders>
              <w:top w:val="nil"/>
              <w:left w:val="nil"/>
              <w:bottom w:val="single" w:sz="4" w:space="0" w:color="A6A6A6" w:themeColor="background1" w:themeShade="A6"/>
              <w:right w:val="nil"/>
            </w:tcBorders>
            <w:shd w:val="clear" w:color="auto" w:fill="auto"/>
          </w:tcPr>
          <w:p w14:paraId="4F665444" w14:textId="77777777" w:rsidR="00FA6A1F" w:rsidRPr="0003777A" w:rsidRDefault="00FA6A1F" w:rsidP="00F27BD7">
            <w:pPr>
              <w:pStyle w:val="TableText"/>
              <w:jc w:val="center"/>
              <w:rPr>
                <w:rFonts w:eastAsia="Arial Unicode MS"/>
              </w:rPr>
            </w:pPr>
            <w:r w:rsidRPr="0003777A">
              <w:t>0.38</w:t>
            </w:r>
          </w:p>
        </w:tc>
      </w:tr>
      <w:tr w:rsidR="00FA6A1F" w:rsidRPr="00092A9A" w14:paraId="4F66544B" w14:textId="77777777" w:rsidTr="00F27BD7">
        <w:trPr>
          <w:cantSplit/>
        </w:trPr>
        <w:tc>
          <w:tcPr>
            <w:tcW w:w="2020" w:type="pct"/>
            <w:tcBorders>
              <w:top w:val="single" w:sz="4" w:space="0" w:color="BFBFBF" w:themeColor="background1" w:themeShade="BF"/>
              <w:bottom w:val="single" w:sz="4" w:space="0" w:color="BFBFBF" w:themeColor="background1" w:themeShade="BF"/>
            </w:tcBorders>
            <w:shd w:val="clear" w:color="auto" w:fill="auto"/>
            <w:tcMar>
              <w:top w:w="0" w:type="dxa"/>
              <w:left w:w="57" w:type="dxa"/>
              <w:bottom w:w="0" w:type="dxa"/>
              <w:right w:w="57" w:type="dxa"/>
            </w:tcMar>
          </w:tcPr>
          <w:p w14:paraId="4F665446" w14:textId="77777777" w:rsidR="00FA6A1F" w:rsidRPr="0003777A" w:rsidRDefault="00FA6A1F" w:rsidP="00F27BD7">
            <w:pPr>
              <w:pStyle w:val="TableText"/>
              <w:rPr>
                <w:rFonts w:eastAsia="Arial Unicode MS"/>
              </w:rPr>
            </w:pPr>
            <w:r w:rsidRPr="0003777A">
              <w:rPr>
                <w:rFonts w:eastAsia="Arial Unicode MS"/>
              </w:rPr>
              <w:t>Expected levy payment ($m)</w:t>
            </w:r>
          </w:p>
        </w:tc>
        <w:tc>
          <w:tcPr>
            <w:tcW w:w="613" w:type="pct"/>
            <w:tcBorders>
              <w:top w:val="single" w:sz="4" w:space="0" w:color="A6A6A6" w:themeColor="background1" w:themeShade="A6"/>
              <w:left w:val="nil"/>
              <w:bottom w:val="single" w:sz="4" w:space="0" w:color="A6A6A6" w:themeColor="background1" w:themeShade="A6"/>
              <w:right w:val="nil"/>
            </w:tcBorders>
            <w:shd w:val="clear" w:color="auto" w:fill="auto"/>
            <w:noWrap/>
            <w:tcMar>
              <w:top w:w="0" w:type="dxa"/>
              <w:left w:w="108" w:type="dxa"/>
              <w:bottom w:w="0" w:type="dxa"/>
              <w:right w:w="108" w:type="dxa"/>
            </w:tcMar>
          </w:tcPr>
          <w:p w14:paraId="4F665447" w14:textId="77777777" w:rsidR="00FA6A1F" w:rsidRPr="0003777A" w:rsidRDefault="00FA6A1F" w:rsidP="00F27BD7">
            <w:pPr>
              <w:pStyle w:val="TableText"/>
              <w:jc w:val="center"/>
              <w:rPr>
                <w:rFonts w:eastAsia="Arial Unicode MS"/>
              </w:rPr>
            </w:pPr>
            <w:r w:rsidRPr="0003777A">
              <w:t>31.478</w:t>
            </w:r>
          </w:p>
        </w:tc>
        <w:tc>
          <w:tcPr>
            <w:tcW w:w="613" w:type="pct"/>
            <w:tcBorders>
              <w:top w:val="single" w:sz="4" w:space="0" w:color="A6A6A6" w:themeColor="background1" w:themeShade="A6"/>
              <w:left w:val="nil"/>
              <w:bottom w:val="single" w:sz="4" w:space="0" w:color="A6A6A6" w:themeColor="background1" w:themeShade="A6"/>
              <w:right w:val="nil"/>
            </w:tcBorders>
            <w:shd w:val="clear" w:color="auto" w:fill="auto"/>
            <w:noWrap/>
            <w:tcMar>
              <w:top w:w="0" w:type="dxa"/>
              <w:left w:w="108" w:type="dxa"/>
              <w:bottom w:w="0" w:type="dxa"/>
              <w:right w:w="108" w:type="dxa"/>
            </w:tcMar>
          </w:tcPr>
          <w:p w14:paraId="4F665448" w14:textId="77777777" w:rsidR="00FA6A1F" w:rsidRPr="0003777A" w:rsidRDefault="00FA6A1F" w:rsidP="00F27BD7">
            <w:pPr>
              <w:pStyle w:val="TableText"/>
              <w:jc w:val="center"/>
              <w:rPr>
                <w:rFonts w:eastAsia="Arial Unicode MS"/>
              </w:rPr>
            </w:pPr>
            <w:r w:rsidRPr="0003777A">
              <w:t>15.316</w:t>
            </w:r>
          </w:p>
        </w:tc>
        <w:tc>
          <w:tcPr>
            <w:tcW w:w="614" w:type="pct"/>
            <w:tcBorders>
              <w:top w:val="single" w:sz="4" w:space="0" w:color="A6A6A6" w:themeColor="background1" w:themeShade="A6"/>
              <w:left w:val="nil"/>
              <w:bottom w:val="single" w:sz="4" w:space="0" w:color="A6A6A6" w:themeColor="background1" w:themeShade="A6"/>
              <w:right w:val="nil"/>
            </w:tcBorders>
            <w:shd w:val="clear" w:color="auto" w:fill="auto"/>
            <w:noWrap/>
            <w:tcMar>
              <w:top w:w="0" w:type="dxa"/>
              <w:left w:w="108" w:type="dxa"/>
              <w:bottom w:w="0" w:type="dxa"/>
              <w:right w:w="108" w:type="dxa"/>
            </w:tcMar>
          </w:tcPr>
          <w:p w14:paraId="4F665449" w14:textId="77777777" w:rsidR="00FA6A1F" w:rsidRPr="0003777A" w:rsidRDefault="00FA6A1F" w:rsidP="00F27BD7">
            <w:pPr>
              <w:pStyle w:val="TableText"/>
              <w:jc w:val="center"/>
              <w:rPr>
                <w:rFonts w:eastAsia="Arial Unicode MS"/>
              </w:rPr>
            </w:pPr>
            <w:r w:rsidRPr="0003777A">
              <w:t>7.457</w:t>
            </w:r>
          </w:p>
        </w:tc>
        <w:tc>
          <w:tcPr>
            <w:tcW w:w="1140" w:type="pct"/>
            <w:tcBorders>
              <w:top w:val="single" w:sz="4" w:space="0" w:color="A6A6A6" w:themeColor="background1" w:themeShade="A6"/>
              <w:left w:val="nil"/>
              <w:bottom w:val="single" w:sz="4" w:space="0" w:color="A6A6A6" w:themeColor="background1" w:themeShade="A6"/>
              <w:right w:val="nil"/>
            </w:tcBorders>
            <w:shd w:val="clear" w:color="auto" w:fill="auto"/>
          </w:tcPr>
          <w:p w14:paraId="4F66544A" w14:textId="77777777" w:rsidR="00FA6A1F" w:rsidRPr="0003777A" w:rsidRDefault="00FA6A1F" w:rsidP="00F27BD7">
            <w:pPr>
              <w:pStyle w:val="TableText"/>
              <w:jc w:val="center"/>
              <w:rPr>
                <w:rFonts w:eastAsia="Arial Unicode MS"/>
              </w:rPr>
            </w:pPr>
            <w:r w:rsidRPr="0003777A">
              <w:t>9.035</w:t>
            </w:r>
          </w:p>
        </w:tc>
      </w:tr>
      <w:tr w:rsidR="00FA6A1F" w:rsidRPr="00092A9A" w14:paraId="4F665451" w14:textId="77777777" w:rsidTr="00F27BD7">
        <w:trPr>
          <w:cantSplit/>
        </w:trPr>
        <w:tc>
          <w:tcPr>
            <w:tcW w:w="2020" w:type="pct"/>
            <w:tcBorders>
              <w:top w:val="single" w:sz="4" w:space="0" w:color="BFBFBF" w:themeColor="background1" w:themeShade="BF"/>
              <w:bottom w:val="single" w:sz="4" w:space="0" w:color="A6A6A6" w:themeColor="background1" w:themeShade="A6"/>
            </w:tcBorders>
            <w:shd w:val="clear" w:color="auto" w:fill="auto"/>
            <w:tcMar>
              <w:top w:w="0" w:type="dxa"/>
              <w:left w:w="57" w:type="dxa"/>
              <w:bottom w:w="0" w:type="dxa"/>
              <w:right w:w="57" w:type="dxa"/>
            </w:tcMar>
          </w:tcPr>
          <w:p w14:paraId="4F66544C" w14:textId="77777777" w:rsidR="00FA6A1F" w:rsidRPr="0003777A" w:rsidRDefault="00FA6A1F" w:rsidP="00F27BD7">
            <w:pPr>
              <w:pStyle w:val="TableText"/>
              <w:rPr>
                <w:rFonts w:eastAsia="Arial Unicode MS"/>
              </w:rPr>
            </w:pPr>
            <w:r w:rsidRPr="0003777A">
              <w:rPr>
                <w:rFonts w:eastAsia="Arial Unicode MS"/>
              </w:rPr>
              <w:t>($m) Comparison with current levy payments (negative = less)</w:t>
            </w:r>
          </w:p>
        </w:tc>
        <w:tc>
          <w:tcPr>
            <w:tcW w:w="613" w:type="pct"/>
            <w:tcBorders>
              <w:top w:val="single" w:sz="4" w:space="0" w:color="A6A6A6" w:themeColor="background1" w:themeShade="A6"/>
              <w:left w:val="nil"/>
              <w:bottom w:val="single" w:sz="4" w:space="0" w:color="A6A6A6" w:themeColor="background1" w:themeShade="A6"/>
              <w:right w:val="nil"/>
            </w:tcBorders>
            <w:shd w:val="clear" w:color="auto" w:fill="auto"/>
            <w:noWrap/>
            <w:tcMar>
              <w:top w:w="0" w:type="dxa"/>
              <w:left w:w="108" w:type="dxa"/>
              <w:bottom w:w="0" w:type="dxa"/>
              <w:right w:w="108" w:type="dxa"/>
            </w:tcMar>
          </w:tcPr>
          <w:p w14:paraId="4F66544D" w14:textId="77777777" w:rsidR="00FA6A1F" w:rsidRPr="0003777A" w:rsidRDefault="00FA6A1F" w:rsidP="00F27BD7">
            <w:pPr>
              <w:pStyle w:val="TableText"/>
              <w:jc w:val="center"/>
              <w:rPr>
                <w:rFonts w:eastAsia="Arial Unicode MS"/>
              </w:rPr>
            </w:pPr>
            <w:r w:rsidRPr="0003777A">
              <w:t>8.511</w:t>
            </w:r>
          </w:p>
        </w:tc>
        <w:tc>
          <w:tcPr>
            <w:tcW w:w="613" w:type="pct"/>
            <w:tcBorders>
              <w:top w:val="single" w:sz="4" w:space="0" w:color="A6A6A6" w:themeColor="background1" w:themeShade="A6"/>
              <w:left w:val="nil"/>
              <w:bottom w:val="single" w:sz="4" w:space="0" w:color="A6A6A6" w:themeColor="background1" w:themeShade="A6"/>
              <w:right w:val="nil"/>
            </w:tcBorders>
            <w:shd w:val="clear" w:color="auto" w:fill="auto"/>
            <w:noWrap/>
            <w:tcMar>
              <w:top w:w="0" w:type="dxa"/>
              <w:left w:w="108" w:type="dxa"/>
              <w:bottom w:w="0" w:type="dxa"/>
              <w:right w:w="108" w:type="dxa"/>
            </w:tcMar>
          </w:tcPr>
          <w:p w14:paraId="4F66544E" w14:textId="77777777" w:rsidR="00FA6A1F" w:rsidRPr="0003777A" w:rsidRDefault="00FA6A1F" w:rsidP="00F27BD7">
            <w:pPr>
              <w:pStyle w:val="TableText"/>
              <w:jc w:val="center"/>
              <w:rPr>
                <w:rFonts w:eastAsia="Arial Unicode MS"/>
              </w:rPr>
            </w:pPr>
            <w:r w:rsidRPr="0003777A">
              <w:t>4.103</w:t>
            </w:r>
          </w:p>
        </w:tc>
        <w:tc>
          <w:tcPr>
            <w:tcW w:w="614" w:type="pct"/>
            <w:tcBorders>
              <w:top w:val="single" w:sz="4" w:space="0" w:color="A6A6A6" w:themeColor="background1" w:themeShade="A6"/>
              <w:left w:val="nil"/>
              <w:bottom w:val="single" w:sz="4" w:space="0" w:color="A6A6A6" w:themeColor="background1" w:themeShade="A6"/>
              <w:right w:val="nil"/>
            </w:tcBorders>
            <w:shd w:val="clear" w:color="auto" w:fill="auto"/>
            <w:noWrap/>
            <w:tcMar>
              <w:top w:w="0" w:type="dxa"/>
              <w:left w:w="108" w:type="dxa"/>
              <w:bottom w:w="0" w:type="dxa"/>
              <w:right w:w="108" w:type="dxa"/>
            </w:tcMar>
          </w:tcPr>
          <w:p w14:paraId="4F66544F" w14:textId="77777777" w:rsidR="00FA6A1F" w:rsidRPr="0003777A" w:rsidRDefault="00FA6A1F" w:rsidP="00F27BD7">
            <w:pPr>
              <w:pStyle w:val="TableText"/>
              <w:jc w:val="center"/>
              <w:rPr>
                <w:rFonts w:eastAsia="Arial Unicode MS"/>
              </w:rPr>
            </w:pPr>
            <w:r w:rsidRPr="0003777A">
              <w:t>1.283</w:t>
            </w:r>
          </w:p>
        </w:tc>
        <w:tc>
          <w:tcPr>
            <w:tcW w:w="1140" w:type="pct"/>
            <w:tcBorders>
              <w:top w:val="single" w:sz="4" w:space="0" w:color="A6A6A6" w:themeColor="background1" w:themeShade="A6"/>
              <w:left w:val="nil"/>
              <w:bottom w:val="single" w:sz="4" w:space="0" w:color="A6A6A6" w:themeColor="background1" w:themeShade="A6"/>
              <w:right w:val="nil"/>
            </w:tcBorders>
            <w:shd w:val="clear" w:color="auto" w:fill="auto"/>
          </w:tcPr>
          <w:p w14:paraId="4F665450" w14:textId="77777777" w:rsidR="00FA6A1F" w:rsidRPr="0003777A" w:rsidRDefault="00FA6A1F" w:rsidP="00F27BD7">
            <w:pPr>
              <w:pStyle w:val="TableText"/>
              <w:jc w:val="center"/>
              <w:rPr>
                <w:rFonts w:eastAsia="Arial Unicode MS"/>
              </w:rPr>
            </w:pPr>
            <w:r w:rsidRPr="0003777A">
              <w:t>1.129</w:t>
            </w:r>
          </w:p>
        </w:tc>
      </w:tr>
    </w:tbl>
    <w:p w14:paraId="4F665452" w14:textId="77777777" w:rsidR="00F27BD7" w:rsidRDefault="00F27BD7" w:rsidP="00F27BD7">
      <w:bookmarkStart w:id="295" w:name="_Toc517091252"/>
      <w:bookmarkStart w:id="296" w:name="_Toc522089456"/>
    </w:p>
    <w:p w14:paraId="4F665453" w14:textId="27D74455" w:rsidR="00FA6A1F" w:rsidRPr="00092A9A" w:rsidRDefault="00F27BD7" w:rsidP="00F27BD7">
      <w:pPr>
        <w:pStyle w:val="Table"/>
      </w:pPr>
      <w:bookmarkStart w:id="297" w:name="_Toc80860361"/>
      <w:r>
        <w:t>Table </w:t>
      </w:r>
      <w:fldSimple w:instr=" SEQ Table \* ARABIC ">
        <w:r w:rsidR="00F65B3A">
          <w:rPr>
            <w:noProof/>
          </w:rPr>
          <w:t>17</w:t>
        </w:r>
      </w:fldSimple>
      <w:r w:rsidR="00FA6A1F" w:rsidRPr="00092A9A">
        <w:t xml:space="preserve">: Estimated levy </w:t>
      </w:r>
      <w:r w:rsidR="00FA6A1F" w:rsidRPr="00A15C4B">
        <w:t>rates</w:t>
      </w:r>
      <w:r w:rsidR="00FA6A1F" w:rsidRPr="00092A9A">
        <w:t xml:space="preserve"> and payments ($m) per sector</w:t>
      </w:r>
      <w:r w:rsidR="00FA6A1F">
        <w:t>,</w:t>
      </w:r>
      <w:r w:rsidR="00FA6A1F" w:rsidRPr="00092A9A">
        <w:t xml:space="preserve"> 30/70 weighting</w:t>
      </w:r>
      <w:bookmarkEnd w:id="295"/>
      <w:bookmarkEnd w:id="296"/>
      <w:bookmarkEnd w:id="297"/>
    </w:p>
    <w:tbl>
      <w:tblPr>
        <w:tblW w:w="4971" w:type="pct"/>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3215"/>
        <w:gridCol w:w="978"/>
        <w:gridCol w:w="978"/>
        <w:gridCol w:w="980"/>
        <w:gridCol w:w="1881"/>
      </w:tblGrid>
      <w:tr w:rsidR="00FA6A1F" w:rsidRPr="00F27BD7" w14:paraId="4F665459" w14:textId="77777777" w:rsidTr="00F27BD7">
        <w:trPr>
          <w:cantSplit/>
        </w:trPr>
        <w:tc>
          <w:tcPr>
            <w:tcW w:w="2001" w:type="pct"/>
            <w:tcBorders>
              <w:top w:val="nil"/>
              <w:bottom w:val="nil"/>
            </w:tcBorders>
            <w:shd w:val="clear" w:color="auto" w:fill="D9D9D9" w:themeFill="background1" w:themeFillShade="D9"/>
            <w:tcMar>
              <w:top w:w="0" w:type="dxa"/>
              <w:left w:w="57" w:type="dxa"/>
              <w:bottom w:w="0" w:type="dxa"/>
              <w:right w:w="57" w:type="dxa"/>
            </w:tcMar>
          </w:tcPr>
          <w:p w14:paraId="4F665454" w14:textId="77777777" w:rsidR="00FA6A1F" w:rsidRPr="00F27BD7" w:rsidRDefault="00FA6A1F" w:rsidP="00F27BD7">
            <w:pPr>
              <w:pStyle w:val="TableText"/>
              <w:rPr>
                <w:rFonts w:eastAsia="Arial Unicode MS"/>
                <w:b/>
              </w:rPr>
            </w:pPr>
            <w:r w:rsidRPr="00F27BD7">
              <w:rPr>
                <w:rFonts w:eastAsia="Arial Unicode MS"/>
                <w:b/>
              </w:rPr>
              <w:t>Collection period starts 1 July 2022 (all GST exclusive)</w:t>
            </w:r>
          </w:p>
        </w:tc>
        <w:tc>
          <w:tcPr>
            <w:tcW w:w="609" w:type="pct"/>
            <w:tcBorders>
              <w:top w:val="nil"/>
              <w:bottom w:val="nil"/>
            </w:tcBorders>
            <w:shd w:val="clear" w:color="auto" w:fill="D9D9D9" w:themeFill="background1" w:themeFillShade="D9"/>
            <w:tcMar>
              <w:top w:w="0" w:type="dxa"/>
              <w:left w:w="108" w:type="dxa"/>
              <w:bottom w:w="0" w:type="dxa"/>
              <w:right w:w="108" w:type="dxa"/>
            </w:tcMar>
          </w:tcPr>
          <w:p w14:paraId="4F665455" w14:textId="77777777" w:rsidR="00FA6A1F" w:rsidRPr="00F27BD7" w:rsidRDefault="00FA6A1F" w:rsidP="00F27BD7">
            <w:pPr>
              <w:pStyle w:val="TableText"/>
              <w:jc w:val="center"/>
              <w:rPr>
                <w:rFonts w:eastAsia="Arial Unicode MS"/>
                <w:b/>
              </w:rPr>
            </w:pPr>
            <w:r w:rsidRPr="00F27BD7">
              <w:rPr>
                <w:rFonts w:eastAsia="Arial Unicode MS"/>
                <w:b/>
              </w:rPr>
              <w:t>NCGMs</w:t>
            </w:r>
          </w:p>
        </w:tc>
        <w:tc>
          <w:tcPr>
            <w:tcW w:w="609" w:type="pct"/>
            <w:tcBorders>
              <w:top w:val="nil"/>
              <w:bottom w:val="nil"/>
            </w:tcBorders>
            <w:shd w:val="clear" w:color="auto" w:fill="D9D9D9" w:themeFill="background1" w:themeFillShade="D9"/>
            <w:tcMar>
              <w:top w:w="0" w:type="dxa"/>
              <w:left w:w="108" w:type="dxa"/>
              <w:bottom w:w="0" w:type="dxa"/>
              <w:right w:w="108" w:type="dxa"/>
            </w:tcMar>
          </w:tcPr>
          <w:p w14:paraId="4F665456" w14:textId="77777777" w:rsidR="00FA6A1F" w:rsidRPr="00F27BD7" w:rsidRDefault="00FA6A1F" w:rsidP="00F27BD7">
            <w:pPr>
              <w:pStyle w:val="TableText"/>
              <w:jc w:val="center"/>
              <w:rPr>
                <w:rFonts w:eastAsia="Arial Unicode MS"/>
                <w:b/>
              </w:rPr>
            </w:pPr>
            <w:r w:rsidRPr="00F27BD7">
              <w:rPr>
                <w:rFonts w:eastAsia="Arial Unicode MS"/>
                <w:b/>
              </w:rPr>
              <w:t>Casinos</w:t>
            </w:r>
          </w:p>
        </w:tc>
        <w:tc>
          <w:tcPr>
            <w:tcW w:w="610" w:type="pct"/>
            <w:tcBorders>
              <w:top w:val="nil"/>
              <w:bottom w:val="nil"/>
            </w:tcBorders>
            <w:shd w:val="clear" w:color="auto" w:fill="D9D9D9" w:themeFill="background1" w:themeFillShade="D9"/>
            <w:tcMar>
              <w:top w:w="0" w:type="dxa"/>
              <w:left w:w="108" w:type="dxa"/>
              <w:bottom w:w="0" w:type="dxa"/>
              <w:right w:w="108" w:type="dxa"/>
            </w:tcMar>
          </w:tcPr>
          <w:p w14:paraId="4F665457" w14:textId="77777777" w:rsidR="00FA6A1F" w:rsidRPr="00F27BD7" w:rsidRDefault="00FA6A1F" w:rsidP="00F27BD7">
            <w:pPr>
              <w:pStyle w:val="TableText"/>
              <w:jc w:val="center"/>
              <w:rPr>
                <w:rFonts w:eastAsia="Arial Unicode MS"/>
                <w:b/>
              </w:rPr>
            </w:pPr>
            <w:r w:rsidRPr="00F27BD7">
              <w:rPr>
                <w:rFonts w:eastAsia="Arial Unicode MS"/>
                <w:b/>
              </w:rPr>
              <w:t>TAB NZ</w:t>
            </w:r>
          </w:p>
        </w:tc>
        <w:tc>
          <w:tcPr>
            <w:tcW w:w="1171" w:type="pct"/>
            <w:tcBorders>
              <w:top w:val="nil"/>
              <w:bottom w:val="nil"/>
            </w:tcBorders>
            <w:shd w:val="clear" w:color="auto" w:fill="D9D9D9" w:themeFill="background1" w:themeFillShade="D9"/>
          </w:tcPr>
          <w:p w14:paraId="4F665458" w14:textId="77777777" w:rsidR="00FA6A1F" w:rsidRPr="00F27BD7" w:rsidRDefault="00FA6A1F" w:rsidP="00F27BD7">
            <w:pPr>
              <w:pStyle w:val="TableText"/>
              <w:jc w:val="center"/>
              <w:rPr>
                <w:rFonts w:eastAsia="Arial Unicode MS"/>
                <w:b/>
              </w:rPr>
            </w:pPr>
            <w:r w:rsidRPr="00F27BD7">
              <w:rPr>
                <w:rFonts w:eastAsia="Arial Unicode MS"/>
                <w:b/>
              </w:rPr>
              <w:t>Lotto New Zealand</w:t>
            </w:r>
          </w:p>
        </w:tc>
      </w:tr>
      <w:tr w:rsidR="00FA6A1F" w:rsidRPr="00092A9A" w14:paraId="4F66545F" w14:textId="77777777" w:rsidTr="00F27BD7">
        <w:trPr>
          <w:cantSplit/>
        </w:trPr>
        <w:tc>
          <w:tcPr>
            <w:tcW w:w="2001" w:type="pct"/>
            <w:tcBorders>
              <w:top w:val="nil"/>
              <w:bottom w:val="single" w:sz="4" w:space="0" w:color="BFBFBF" w:themeColor="background1" w:themeShade="BF"/>
              <w:right w:val="nil"/>
            </w:tcBorders>
            <w:shd w:val="clear" w:color="auto" w:fill="auto"/>
            <w:tcMar>
              <w:top w:w="0" w:type="dxa"/>
              <w:left w:w="57" w:type="dxa"/>
              <w:bottom w:w="0" w:type="dxa"/>
              <w:right w:w="57" w:type="dxa"/>
            </w:tcMar>
          </w:tcPr>
          <w:p w14:paraId="4F66545A" w14:textId="77777777" w:rsidR="00FA6A1F" w:rsidRPr="0003777A" w:rsidRDefault="00FA6A1F" w:rsidP="00F27BD7">
            <w:pPr>
              <w:pStyle w:val="TableText"/>
              <w:rPr>
                <w:rFonts w:eastAsia="Arial Unicode MS"/>
              </w:rPr>
            </w:pPr>
            <w:r w:rsidRPr="0003777A">
              <w:rPr>
                <w:rFonts w:eastAsia="Arial Unicode MS"/>
              </w:rPr>
              <w:t>Sector levy rates (%)</w:t>
            </w:r>
          </w:p>
        </w:tc>
        <w:tc>
          <w:tcPr>
            <w:tcW w:w="609" w:type="pct"/>
            <w:tcBorders>
              <w:top w:val="nil"/>
              <w:left w:val="nil"/>
              <w:bottom w:val="single" w:sz="4" w:space="0" w:color="A6A6A6" w:themeColor="background1" w:themeShade="A6"/>
              <w:right w:val="nil"/>
            </w:tcBorders>
            <w:shd w:val="clear" w:color="000000" w:fill="FFFFFF"/>
            <w:noWrap/>
            <w:tcMar>
              <w:top w:w="0" w:type="dxa"/>
              <w:left w:w="108" w:type="dxa"/>
              <w:bottom w:w="0" w:type="dxa"/>
              <w:right w:w="108" w:type="dxa"/>
            </w:tcMar>
          </w:tcPr>
          <w:p w14:paraId="4F66545B" w14:textId="77777777" w:rsidR="00FA6A1F" w:rsidRPr="0003777A" w:rsidRDefault="00FA6A1F" w:rsidP="00F27BD7">
            <w:pPr>
              <w:pStyle w:val="TableText"/>
              <w:jc w:val="center"/>
              <w:rPr>
                <w:rFonts w:eastAsia="Arial Unicode MS"/>
                <w:szCs w:val="18"/>
              </w:rPr>
            </w:pPr>
            <w:r w:rsidRPr="0003777A">
              <w:t>0.94</w:t>
            </w:r>
          </w:p>
        </w:tc>
        <w:tc>
          <w:tcPr>
            <w:tcW w:w="609" w:type="pct"/>
            <w:tcBorders>
              <w:top w:val="nil"/>
              <w:left w:val="nil"/>
              <w:bottom w:val="single" w:sz="4" w:space="0" w:color="A6A6A6" w:themeColor="background1" w:themeShade="A6"/>
              <w:right w:val="nil"/>
            </w:tcBorders>
            <w:shd w:val="clear" w:color="000000" w:fill="FFFFFF"/>
            <w:noWrap/>
            <w:tcMar>
              <w:top w:w="0" w:type="dxa"/>
              <w:left w:w="108" w:type="dxa"/>
              <w:bottom w:w="0" w:type="dxa"/>
              <w:right w:w="108" w:type="dxa"/>
            </w:tcMar>
          </w:tcPr>
          <w:p w14:paraId="4F66545C" w14:textId="77777777" w:rsidR="00FA6A1F" w:rsidRPr="0003777A" w:rsidRDefault="00FA6A1F" w:rsidP="00F27BD7">
            <w:pPr>
              <w:pStyle w:val="TableText"/>
              <w:jc w:val="center"/>
              <w:rPr>
                <w:rFonts w:eastAsia="Arial Unicode MS"/>
                <w:szCs w:val="18"/>
              </w:rPr>
            </w:pPr>
            <w:r w:rsidRPr="0003777A">
              <w:t>0.81</w:t>
            </w:r>
          </w:p>
        </w:tc>
        <w:tc>
          <w:tcPr>
            <w:tcW w:w="610" w:type="pct"/>
            <w:tcBorders>
              <w:top w:val="nil"/>
              <w:left w:val="nil"/>
              <w:bottom w:val="single" w:sz="4" w:space="0" w:color="A6A6A6" w:themeColor="background1" w:themeShade="A6"/>
              <w:right w:val="nil"/>
            </w:tcBorders>
            <w:shd w:val="clear" w:color="000000" w:fill="FFFFFF"/>
            <w:noWrap/>
            <w:tcMar>
              <w:top w:w="0" w:type="dxa"/>
              <w:left w:w="108" w:type="dxa"/>
              <w:bottom w:w="0" w:type="dxa"/>
              <w:right w:w="108" w:type="dxa"/>
            </w:tcMar>
          </w:tcPr>
          <w:p w14:paraId="4F66545D" w14:textId="77777777" w:rsidR="00FA6A1F" w:rsidRPr="0003777A" w:rsidRDefault="00FA6A1F" w:rsidP="00F27BD7">
            <w:pPr>
              <w:pStyle w:val="TableText"/>
              <w:jc w:val="center"/>
              <w:rPr>
                <w:rFonts w:eastAsia="Arial Unicode MS"/>
                <w:szCs w:val="18"/>
              </w:rPr>
            </w:pPr>
            <w:r w:rsidRPr="0003777A">
              <w:t>0.71</w:t>
            </w:r>
          </w:p>
        </w:tc>
        <w:tc>
          <w:tcPr>
            <w:tcW w:w="1171" w:type="pct"/>
            <w:tcBorders>
              <w:top w:val="nil"/>
              <w:left w:val="nil"/>
              <w:bottom w:val="single" w:sz="4" w:space="0" w:color="A6A6A6" w:themeColor="background1" w:themeShade="A6"/>
              <w:right w:val="nil"/>
            </w:tcBorders>
            <w:shd w:val="clear" w:color="000000" w:fill="FFFFFF"/>
          </w:tcPr>
          <w:p w14:paraId="4F66545E" w14:textId="77777777" w:rsidR="00FA6A1F" w:rsidRPr="0003777A" w:rsidRDefault="00FA6A1F" w:rsidP="00F27BD7">
            <w:pPr>
              <w:pStyle w:val="TableText"/>
              <w:jc w:val="center"/>
              <w:rPr>
                <w:szCs w:val="18"/>
              </w:rPr>
            </w:pPr>
            <w:r w:rsidRPr="0003777A">
              <w:t>0.42</w:t>
            </w:r>
          </w:p>
        </w:tc>
      </w:tr>
      <w:tr w:rsidR="00FA6A1F" w:rsidRPr="00092A9A" w14:paraId="4F665465" w14:textId="77777777" w:rsidTr="00F27BD7">
        <w:trPr>
          <w:cantSplit/>
        </w:trPr>
        <w:tc>
          <w:tcPr>
            <w:tcW w:w="2001" w:type="pct"/>
            <w:tcBorders>
              <w:top w:val="single" w:sz="4" w:space="0" w:color="BFBFBF" w:themeColor="background1" w:themeShade="BF"/>
              <w:bottom w:val="single" w:sz="4" w:space="0" w:color="BFBFBF" w:themeColor="background1" w:themeShade="BF"/>
            </w:tcBorders>
            <w:shd w:val="clear" w:color="auto" w:fill="auto"/>
            <w:tcMar>
              <w:top w:w="0" w:type="dxa"/>
              <w:left w:w="57" w:type="dxa"/>
              <w:bottom w:w="0" w:type="dxa"/>
              <w:right w:w="57" w:type="dxa"/>
            </w:tcMar>
          </w:tcPr>
          <w:p w14:paraId="4F665460" w14:textId="77777777" w:rsidR="00FA6A1F" w:rsidRPr="0003777A" w:rsidRDefault="00FA6A1F" w:rsidP="00F27BD7">
            <w:pPr>
              <w:pStyle w:val="TableText"/>
              <w:rPr>
                <w:rFonts w:eastAsia="Arial Unicode MS"/>
              </w:rPr>
            </w:pPr>
            <w:r w:rsidRPr="0003777A">
              <w:rPr>
                <w:rFonts w:eastAsia="Arial Unicode MS"/>
              </w:rPr>
              <w:t>Expected levy payment ($m)</w:t>
            </w:r>
          </w:p>
        </w:tc>
        <w:tc>
          <w:tcPr>
            <w:tcW w:w="609" w:type="pct"/>
            <w:tcBorders>
              <w:top w:val="single" w:sz="4" w:space="0" w:color="A6A6A6" w:themeColor="background1" w:themeShade="A6"/>
              <w:left w:val="nil"/>
              <w:bottom w:val="single" w:sz="4" w:space="0" w:color="A6A6A6" w:themeColor="background1" w:themeShade="A6"/>
              <w:right w:val="nil"/>
            </w:tcBorders>
            <w:shd w:val="clear" w:color="auto" w:fill="auto"/>
            <w:noWrap/>
            <w:tcMar>
              <w:top w:w="0" w:type="dxa"/>
              <w:left w:w="108" w:type="dxa"/>
              <w:bottom w:w="0" w:type="dxa"/>
              <w:right w:w="108" w:type="dxa"/>
            </w:tcMar>
          </w:tcPr>
          <w:p w14:paraId="4F665461" w14:textId="77777777" w:rsidR="00FA6A1F" w:rsidRPr="0003777A" w:rsidRDefault="00FA6A1F" w:rsidP="00F27BD7">
            <w:pPr>
              <w:pStyle w:val="TableText"/>
              <w:jc w:val="center"/>
              <w:rPr>
                <w:rFonts w:eastAsia="Arial Unicode MS"/>
                <w:szCs w:val="18"/>
              </w:rPr>
            </w:pPr>
            <w:r w:rsidRPr="0003777A">
              <w:t>30.193</w:t>
            </w:r>
          </w:p>
        </w:tc>
        <w:tc>
          <w:tcPr>
            <w:tcW w:w="609" w:type="pct"/>
            <w:tcBorders>
              <w:top w:val="single" w:sz="4" w:space="0" w:color="A6A6A6" w:themeColor="background1" w:themeShade="A6"/>
              <w:left w:val="nil"/>
              <w:bottom w:val="single" w:sz="4" w:space="0" w:color="A6A6A6" w:themeColor="background1" w:themeShade="A6"/>
              <w:right w:val="nil"/>
            </w:tcBorders>
            <w:shd w:val="clear" w:color="auto" w:fill="auto"/>
            <w:noWrap/>
            <w:tcMar>
              <w:top w:w="0" w:type="dxa"/>
              <w:left w:w="108" w:type="dxa"/>
              <w:bottom w:w="0" w:type="dxa"/>
              <w:right w:w="108" w:type="dxa"/>
            </w:tcMar>
          </w:tcPr>
          <w:p w14:paraId="4F665462" w14:textId="77777777" w:rsidR="00FA6A1F" w:rsidRPr="0003777A" w:rsidRDefault="00FA6A1F" w:rsidP="00F27BD7">
            <w:pPr>
              <w:pStyle w:val="TableText"/>
              <w:jc w:val="center"/>
              <w:rPr>
                <w:rFonts w:eastAsia="Arial Unicode MS"/>
                <w:szCs w:val="18"/>
              </w:rPr>
            </w:pPr>
            <w:r w:rsidRPr="0003777A">
              <w:t>15.316</w:t>
            </w:r>
          </w:p>
        </w:tc>
        <w:tc>
          <w:tcPr>
            <w:tcW w:w="610" w:type="pct"/>
            <w:tcBorders>
              <w:top w:val="single" w:sz="4" w:space="0" w:color="A6A6A6" w:themeColor="background1" w:themeShade="A6"/>
              <w:left w:val="nil"/>
              <w:bottom w:val="single" w:sz="4" w:space="0" w:color="A6A6A6" w:themeColor="background1" w:themeShade="A6"/>
              <w:right w:val="nil"/>
            </w:tcBorders>
            <w:shd w:val="clear" w:color="auto" w:fill="auto"/>
            <w:noWrap/>
            <w:tcMar>
              <w:top w:w="0" w:type="dxa"/>
              <w:left w:w="108" w:type="dxa"/>
              <w:bottom w:w="0" w:type="dxa"/>
              <w:right w:w="108" w:type="dxa"/>
            </w:tcMar>
          </w:tcPr>
          <w:p w14:paraId="4F665463" w14:textId="77777777" w:rsidR="00FA6A1F" w:rsidRPr="0003777A" w:rsidRDefault="00FA6A1F" w:rsidP="00F27BD7">
            <w:pPr>
              <w:pStyle w:val="TableText"/>
              <w:jc w:val="center"/>
              <w:rPr>
                <w:rFonts w:eastAsia="Arial Unicode MS"/>
                <w:szCs w:val="18"/>
              </w:rPr>
            </w:pPr>
            <w:r w:rsidRPr="0003777A">
              <w:t>7.786</w:t>
            </w:r>
          </w:p>
        </w:tc>
        <w:tc>
          <w:tcPr>
            <w:tcW w:w="1171" w:type="pct"/>
            <w:tcBorders>
              <w:top w:val="single" w:sz="4" w:space="0" w:color="A6A6A6" w:themeColor="background1" w:themeShade="A6"/>
              <w:left w:val="nil"/>
              <w:bottom w:val="single" w:sz="4" w:space="0" w:color="A6A6A6" w:themeColor="background1" w:themeShade="A6"/>
              <w:right w:val="nil"/>
            </w:tcBorders>
            <w:shd w:val="clear" w:color="auto" w:fill="auto"/>
          </w:tcPr>
          <w:p w14:paraId="4F665464" w14:textId="77777777" w:rsidR="00FA6A1F" w:rsidRPr="0003777A" w:rsidRDefault="00FA6A1F" w:rsidP="00F27BD7">
            <w:pPr>
              <w:pStyle w:val="TableText"/>
              <w:jc w:val="center"/>
              <w:rPr>
                <w:szCs w:val="18"/>
              </w:rPr>
            </w:pPr>
            <w:r w:rsidRPr="0003777A">
              <w:t>9.986</w:t>
            </w:r>
          </w:p>
        </w:tc>
      </w:tr>
      <w:tr w:rsidR="00FA6A1F" w:rsidRPr="00092A9A" w14:paraId="4F66546B" w14:textId="77777777" w:rsidTr="00F27BD7">
        <w:trPr>
          <w:cantSplit/>
        </w:trPr>
        <w:tc>
          <w:tcPr>
            <w:tcW w:w="2001" w:type="pct"/>
            <w:tcBorders>
              <w:top w:val="single" w:sz="4" w:space="0" w:color="BFBFBF" w:themeColor="background1" w:themeShade="BF"/>
              <w:bottom w:val="single" w:sz="4" w:space="0" w:color="A6A6A6" w:themeColor="background1" w:themeShade="A6"/>
            </w:tcBorders>
            <w:shd w:val="clear" w:color="auto" w:fill="auto"/>
            <w:tcMar>
              <w:top w:w="0" w:type="dxa"/>
              <w:left w:w="57" w:type="dxa"/>
              <w:bottom w:w="0" w:type="dxa"/>
              <w:right w:w="57" w:type="dxa"/>
            </w:tcMar>
          </w:tcPr>
          <w:p w14:paraId="4F665466" w14:textId="77777777" w:rsidR="00FA6A1F" w:rsidRPr="0003777A" w:rsidRDefault="00FA6A1F" w:rsidP="00F27BD7">
            <w:pPr>
              <w:pStyle w:val="TableText"/>
              <w:rPr>
                <w:rFonts w:eastAsia="Arial Unicode MS"/>
              </w:rPr>
            </w:pPr>
            <w:r w:rsidRPr="0003777A">
              <w:rPr>
                <w:rFonts w:eastAsia="Arial Unicode MS"/>
              </w:rPr>
              <w:t>($m) Comparison with current levy payments (negative = less)</w:t>
            </w:r>
          </w:p>
        </w:tc>
        <w:tc>
          <w:tcPr>
            <w:tcW w:w="609" w:type="pct"/>
            <w:tcBorders>
              <w:top w:val="single" w:sz="4" w:space="0" w:color="A6A6A6" w:themeColor="background1" w:themeShade="A6"/>
              <w:left w:val="nil"/>
              <w:bottom w:val="single" w:sz="4" w:space="0" w:color="A6A6A6" w:themeColor="background1" w:themeShade="A6"/>
              <w:right w:val="nil"/>
            </w:tcBorders>
            <w:shd w:val="clear" w:color="auto" w:fill="auto"/>
            <w:noWrap/>
            <w:tcMar>
              <w:top w:w="0" w:type="dxa"/>
              <w:left w:w="108" w:type="dxa"/>
              <w:bottom w:w="0" w:type="dxa"/>
              <w:right w:w="108" w:type="dxa"/>
            </w:tcMar>
          </w:tcPr>
          <w:p w14:paraId="4F665467" w14:textId="77777777" w:rsidR="00FA6A1F" w:rsidRPr="0003777A" w:rsidRDefault="00FA6A1F" w:rsidP="00F27BD7">
            <w:pPr>
              <w:pStyle w:val="TableText"/>
              <w:jc w:val="center"/>
              <w:rPr>
                <w:rFonts w:eastAsia="Arial Unicode MS"/>
                <w:szCs w:val="18"/>
              </w:rPr>
            </w:pPr>
            <w:r w:rsidRPr="0003777A">
              <w:t>7.226</w:t>
            </w:r>
          </w:p>
        </w:tc>
        <w:tc>
          <w:tcPr>
            <w:tcW w:w="609" w:type="pct"/>
            <w:tcBorders>
              <w:top w:val="single" w:sz="4" w:space="0" w:color="A6A6A6" w:themeColor="background1" w:themeShade="A6"/>
              <w:left w:val="nil"/>
              <w:bottom w:val="single" w:sz="4" w:space="0" w:color="A6A6A6" w:themeColor="background1" w:themeShade="A6"/>
              <w:right w:val="nil"/>
            </w:tcBorders>
            <w:shd w:val="clear" w:color="auto" w:fill="auto"/>
            <w:noWrap/>
            <w:tcMar>
              <w:top w:w="0" w:type="dxa"/>
              <w:left w:w="108" w:type="dxa"/>
              <w:bottom w:w="0" w:type="dxa"/>
              <w:right w:w="108" w:type="dxa"/>
            </w:tcMar>
          </w:tcPr>
          <w:p w14:paraId="4F665468" w14:textId="77777777" w:rsidR="00FA6A1F" w:rsidRPr="0003777A" w:rsidRDefault="00FA6A1F" w:rsidP="00F27BD7">
            <w:pPr>
              <w:pStyle w:val="TableText"/>
              <w:jc w:val="center"/>
              <w:rPr>
                <w:rFonts w:eastAsia="Arial Unicode MS"/>
                <w:szCs w:val="18"/>
              </w:rPr>
            </w:pPr>
            <w:r w:rsidRPr="0003777A">
              <w:t>4.103</w:t>
            </w:r>
          </w:p>
        </w:tc>
        <w:tc>
          <w:tcPr>
            <w:tcW w:w="610" w:type="pct"/>
            <w:tcBorders>
              <w:top w:val="single" w:sz="4" w:space="0" w:color="A6A6A6" w:themeColor="background1" w:themeShade="A6"/>
              <w:left w:val="nil"/>
              <w:bottom w:val="single" w:sz="4" w:space="0" w:color="A6A6A6" w:themeColor="background1" w:themeShade="A6"/>
              <w:right w:val="nil"/>
            </w:tcBorders>
            <w:shd w:val="clear" w:color="auto" w:fill="auto"/>
            <w:noWrap/>
            <w:tcMar>
              <w:top w:w="0" w:type="dxa"/>
              <w:left w:w="108" w:type="dxa"/>
              <w:bottom w:w="0" w:type="dxa"/>
              <w:right w:w="108" w:type="dxa"/>
            </w:tcMar>
          </w:tcPr>
          <w:p w14:paraId="4F665469" w14:textId="77777777" w:rsidR="00FA6A1F" w:rsidRPr="0003777A" w:rsidRDefault="00FA6A1F" w:rsidP="00F27BD7">
            <w:pPr>
              <w:pStyle w:val="TableText"/>
              <w:jc w:val="center"/>
              <w:rPr>
                <w:rFonts w:eastAsia="Arial Unicode MS"/>
                <w:szCs w:val="18"/>
              </w:rPr>
            </w:pPr>
            <w:r w:rsidRPr="0003777A">
              <w:t>1.612</w:t>
            </w:r>
          </w:p>
        </w:tc>
        <w:tc>
          <w:tcPr>
            <w:tcW w:w="1171" w:type="pct"/>
            <w:tcBorders>
              <w:top w:val="single" w:sz="4" w:space="0" w:color="A6A6A6" w:themeColor="background1" w:themeShade="A6"/>
              <w:left w:val="nil"/>
              <w:bottom w:val="single" w:sz="4" w:space="0" w:color="A6A6A6" w:themeColor="background1" w:themeShade="A6"/>
              <w:right w:val="nil"/>
            </w:tcBorders>
            <w:shd w:val="clear" w:color="auto" w:fill="auto"/>
          </w:tcPr>
          <w:p w14:paraId="4F66546A" w14:textId="77777777" w:rsidR="00FA6A1F" w:rsidRPr="0003777A" w:rsidRDefault="00FA6A1F" w:rsidP="00F27BD7">
            <w:pPr>
              <w:pStyle w:val="TableText"/>
              <w:jc w:val="center"/>
              <w:rPr>
                <w:szCs w:val="18"/>
              </w:rPr>
            </w:pPr>
            <w:r w:rsidRPr="0003777A">
              <w:t>2.080</w:t>
            </w:r>
          </w:p>
        </w:tc>
      </w:tr>
    </w:tbl>
    <w:p w14:paraId="4F66546C" w14:textId="77777777" w:rsidR="00F27BD7" w:rsidRDefault="00F27BD7" w:rsidP="00F27BD7">
      <w:bookmarkStart w:id="298" w:name="_Toc517090915"/>
      <w:bookmarkStart w:id="299" w:name="_Toc522089417"/>
      <w:bookmarkStart w:id="300" w:name="_Toc61962076"/>
      <w:bookmarkStart w:id="301" w:name="_Toc71102189"/>
      <w:bookmarkStart w:id="302" w:name="_Toc78882326"/>
    </w:p>
    <w:p w14:paraId="4F66546D" w14:textId="77777777" w:rsidR="00FA6A1F" w:rsidRDefault="00FA6A1F" w:rsidP="00F27BD7">
      <w:pPr>
        <w:pStyle w:val="Heading3"/>
      </w:pPr>
      <w:r w:rsidRPr="005E3D21">
        <w:t>Comment on weighting options</w:t>
      </w:r>
      <w:bookmarkEnd w:id="298"/>
      <w:bookmarkEnd w:id="299"/>
      <w:bookmarkEnd w:id="300"/>
      <w:bookmarkEnd w:id="301"/>
      <w:bookmarkEnd w:id="302"/>
    </w:p>
    <w:p w14:paraId="4F66546E" w14:textId="77777777" w:rsidR="00FA6A1F" w:rsidRDefault="00FA6A1F" w:rsidP="00F27BD7">
      <w:r w:rsidRPr="00A32BB8">
        <w:t>Tables 1</w:t>
      </w:r>
      <w:r>
        <w:t>4–</w:t>
      </w:r>
      <w:r w:rsidRPr="00A32BB8">
        <w:t>1</w:t>
      </w:r>
      <w:r>
        <w:t>7</w:t>
      </w:r>
      <w:r w:rsidRPr="00A32BB8">
        <w:t xml:space="preserve"> show that</w:t>
      </w:r>
      <w:r>
        <w:t>,</w:t>
      </w:r>
      <w:r w:rsidRPr="00A32BB8">
        <w:t xml:space="preserve"> under each scenario:</w:t>
      </w:r>
    </w:p>
    <w:p w14:paraId="4F66546F" w14:textId="77777777" w:rsidR="00FA6A1F" w:rsidRPr="0003777A" w:rsidRDefault="00FA6A1F" w:rsidP="00F27BD7">
      <w:pPr>
        <w:pStyle w:val="Bullet"/>
      </w:pPr>
      <w:r w:rsidRPr="0003777A">
        <w:t>the higher the weighting on expenditure:</w:t>
      </w:r>
    </w:p>
    <w:p w14:paraId="4F665470" w14:textId="77777777" w:rsidR="00FA6A1F" w:rsidRPr="0003777A" w:rsidRDefault="00FA6A1F" w:rsidP="00F27BD7">
      <w:pPr>
        <w:pStyle w:val="Dash"/>
      </w:pPr>
      <w:r w:rsidRPr="0003777A">
        <w:t xml:space="preserve">the higher the share of the levy to be paid by </w:t>
      </w:r>
      <w:r>
        <w:t>Lotto New Zealand</w:t>
      </w:r>
      <w:r w:rsidRPr="0003777A">
        <w:t xml:space="preserve"> because that sector</w:t>
      </w:r>
      <w:r w:rsidR="008303C6">
        <w:t>’</w:t>
      </w:r>
      <w:r w:rsidRPr="0003777A">
        <w:t>s proportion of gambling expenditure is much higher than its proportion of presentations</w:t>
      </w:r>
    </w:p>
    <w:p w14:paraId="4F665471" w14:textId="77777777" w:rsidR="00FA6A1F" w:rsidRPr="0003777A" w:rsidRDefault="00FA6A1F" w:rsidP="00F27BD7">
      <w:pPr>
        <w:pStyle w:val="Dash"/>
      </w:pPr>
      <w:r w:rsidRPr="0003777A">
        <w:t xml:space="preserve">the higher the share to be paid by the </w:t>
      </w:r>
      <w:r>
        <w:t>TAB NZ</w:t>
      </w:r>
    </w:p>
    <w:p w14:paraId="4F665472" w14:textId="77777777" w:rsidR="00FA6A1F" w:rsidRPr="007535D9" w:rsidRDefault="00FA6A1F" w:rsidP="00F27BD7">
      <w:pPr>
        <w:pStyle w:val="Bullet"/>
      </w:pPr>
      <w:r w:rsidRPr="007535D9">
        <w:t xml:space="preserve">the higher the weighting on </w:t>
      </w:r>
      <w:r w:rsidRPr="0003777A">
        <w:t>presentations</w:t>
      </w:r>
      <w:r w:rsidRPr="007535D9">
        <w:t>:</w:t>
      </w:r>
    </w:p>
    <w:p w14:paraId="4F665473" w14:textId="77777777" w:rsidR="00FA6A1F" w:rsidRPr="007535D9" w:rsidRDefault="00FA6A1F" w:rsidP="00F27BD7">
      <w:pPr>
        <w:pStyle w:val="Dash"/>
      </w:pPr>
      <w:r w:rsidRPr="007535D9">
        <w:t xml:space="preserve">the higher the share to be paid by the NCGM sector (because </w:t>
      </w:r>
      <w:r>
        <w:t>55 percent</w:t>
      </w:r>
      <w:r w:rsidRPr="007535D9">
        <w:t xml:space="preserve"> of presentations are attributed to that sector, but its proportion of expenditure is much lower)</w:t>
      </w:r>
    </w:p>
    <w:p w14:paraId="4F665474" w14:textId="77777777" w:rsidR="00FA6A1F" w:rsidRPr="007535D9" w:rsidRDefault="00FA6A1F" w:rsidP="00F27BD7">
      <w:pPr>
        <w:pStyle w:val="Dash"/>
      </w:pPr>
      <w:r w:rsidRPr="007535D9">
        <w:t xml:space="preserve">the lower the share to be paid by </w:t>
      </w:r>
      <w:r>
        <w:t xml:space="preserve">Lotto New Zealand </w:t>
      </w:r>
      <w:r w:rsidRPr="007535D9">
        <w:t xml:space="preserve">and the </w:t>
      </w:r>
      <w:r>
        <w:t>TAB NZ</w:t>
      </w:r>
    </w:p>
    <w:p w14:paraId="4F665475" w14:textId="77777777" w:rsidR="00FA6A1F" w:rsidRPr="007535D9" w:rsidRDefault="00FA6A1F" w:rsidP="00F27BD7">
      <w:pPr>
        <w:pStyle w:val="Bullet"/>
      </w:pPr>
      <w:r w:rsidRPr="007535D9">
        <w:t>the share of the levy to be paid by casinos is not very sensitive to any weighting changes because that sector</w:t>
      </w:r>
      <w:r w:rsidR="008303C6">
        <w:t>’</w:t>
      </w:r>
      <w:r w:rsidRPr="007535D9">
        <w:t>s proportion of expenditure is relatively close to its proportion of presentations.</w:t>
      </w:r>
    </w:p>
    <w:p w14:paraId="4F665476" w14:textId="77777777" w:rsidR="00F27BD7" w:rsidRDefault="00F27BD7" w:rsidP="00F27BD7"/>
    <w:p w14:paraId="4F665477" w14:textId="77777777" w:rsidR="008303C6" w:rsidRDefault="00FA6A1F" w:rsidP="00F27BD7">
      <w:r w:rsidRPr="00252C71">
        <w:t>The proposed levy rate</w:t>
      </w:r>
      <w:r>
        <w:t>s</w:t>
      </w:r>
      <w:r w:rsidRPr="00252C71">
        <w:t xml:space="preserve"> for each gambling sector</w:t>
      </w:r>
      <w:r>
        <w:t>, except Lotto New Zealand,</w:t>
      </w:r>
      <w:r w:rsidRPr="00252C71">
        <w:t xml:space="preserve"> would be </w:t>
      </w:r>
      <w:r>
        <w:t>higher</w:t>
      </w:r>
      <w:r w:rsidRPr="00252C71">
        <w:t xml:space="preserve"> under any weighting option for </w:t>
      </w:r>
      <w:r>
        <w:t>2022/23 to 2024/25</w:t>
      </w:r>
      <w:r w:rsidRPr="00252C71">
        <w:t xml:space="preserve"> than they are for the current levy period; based on levy payments received</w:t>
      </w:r>
      <w:r>
        <w:t xml:space="preserve">, </w:t>
      </w:r>
      <w:r w:rsidRPr="00252C71">
        <w:t>forecast expenditure for the remaining three</w:t>
      </w:r>
      <w:r>
        <w:t>-</w:t>
      </w:r>
      <w:r w:rsidRPr="00252C71">
        <w:t>year period to 30 June 20</w:t>
      </w:r>
      <w:r>
        <w:t>22</w:t>
      </w:r>
      <w:r w:rsidRPr="00252C71">
        <w:t xml:space="preserve"> and </w:t>
      </w:r>
      <w:r>
        <w:t xml:space="preserve">the </w:t>
      </w:r>
      <w:r w:rsidRPr="00252C71">
        <w:t>proposed budget appropriation</w:t>
      </w:r>
      <w:r>
        <w:t>s</w:t>
      </w:r>
      <w:r w:rsidRPr="00252C71">
        <w:t>.</w:t>
      </w:r>
      <w:r>
        <w:t xml:space="preserve"> S</w:t>
      </w:r>
      <w:r w:rsidRPr="00252C71">
        <w:t xml:space="preserve">ector payments would </w:t>
      </w:r>
      <w:r>
        <w:t xml:space="preserve">also </w:t>
      </w:r>
      <w:r w:rsidRPr="00252C71">
        <w:t>increase compared with what they pay now</w:t>
      </w:r>
      <w:r>
        <w:t>, exception for Lotto New Zealand, under weighting option 5/95</w:t>
      </w:r>
      <w:r w:rsidRPr="00252C71">
        <w:t>.</w:t>
      </w:r>
    </w:p>
    <w:p w14:paraId="4F665478" w14:textId="77777777" w:rsidR="00F27BD7" w:rsidRDefault="00F27BD7" w:rsidP="00F27BD7"/>
    <w:p w14:paraId="4F665479" w14:textId="77777777" w:rsidR="00FA6A1F" w:rsidRPr="007535D9" w:rsidRDefault="00FA6A1F" w:rsidP="00F27BD7">
      <w:pPr>
        <w:keepNext/>
        <w:rPr>
          <w:rFonts w:cstheme="minorHAnsi"/>
        </w:rPr>
      </w:pPr>
      <w:r>
        <w:t xml:space="preserve">While overpayments are predicted </w:t>
      </w:r>
      <w:r w:rsidRPr="00F91031">
        <w:t>for the levy periods to 30 June 2022</w:t>
      </w:r>
      <w:r>
        <w:t xml:space="preserve">, the overpayment amount is much smaller than it was at 30 June 2019. Because the </w:t>
      </w:r>
      <w:r>
        <w:lastRenderedPageBreak/>
        <w:t>overpayments are lower and the Ministry</w:t>
      </w:r>
      <w:r w:rsidR="008303C6">
        <w:t>’</w:t>
      </w:r>
      <w:r>
        <w:t>s proposed appropriation is higher, the proposed levy rates and expected levy payments are higher.</w:t>
      </w:r>
      <w:bookmarkStart w:id="303" w:name="_Toc230066554"/>
    </w:p>
    <w:p w14:paraId="4F66547A" w14:textId="77777777" w:rsidR="00F27BD7" w:rsidRDefault="00F27BD7" w:rsidP="00F27BD7"/>
    <w:p w14:paraId="4F66547B" w14:textId="77777777" w:rsidR="00FA6A1F" w:rsidRDefault="00FA6A1F" w:rsidP="00F27BD7">
      <w:r w:rsidRPr="00252C71">
        <w:t>The levy formula adjusts for these factors in generating levy rates for the next levy period.</w:t>
      </w:r>
    </w:p>
    <w:p w14:paraId="4F66547C" w14:textId="77777777" w:rsidR="00F27BD7" w:rsidRDefault="00F27BD7" w:rsidP="00F27BD7"/>
    <w:p w14:paraId="4F66547D" w14:textId="77777777" w:rsidR="00FA6A1F" w:rsidRDefault="00FA6A1F" w:rsidP="00F27BD7">
      <w:pPr>
        <w:pStyle w:val="Heading2"/>
      </w:pPr>
      <w:bookmarkStart w:id="304" w:name="_Toc78882327"/>
      <w:bookmarkStart w:id="305" w:name="_Toc80965863"/>
      <w:r>
        <w:t>Questions for you to consider</w:t>
      </w:r>
      <w:bookmarkEnd w:id="304"/>
      <w:bookmarkEnd w:id="305"/>
    </w:p>
    <w:p w14:paraId="4F66547E" w14:textId="77777777" w:rsidR="00FA6A1F" w:rsidRDefault="00F27BD7" w:rsidP="00F27BD7">
      <w:pPr>
        <w:pStyle w:val="Box"/>
        <w:ind w:left="851" w:hanging="567"/>
      </w:pPr>
      <w:bookmarkStart w:id="306" w:name="_Hlk75180016"/>
      <w:r>
        <w:t>9.</w:t>
      </w:r>
      <w:r>
        <w:tab/>
      </w:r>
      <w:r w:rsidR="00FA6A1F">
        <w:t>Are the player expenditure forecasts for each gambling sector (D) realistic?</w:t>
      </w:r>
    </w:p>
    <w:p w14:paraId="4F66547F" w14:textId="77777777" w:rsidR="00FA6A1F" w:rsidRDefault="00F27BD7" w:rsidP="00F27BD7">
      <w:pPr>
        <w:pStyle w:val="Box"/>
        <w:ind w:left="851" w:hanging="567"/>
      </w:pPr>
      <w:r>
        <w:t>10.</w:t>
      </w:r>
      <w:r>
        <w:tab/>
      </w:r>
      <w:r w:rsidR="00FA6A1F">
        <w:t>Are there are realistic pairs of expenditure/presentation weightings (W1 and W2) other than those discussed in this consultation document?</w:t>
      </w:r>
    </w:p>
    <w:p w14:paraId="4F665480" w14:textId="77777777" w:rsidR="00FA6A1F" w:rsidRDefault="00F27BD7" w:rsidP="00F27BD7">
      <w:pPr>
        <w:pStyle w:val="Box"/>
        <w:ind w:left="851" w:hanging="567"/>
      </w:pPr>
      <w:r>
        <w:t>11.</w:t>
      </w:r>
      <w:r>
        <w:tab/>
      </w:r>
      <w:r w:rsidR="00FA6A1F">
        <w:t>Which pair of weighting options for W1 and W2 do you prefer, if any, and why? Please keep in mind that the levy weighting options only affect the proportion of levy to be paid by each gambling sector and do not affect the total amount of the levy.</w:t>
      </w:r>
    </w:p>
    <w:p w14:paraId="4F665481" w14:textId="77777777" w:rsidR="00FA6A1F" w:rsidRDefault="00F27BD7" w:rsidP="00F27BD7">
      <w:pPr>
        <w:pStyle w:val="Box"/>
        <w:ind w:left="851" w:hanging="567"/>
      </w:pPr>
      <w:r>
        <w:t>12.</w:t>
      </w:r>
      <w:r>
        <w:tab/>
      </w:r>
      <w:r w:rsidR="00FA6A1F">
        <w:t>Do you have any comment on the estimated levy rates for each sector, keeping in mind that the levy formula itself is set out in legislation and is not under consideration in this consultation?</w:t>
      </w:r>
    </w:p>
    <w:bookmarkEnd w:id="287"/>
    <w:bookmarkEnd w:id="288"/>
    <w:bookmarkEnd w:id="303"/>
    <w:bookmarkEnd w:id="306"/>
    <w:p w14:paraId="4F665482" w14:textId="77777777" w:rsidR="00FA6A1F" w:rsidRDefault="00FA6A1F" w:rsidP="00F27BD7"/>
    <w:p w14:paraId="4F665483" w14:textId="77777777" w:rsidR="00951443" w:rsidRDefault="00951443" w:rsidP="00F27BD7">
      <w:pPr>
        <w:pStyle w:val="Heading1"/>
      </w:pPr>
      <w:bookmarkStart w:id="307" w:name="_Toc78882328"/>
      <w:bookmarkStart w:id="308" w:name="_Toc80965864"/>
      <w:bookmarkEnd w:id="187"/>
      <w:r>
        <w:lastRenderedPageBreak/>
        <w:t>Appendices</w:t>
      </w:r>
      <w:bookmarkEnd w:id="308"/>
    </w:p>
    <w:p w14:paraId="4F665484" w14:textId="77777777" w:rsidR="00FA6A1F" w:rsidRDefault="00FA6A1F" w:rsidP="00951443">
      <w:pPr>
        <w:pStyle w:val="Heading2"/>
      </w:pPr>
      <w:bookmarkStart w:id="309" w:name="_Appendix_1:_Aligning"/>
      <w:bookmarkStart w:id="310" w:name="_Toc80965865"/>
      <w:bookmarkEnd w:id="309"/>
      <w:r>
        <w:t xml:space="preserve">Appendix 1: </w:t>
      </w:r>
      <w:r w:rsidRPr="00C10A99">
        <w:t>Align</w:t>
      </w:r>
      <w:r>
        <w:t xml:space="preserve">ing </w:t>
      </w:r>
      <w:r w:rsidRPr="00C10A99">
        <w:t>with other strategic documents</w:t>
      </w:r>
      <w:bookmarkEnd w:id="307"/>
      <w:bookmarkEnd w:id="310"/>
    </w:p>
    <w:p w14:paraId="4F665485" w14:textId="77777777" w:rsidR="00FA6A1F" w:rsidRDefault="00FA6A1F" w:rsidP="00951443">
      <w:r w:rsidRPr="00C10A99">
        <w:t>Th</w:t>
      </w:r>
      <w:r>
        <w:t>is</w:t>
      </w:r>
      <w:r w:rsidRPr="00C10A99">
        <w:t xml:space="preserve"> </w:t>
      </w:r>
      <w:r>
        <w:t>draft</w:t>
      </w:r>
      <w:r w:rsidRPr="00C10A99">
        <w:t xml:space="preserve"> </w:t>
      </w:r>
      <w:r>
        <w:t>s</w:t>
      </w:r>
      <w:r w:rsidRPr="00C10A99">
        <w:t xml:space="preserve">trategic </w:t>
      </w:r>
      <w:r>
        <w:t>p</w:t>
      </w:r>
      <w:r w:rsidRPr="00C10A99">
        <w:t>lan align</w:t>
      </w:r>
      <w:r>
        <w:t>s</w:t>
      </w:r>
      <w:r w:rsidRPr="00C10A99">
        <w:t xml:space="preserve"> with and complement</w:t>
      </w:r>
      <w:r>
        <w:t>s</w:t>
      </w:r>
      <w:r w:rsidRPr="00C10A99">
        <w:t xml:space="preserve"> a range of other strategic documents</w:t>
      </w:r>
      <w:r>
        <w:t>, as discussed below.</w:t>
      </w:r>
    </w:p>
    <w:p w14:paraId="4F665486" w14:textId="77777777" w:rsidR="00951443" w:rsidRPr="00C10A99" w:rsidRDefault="00951443" w:rsidP="00951443"/>
    <w:p w14:paraId="4F665487" w14:textId="77777777" w:rsidR="00FA6A1F" w:rsidRPr="00951443" w:rsidRDefault="00FA6A1F" w:rsidP="00951443">
      <w:pPr>
        <w:pStyle w:val="Heading3"/>
        <w:rPr>
          <w:i/>
        </w:rPr>
      </w:pPr>
      <w:bookmarkStart w:id="311" w:name="_Toc78882329"/>
      <w:r w:rsidRPr="00951443">
        <w:rPr>
          <w:i/>
        </w:rPr>
        <w:t>Whakamaua: Māori Health Action Plan 2020–2025 (Whakamaua)</w:t>
      </w:r>
      <w:bookmarkEnd w:id="311"/>
    </w:p>
    <w:p w14:paraId="4F665488" w14:textId="77777777" w:rsidR="008303C6" w:rsidRPr="00951443" w:rsidRDefault="00FA6A1F" w:rsidP="00951443">
      <w:pPr>
        <w:rPr>
          <w:spacing w:val="-2"/>
        </w:rPr>
      </w:pPr>
      <w:r w:rsidRPr="00951443">
        <w:rPr>
          <w:i/>
          <w:iCs/>
          <w:spacing w:val="-2"/>
        </w:rPr>
        <w:t>Whakamaua</w:t>
      </w:r>
      <w:r w:rsidRPr="00951443">
        <w:rPr>
          <w:spacing w:val="-2"/>
        </w:rPr>
        <w:t xml:space="preserve"> sets out a pathway for the health and disability system to achieve pae ora – healthy futures for Māori. Its framework includes four objectives to: accelerate the spread of kaupapa Māori and services centred around whānau, shift social and cultural norms; strengthen system leadership; and reduce health inequities and health loss for Māori.</w:t>
      </w:r>
    </w:p>
    <w:p w14:paraId="4F665489" w14:textId="77777777" w:rsidR="00951443" w:rsidRDefault="00951443" w:rsidP="00951443"/>
    <w:p w14:paraId="4F66548A" w14:textId="77777777" w:rsidR="008303C6" w:rsidRDefault="00FA6A1F" w:rsidP="00951443">
      <w:r>
        <w:t xml:space="preserve">We have adopted the latter three as </w:t>
      </w:r>
      <w:r w:rsidRPr="00E701F9">
        <w:t>objectives</w:t>
      </w:r>
      <w:r>
        <w:t xml:space="preserve"> in the draft strategic framework, expanding the </w:t>
      </w:r>
      <w:r w:rsidR="008303C6">
        <w:t>‘</w:t>
      </w:r>
      <w:r w:rsidRPr="0003777A">
        <w:t>reduce</w:t>
      </w:r>
      <w:r>
        <w:t xml:space="preserve"> </w:t>
      </w:r>
      <w:r w:rsidRPr="0003777A">
        <w:t>health inequities and health loss for Māori</w:t>
      </w:r>
      <w:r w:rsidR="008303C6">
        <w:t>’</w:t>
      </w:r>
      <w:r>
        <w:t xml:space="preserve"> objective to include Pacific peoples, Asian peoples and young people / rangatahi.</w:t>
      </w:r>
    </w:p>
    <w:p w14:paraId="4F66548B" w14:textId="77777777" w:rsidR="00951443" w:rsidRDefault="00951443" w:rsidP="00951443"/>
    <w:p w14:paraId="4F66548C" w14:textId="77777777" w:rsidR="00FA6A1F" w:rsidRDefault="00FA6A1F" w:rsidP="00951443">
      <w:r>
        <w:t xml:space="preserve">We have located the </w:t>
      </w:r>
      <w:r w:rsidR="008303C6">
        <w:t>‘</w:t>
      </w:r>
      <w:r w:rsidRPr="0003777A">
        <w:t xml:space="preserve">accelerate the spread of </w:t>
      </w:r>
      <w:r>
        <w:t>k</w:t>
      </w:r>
      <w:r w:rsidRPr="0003777A">
        <w:t xml:space="preserve">aupapa Māori and </w:t>
      </w:r>
      <w:r>
        <w:t xml:space="preserve">services centred around </w:t>
      </w:r>
      <w:r w:rsidRPr="0003777A">
        <w:t>whānau</w:t>
      </w:r>
      <w:r w:rsidR="008303C6">
        <w:t>’</w:t>
      </w:r>
      <w:r w:rsidRPr="0003777A">
        <w:t xml:space="preserve"> </w:t>
      </w:r>
      <w:r>
        <w:t xml:space="preserve">objective as a priority action area under a new objective: </w:t>
      </w:r>
      <w:r w:rsidR="008303C6">
        <w:t>‘</w:t>
      </w:r>
      <w:r w:rsidRPr="0003777A">
        <w:t>strengthen the health and health equity of Māori, Pacific</w:t>
      </w:r>
      <w:r>
        <w:t xml:space="preserve"> peoples</w:t>
      </w:r>
      <w:r w:rsidRPr="0003777A">
        <w:t xml:space="preserve">, Asian </w:t>
      </w:r>
      <w:r>
        <w:t xml:space="preserve">peoples </w:t>
      </w:r>
      <w:r w:rsidRPr="0003777A">
        <w:t>and young people</w:t>
      </w:r>
      <w:r>
        <w:t xml:space="preserve"> </w:t>
      </w:r>
      <w:r w:rsidRPr="0003777A">
        <w:t>/</w:t>
      </w:r>
      <w:r>
        <w:t xml:space="preserve"> </w:t>
      </w:r>
      <w:r w:rsidRPr="0003777A">
        <w:t>rangatahi</w:t>
      </w:r>
      <w:r w:rsidR="008303C6">
        <w:t>’</w:t>
      </w:r>
      <w:r w:rsidRPr="0003777A">
        <w:t>.</w:t>
      </w:r>
    </w:p>
    <w:p w14:paraId="4F66548D" w14:textId="77777777" w:rsidR="00951443" w:rsidRPr="0003777A" w:rsidRDefault="00951443" w:rsidP="00951443"/>
    <w:p w14:paraId="4F66548E" w14:textId="77777777" w:rsidR="00FA6A1F" w:rsidRPr="00951443" w:rsidRDefault="00FA6A1F" w:rsidP="00951443">
      <w:pPr>
        <w:pStyle w:val="Heading3"/>
        <w:rPr>
          <w:i/>
        </w:rPr>
      </w:pPr>
      <w:bookmarkStart w:id="312" w:name="_Toc78882330"/>
      <w:r w:rsidRPr="00951443">
        <w:rPr>
          <w:i/>
        </w:rPr>
        <w:t>Kia Kaha, Kia Māia, Kia Ora Aotearoa: COVID-19 Psychosocial and Mental Wellbeing Plan (Kia Kaha)</w:t>
      </w:r>
      <w:bookmarkEnd w:id="312"/>
    </w:p>
    <w:p w14:paraId="4F66548F" w14:textId="77777777" w:rsidR="008303C6" w:rsidRDefault="00FA6A1F" w:rsidP="00951443">
      <w:r w:rsidRPr="00CA2707">
        <w:rPr>
          <w:i/>
          <w:iCs/>
        </w:rPr>
        <w:t>Kia Kaha</w:t>
      </w:r>
      <w:r w:rsidRPr="00A90875">
        <w:t xml:space="preserve"> sets out a mental wellbeing framework that </w:t>
      </w:r>
      <w:r>
        <w:t>takes a public health approach and uses the continuum model to</w:t>
      </w:r>
      <w:r w:rsidRPr="00A90875">
        <w:t xml:space="preserve"> support</w:t>
      </w:r>
      <w:r>
        <w:t>ing</w:t>
      </w:r>
      <w:r w:rsidRPr="00A90875">
        <w:t xml:space="preserve"> alignment across all organisations</w:t>
      </w:r>
      <w:r>
        <w:t>,</w:t>
      </w:r>
      <w:r w:rsidRPr="00A90875">
        <w:t xml:space="preserve"> nationally and locally</w:t>
      </w:r>
      <w:r>
        <w:t>,</w:t>
      </w:r>
      <w:r w:rsidRPr="00A90875">
        <w:t xml:space="preserve"> that contribute to mental wellbeing</w:t>
      </w:r>
      <w:r>
        <w:t xml:space="preserve">. The framework includes a goal, principals and a set of objectives that have been drawn on to develop this draft strategy. In particular, our proposed draft strategic framework adopts the principles of </w:t>
      </w:r>
      <w:r w:rsidRPr="0003777A">
        <w:rPr>
          <w:i/>
          <w:iCs/>
        </w:rPr>
        <w:t>Kia Kaha</w:t>
      </w:r>
      <w:r>
        <w:t xml:space="preserve">: </w:t>
      </w:r>
      <w:r w:rsidRPr="00050166">
        <w:t>Te Tiriti</w:t>
      </w:r>
      <w:r>
        <w:t>,</w:t>
      </w:r>
      <w:r w:rsidRPr="00050166">
        <w:t xml:space="preserve"> equity</w:t>
      </w:r>
      <w:r>
        <w:t>,</w:t>
      </w:r>
      <w:r w:rsidRPr="00050166">
        <w:t xml:space="preserve"> people and whānau at the centre</w:t>
      </w:r>
      <w:r>
        <w:t>,</w:t>
      </w:r>
      <w:r w:rsidRPr="00050166">
        <w:t xml:space="preserve"> community focus</w:t>
      </w:r>
      <w:r>
        <w:t>,</w:t>
      </w:r>
      <w:r w:rsidRPr="00050166">
        <w:t xml:space="preserve"> collaboration and innovation</w:t>
      </w:r>
      <w:r>
        <w:t>.</w:t>
      </w:r>
    </w:p>
    <w:p w14:paraId="4F665490" w14:textId="77777777" w:rsidR="00951443" w:rsidRDefault="00951443" w:rsidP="00951443"/>
    <w:p w14:paraId="4F665491" w14:textId="77777777" w:rsidR="008303C6" w:rsidRDefault="00FA6A1F" w:rsidP="00951443">
      <w:r>
        <w:t>At the time of writing this draft strategy, a long-term pathway for mental wellbeing, which will have a 10-year strategic horizon, is under development. This pathway will also use the mental wellbeing framework.</w:t>
      </w:r>
    </w:p>
    <w:p w14:paraId="4F665492" w14:textId="77777777" w:rsidR="00951443" w:rsidRDefault="00951443" w:rsidP="00951443"/>
    <w:p w14:paraId="4F665493" w14:textId="77777777" w:rsidR="00FA6A1F" w:rsidRPr="00951443" w:rsidRDefault="00FA6A1F" w:rsidP="00951443">
      <w:pPr>
        <w:pStyle w:val="Heading3"/>
        <w:rPr>
          <w:i/>
        </w:rPr>
      </w:pPr>
      <w:bookmarkStart w:id="313" w:name="_Toc78882331"/>
      <w:r w:rsidRPr="00951443">
        <w:rPr>
          <w:i/>
        </w:rPr>
        <w:lastRenderedPageBreak/>
        <w:t>Ola Manuia: Pacific Health and Wellbeing Action Plan 2020–2025 (Ola Manuia)</w:t>
      </w:r>
      <w:bookmarkEnd w:id="313"/>
    </w:p>
    <w:p w14:paraId="4F665494" w14:textId="77777777" w:rsidR="008303C6" w:rsidRDefault="00FA6A1F" w:rsidP="00951443">
      <w:r w:rsidRPr="00050166">
        <w:rPr>
          <w:i/>
          <w:iCs/>
        </w:rPr>
        <w:t>Ola Manuia</w:t>
      </w:r>
      <w:r w:rsidRPr="0003777A">
        <w:t xml:space="preserve"> </w:t>
      </w:r>
      <w:r w:rsidRPr="00050166">
        <w:t>is the key overarching document for improving health outcomes for Pacific peoples in Aotearoa. Developed in 2019/20</w:t>
      </w:r>
      <w:r>
        <w:t>, with input from</w:t>
      </w:r>
      <w:r w:rsidRPr="00050166">
        <w:t xml:space="preserve"> Pacific communities</w:t>
      </w:r>
      <w:r w:rsidRPr="0003777A">
        <w:t xml:space="preserve">, </w:t>
      </w:r>
      <w:r w:rsidRPr="00050166">
        <w:rPr>
          <w:i/>
          <w:iCs/>
        </w:rPr>
        <w:t>Ola Manuia</w:t>
      </w:r>
      <w:r w:rsidRPr="00050166">
        <w:t xml:space="preserve"> is designed as a high-level guide for reflecting the needs and aspirations of </w:t>
      </w:r>
      <w:r>
        <w:t xml:space="preserve">the </w:t>
      </w:r>
      <w:r w:rsidRPr="00050166">
        <w:t xml:space="preserve">Pacific peoples </w:t>
      </w:r>
      <w:r>
        <w:t xml:space="preserve">of </w:t>
      </w:r>
      <w:r w:rsidRPr="00050166">
        <w:t>Aotearoa</w:t>
      </w:r>
      <w:r>
        <w:t xml:space="preserve"> </w:t>
      </w:r>
      <w:r w:rsidRPr="00050166">
        <w:t>across the health and disability system.</w:t>
      </w:r>
      <w:r w:rsidRPr="00F2657B">
        <w:t xml:space="preserve"> </w:t>
      </w:r>
      <w:r w:rsidRPr="00F818AD">
        <w:t xml:space="preserve">Focus </w:t>
      </w:r>
      <w:r>
        <w:t>a</w:t>
      </w:r>
      <w:r w:rsidRPr="00F818AD">
        <w:t xml:space="preserve">rea </w:t>
      </w:r>
      <w:r>
        <w:t>6</w:t>
      </w:r>
      <w:r w:rsidRPr="00B84108">
        <w:t xml:space="preserve"> of </w:t>
      </w:r>
      <w:r w:rsidRPr="0003777A">
        <w:rPr>
          <w:i/>
          <w:iCs/>
        </w:rPr>
        <w:t>Ola Manuia</w:t>
      </w:r>
      <w:r w:rsidRPr="00050166">
        <w:t xml:space="preserve"> is centred on me</w:t>
      </w:r>
      <w:r>
        <w:t>n</w:t>
      </w:r>
      <w:r w:rsidRPr="00050166">
        <w:t xml:space="preserve">tal wellbeing, including improving mental wellbeing for Pacific communities. One of the outcomes for this focus area is to </w:t>
      </w:r>
      <w:r w:rsidR="008303C6">
        <w:t>‘</w:t>
      </w:r>
      <w:r w:rsidRPr="00F818AD">
        <w:t>strengthen initiatives to prevent and minimise harmful gambling in Pacific communities</w:t>
      </w:r>
      <w:r w:rsidRPr="00B84108">
        <w:t>.</w:t>
      </w:r>
    </w:p>
    <w:p w14:paraId="4F665495" w14:textId="77777777" w:rsidR="007A5D37" w:rsidRDefault="007A5D37" w:rsidP="007A5D37"/>
    <w:p w14:paraId="4F665496" w14:textId="77777777" w:rsidR="00FA6A1F" w:rsidRPr="00607E96" w:rsidRDefault="00FA6A1F" w:rsidP="007A5D37">
      <w:r w:rsidRPr="00607E96">
        <w:t xml:space="preserve">Pacific communities believe success </w:t>
      </w:r>
      <w:r>
        <w:t>will have</w:t>
      </w:r>
      <w:r w:rsidRPr="00607E96">
        <w:t xml:space="preserve"> been achieved for this focus area when Pacific peoples have:</w:t>
      </w:r>
    </w:p>
    <w:p w14:paraId="4F665497" w14:textId="77777777" w:rsidR="00FA6A1F" w:rsidRPr="0003777A" w:rsidRDefault="00FA6A1F" w:rsidP="007A5D37">
      <w:pPr>
        <w:pStyle w:val="Bullet"/>
      </w:pPr>
      <w:r w:rsidRPr="0003777A">
        <w:t>awareness of key mental health issues for Pacific communities</w:t>
      </w:r>
    </w:p>
    <w:p w14:paraId="4F665498" w14:textId="77777777" w:rsidR="00FA6A1F" w:rsidRPr="0003777A" w:rsidRDefault="00FA6A1F" w:rsidP="007A5D37">
      <w:pPr>
        <w:pStyle w:val="Bullet"/>
      </w:pPr>
      <w:r w:rsidRPr="0003777A">
        <w:t>knowledge and skills to improve mental wellbeing and resilience in Pacific youth and young adults</w:t>
      </w:r>
    </w:p>
    <w:p w14:paraId="4F665499" w14:textId="77777777" w:rsidR="00FA6A1F" w:rsidRPr="0003777A" w:rsidRDefault="00FA6A1F" w:rsidP="007A5D37">
      <w:pPr>
        <w:pStyle w:val="Bullet"/>
      </w:pPr>
      <w:r w:rsidRPr="0003777A">
        <w:t>knowledge of mental health and wellbeing support services</w:t>
      </w:r>
    </w:p>
    <w:p w14:paraId="4F66549A" w14:textId="77777777" w:rsidR="00FA6A1F" w:rsidRPr="0003777A" w:rsidRDefault="00FA6A1F" w:rsidP="007A5D37">
      <w:pPr>
        <w:pStyle w:val="Bullet"/>
      </w:pPr>
      <w:r w:rsidRPr="0003777A">
        <w:t>reduced levels of psychological distress</w:t>
      </w:r>
    </w:p>
    <w:p w14:paraId="4F66549B" w14:textId="77777777" w:rsidR="00FA6A1F" w:rsidRPr="0003777A" w:rsidRDefault="00FA6A1F" w:rsidP="007A5D37">
      <w:pPr>
        <w:pStyle w:val="Bullet"/>
      </w:pPr>
      <w:r w:rsidRPr="0003777A">
        <w:t>increased access to, and use of, primary and secondary mental health services</w:t>
      </w:r>
    </w:p>
    <w:p w14:paraId="4F66549C" w14:textId="77777777" w:rsidR="00FA6A1F" w:rsidRDefault="00FA6A1F" w:rsidP="007A5D37">
      <w:pPr>
        <w:pStyle w:val="Bullet"/>
      </w:pPr>
      <w:r w:rsidRPr="0003777A">
        <w:t>decreased rates of attempted and</w:t>
      </w:r>
      <w:r>
        <w:t xml:space="preserve"> achieved</w:t>
      </w:r>
      <w:r w:rsidRPr="0003777A">
        <w:t xml:space="preserve"> suicides in young people.</w:t>
      </w:r>
    </w:p>
    <w:p w14:paraId="4F66549D" w14:textId="77777777" w:rsidR="007A5D37" w:rsidRPr="0003777A" w:rsidRDefault="007A5D37" w:rsidP="007A5D37"/>
    <w:p w14:paraId="4F66549E" w14:textId="77777777" w:rsidR="00FA6A1F" w:rsidRDefault="008303C6" w:rsidP="007A5D37">
      <w:r>
        <w:t>“</w:t>
      </w:r>
      <w:r w:rsidR="00FA6A1F" w:rsidRPr="00CD4CCF">
        <w:t>Pacific people have equitable health outcomes</w:t>
      </w:r>
      <w:r>
        <w:t>”</w:t>
      </w:r>
      <w:r w:rsidR="00FA6A1F" w:rsidRPr="00CC0109">
        <w:t xml:space="preserve"> </w:t>
      </w:r>
      <w:r w:rsidR="00FA6A1F">
        <w:t xml:space="preserve">is one intended outcome of </w:t>
      </w:r>
      <w:r w:rsidR="00FA6A1F" w:rsidRPr="0003777A">
        <w:rPr>
          <w:i/>
          <w:iCs/>
        </w:rPr>
        <w:t>Ola Manuia</w:t>
      </w:r>
      <w:r w:rsidR="00FA6A1F">
        <w:t>. W</w:t>
      </w:r>
      <w:r w:rsidR="00FA6A1F" w:rsidRPr="00F818AD">
        <w:t xml:space="preserve">e have incorporated </w:t>
      </w:r>
      <w:r w:rsidR="00FA6A1F">
        <w:t xml:space="preserve">this outcome </w:t>
      </w:r>
      <w:r w:rsidR="00FA6A1F" w:rsidRPr="00F818AD">
        <w:t xml:space="preserve">in the </w:t>
      </w:r>
      <w:r w:rsidR="00FA6A1F">
        <w:t>draft</w:t>
      </w:r>
      <w:r w:rsidR="00FA6A1F" w:rsidRPr="00F818AD">
        <w:t xml:space="preserve"> strategic framework. </w:t>
      </w:r>
      <w:r w:rsidR="00FA6A1F" w:rsidRPr="00B84108">
        <w:rPr>
          <w:i/>
          <w:iCs/>
        </w:rPr>
        <w:t>Ola Manuia</w:t>
      </w:r>
      <w:r w:rsidR="00FA6A1F" w:rsidRPr="00B84108">
        <w:t xml:space="preserve"> explicitly recognises that strengthening initiatives to prevent and minimise harmful gambling in Pacific communities is a key part of achieving better wellbeing for Pacific people. It also has a strong focus on workforce development across the health and disability sector.</w:t>
      </w:r>
      <w:r w:rsidR="00FA6A1F" w:rsidRPr="00576176">
        <w:t xml:space="preserve"> This draft </w:t>
      </w:r>
      <w:r w:rsidR="00FA6A1F">
        <w:t>s</w:t>
      </w:r>
      <w:r w:rsidR="00FA6A1F" w:rsidRPr="00F44A2A">
        <w:t>trategy</w:t>
      </w:r>
      <w:r w:rsidR="00FA6A1F" w:rsidRPr="003746D8">
        <w:t xml:space="preserve"> includes service and workforce proposals that will help achieve these goals.</w:t>
      </w:r>
    </w:p>
    <w:p w14:paraId="4F66549F" w14:textId="77777777" w:rsidR="004C1A41" w:rsidRPr="003746D8" w:rsidRDefault="004C1A41" w:rsidP="004C1A41"/>
    <w:p w14:paraId="4F6654A0" w14:textId="77777777" w:rsidR="008303C6" w:rsidRPr="004C1A41" w:rsidRDefault="00FA6A1F" w:rsidP="004C1A41">
      <w:pPr>
        <w:pStyle w:val="Heading3"/>
        <w:rPr>
          <w:i/>
        </w:rPr>
      </w:pPr>
      <w:bookmarkStart w:id="314" w:name="_Toc78882332"/>
      <w:r w:rsidRPr="004C1A41">
        <w:rPr>
          <w:i/>
        </w:rPr>
        <w:t>Pacific Aotearoa Lalanga Fou (</w:t>
      </w:r>
      <w:r w:rsidRPr="004C1A41">
        <w:rPr>
          <w:rStyle w:val="Heading3Char"/>
          <w:i/>
          <w:iCs/>
        </w:rPr>
        <w:t>Lalanga Fou</w:t>
      </w:r>
      <w:r w:rsidRPr="004C1A41">
        <w:rPr>
          <w:i/>
        </w:rPr>
        <w:t>)</w:t>
      </w:r>
      <w:bookmarkEnd w:id="314"/>
    </w:p>
    <w:p w14:paraId="4F6654A1" w14:textId="77777777" w:rsidR="00FA6A1F" w:rsidRPr="003A7512" w:rsidRDefault="00FA6A1F" w:rsidP="004C1A41">
      <w:r w:rsidRPr="00050166">
        <w:rPr>
          <w:i/>
          <w:iCs/>
        </w:rPr>
        <w:t>Lalanga Fou</w:t>
      </w:r>
      <w:r w:rsidRPr="00050166">
        <w:t xml:space="preserve"> was developed in 2018 and was based on engagements that the Ministry for Pacific Peoples undertook with over 2,500 Pacific people across</w:t>
      </w:r>
      <w:r>
        <w:t xml:space="preserve"> Aotearoa</w:t>
      </w:r>
      <w:r w:rsidRPr="00050166">
        <w:t xml:space="preserve"> New Zealand. </w:t>
      </w:r>
      <w:r w:rsidRPr="00CD4CCF">
        <w:rPr>
          <w:i/>
          <w:iCs/>
        </w:rPr>
        <w:t>Lalanga Fou</w:t>
      </w:r>
      <w:r w:rsidRPr="00F2657B">
        <w:t xml:space="preserve"> contains the needs and aspirations for Pacific peoples to ensure we can achieve the Pacific A</w:t>
      </w:r>
      <w:r w:rsidRPr="00F818AD">
        <w:t>otearoa vision:</w:t>
      </w:r>
      <w:r w:rsidRPr="00B84108">
        <w:t xml:space="preserve"> </w:t>
      </w:r>
      <w:r w:rsidR="008303C6">
        <w:t>‘</w:t>
      </w:r>
      <w:r w:rsidRPr="0003777A">
        <w:t>we are confident in our endeavours</w:t>
      </w:r>
      <w:r>
        <w:t>;</w:t>
      </w:r>
      <w:r w:rsidRPr="0003777A">
        <w:t xml:space="preserve"> we are a thriving, resilient and prosperous Pacific Aotearoa</w:t>
      </w:r>
      <w:r w:rsidR="008303C6">
        <w:t>’</w:t>
      </w:r>
      <w:r w:rsidRPr="0003777A">
        <w:t xml:space="preserve">. </w:t>
      </w:r>
      <w:r w:rsidRPr="00050166">
        <w:t xml:space="preserve">From these engagements, four goals were developed, the third of which is </w:t>
      </w:r>
      <w:r w:rsidR="008303C6">
        <w:t>‘</w:t>
      </w:r>
      <w:r w:rsidRPr="00F2657B">
        <w:t xml:space="preserve">Resilient and </w:t>
      </w:r>
      <w:r>
        <w:t>h</w:t>
      </w:r>
      <w:r w:rsidRPr="00F2657B">
        <w:t>ealth</w:t>
      </w:r>
      <w:r w:rsidRPr="00F818AD">
        <w:t>y Pacific Peoples</w:t>
      </w:r>
      <w:r w:rsidR="008303C6">
        <w:t>’</w:t>
      </w:r>
      <w:r w:rsidRPr="00B84108">
        <w:t>. The sub</w:t>
      </w:r>
      <w:r w:rsidRPr="00D524F3">
        <w:t>-</w:t>
      </w:r>
      <w:r w:rsidRPr="00576176">
        <w:t xml:space="preserve">goals that sit within </w:t>
      </w:r>
      <w:r w:rsidRPr="005B3302">
        <w:t>this third goal</w:t>
      </w:r>
      <w:r w:rsidRPr="003746D8">
        <w:t xml:space="preserve"> </w:t>
      </w:r>
      <w:r>
        <w:t>are as follows.</w:t>
      </w:r>
    </w:p>
    <w:p w14:paraId="4F6654A2" w14:textId="77777777" w:rsidR="00FA6A1F" w:rsidRPr="0003777A" w:rsidRDefault="00FA6A1F" w:rsidP="004C1A41">
      <w:pPr>
        <w:pStyle w:val="Bullet"/>
      </w:pPr>
      <w:r>
        <w:t>There is a s</w:t>
      </w:r>
      <w:r w:rsidRPr="0003777A">
        <w:t>tronger focus on improving preventative and integrated primary and behavioural health and social services for Pacific families and communities and less reliance on acute care</w:t>
      </w:r>
      <w:r>
        <w:t>.</w:t>
      </w:r>
    </w:p>
    <w:p w14:paraId="4F6654A3" w14:textId="77777777" w:rsidR="00FA6A1F" w:rsidRPr="0003777A" w:rsidRDefault="00FA6A1F" w:rsidP="004C1A41">
      <w:pPr>
        <w:pStyle w:val="Bullet"/>
      </w:pPr>
      <w:r w:rsidRPr="0003777A">
        <w:t>Pacific peoples</w:t>
      </w:r>
      <w:r w:rsidR="008303C6">
        <w:t>’</w:t>
      </w:r>
      <w:r w:rsidRPr="0003777A">
        <w:t xml:space="preserve"> values and experiences lead the design and delivery of health and wellness services</w:t>
      </w:r>
      <w:r>
        <w:t>.</w:t>
      </w:r>
    </w:p>
    <w:p w14:paraId="4F6654A4" w14:textId="77777777" w:rsidR="00FA6A1F" w:rsidRPr="0003777A" w:rsidRDefault="00FA6A1F" w:rsidP="004C1A41">
      <w:pPr>
        <w:pStyle w:val="Bullet"/>
      </w:pPr>
      <w:r>
        <w:lastRenderedPageBreak/>
        <w:t>M</w:t>
      </w:r>
      <w:r w:rsidRPr="0003777A">
        <w:t xml:space="preserve">ental health and wellness are better supported, from both within and outside Pacific communities, with services specifically developed utilising </w:t>
      </w:r>
      <w:r>
        <w:t>P</w:t>
      </w:r>
      <w:r w:rsidRPr="0003777A">
        <w:t>acific cultural frameworks and contexts</w:t>
      </w:r>
      <w:r>
        <w:t>.</w:t>
      </w:r>
    </w:p>
    <w:p w14:paraId="4F6654A5" w14:textId="77777777" w:rsidR="00FA6A1F" w:rsidRPr="0003777A" w:rsidRDefault="00FA6A1F" w:rsidP="004C1A41">
      <w:pPr>
        <w:pStyle w:val="Bullet"/>
      </w:pPr>
      <w:r w:rsidRPr="0003777A">
        <w:t>Pacific children have a healthy start in life.</w:t>
      </w:r>
    </w:p>
    <w:p w14:paraId="4F6654A6" w14:textId="77777777" w:rsidR="004C1A41" w:rsidRDefault="004C1A41" w:rsidP="004C1A41"/>
    <w:p w14:paraId="4F6654A7" w14:textId="77777777" w:rsidR="008303C6" w:rsidRDefault="00FA6A1F" w:rsidP="004C1A41">
      <w:r w:rsidRPr="0003777A">
        <w:t xml:space="preserve">These sub-goals are reflected in </w:t>
      </w:r>
      <w:r>
        <w:t>our</w:t>
      </w:r>
      <w:r w:rsidRPr="0003777A">
        <w:t xml:space="preserve"> draft </w:t>
      </w:r>
      <w:r>
        <w:t>s</w:t>
      </w:r>
      <w:r w:rsidRPr="0003777A">
        <w:t>trategy.</w:t>
      </w:r>
    </w:p>
    <w:p w14:paraId="4F6654A8" w14:textId="77777777" w:rsidR="004C1A41" w:rsidRDefault="004C1A41" w:rsidP="004C1A41"/>
    <w:p w14:paraId="4F6654A9" w14:textId="77777777" w:rsidR="008303C6" w:rsidRPr="004C1A41" w:rsidRDefault="00FA6A1F" w:rsidP="004C1A41">
      <w:pPr>
        <w:pStyle w:val="Heading3"/>
        <w:rPr>
          <w:i/>
        </w:rPr>
      </w:pPr>
      <w:bookmarkStart w:id="315" w:name="_Toc78882333"/>
      <w:r w:rsidRPr="004C1A41">
        <w:rPr>
          <w:i/>
        </w:rPr>
        <w:t>Delivering community wellbeing through reducing gambling-related harms: Gambling Group Strategic Direction 2020–23</w:t>
      </w:r>
      <w:bookmarkEnd w:id="315"/>
    </w:p>
    <w:p w14:paraId="4F6654AA" w14:textId="77777777" w:rsidR="008303C6" w:rsidRDefault="00FA6A1F" w:rsidP="004C1A41">
      <w:r w:rsidRPr="00F2657B">
        <w:t>DIA</w:t>
      </w:r>
      <w:r w:rsidR="008303C6">
        <w:t>’</w:t>
      </w:r>
      <w:r w:rsidRPr="00F2657B">
        <w:t xml:space="preserve">s </w:t>
      </w:r>
      <w:r w:rsidRPr="00F818AD">
        <w:t>new strategic direction pivots the regulator</w:t>
      </w:r>
      <w:r w:rsidR="008303C6">
        <w:t>’</w:t>
      </w:r>
      <w:r w:rsidRPr="00F818AD">
        <w:t xml:space="preserve">s focus toward </w:t>
      </w:r>
      <w:r>
        <w:t>reducing</w:t>
      </w:r>
      <w:r w:rsidRPr="00F818AD">
        <w:t xml:space="preserve"> gambling</w:t>
      </w:r>
      <w:r>
        <w:t>-</w:t>
      </w:r>
      <w:r w:rsidRPr="00F818AD">
        <w:t>related</w:t>
      </w:r>
      <w:r w:rsidRPr="00B84108">
        <w:t xml:space="preserve"> harms. DIA</w:t>
      </w:r>
      <w:r w:rsidRPr="00D524F3">
        <w:t xml:space="preserve"> is also taking a system leadership approach to regulating gambling in </w:t>
      </w:r>
      <w:r>
        <w:t xml:space="preserve">Aotearoa </w:t>
      </w:r>
      <w:r w:rsidRPr="00D524F3">
        <w:t>New Zealand by understanding the roles of interested parties, driving innovative approaches to addressing gambling harms and preparing for future challenges be</w:t>
      </w:r>
      <w:r w:rsidRPr="00576176">
        <w:t>fore they occur.</w:t>
      </w:r>
    </w:p>
    <w:p w14:paraId="4F6654AB" w14:textId="77777777" w:rsidR="004C1A41" w:rsidRDefault="004C1A41" w:rsidP="004C1A41"/>
    <w:p w14:paraId="4F6654AC" w14:textId="77777777" w:rsidR="00FA6A1F" w:rsidRDefault="00FA6A1F" w:rsidP="004C1A41">
      <w:r w:rsidRPr="00576176">
        <w:t xml:space="preserve">The strategic direction has committed </w:t>
      </w:r>
      <w:r w:rsidRPr="005B3302">
        <w:t>DIA</w:t>
      </w:r>
      <w:r w:rsidRPr="00F44A2A">
        <w:t xml:space="preserve"> to </w:t>
      </w:r>
      <w:r>
        <w:t>five key</w:t>
      </w:r>
      <w:r w:rsidRPr="00F44A2A">
        <w:t xml:space="preserve"> focus areas</w:t>
      </w:r>
      <w:r>
        <w:t>:</w:t>
      </w:r>
      <w:r w:rsidRPr="00F44A2A">
        <w:t xml:space="preserve"> effective Treaty partner, enabled workforce, regulatory excellence</w:t>
      </w:r>
      <w:r>
        <w:t>,</w:t>
      </w:r>
      <w:r w:rsidRPr="00F44A2A">
        <w:t xml:space="preserve"> evidence</w:t>
      </w:r>
      <w:r>
        <w:t>-</w:t>
      </w:r>
      <w:r w:rsidRPr="00F44A2A">
        <w:t>based and informed</w:t>
      </w:r>
      <w:r>
        <w:t>, and system leadership</w:t>
      </w:r>
      <w:r w:rsidRPr="00F44A2A">
        <w:t>.</w:t>
      </w:r>
      <w:r w:rsidRPr="003746D8">
        <w:t xml:space="preserve"> </w:t>
      </w:r>
      <w:r w:rsidRPr="003A7512">
        <w:t xml:space="preserve">These focus areas will guide </w:t>
      </w:r>
      <w:r w:rsidRPr="00DB6DF7">
        <w:t>DIA</w:t>
      </w:r>
      <w:r w:rsidR="008303C6">
        <w:t>’</w:t>
      </w:r>
      <w:r w:rsidRPr="00DB6DF7">
        <w:t>s approach to reducing gambling</w:t>
      </w:r>
      <w:r>
        <w:t>-</w:t>
      </w:r>
      <w:r w:rsidRPr="00DB6DF7">
        <w:t>related harms over the following two years.</w:t>
      </w:r>
    </w:p>
    <w:p w14:paraId="4F6654AD" w14:textId="77777777" w:rsidR="004C1A41" w:rsidRDefault="004C1A41" w:rsidP="004C1A41"/>
    <w:p w14:paraId="4F6654AE" w14:textId="77777777" w:rsidR="00FA6A1F" w:rsidRPr="0003777A" w:rsidRDefault="00FA6A1F" w:rsidP="004C1A41">
      <w:pPr>
        <w:pStyle w:val="Heading3"/>
      </w:pPr>
      <w:bookmarkStart w:id="316" w:name="_Toc78882334"/>
      <w:r>
        <w:t>Health and disability system review</w:t>
      </w:r>
      <w:bookmarkEnd w:id="316"/>
    </w:p>
    <w:p w14:paraId="4F6654AF" w14:textId="77777777" w:rsidR="008303C6" w:rsidRDefault="00FA6A1F" w:rsidP="004C1A41">
      <w:r w:rsidRPr="00050166">
        <w:t xml:space="preserve">This draft </w:t>
      </w:r>
      <w:r>
        <w:t>s</w:t>
      </w:r>
      <w:r w:rsidRPr="00050166">
        <w:t xml:space="preserve">trategy has been developed with the </w:t>
      </w:r>
      <w:r>
        <w:t>intention of aligning</w:t>
      </w:r>
      <w:r w:rsidRPr="00CD4CCF">
        <w:t xml:space="preserve"> with the implementation of the Government</w:t>
      </w:r>
      <w:r w:rsidR="008303C6">
        <w:t>’</w:t>
      </w:r>
      <w:r w:rsidRPr="00CD4CCF">
        <w:t xml:space="preserve">s response to the </w:t>
      </w:r>
      <w:r>
        <w:t>h</w:t>
      </w:r>
      <w:r w:rsidRPr="00CD4CCF">
        <w:t xml:space="preserve">ealth and </w:t>
      </w:r>
      <w:r>
        <w:t>d</w:t>
      </w:r>
      <w:r w:rsidRPr="00CD4CCF">
        <w:t xml:space="preserve">isability </w:t>
      </w:r>
      <w:r>
        <w:t>s</w:t>
      </w:r>
      <w:r w:rsidRPr="00CD4CCF">
        <w:t xml:space="preserve">ystem </w:t>
      </w:r>
      <w:r>
        <w:t>r</w:t>
      </w:r>
      <w:r w:rsidRPr="00CD4CCF">
        <w:t xml:space="preserve">eview, which takes the form of substantial reforms to the health </w:t>
      </w:r>
      <w:r>
        <w:t xml:space="preserve">and disability </w:t>
      </w:r>
      <w:r w:rsidRPr="00CD4CCF">
        <w:t>sector.</w:t>
      </w:r>
    </w:p>
    <w:p w14:paraId="4F6654B0" w14:textId="77777777" w:rsidR="004C1A41" w:rsidRDefault="004C1A41" w:rsidP="004C1A41"/>
    <w:p w14:paraId="4F6654B1" w14:textId="77777777" w:rsidR="008303C6" w:rsidRDefault="00FA6A1F" w:rsidP="004C1A41">
      <w:r w:rsidRPr="00CD4CCF">
        <w:t xml:space="preserve">The strategic objectives of the </w:t>
      </w:r>
      <w:r>
        <w:t>s</w:t>
      </w:r>
      <w:r w:rsidRPr="00F13422">
        <w:t>trategy</w:t>
      </w:r>
      <w:r w:rsidRPr="00B84108">
        <w:t xml:space="preserve"> will not be affected by the health reforms as they promote the same objectives that the reforms have been designed to achieve.</w:t>
      </w:r>
    </w:p>
    <w:p w14:paraId="4F6654B2" w14:textId="77777777" w:rsidR="004C1A41" w:rsidRDefault="004C1A41" w:rsidP="004C1A41"/>
    <w:p w14:paraId="4F6654B3" w14:textId="77777777" w:rsidR="008303C6" w:rsidRDefault="00FA6A1F" w:rsidP="004C1A41">
      <w:r w:rsidRPr="00B84108">
        <w:t xml:space="preserve">The activities in this </w:t>
      </w:r>
      <w:r>
        <w:t>draft s</w:t>
      </w:r>
      <w:r w:rsidRPr="00576176">
        <w:t>trategy that are agreed during the upcoming consultation period will be delivered over the forthcoming period and may be commissioned, funded and monitored by different entities at the end of the</w:t>
      </w:r>
      <w:r w:rsidRPr="005B3302">
        <w:t xml:space="preserve"> period </w:t>
      </w:r>
      <w:r>
        <w:t xml:space="preserve">rather </w:t>
      </w:r>
      <w:r w:rsidRPr="005B3302">
        <w:t>than at the beginning.</w:t>
      </w:r>
    </w:p>
    <w:p w14:paraId="4F6654B4" w14:textId="77777777" w:rsidR="004C1A41" w:rsidRDefault="004C1A41" w:rsidP="004C1A41"/>
    <w:p w14:paraId="4F6654B5" w14:textId="77777777" w:rsidR="00FA6A1F" w:rsidRDefault="00FA6A1F" w:rsidP="004C1A41">
      <w:pPr>
        <w:pStyle w:val="Heading2"/>
        <w:keepNext w:val="0"/>
        <w:pageBreakBefore/>
        <w:spacing w:before="0"/>
        <w:rPr>
          <w:noProof/>
        </w:rPr>
      </w:pPr>
      <w:bookmarkStart w:id="317" w:name="_Appendix_2:_Previous"/>
      <w:bookmarkStart w:id="318" w:name="_Toc78882335"/>
      <w:bookmarkStart w:id="319" w:name="_Toc80965866"/>
      <w:bookmarkEnd w:id="317"/>
      <w:r w:rsidRPr="0003777A">
        <w:lastRenderedPageBreak/>
        <w:t>Appendix</w:t>
      </w:r>
      <w:r>
        <w:rPr>
          <w:noProof/>
        </w:rPr>
        <w:t xml:space="preserve"> 2: Previous strategic framework</w:t>
      </w:r>
      <w:bookmarkEnd w:id="318"/>
      <w:bookmarkEnd w:id="319"/>
    </w:p>
    <w:p w14:paraId="4F6654B6" w14:textId="4C0E0456" w:rsidR="00FA6A1F" w:rsidRDefault="00FA6A1F" w:rsidP="004C1A41">
      <w:pPr>
        <w:rPr>
          <w:noProof/>
        </w:rPr>
      </w:pPr>
      <w:r>
        <w:rPr>
          <w:noProof/>
        </w:rPr>
        <w:t xml:space="preserve">The strategic framework for 2019/20–2021/22 included 11 objectives and is organised as shown in </w:t>
      </w:r>
      <w:r w:rsidR="004C1A41">
        <w:rPr>
          <w:noProof/>
        </w:rPr>
        <w:fldChar w:fldCharType="begin"/>
      </w:r>
      <w:r w:rsidR="004C1A41">
        <w:rPr>
          <w:noProof/>
        </w:rPr>
        <w:instrText xml:space="preserve"> REF _Ref80797033 \h </w:instrText>
      </w:r>
      <w:r w:rsidR="004C1A41">
        <w:rPr>
          <w:noProof/>
        </w:rPr>
      </w:r>
      <w:r w:rsidR="004C1A41">
        <w:rPr>
          <w:noProof/>
        </w:rPr>
        <w:fldChar w:fldCharType="separate"/>
      </w:r>
      <w:r w:rsidR="00F65B3A">
        <w:t>Figure </w:t>
      </w:r>
      <w:r w:rsidR="00F65B3A">
        <w:rPr>
          <w:noProof/>
        </w:rPr>
        <w:t>3</w:t>
      </w:r>
      <w:r w:rsidR="004C1A41">
        <w:rPr>
          <w:noProof/>
        </w:rPr>
        <w:fldChar w:fldCharType="end"/>
      </w:r>
      <w:r>
        <w:rPr>
          <w:noProof/>
        </w:rPr>
        <w:t xml:space="preserve"> below.</w:t>
      </w:r>
    </w:p>
    <w:p w14:paraId="4F6654B7" w14:textId="77777777" w:rsidR="004C1A41" w:rsidRDefault="004C1A41" w:rsidP="004C1A41">
      <w:pPr>
        <w:rPr>
          <w:noProof/>
        </w:rPr>
      </w:pPr>
    </w:p>
    <w:p w14:paraId="4F6654B8" w14:textId="6745F91E" w:rsidR="00FA6A1F" w:rsidRDefault="004C1A41" w:rsidP="004C1A41">
      <w:pPr>
        <w:pStyle w:val="Figure"/>
        <w:rPr>
          <w:noProof/>
        </w:rPr>
      </w:pPr>
      <w:bookmarkStart w:id="320" w:name="_Ref80797033"/>
      <w:bookmarkStart w:id="321" w:name="_Toc80860344"/>
      <w:r>
        <w:t>Figure </w:t>
      </w:r>
      <w:fldSimple w:instr=" SEQ Figure \* ARABIC ">
        <w:r w:rsidR="00F65B3A">
          <w:rPr>
            <w:noProof/>
          </w:rPr>
          <w:t>3</w:t>
        </w:r>
      </w:fldSimple>
      <w:bookmarkEnd w:id="320"/>
      <w:r w:rsidR="00FA6A1F">
        <w:rPr>
          <w:noProof/>
        </w:rPr>
        <w:t>: Framework for organising the strategic objectives</w:t>
      </w:r>
      <w:bookmarkEnd w:id="321"/>
    </w:p>
    <w:p w14:paraId="4F6654B9" w14:textId="77777777" w:rsidR="00FA6A1F" w:rsidRDefault="00FA6A1F" w:rsidP="004C1A41">
      <w:r w:rsidRPr="00DA5950">
        <w:rPr>
          <w:noProof/>
          <w:lang w:eastAsia="en-NZ"/>
        </w:rPr>
        <w:drawing>
          <wp:inline distT="0" distB="0" distL="0" distR="0" wp14:anchorId="4F6655C8" wp14:editId="14E2FEE5">
            <wp:extent cx="5731510" cy="3912870"/>
            <wp:effectExtent l="0" t="0" r="2540" b="0"/>
            <wp:docPr id="4" name="Picture 4" descr="Framework for organising the strategic objectives with the strategic aim, objectives and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ramework for organising the strategic objectives with the strategic aim, objectives and process"/>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731510" cy="3912870"/>
                    </a:xfrm>
                    <a:prstGeom prst="rect">
                      <a:avLst/>
                    </a:prstGeom>
                    <a:noFill/>
                    <a:ln>
                      <a:noFill/>
                    </a:ln>
                  </pic:spPr>
                </pic:pic>
              </a:graphicData>
            </a:graphic>
          </wp:inline>
        </w:drawing>
      </w:r>
    </w:p>
    <w:p w14:paraId="4F6654BA" w14:textId="77777777" w:rsidR="00FA6A1F" w:rsidRDefault="00FA6A1F" w:rsidP="004C1A41"/>
    <w:p w14:paraId="4F6654BB" w14:textId="77777777" w:rsidR="00FA6A1F" w:rsidRDefault="00FA6A1F" w:rsidP="004C1A41">
      <w:pPr>
        <w:pStyle w:val="Heading2"/>
        <w:keepNext w:val="0"/>
        <w:pageBreakBefore/>
        <w:spacing w:before="0"/>
      </w:pPr>
      <w:bookmarkStart w:id="322" w:name="_Appendix_3:_Bringing"/>
      <w:bookmarkStart w:id="323" w:name="_Toc78882336"/>
      <w:bookmarkStart w:id="324" w:name="_Toc80965867"/>
      <w:bookmarkEnd w:id="322"/>
      <w:r>
        <w:lastRenderedPageBreak/>
        <w:t>Appendix 3: Bringing our principles to life</w:t>
      </w:r>
      <w:bookmarkEnd w:id="323"/>
      <w:bookmarkEnd w:id="324"/>
    </w:p>
    <w:p w14:paraId="4F6654BC" w14:textId="1DC7DBC6" w:rsidR="00FA6A1F" w:rsidRDefault="004C1A41" w:rsidP="004C1A41">
      <w:r>
        <w:fldChar w:fldCharType="begin"/>
      </w:r>
      <w:r>
        <w:instrText xml:space="preserve"> REF _Ref80797082 \h </w:instrText>
      </w:r>
      <w:r>
        <w:fldChar w:fldCharType="separate"/>
      </w:r>
      <w:r w:rsidR="00F65B3A">
        <w:t>Table </w:t>
      </w:r>
      <w:r w:rsidR="00F65B3A">
        <w:rPr>
          <w:noProof/>
        </w:rPr>
        <w:t>18</w:t>
      </w:r>
      <w:r>
        <w:fldChar w:fldCharType="end"/>
      </w:r>
      <w:r w:rsidR="00FA6A1F">
        <w:t xml:space="preserve"> below shows how the proposed principles of this draft strategy have been expressed in the draft strategic framework and service plan.</w:t>
      </w:r>
    </w:p>
    <w:p w14:paraId="4F6654BD" w14:textId="77777777" w:rsidR="004C1A41" w:rsidRDefault="004C1A41" w:rsidP="004C1A41"/>
    <w:p w14:paraId="4F6654BE" w14:textId="0BD41A42" w:rsidR="00FA6A1F" w:rsidRPr="005F3D99" w:rsidRDefault="004C1A41" w:rsidP="004C1A41">
      <w:pPr>
        <w:pStyle w:val="Table"/>
        <w:rPr>
          <w:bCs/>
        </w:rPr>
      </w:pPr>
      <w:bookmarkStart w:id="325" w:name="_Ref80797082"/>
      <w:bookmarkStart w:id="326" w:name="_Toc80860362"/>
      <w:r>
        <w:t>Table </w:t>
      </w:r>
      <w:fldSimple w:instr=" SEQ Table \* ARABIC ">
        <w:r w:rsidR="00F65B3A">
          <w:rPr>
            <w:noProof/>
          </w:rPr>
          <w:t>18</w:t>
        </w:r>
      </w:fldSimple>
      <w:bookmarkEnd w:id="325"/>
      <w:r w:rsidR="00FA6A1F" w:rsidRPr="0003777A">
        <w:t>: Expressing the principles through the strategic framework and service plan</w:t>
      </w:r>
      <w:bookmarkEnd w:id="326"/>
    </w:p>
    <w:tbl>
      <w:tblPr>
        <w:tblW w:w="8080" w:type="dxa"/>
        <w:tblInd w:w="57" w:type="dxa"/>
        <w:tblLayout w:type="fixed"/>
        <w:tblCellMar>
          <w:left w:w="57" w:type="dxa"/>
          <w:right w:w="57" w:type="dxa"/>
        </w:tblCellMar>
        <w:tblLook w:val="04A0" w:firstRow="1" w:lastRow="0" w:firstColumn="1" w:lastColumn="0" w:noHBand="0" w:noVBand="1"/>
      </w:tblPr>
      <w:tblGrid>
        <w:gridCol w:w="1985"/>
        <w:gridCol w:w="6095"/>
      </w:tblGrid>
      <w:tr w:rsidR="00FA6A1F" w:rsidRPr="004C1A41" w14:paraId="4F6654C1" w14:textId="77777777" w:rsidTr="004C1A41">
        <w:trPr>
          <w:cantSplit/>
        </w:trPr>
        <w:tc>
          <w:tcPr>
            <w:tcW w:w="1985" w:type="dxa"/>
            <w:shd w:val="clear" w:color="auto" w:fill="D9D9D9" w:themeFill="background1" w:themeFillShade="D9"/>
          </w:tcPr>
          <w:p w14:paraId="4F6654BF" w14:textId="77777777" w:rsidR="00FA6A1F" w:rsidRPr="004C1A41" w:rsidRDefault="00FA6A1F" w:rsidP="004C1A41">
            <w:pPr>
              <w:pStyle w:val="TableText"/>
              <w:ind w:right="113"/>
              <w:rPr>
                <w:b/>
              </w:rPr>
            </w:pPr>
            <w:r w:rsidRPr="004C1A41">
              <w:rPr>
                <w:b/>
              </w:rPr>
              <w:t>Principle</w:t>
            </w:r>
          </w:p>
        </w:tc>
        <w:tc>
          <w:tcPr>
            <w:tcW w:w="6095" w:type="dxa"/>
            <w:shd w:val="clear" w:color="auto" w:fill="D9D9D9" w:themeFill="background1" w:themeFillShade="D9"/>
          </w:tcPr>
          <w:p w14:paraId="4F6654C0" w14:textId="77777777" w:rsidR="00FA6A1F" w:rsidRPr="004C1A41" w:rsidRDefault="00FA6A1F" w:rsidP="004C1A41">
            <w:pPr>
              <w:pStyle w:val="TableText"/>
              <w:rPr>
                <w:b/>
              </w:rPr>
            </w:pPr>
            <w:r w:rsidRPr="004C1A41">
              <w:rPr>
                <w:b/>
              </w:rPr>
              <w:t>As expressed in the draft strategic framework and service plan</w:t>
            </w:r>
          </w:p>
        </w:tc>
      </w:tr>
      <w:tr w:rsidR="00FA6A1F" w:rsidRPr="00FE2E1A" w14:paraId="4F6654C4" w14:textId="77777777" w:rsidTr="004C1A41">
        <w:trPr>
          <w:cantSplit/>
        </w:trPr>
        <w:tc>
          <w:tcPr>
            <w:tcW w:w="1985" w:type="dxa"/>
            <w:tcBorders>
              <w:bottom w:val="single" w:sz="4" w:space="0" w:color="A6A6A6" w:themeColor="background1" w:themeShade="A6"/>
            </w:tcBorders>
          </w:tcPr>
          <w:p w14:paraId="4F6654C2" w14:textId="77777777" w:rsidR="00FA6A1F" w:rsidRPr="00FE2E1A" w:rsidRDefault="00FA6A1F" w:rsidP="004C1A41">
            <w:pPr>
              <w:pStyle w:val="TableText"/>
              <w:ind w:right="113"/>
            </w:pPr>
            <w:r w:rsidRPr="00FE2E1A">
              <w:t>Te Tiriti o Waitangi</w:t>
            </w:r>
          </w:p>
        </w:tc>
        <w:tc>
          <w:tcPr>
            <w:tcW w:w="6095" w:type="dxa"/>
            <w:tcBorders>
              <w:bottom w:val="single" w:sz="4" w:space="0" w:color="A6A6A6" w:themeColor="background1" w:themeShade="A6"/>
            </w:tcBorders>
          </w:tcPr>
          <w:p w14:paraId="4F6654C3" w14:textId="77777777" w:rsidR="00FA6A1F" w:rsidRPr="00FE2E1A" w:rsidRDefault="00FA6A1F" w:rsidP="004C1A41">
            <w:pPr>
              <w:pStyle w:val="TableText"/>
            </w:pPr>
            <w:r w:rsidRPr="00FE2E1A">
              <w:t xml:space="preserve">The strategic framework links to the principles of Te Tiriti via </w:t>
            </w:r>
            <w:r w:rsidRPr="00FE2E1A">
              <w:rPr>
                <w:i/>
                <w:iCs/>
              </w:rPr>
              <w:t xml:space="preserve">Whakamaua. </w:t>
            </w:r>
            <w:r w:rsidRPr="00FE2E1A">
              <w:t>Actions are proposed that can be mapped to each of the principles</w:t>
            </w:r>
            <w:r>
              <w:t>, and these links are explained in more detail in the body of this draft strategy.</w:t>
            </w:r>
          </w:p>
        </w:tc>
      </w:tr>
      <w:tr w:rsidR="00FA6A1F" w:rsidRPr="00FE2E1A" w14:paraId="4F6654C7" w14:textId="77777777" w:rsidTr="004C1A41">
        <w:trPr>
          <w:cantSplit/>
        </w:trPr>
        <w:tc>
          <w:tcPr>
            <w:tcW w:w="1985" w:type="dxa"/>
            <w:tcBorders>
              <w:top w:val="single" w:sz="4" w:space="0" w:color="A6A6A6" w:themeColor="background1" w:themeShade="A6"/>
              <w:bottom w:val="single" w:sz="4" w:space="0" w:color="A6A6A6" w:themeColor="background1" w:themeShade="A6"/>
            </w:tcBorders>
          </w:tcPr>
          <w:p w14:paraId="4F6654C5" w14:textId="77777777" w:rsidR="00FA6A1F" w:rsidRPr="00FE2E1A" w:rsidRDefault="00FA6A1F" w:rsidP="004C1A41">
            <w:pPr>
              <w:pStyle w:val="TableText"/>
              <w:ind w:right="113"/>
            </w:pPr>
            <w:r w:rsidRPr="00FE2E1A">
              <w:t>Equity</w:t>
            </w:r>
          </w:p>
        </w:tc>
        <w:tc>
          <w:tcPr>
            <w:tcW w:w="6095" w:type="dxa"/>
            <w:tcBorders>
              <w:top w:val="single" w:sz="4" w:space="0" w:color="A6A6A6" w:themeColor="background1" w:themeShade="A6"/>
              <w:bottom w:val="single" w:sz="4" w:space="0" w:color="A6A6A6" w:themeColor="background1" w:themeShade="A6"/>
            </w:tcBorders>
          </w:tcPr>
          <w:p w14:paraId="4F6654C6" w14:textId="77777777" w:rsidR="00FA6A1F" w:rsidRPr="00FE2E1A" w:rsidRDefault="00FA6A1F" w:rsidP="004C1A41">
            <w:pPr>
              <w:pStyle w:val="TableText"/>
            </w:pPr>
            <w:r w:rsidRPr="00FE2E1A">
              <w:t xml:space="preserve">Both the strategic framework and the service plan </w:t>
            </w:r>
            <w:r>
              <w:t>focus</w:t>
            </w:r>
            <w:r w:rsidRPr="00FE2E1A">
              <w:t xml:space="preserve"> strong</w:t>
            </w:r>
            <w:r>
              <w:t xml:space="preserve">ly </w:t>
            </w:r>
            <w:r w:rsidRPr="00FE2E1A">
              <w:t>on equity, as recommended by the needs assessment</w:t>
            </w:r>
            <w:r>
              <w:t>.</w:t>
            </w:r>
          </w:p>
        </w:tc>
      </w:tr>
      <w:tr w:rsidR="00FA6A1F" w:rsidRPr="00FE2E1A" w14:paraId="4F6654CA" w14:textId="77777777" w:rsidTr="004C1A41">
        <w:trPr>
          <w:cantSplit/>
        </w:trPr>
        <w:tc>
          <w:tcPr>
            <w:tcW w:w="1985" w:type="dxa"/>
            <w:tcBorders>
              <w:top w:val="single" w:sz="4" w:space="0" w:color="A6A6A6" w:themeColor="background1" w:themeShade="A6"/>
              <w:bottom w:val="single" w:sz="4" w:space="0" w:color="A6A6A6" w:themeColor="background1" w:themeShade="A6"/>
            </w:tcBorders>
          </w:tcPr>
          <w:p w14:paraId="4F6654C8" w14:textId="77777777" w:rsidR="00FA6A1F" w:rsidRPr="00FE2E1A" w:rsidRDefault="00FA6A1F" w:rsidP="004C1A41">
            <w:pPr>
              <w:pStyle w:val="TableText"/>
              <w:ind w:right="113"/>
            </w:pPr>
            <w:r w:rsidRPr="00FE2E1A">
              <w:t>People and wh</w:t>
            </w:r>
            <w:r w:rsidRPr="00FE2E1A">
              <w:rPr>
                <w:rFonts w:cstheme="minorHAnsi"/>
              </w:rPr>
              <w:t>ā</w:t>
            </w:r>
            <w:r w:rsidRPr="00FE2E1A">
              <w:t>nau at the centre</w:t>
            </w:r>
          </w:p>
        </w:tc>
        <w:tc>
          <w:tcPr>
            <w:tcW w:w="6095" w:type="dxa"/>
            <w:tcBorders>
              <w:top w:val="single" w:sz="4" w:space="0" w:color="A6A6A6" w:themeColor="background1" w:themeShade="A6"/>
              <w:bottom w:val="single" w:sz="4" w:space="0" w:color="A6A6A6" w:themeColor="background1" w:themeShade="A6"/>
            </w:tcBorders>
          </w:tcPr>
          <w:p w14:paraId="4F6654C9" w14:textId="77777777" w:rsidR="00FA6A1F" w:rsidRPr="00FE2E1A" w:rsidRDefault="00FA6A1F" w:rsidP="004C1A41">
            <w:pPr>
              <w:pStyle w:val="TableText"/>
            </w:pPr>
            <w:r w:rsidRPr="00FE2E1A">
              <w:t>The strategic framework puts gamblers, their</w:t>
            </w:r>
            <w:r>
              <w:t xml:space="preserve"> families and</w:t>
            </w:r>
            <w:r w:rsidRPr="00FE2E1A">
              <w:t xml:space="preserve"> wh</w:t>
            </w:r>
            <w:r w:rsidRPr="00FE2E1A">
              <w:rPr>
                <w:rFonts w:cstheme="minorHAnsi"/>
              </w:rPr>
              <w:t>ā</w:t>
            </w:r>
            <w:r w:rsidRPr="00FE2E1A">
              <w:t>nau, and the gambling</w:t>
            </w:r>
            <w:r>
              <w:t>-</w:t>
            </w:r>
            <w:r w:rsidRPr="00FE2E1A">
              <w:t xml:space="preserve">harm prevention and minimisation workforce at the centre of several proposed objectives and approaches. The service plan proposes increased support for the peer workforce and for approaches to bring the voice of lived experience into everything we do under the </w:t>
            </w:r>
            <w:r>
              <w:t>strategy</w:t>
            </w:r>
            <w:r w:rsidRPr="00FE2E1A">
              <w:t>.</w:t>
            </w:r>
          </w:p>
        </w:tc>
      </w:tr>
      <w:tr w:rsidR="00FA6A1F" w:rsidRPr="00FE2E1A" w14:paraId="4F6654CD" w14:textId="77777777" w:rsidTr="004C1A41">
        <w:trPr>
          <w:cantSplit/>
        </w:trPr>
        <w:tc>
          <w:tcPr>
            <w:tcW w:w="1985" w:type="dxa"/>
            <w:tcBorders>
              <w:top w:val="single" w:sz="4" w:space="0" w:color="A6A6A6" w:themeColor="background1" w:themeShade="A6"/>
              <w:bottom w:val="single" w:sz="4" w:space="0" w:color="A6A6A6" w:themeColor="background1" w:themeShade="A6"/>
            </w:tcBorders>
          </w:tcPr>
          <w:p w14:paraId="4F6654CB" w14:textId="77777777" w:rsidR="00FA6A1F" w:rsidRPr="00FE2E1A" w:rsidRDefault="00FA6A1F" w:rsidP="004C1A41">
            <w:pPr>
              <w:pStyle w:val="TableText"/>
              <w:ind w:right="113"/>
            </w:pPr>
            <w:r w:rsidRPr="00FE2E1A">
              <w:t>Community focus</w:t>
            </w:r>
          </w:p>
        </w:tc>
        <w:tc>
          <w:tcPr>
            <w:tcW w:w="6095" w:type="dxa"/>
            <w:tcBorders>
              <w:top w:val="single" w:sz="4" w:space="0" w:color="A6A6A6" w:themeColor="background1" w:themeShade="A6"/>
              <w:bottom w:val="single" w:sz="4" w:space="0" w:color="A6A6A6" w:themeColor="background1" w:themeShade="A6"/>
            </w:tcBorders>
          </w:tcPr>
          <w:p w14:paraId="4F6654CC" w14:textId="77777777" w:rsidR="00FA6A1F" w:rsidRPr="00FE2E1A" w:rsidRDefault="00FA6A1F" w:rsidP="004C1A41">
            <w:pPr>
              <w:pStyle w:val="TableText"/>
            </w:pPr>
            <w:r w:rsidRPr="00FE2E1A">
              <w:t>Gambling</w:t>
            </w:r>
            <w:r>
              <w:t>-</w:t>
            </w:r>
            <w:r w:rsidRPr="00FE2E1A">
              <w:t xml:space="preserve">harm prevention and minimisation is supported not only by the </w:t>
            </w:r>
            <w:r>
              <w:t>strategy</w:t>
            </w:r>
            <w:r w:rsidRPr="00FE2E1A">
              <w:t xml:space="preserve"> but also by DIA</w:t>
            </w:r>
            <w:r w:rsidR="008303C6">
              <w:t>’</w:t>
            </w:r>
            <w:r w:rsidRPr="00FE2E1A">
              <w:t>s regulatory approach, which mandates strong community involvement in decisions about the location of gambling venues and machines at the territorial authority level.</w:t>
            </w:r>
            <w:r>
              <w:t xml:space="preserve"> </w:t>
            </w:r>
            <w:r w:rsidRPr="00FE2E1A">
              <w:t>Public health service</w:t>
            </w:r>
            <w:r>
              <w:t>s</w:t>
            </w:r>
            <w:r w:rsidRPr="00FE2E1A">
              <w:t xml:space="preserve"> commissioned under the </w:t>
            </w:r>
            <w:r>
              <w:t>strategy</w:t>
            </w:r>
            <w:r w:rsidRPr="00FE2E1A">
              <w:t xml:space="preserve"> support communities to engage in this type of consultation. The majority of gambling</w:t>
            </w:r>
            <w:r>
              <w:t>-</w:t>
            </w:r>
            <w:r w:rsidRPr="00FE2E1A">
              <w:t>harm prevention and minimisation services are delivered by non-government</w:t>
            </w:r>
            <w:r>
              <w:t>al</w:t>
            </w:r>
            <w:r w:rsidRPr="00FE2E1A">
              <w:t xml:space="preserve"> organisations </w:t>
            </w:r>
            <w:r>
              <w:t xml:space="preserve">(NGOs) </w:t>
            </w:r>
            <w:r w:rsidRPr="00FE2E1A">
              <w:t xml:space="preserve">with strong community links and supporting these </w:t>
            </w:r>
            <w:r>
              <w:t>NGOs</w:t>
            </w:r>
            <w:r w:rsidR="004C1A41">
              <w:t xml:space="preserve"> to be successful is essential.</w:t>
            </w:r>
          </w:p>
        </w:tc>
      </w:tr>
      <w:tr w:rsidR="00FA6A1F" w:rsidRPr="00FE2E1A" w14:paraId="4F6654D0" w14:textId="77777777" w:rsidTr="004C1A41">
        <w:trPr>
          <w:cantSplit/>
        </w:trPr>
        <w:tc>
          <w:tcPr>
            <w:tcW w:w="1985" w:type="dxa"/>
            <w:tcBorders>
              <w:top w:val="single" w:sz="4" w:space="0" w:color="A6A6A6" w:themeColor="background1" w:themeShade="A6"/>
              <w:bottom w:val="single" w:sz="4" w:space="0" w:color="A6A6A6" w:themeColor="background1" w:themeShade="A6"/>
            </w:tcBorders>
          </w:tcPr>
          <w:p w14:paraId="4F6654CE" w14:textId="77777777" w:rsidR="00FA6A1F" w:rsidRPr="00FE2E1A" w:rsidRDefault="004C1A41" w:rsidP="004C1A41">
            <w:pPr>
              <w:pStyle w:val="TableText"/>
              <w:ind w:right="113"/>
            </w:pPr>
            <w:r>
              <w:t>Collaboration</w:t>
            </w:r>
          </w:p>
        </w:tc>
        <w:tc>
          <w:tcPr>
            <w:tcW w:w="6095" w:type="dxa"/>
            <w:tcBorders>
              <w:top w:val="single" w:sz="4" w:space="0" w:color="A6A6A6" w:themeColor="background1" w:themeShade="A6"/>
              <w:bottom w:val="single" w:sz="4" w:space="0" w:color="A6A6A6" w:themeColor="background1" w:themeShade="A6"/>
            </w:tcBorders>
          </w:tcPr>
          <w:p w14:paraId="4F6654CF" w14:textId="77777777" w:rsidR="00FA6A1F" w:rsidRPr="00FE2E1A" w:rsidRDefault="00FA6A1F" w:rsidP="004C1A41">
            <w:pPr>
              <w:pStyle w:val="TableText"/>
            </w:pPr>
            <w:r w:rsidRPr="00FE2E1A">
              <w:t xml:space="preserve">In this </w:t>
            </w:r>
            <w:r>
              <w:t>strategy,</w:t>
            </w:r>
            <w:r w:rsidRPr="00FE2E1A">
              <w:t xml:space="preserve"> we will look for opportunities to collaborate with other services and supports </w:t>
            </w:r>
            <w:r>
              <w:t>that work</w:t>
            </w:r>
            <w:r w:rsidRPr="00FE2E1A">
              <w:t xml:space="preserve"> with the same communities or in the same location as gambling</w:t>
            </w:r>
            <w:r>
              <w:t>-</w:t>
            </w:r>
            <w:r w:rsidRPr="00FE2E1A">
              <w:t>harm prevention and harm minimisation services</w:t>
            </w:r>
            <w:r>
              <w:t>.</w:t>
            </w:r>
          </w:p>
        </w:tc>
      </w:tr>
      <w:tr w:rsidR="00FA6A1F" w:rsidRPr="00FE2E1A" w14:paraId="4F6654D3" w14:textId="77777777" w:rsidTr="004C1A41">
        <w:trPr>
          <w:cantSplit/>
        </w:trPr>
        <w:tc>
          <w:tcPr>
            <w:tcW w:w="1985" w:type="dxa"/>
            <w:tcBorders>
              <w:top w:val="single" w:sz="4" w:space="0" w:color="A6A6A6" w:themeColor="background1" w:themeShade="A6"/>
              <w:bottom w:val="single" w:sz="4" w:space="0" w:color="A6A6A6" w:themeColor="background1" w:themeShade="A6"/>
            </w:tcBorders>
          </w:tcPr>
          <w:p w14:paraId="4F6654D1" w14:textId="77777777" w:rsidR="00FA6A1F" w:rsidRPr="00FE2E1A" w:rsidRDefault="00FA6A1F" w:rsidP="004C1A41">
            <w:pPr>
              <w:pStyle w:val="TableText"/>
              <w:ind w:right="113"/>
            </w:pPr>
            <w:r w:rsidRPr="00FE2E1A">
              <w:t>Innovation</w:t>
            </w:r>
          </w:p>
        </w:tc>
        <w:tc>
          <w:tcPr>
            <w:tcW w:w="6095" w:type="dxa"/>
            <w:tcBorders>
              <w:top w:val="single" w:sz="4" w:space="0" w:color="A6A6A6" w:themeColor="background1" w:themeShade="A6"/>
              <w:bottom w:val="single" w:sz="4" w:space="0" w:color="A6A6A6" w:themeColor="background1" w:themeShade="A6"/>
            </w:tcBorders>
          </w:tcPr>
          <w:p w14:paraId="4F6654D2" w14:textId="77777777" w:rsidR="00FA6A1F" w:rsidRPr="00FE2E1A" w:rsidRDefault="00FA6A1F" w:rsidP="004C1A41">
            <w:pPr>
              <w:pStyle w:val="TableText"/>
            </w:pPr>
            <w:r w:rsidRPr="00FE2E1A">
              <w:t>The draft service plan continues the recent focus on innovation and expands it from a focus on technology to a focus on new ways of delivering service (</w:t>
            </w:r>
            <w:r>
              <w:t>that is,</w:t>
            </w:r>
            <w:r w:rsidRPr="00FE2E1A">
              <w:t xml:space="preserve"> service modes such as online</w:t>
            </w:r>
            <w:r>
              <w:t xml:space="preserve"> options</w:t>
            </w:r>
            <w:r w:rsidRPr="00FE2E1A">
              <w:t>) and new ways of commissioning services (</w:t>
            </w:r>
            <w:r>
              <w:t>that is,</w:t>
            </w:r>
            <w:r w:rsidRPr="00FE2E1A">
              <w:t xml:space="preserve"> k</w:t>
            </w:r>
            <w:r>
              <w:rPr>
                <w:rFonts w:cs="Segoe UI"/>
              </w:rPr>
              <w:t>ō</w:t>
            </w:r>
            <w:r w:rsidRPr="00FE2E1A">
              <w:t>rero M</w:t>
            </w:r>
            <w:r w:rsidRPr="00FE2E1A">
              <w:rPr>
                <w:rFonts w:cstheme="minorHAnsi"/>
              </w:rPr>
              <w:t>ā</w:t>
            </w:r>
            <w:r w:rsidRPr="00FE2E1A">
              <w:t>ori commissioning approaches)</w:t>
            </w:r>
            <w:r>
              <w:t>.</w:t>
            </w:r>
          </w:p>
        </w:tc>
      </w:tr>
    </w:tbl>
    <w:p w14:paraId="4F6654D4" w14:textId="77777777" w:rsidR="004C1A41" w:rsidRDefault="004C1A41" w:rsidP="004C1A41"/>
    <w:p w14:paraId="4F6654D5" w14:textId="3B6855FA" w:rsidR="00FA6A1F" w:rsidRDefault="004C1A41" w:rsidP="004C1A41">
      <w:pPr>
        <w:keepNext/>
      </w:pPr>
      <w:r>
        <w:fldChar w:fldCharType="begin"/>
      </w:r>
      <w:r>
        <w:instrText xml:space="preserve"> REF _Ref80797172 \h </w:instrText>
      </w:r>
      <w:r>
        <w:fldChar w:fldCharType="separate"/>
      </w:r>
      <w:r w:rsidR="00F65B3A">
        <w:t>Table </w:t>
      </w:r>
      <w:r w:rsidR="00F65B3A">
        <w:rPr>
          <w:noProof/>
        </w:rPr>
        <w:t>19</w:t>
      </w:r>
      <w:r>
        <w:fldChar w:fldCharType="end"/>
      </w:r>
      <w:r w:rsidR="00FA6A1F">
        <w:t xml:space="preserve"> below works through the practical implications for the Ministry </w:t>
      </w:r>
      <w:r w:rsidR="00FA6A1F" w:rsidRPr="00701624">
        <w:t>and its service providers</w:t>
      </w:r>
      <w:r w:rsidR="00FA6A1F">
        <w:t xml:space="preserve"> of operating the principles in all work undertaken under the strategy. These </w:t>
      </w:r>
      <w:r w:rsidR="00FA6A1F">
        <w:lastRenderedPageBreak/>
        <w:t>behaviours will be incentivised by Ministry support and incorporated into Ministry contracts as opportunities arise.</w:t>
      </w:r>
    </w:p>
    <w:p w14:paraId="4F6654D6" w14:textId="77777777" w:rsidR="004C1A41" w:rsidRDefault="004C1A41" w:rsidP="004C1A41">
      <w:pPr>
        <w:keepNext/>
      </w:pPr>
    </w:p>
    <w:p w14:paraId="4F6654D7" w14:textId="71D504FE" w:rsidR="00FA6A1F" w:rsidRPr="0003777A" w:rsidRDefault="004C1A41" w:rsidP="004C1A41">
      <w:pPr>
        <w:pStyle w:val="Table"/>
      </w:pPr>
      <w:bookmarkStart w:id="327" w:name="_Ref80797172"/>
      <w:bookmarkStart w:id="328" w:name="_Toc80860363"/>
      <w:r>
        <w:t>Table </w:t>
      </w:r>
      <w:fldSimple w:instr=" SEQ Table \* ARABIC ">
        <w:r w:rsidR="00F65B3A">
          <w:rPr>
            <w:noProof/>
          </w:rPr>
          <w:t>19</w:t>
        </w:r>
      </w:fldSimple>
      <w:bookmarkEnd w:id="327"/>
      <w:r w:rsidR="00FA6A1F" w:rsidRPr="0003777A">
        <w:t>: Opera</w:t>
      </w:r>
      <w:r>
        <w:t>ting the principles in practice</w:t>
      </w:r>
      <w:bookmarkEnd w:id="328"/>
    </w:p>
    <w:tbl>
      <w:tblPr>
        <w:tblW w:w="8080" w:type="dxa"/>
        <w:tblInd w:w="57" w:type="dxa"/>
        <w:tblLayout w:type="fixed"/>
        <w:tblCellMar>
          <w:left w:w="57" w:type="dxa"/>
          <w:right w:w="57" w:type="dxa"/>
        </w:tblCellMar>
        <w:tblLook w:val="04A0" w:firstRow="1" w:lastRow="0" w:firstColumn="1" w:lastColumn="0" w:noHBand="0" w:noVBand="1"/>
      </w:tblPr>
      <w:tblGrid>
        <w:gridCol w:w="1985"/>
        <w:gridCol w:w="6095"/>
      </w:tblGrid>
      <w:tr w:rsidR="00FA6A1F" w:rsidRPr="004C1A41" w14:paraId="4F6654DA" w14:textId="77777777" w:rsidTr="004C1A41">
        <w:trPr>
          <w:cantSplit/>
        </w:trPr>
        <w:tc>
          <w:tcPr>
            <w:tcW w:w="1985" w:type="dxa"/>
            <w:shd w:val="clear" w:color="auto" w:fill="D9D9D9" w:themeFill="background1" w:themeFillShade="D9"/>
          </w:tcPr>
          <w:p w14:paraId="4F6654D8" w14:textId="77777777" w:rsidR="00FA6A1F" w:rsidRPr="004C1A41" w:rsidRDefault="00FA6A1F" w:rsidP="004C1A41">
            <w:pPr>
              <w:pStyle w:val="TableText"/>
              <w:keepNext/>
              <w:ind w:right="113"/>
              <w:rPr>
                <w:b/>
              </w:rPr>
            </w:pPr>
            <w:r w:rsidRPr="004C1A41">
              <w:rPr>
                <w:b/>
              </w:rPr>
              <w:t>Principle</w:t>
            </w:r>
          </w:p>
        </w:tc>
        <w:tc>
          <w:tcPr>
            <w:tcW w:w="6095" w:type="dxa"/>
            <w:shd w:val="clear" w:color="auto" w:fill="D9D9D9" w:themeFill="background1" w:themeFillShade="D9"/>
          </w:tcPr>
          <w:p w14:paraId="4F6654D9" w14:textId="77777777" w:rsidR="00FA6A1F" w:rsidRPr="004C1A41" w:rsidRDefault="00FA6A1F" w:rsidP="004C1A41">
            <w:pPr>
              <w:pStyle w:val="TableText"/>
              <w:keepNext/>
              <w:rPr>
                <w:b/>
              </w:rPr>
            </w:pPr>
            <w:r w:rsidRPr="004C1A41">
              <w:rPr>
                <w:b/>
              </w:rPr>
              <w:t xml:space="preserve">Examples of upholding behaviours </w:t>
            </w:r>
          </w:p>
        </w:tc>
      </w:tr>
      <w:tr w:rsidR="00FA6A1F" w:rsidRPr="00234E47" w14:paraId="4F6654E0" w14:textId="77777777" w:rsidTr="004C1A41">
        <w:trPr>
          <w:cantSplit/>
        </w:trPr>
        <w:tc>
          <w:tcPr>
            <w:tcW w:w="1985" w:type="dxa"/>
            <w:tcBorders>
              <w:bottom w:val="single" w:sz="4" w:space="0" w:color="A6A6A6" w:themeColor="background1" w:themeShade="A6"/>
            </w:tcBorders>
          </w:tcPr>
          <w:p w14:paraId="4F6654DB" w14:textId="77777777" w:rsidR="00FA6A1F" w:rsidRPr="00234E47" w:rsidRDefault="00FA6A1F" w:rsidP="004C1A41">
            <w:pPr>
              <w:pStyle w:val="TableText"/>
              <w:ind w:right="113"/>
            </w:pPr>
            <w:r w:rsidRPr="00234E47">
              <w:t>Upholding Te Tiriti o Waitangi</w:t>
            </w:r>
          </w:p>
        </w:tc>
        <w:tc>
          <w:tcPr>
            <w:tcW w:w="6095" w:type="dxa"/>
            <w:tcBorders>
              <w:bottom w:val="single" w:sz="4" w:space="0" w:color="A6A6A6" w:themeColor="background1" w:themeShade="A6"/>
            </w:tcBorders>
          </w:tcPr>
          <w:p w14:paraId="4F6654DC" w14:textId="77777777" w:rsidR="00FA6A1F" w:rsidRPr="008D3CB4" w:rsidRDefault="00FA6A1F" w:rsidP="004C1A41">
            <w:pPr>
              <w:pStyle w:val="TableBullet"/>
            </w:pPr>
            <w:r w:rsidRPr="008D3CB4">
              <w:t>Ensuring mainstream services support mana motuhake (M</w:t>
            </w:r>
            <w:r>
              <w:t>ā</w:t>
            </w:r>
            <w:r w:rsidRPr="008D3CB4">
              <w:t>ori self</w:t>
            </w:r>
            <w:r w:rsidR="004C1A41">
              <w:noBreakHyphen/>
            </w:r>
            <w:r w:rsidRPr="008D3CB4">
              <w:t>determination)</w:t>
            </w:r>
          </w:p>
          <w:p w14:paraId="4F6654DD" w14:textId="77777777" w:rsidR="00FA6A1F" w:rsidRPr="008D3CB4" w:rsidRDefault="00FA6A1F" w:rsidP="004C1A41">
            <w:pPr>
              <w:pStyle w:val="TableBullet"/>
            </w:pPr>
            <w:r>
              <w:t>Supporting and funding k</w:t>
            </w:r>
            <w:r w:rsidRPr="008D3CB4">
              <w:t>aupapa M</w:t>
            </w:r>
            <w:r w:rsidRPr="008D3CB4">
              <w:rPr>
                <w:rFonts w:cstheme="minorHAnsi"/>
              </w:rPr>
              <w:t>ā</w:t>
            </w:r>
            <w:r w:rsidRPr="008D3CB4">
              <w:t xml:space="preserve">ori services </w:t>
            </w:r>
            <w:r>
              <w:t>to ensure they succeed</w:t>
            </w:r>
          </w:p>
          <w:p w14:paraId="4F6654DE" w14:textId="77777777" w:rsidR="00FA6A1F" w:rsidRPr="008D3CB4" w:rsidRDefault="00FA6A1F" w:rsidP="004C1A41">
            <w:pPr>
              <w:pStyle w:val="TableBullet"/>
            </w:pPr>
            <w:r w:rsidRPr="008D3CB4">
              <w:t>Ensuring all services and approaches actively protect M</w:t>
            </w:r>
            <w:r w:rsidRPr="008D3CB4">
              <w:rPr>
                <w:rFonts w:cstheme="minorHAnsi"/>
              </w:rPr>
              <w:t>ā</w:t>
            </w:r>
            <w:r w:rsidRPr="008D3CB4">
              <w:t xml:space="preserve">ori </w:t>
            </w:r>
            <w:r>
              <w:t xml:space="preserve">who are </w:t>
            </w:r>
            <w:r w:rsidRPr="008D3CB4">
              <w:t>affected by gambling</w:t>
            </w:r>
          </w:p>
          <w:p w14:paraId="4F6654DF" w14:textId="77777777" w:rsidR="00FA6A1F" w:rsidRPr="008D3CB4" w:rsidRDefault="00FA6A1F" w:rsidP="004C1A41">
            <w:pPr>
              <w:pStyle w:val="TableBullet"/>
            </w:pPr>
            <w:r w:rsidRPr="008D3CB4">
              <w:t>Planning and taking opportunities to build partnerships with iwi and other M</w:t>
            </w:r>
            <w:r w:rsidRPr="008D3CB4">
              <w:rPr>
                <w:rFonts w:cstheme="minorHAnsi"/>
              </w:rPr>
              <w:t>ā</w:t>
            </w:r>
            <w:r w:rsidRPr="008D3CB4">
              <w:t>ori groups and organisations at every level (including strategic and service)</w:t>
            </w:r>
          </w:p>
        </w:tc>
      </w:tr>
      <w:tr w:rsidR="00FA6A1F" w:rsidRPr="00234E47" w14:paraId="4F6654E6" w14:textId="77777777" w:rsidTr="004C1A41">
        <w:trPr>
          <w:cantSplit/>
        </w:trPr>
        <w:tc>
          <w:tcPr>
            <w:tcW w:w="1985" w:type="dxa"/>
            <w:tcBorders>
              <w:top w:val="single" w:sz="4" w:space="0" w:color="A6A6A6" w:themeColor="background1" w:themeShade="A6"/>
              <w:bottom w:val="single" w:sz="4" w:space="0" w:color="A6A6A6" w:themeColor="background1" w:themeShade="A6"/>
            </w:tcBorders>
          </w:tcPr>
          <w:p w14:paraId="4F6654E1" w14:textId="77777777" w:rsidR="00FA6A1F" w:rsidRPr="00234E47" w:rsidRDefault="00FA6A1F" w:rsidP="004C1A41">
            <w:pPr>
              <w:pStyle w:val="TableText"/>
              <w:ind w:right="113"/>
            </w:pPr>
            <w:r w:rsidRPr="00234E47">
              <w:t>Promoting equity</w:t>
            </w:r>
          </w:p>
        </w:tc>
        <w:tc>
          <w:tcPr>
            <w:tcW w:w="6095" w:type="dxa"/>
            <w:tcBorders>
              <w:top w:val="single" w:sz="4" w:space="0" w:color="A6A6A6" w:themeColor="background1" w:themeShade="A6"/>
              <w:bottom w:val="single" w:sz="4" w:space="0" w:color="A6A6A6" w:themeColor="background1" w:themeShade="A6"/>
            </w:tcBorders>
          </w:tcPr>
          <w:p w14:paraId="4F6654E2" w14:textId="77777777" w:rsidR="00FA6A1F" w:rsidRPr="001F7E81" w:rsidRDefault="00FA6A1F" w:rsidP="004C1A41">
            <w:pPr>
              <w:pStyle w:val="TableBullet"/>
              <w:rPr>
                <w:rFonts w:cs="Segoe UI"/>
              </w:rPr>
            </w:pPr>
            <w:r w:rsidRPr="00A15C4B">
              <w:rPr>
                <w:rFonts w:cs="Segoe UI"/>
              </w:rPr>
              <w:t xml:space="preserve">Understanding that an </w:t>
            </w:r>
            <w:r w:rsidRPr="00A15C4B">
              <w:rPr>
                <w:rFonts w:cs="Segoe UI"/>
                <w:color w:val="000000"/>
              </w:rPr>
              <w:t>inequity is an inequality that we can attribute to social, cultural and economic factors, rather than biomedical ones, and that such i</w:t>
            </w:r>
            <w:r w:rsidRPr="00A15C4B">
              <w:rPr>
                <w:rFonts w:cs="Segoe UI"/>
              </w:rPr>
              <w:t>nequities are not random</w:t>
            </w:r>
          </w:p>
          <w:p w14:paraId="4F6654E3" w14:textId="77777777" w:rsidR="00FA6A1F" w:rsidRPr="00234E47" w:rsidRDefault="00FA6A1F" w:rsidP="004C1A41">
            <w:pPr>
              <w:pStyle w:val="TableBullet"/>
            </w:pPr>
            <w:r>
              <w:t>Being proactive in identifying and addressing differences that are inequities</w:t>
            </w:r>
          </w:p>
          <w:p w14:paraId="4F6654E4" w14:textId="77777777" w:rsidR="00FA6A1F" w:rsidRDefault="00FA6A1F" w:rsidP="004C1A41">
            <w:pPr>
              <w:pStyle w:val="TableBullet"/>
            </w:pPr>
            <w:r>
              <w:t>Monitoring service delivery, funding and outcomes by population group</w:t>
            </w:r>
          </w:p>
          <w:p w14:paraId="4F6654E5" w14:textId="77777777" w:rsidR="00FA6A1F" w:rsidRPr="00234E47" w:rsidRDefault="00FA6A1F" w:rsidP="004C1A41">
            <w:pPr>
              <w:pStyle w:val="TableBullet"/>
            </w:pPr>
            <w:r w:rsidRPr="00234E47">
              <w:t>Taking steps to address unfair differences between groups</w:t>
            </w:r>
            <w:r>
              <w:t xml:space="preserve"> in every area (that is, access, suitabilit</w:t>
            </w:r>
            <w:r w:rsidR="004C1A41">
              <w:t>y/quality of service, outcomes)</w:t>
            </w:r>
          </w:p>
        </w:tc>
      </w:tr>
      <w:tr w:rsidR="00FA6A1F" w:rsidRPr="00234E47" w14:paraId="4F6654ED" w14:textId="77777777" w:rsidTr="004C1A41">
        <w:trPr>
          <w:cantSplit/>
        </w:trPr>
        <w:tc>
          <w:tcPr>
            <w:tcW w:w="1985" w:type="dxa"/>
            <w:tcBorders>
              <w:top w:val="single" w:sz="4" w:space="0" w:color="A6A6A6" w:themeColor="background1" w:themeShade="A6"/>
              <w:bottom w:val="single" w:sz="4" w:space="0" w:color="A6A6A6" w:themeColor="background1" w:themeShade="A6"/>
            </w:tcBorders>
          </w:tcPr>
          <w:p w14:paraId="4F6654E7" w14:textId="77777777" w:rsidR="00FA6A1F" w:rsidRPr="00234E47" w:rsidRDefault="00FA6A1F" w:rsidP="004C1A41">
            <w:pPr>
              <w:pStyle w:val="TableText"/>
              <w:ind w:right="113"/>
            </w:pPr>
            <w:r w:rsidRPr="00234E47">
              <w:t>Putting people and wh</w:t>
            </w:r>
            <w:r w:rsidRPr="00234E47">
              <w:rPr>
                <w:rFonts w:cstheme="minorHAnsi"/>
              </w:rPr>
              <w:t>ā</w:t>
            </w:r>
            <w:r w:rsidRPr="00234E47">
              <w:t>nau at the centre</w:t>
            </w:r>
          </w:p>
        </w:tc>
        <w:tc>
          <w:tcPr>
            <w:tcW w:w="6095" w:type="dxa"/>
            <w:tcBorders>
              <w:top w:val="single" w:sz="4" w:space="0" w:color="A6A6A6" w:themeColor="background1" w:themeShade="A6"/>
              <w:bottom w:val="single" w:sz="4" w:space="0" w:color="A6A6A6" w:themeColor="background1" w:themeShade="A6"/>
            </w:tcBorders>
          </w:tcPr>
          <w:p w14:paraId="4F6654E8" w14:textId="77777777" w:rsidR="00FA6A1F" w:rsidRDefault="00FA6A1F" w:rsidP="004C1A41">
            <w:pPr>
              <w:pStyle w:val="TableBullet"/>
            </w:pPr>
            <w:r>
              <w:t>Valuing, including and supporting the voices of lived experience</w:t>
            </w:r>
          </w:p>
          <w:p w14:paraId="4F6654E9" w14:textId="77777777" w:rsidR="00FA6A1F" w:rsidRDefault="00FA6A1F" w:rsidP="004C1A41">
            <w:pPr>
              <w:pStyle w:val="TableBullet"/>
            </w:pPr>
            <w:r>
              <w:t>Making sure services are welcoming for people and their families and whānau</w:t>
            </w:r>
          </w:p>
          <w:p w14:paraId="4F6654EA" w14:textId="77777777" w:rsidR="00FA6A1F" w:rsidRPr="008D3CB4" w:rsidRDefault="00FA6A1F" w:rsidP="004C1A41">
            <w:pPr>
              <w:pStyle w:val="TableBullet"/>
            </w:pPr>
            <w:r w:rsidRPr="008D3CB4">
              <w:t>Building a sustainable peer workforce</w:t>
            </w:r>
          </w:p>
          <w:p w14:paraId="4F6654EB" w14:textId="77777777" w:rsidR="00FA6A1F" w:rsidRDefault="00FA6A1F" w:rsidP="004C1A41">
            <w:pPr>
              <w:pStyle w:val="TableBullet"/>
            </w:pPr>
            <w:r w:rsidRPr="008D3CB4">
              <w:t xml:space="preserve">Enhancing and supporting </w:t>
            </w:r>
            <w:r>
              <w:t>kaupapa Māori</w:t>
            </w:r>
            <w:r w:rsidRPr="008D3CB4">
              <w:t xml:space="preserve"> and Pacific services</w:t>
            </w:r>
          </w:p>
          <w:p w14:paraId="4F6654EC" w14:textId="77777777" w:rsidR="00FA6A1F" w:rsidRPr="00234E47" w:rsidRDefault="00FA6A1F" w:rsidP="004C1A41">
            <w:pPr>
              <w:pStyle w:val="TableBullet"/>
            </w:pPr>
            <w:r>
              <w:t>Ensuring processes and r</w:t>
            </w:r>
            <w:r w:rsidR="004C1A41">
              <w:t>equirements are people centred</w:t>
            </w:r>
          </w:p>
        </w:tc>
      </w:tr>
      <w:tr w:rsidR="00FA6A1F" w:rsidRPr="00234E47" w14:paraId="4F6654F2" w14:textId="77777777" w:rsidTr="004C1A41">
        <w:trPr>
          <w:cantSplit/>
        </w:trPr>
        <w:tc>
          <w:tcPr>
            <w:tcW w:w="1985" w:type="dxa"/>
            <w:tcBorders>
              <w:top w:val="single" w:sz="4" w:space="0" w:color="A6A6A6" w:themeColor="background1" w:themeShade="A6"/>
              <w:bottom w:val="single" w:sz="4" w:space="0" w:color="A6A6A6" w:themeColor="background1" w:themeShade="A6"/>
            </w:tcBorders>
          </w:tcPr>
          <w:p w14:paraId="4F6654EE" w14:textId="77777777" w:rsidR="00FA6A1F" w:rsidRPr="00234E47" w:rsidRDefault="004C1A41" w:rsidP="004C1A41">
            <w:pPr>
              <w:pStyle w:val="TableText"/>
              <w:ind w:right="113"/>
            </w:pPr>
            <w:r>
              <w:t>Taking a community focus</w:t>
            </w:r>
          </w:p>
        </w:tc>
        <w:tc>
          <w:tcPr>
            <w:tcW w:w="6095" w:type="dxa"/>
            <w:tcBorders>
              <w:top w:val="single" w:sz="4" w:space="0" w:color="A6A6A6" w:themeColor="background1" w:themeShade="A6"/>
              <w:bottom w:val="single" w:sz="4" w:space="0" w:color="A6A6A6" w:themeColor="background1" w:themeShade="A6"/>
            </w:tcBorders>
          </w:tcPr>
          <w:p w14:paraId="4F6654EF" w14:textId="77777777" w:rsidR="00FA6A1F" w:rsidRPr="00234E47" w:rsidRDefault="00FA6A1F" w:rsidP="004C1A41">
            <w:pPr>
              <w:pStyle w:val="TableBullet"/>
            </w:pPr>
            <w:r>
              <w:t>Maintaining and growing the capability of</w:t>
            </w:r>
            <w:r w:rsidRPr="00234E47">
              <w:t xml:space="preserve"> public health services to work with local communities and territorial land authorities</w:t>
            </w:r>
          </w:p>
          <w:p w14:paraId="4F6654F0" w14:textId="77777777" w:rsidR="00FA6A1F" w:rsidRDefault="00FA6A1F" w:rsidP="004C1A41">
            <w:pPr>
              <w:pStyle w:val="TableBullet"/>
            </w:pPr>
            <w:r>
              <w:t>Working to better i</w:t>
            </w:r>
            <w:r w:rsidRPr="00234E47">
              <w:t>ntegrat</w:t>
            </w:r>
            <w:r>
              <w:t xml:space="preserve">e </w:t>
            </w:r>
            <w:r w:rsidRPr="00234E47">
              <w:t xml:space="preserve">gambling prevention and harm minimisation services with other social and health services </w:t>
            </w:r>
            <w:r>
              <w:t xml:space="preserve">that are </w:t>
            </w:r>
            <w:r w:rsidRPr="00234E47">
              <w:t>serving the same communit</w:t>
            </w:r>
            <w:r>
              <w:t>ies</w:t>
            </w:r>
          </w:p>
          <w:p w14:paraId="4F6654F1" w14:textId="77777777" w:rsidR="00FA6A1F" w:rsidRPr="00234E47" w:rsidRDefault="00FA6A1F" w:rsidP="004C1A41">
            <w:pPr>
              <w:pStyle w:val="TableBullet"/>
            </w:pPr>
            <w:r>
              <w:t>Understanding communities</w:t>
            </w:r>
            <w:r w:rsidR="008303C6">
              <w:t>’</w:t>
            </w:r>
            <w:r w:rsidR="004C1A41">
              <w:t xml:space="preserve"> attitudes to gambling</w:t>
            </w:r>
          </w:p>
        </w:tc>
      </w:tr>
      <w:tr w:rsidR="00FA6A1F" w:rsidRPr="00234E47" w14:paraId="4F6654F6" w14:textId="77777777" w:rsidTr="004C1A41">
        <w:trPr>
          <w:cantSplit/>
        </w:trPr>
        <w:tc>
          <w:tcPr>
            <w:tcW w:w="1985" w:type="dxa"/>
            <w:tcBorders>
              <w:top w:val="single" w:sz="4" w:space="0" w:color="A6A6A6" w:themeColor="background1" w:themeShade="A6"/>
              <w:bottom w:val="single" w:sz="4" w:space="0" w:color="A6A6A6" w:themeColor="background1" w:themeShade="A6"/>
            </w:tcBorders>
          </w:tcPr>
          <w:p w14:paraId="4F6654F3" w14:textId="77777777" w:rsidR="00FA6A1F" w:rsidRPr="00234E47" w:rsidRDefault="004C1A41" w:rsidP="004C1A41">
            <w:pPr>
              <w:pStyle w:val="TableText"/>
              <w:ind w:right="113"/>
            </w:pPr>
            <w:r>
              <w:t>Being collaborative</w:t>
            </w:r>
          </w:p>
        </w:tc>
        <w:tc>
          <w:tcPr>
            <w:tcW w:w="6095" w:type="dxa"/>
            <w:tcBorders>
              <w:top w:val="single" w:sz="4" w:space="0" w:color="A6A6A6" w:themeColor="background1" w:themeShade="A6"/>
              <w:bottom w:val="single" w:sz="4" w:space="0" w:color="A6A6A6" w:themeColor="background1" w:themeShade="A6"/>
            </w:tcBorders>
          </w:tcPr>
          <w:p w14:paraId="4F6654F4" w14:textId="77777777" w:rsidR="00FA6A1F" w:rsidRPr="00234E47" w:rsidRDefault="00FA6A1F" w:rsidP="004C1A41">
            <w:pPr>
              <w:pStyle w:val="TableBullet"/>
            </w:pPr>
            <w:r w:rsidRPr="00234E47">
              <w:t>Building strong relationship across government, the harm minimisation sector and the gambling industry</w:t>
            </w:r>
          </w:p>
          <w:p w14:paraId="4F6654F5" w14:textId="77777777" w:rsidR="00FA6A1F" w:rsidRPr="00234E47" w:rsidRDefault="00FA6A1F" w:rsidP="004C1A41">
            <w:pPr>
              <w:pStyle w:val="TableBullet"/>
            </w:pPr>
            <w:r w:rsidRPr="00234E47">
              <w:t>Being willing to learn from others</w:t>
            </w:r>
          </w:p>
        </w:tc>
      </w:tr>
      <w:tr w:rsidR="00FA6A1F" w:rsidRPr="00234E47" w14:paraId="4F6654FB" w14:textId="77777777" w:rsidTr="004C1A41">
        <w:trPr>
          <w:cantSplit/>
        </w:trPr>
        <w:tc>
          <w:tcPr>
            <w:tcW w:w="1985" w:type="dxa"/>
            <w:tcBorders>
              <w:top w:val="single" w:sz="4" w:space="0" w:color="A6A6A6" w:themeColor="background1" w:themeShade="A6"/>
              <w:bottom w:val="single" w:sz="4" w:space="0" w:color="A6A6A6" w:themeColor="background1" w:themeShade="A6"/>
            </w:tcBorders>
          </w:tcPr>
          <w:p w14:paraId="4F6654F7" w14:textId="77777777" w:rsidR="00FA6A1F" w:rsidRPr="00234E47" w:rsidRDefault="004C1A41" w:rsidP="004C1A41">
            <w:pPr>
              <w:pStyle w:val="TableText"/>
              <w:ind w:right="113"/>
            </w:pPr>
            <w:r>
              <w:t>Being innovative</w:t>
            </w:r>
          </w:p>
        </w:tc>
        <w:tc>
          <w:tcPr>
            <w:tcW w:w="6095" w:type="dxa"/>
            <w:tcBorders>
              <w:top w:val="single" w:sz="4" w:space="0" w:color="A6A6A6" w:themeColor="background1" w:themeShade="A6"/>
              <w:bottom w:val="single" w:sz="4" w:space="0" w:color="A6A6A6" w:themeColor="background1" w:themeShade="A6"/>
            </w:tcBorders>
          </w:tcPr>
          <w:p w14:paraId="4F6654F8" w14:textId="77777777" w:rsidR="00FA6A1F" w:rsidRDefault="00FA6A1F" w:rsidP="004C1A41">
            <w:pPr>
              <w:pStyle w:val="TableBullet"/>
            </w:pPr>
            <w:r w:rsidRPr="00234E47">
              <w:t>Being willing to try new initiatives and ways of doing things</w:t>
            </w:r>
          </w:p>
          <w:p w14:paraId="4F6654F9" w14:textId="77777777" w:rsidR="00FA6A1F" w:rsidRPr="008D3CB4" w:rsidRDefault="00FA6A1F" w:rsidP="004C1A41">
            <w:pPr>
              <w:pStyle w:val="TableBullet"/>
            </w:pPr>
            <w:r w:rsidRPr="008D3CB4">
              <w:t>Creating spaces where it is safe to fail</w:t>
            </w:r>
          </w:p>
          <w:p w14:paraId="4F6654FA" w14:textId="77777777" w:rsidR="00FA6A1F" w:rsidRPr="00234E47" w:rsidRDefault="00FA6A1F" w:rsidP="004C1A41">
            <w:pPr>
              <w:pStyle w:val="TableBullet"/>
            </w:pPr>
            <w:r w:rsidRPr="008D3CB4">
              <w:t>Using evidence and research to make change</w:t>
            </w:r>
          </w:p>
        </w:tc>
      </w:tr>
    </w:tbl>
    <w:p w14:paraId="4F6654FC" w14:textId="77777777" w:rsidR="004C1A41" w:rsidRDefault="004C1A41" w:rsidP="004C1A41"/>
    <w:p w14:paraId="4F6654FD" w14:textId="77777777" w:rsidR="00AD245C" w:rsidRDefault="00AD245C" w:rsidP="004C1A41">
      <w:pPr>
        <w:pStyle w:val="Heading2"/>
        <w:keepNext w:val="0"/>
        <w:pageBreakBefore/>
        <w:spacing w:before="0"/>
        <w:sectPr w:rsidR="00AD245C" w:rsidSect="00F10643">
          <w:footerReference w:type="default" r:id="rId44"/>
          <w:pgSz w:w="11907" w:h="16834" w:code="9"/>
          <w:pgMar w:top="1418" w:right="1701" w:bottom="1134" w:left="1843" w:header="284" w:footer="425" w:gutter="284"/>
          <w:cols w:space="720"/>
          <w:docGrid w:linePitch="286"/>
        </w:sectPr>
      </w:pPr>
      <w:bookmarkStart w:id="329" w:name="_Toc78882337"/>
    </w:p>
    <w:p w14:paraId="4F6654FE" w14:textId="77777777" w:rsidR="00FA6A1F" w:rsidRDefault="00FA6A1F" w:rsidP="004C1A41">
      <w:pPr>
        <w:pStyle w:val="Heading2"/>
        <w:keepNext w:val="0"/>
        <w:pageBreakBefore/>
        <w:spacing w:before="0"/>
      </w:pPr>
      <w:bookmarkStart w:id="330" w:name="_Appendix_4:_Key"/>
      <w:bookmarkStart w:id="331" w:name="_Toc80965868"/>
      <w:bookmarkEnd w:id="330"/>
      <w:r>
        <w:lastRenderedPageBreak/>
        <w:t>Appendix 4: Key continuities</w:t>
      </w:r>
      <w:bookmarkEnd w:id="329"/>
      <w:bookmarkEnd w:id="331"/>
    </w:p>
    <w:p w14:paraId="4F6654FF" w14:textId="77777777" w:rsidR="00FA6A1F" w:rsidRDefault="00FA6A1F" w:rsidP="00177D2C">
      <w:r>
        <w:t>The new draft strategic framework re-frames and re-structures the previous framework, responding to environmental changes and lessons learnt over recent years. It is closely related to the previous strategic framework because the prevention and minimisation of gambling-related harm is a long-term activity. Like many areas of health promotion, prevention and early intervention, the activities in this space need to be continuous as there are always new cohorts of people coming through, as well as people having different needs at different times in their lives. All 11 strategic objectives of the current strategy can be addressed under the four new objectives.</w:t>
      </w:r>
    </w:p>
    <w:p w14:paraId="4F665500" w14:textId="77777777" w:rsidR="00177D2C" w:rsidRDefault="00177D2C" w:rsidP="00AD7459"/>
    <w:p w14:paraId="4F665501" w14:textId="4F1E99C0" w:rsidR="00FA6A1F" w:rsidRPr="00167177" w:rsidRDefault="00177D2C" w:rsidP="00177D2C">
      <w:pPr>
        <w:pStyle w:val="Table"/>
      </w:pPr>
      <w:bookmarkStart w:id="332" w:name="_Toc80860364"/>
      <w:r>
        <w:t>Table </w:t>
      </w:r>
      <w:fldSimple w:instr=" SEQ Table \* ARABIC ">
        <w:r w:rsidR="00F65B3A">
          <w:rPr>
            <w:noProof/>
          </w:rPr>
          <w:t>20</w:t>
        </w:r>
      </w:fldSimple>
      <w:r w:rsidR="00FA6A1F">
        <w:t>:</w:t>
      </w:r>
      <w:r w:rsidR="00FA6A1F" w:rsidRPr="00167177">
        <w:t xml:space="preserve"> </w:t>
      </w:r>
      <w:r w:rsidR="00FA6A1F">
        <w:t>R</w:t>
      </w:r>
      <w:r w:rsidR="00FA6A1F" w:rsidRPr="00167177">
        <w:t>elationship of previous strategic objectives to new</w:t>
      </w:r>
      <w:r w:rsidR="00FA6A1F">
        <w:t xml:space="preserve"> objectives</w:t>
      </w:r>
      <w:bookmarkEnd w:id="332"/>
    </w:p>
    <w:tbl>
      <w:tblPr>
        <w:tblW w:w="14601" w:type="dxa"/>
        <w:tblInd w:w="57" w:type="dxa"/>
        <w:tblLayout w:type="fixed"/>
        <w:tblCellMar>
          <w:left w:w="57" w:type="dxa"/>
          <w:right w:w="57" w:type="dxa"/>
        </w:tblCellMar>
        <w:tblLook w:val="04A0" w:firstRow="1" w:lastRow="0" w:firstColumn="1" w:lastColumn="0" w:noHBand="0" w:noVBand="1"/>
      </w:tblPr>
      <w:tblGrid>
        <w:gridCol w:w="1134"/>
        <w:gridCol w:w="3366"/>
        <w:gridCol w:w="3367"/>
        <w:gridCol w:w="3367"/>
        <w:gridCol w:w="3367"/>
      </w:tblGrid>
      <w:tr w:rsidR="00AD245C" w:rsidRPr="00AD245C" w14:paraId="4F665507" w14:textId="77777777" w:rsidTr="00AD7459">
        <w:trPr>
          <w:cantSplit/>
        </w:trPr>
        <w:tc>
          <w:tcPr>
            <w:tcW w:w="1134" w:type="dxa"/>
            <w:shd w:val="clear" w:color="auto" w:fill="D9D9D9" w:themeFill="background1" w:themeFillShade="D9"/>
          </w:tcPr>
          <w:p w14:paraId="4F665502" w14:textId="77777777" w:rsidR="00FA6A1F" w:rsidRPr="00AD245C" w:rsidRDefault="00FA6A1F" w:rsidP="00AD245C">
            <w:pPr>
              <w:pStyle w:val="TableText"/>
              <w:rPr>
                <w:b/>
              </w:rPr>
            </w:pPr>
            <w:r w:rsidRPr="00AD245C">
              <w:rPr>
                <w:b/>
              </w:rPr>
              <w:t>N</w:t>
            </w:r>
            <w:r w:rsidR="00AD245C" w:rsidRPr="00AD245C">
              <w:rPr>
                <w:b/>
              </w:rPr>
              <w:t>ew objectives</w:t>
            </w:r>
          </w:p>
        </w:tc>
        <w:tc>
          <w:tcPr>
            <w:tcW w:w="3366" w:type="dxa"/>
            <w:shd w:val="clear" w:color="auto" w:fill="D9D9D9" w:themeFill="background1" w:themeFillShade="D9"/>
          </w:tcPr>
          <w:p w14:paraId="4F665503" w14:textId="77777777" w:rsidR="00FA6A1F" w:rsidRPr="00AD245C" w:rsidRDefault="00FA6A1F" w:rsidP="00177D2C">
            <w:pPr>
              <w:pStyle w:val="TableText"/>
              <w:rPr>
                <w:rFonts w:cs="Segoe UI"/>
                <w:b/>
              </w:rPr>
            </w:pPr>
            <w:r w:rsidRPr="00AD245C">
              <w:rPr>
                <w:rFonts w:cs="Segoe UI"/>
                <w:b/>
                <w:color w:val="000000"/>
                <w:lang w:eastAsia="en-NZ"/>
              </w:rPr>
              <w:t>Create a full spectrum of services and supports</w:t>
            </w:r>
          </w:p>
        </w:tc>
        <w:tc>
          <w:tcPr>
            <w:tcW w:w="3367" w:type="dxa"/>
            <w:shd w:val="clear" w:color="auto" w:fill="D9D9D9" w:themeFill="background1" w:themeFillShade="D9"/>
          </w:tcPr>
          <w:p w14:paraId="4F665504" w14:textId="77777777" w:rsidR="00FA6A1F" w:rsidRPr="00AD245C" w:rsidRDefault="00FA6A1F" w:rsidP="00177D2C">
            <w:pPr>
              <w:pStyle w:val="TableText"/>
              <w:rPr>
                <w:b/>
              </w:rPr>
            </w:pPr>
            <w:r w:rsidRPr="00AD245C">
              <w:rPr>
                <w:b/>
              </w:rPr>
              <w:t>Shift cultural and social norms</w:t>
            </w:r>
          </w:p>
        </w:tc>
        <w:tc>
          <w:tcPr>
            <w:tcW w:w="3367" w:type="dxa"/>
            <w:shd w:val="clear" w:color="auto" w:fill="D9D9D9" w:themeFill="background1" w:themeFillShade="D9"/>
          </w:tcPr>
          <w:p w14:paraId="4F665505" w14:textId="77777777" w:rsidR="00FA6A1F" w:rsidRPr="00AD245C" w:rsidRDefault="00FA6A1F" w:rsidP="00177D2C">
            <w:pPr>
              <w:pStyle w:val="TableText"/>
              <w:rPr>
                <w:b/>
              </w:rPr>
            </w:pPr>
            <w:r w:rsidRPr="00AD245C">
              <w:rPr>
                <w:b/>
              </w:rPr>
              <w:t>Strengthen system leadership and accountability</w:t>
            </w:r>
          </w:p>
        </w:tc>
        <w:tc>
          <w:tcPr>
            <w:tcW w:w="3367" w:type="dxa"/>
            <w:shd w:val="clear" w:color="auto" w:fill="D9D9D9" w:themeFill="background1" w:themeFillShade="D9"/>
          </w:tcPr>
          <w:p w14:paraId="4F665506" w14:textId="77777777" w:rsidR="00FA6A1F" w:rsidRPr="00AD245C" w:rsidRDefault="00FA6A1F" w:rsidP="00177D2C">
            <w:pPr>
              <w:pStyle w:val="TableText"/>
              <w:rPr>
                <w:b/>
              </w:rPr>
            </w:pPr>
            <w:r w:rsidRPr="00AD245C">
              <w:rPr>
                <w:b/>
              </w:rPr>
              <w:t>Strengthen the health and healthy equity of Māori, Pacific peoples, Asian peoples and young people / rangatahi</w:t>
            </w:r>
          </w:p>
        </w:tc>
      </w:tr>
      <w:tr w:rsidR="00AD245C" w:rsidRPr="000836A4" w14:paraId="4F66550D" w14:textId="77777777" w:rsidTr="00AD7459">
        <w:trPr>
          <w:cantSplit/>
        </w:trPr>
        <w:tc>
          <w:tcPr>
            <w:tcW w:w="1134" w:type="dxa"/>
            <w:vMerge w:val="restart"/>
            <w:tcBorders>
              <w:bottom w:val="single" w:sz="4" w:space="0" w:color="A6A6A6" w:themeColor="background1" w:themeShade="A6"/>
            </w:tcBorders>
          </w:tcPr>
          <w:p w14:paraId="4F665508" w14:textId="77777777" w:rsidR="00FA6A1F" w:rsidRPr="0003777A" w:rsidRDefault="00AD245C" w:rsidP="00177D2C">
            <w:pPr>
              <w:pStyle w:val="TableText"/>
            </w:pPr>
            <w:r>
              <w:t>Previous g</w:t>
            </w:r>
            <w:r w:rsidR="00FA6A1F" w:rsidRPr="0003777A">
              <w:t>ambling harm strategic objectives</w:t>
            </w:r>
          </w:p>
        </w:tc>
        <w:tc>
          <w:tcPr>
            <w:tcW w:w="3366" w:type="dxa"/>
            <w:tcBorders>
              <w:bottom w:val="single" w:sz="4" w:space="0" w:color="A6A6A6" w:themeColor="background1" w:themeShade="A6"/>
            </w:tcBorders>
          </w:tcPr>
          <w:p w14:paraId="4F665509" w14:textId="77777777" w:rsidR="00FA6A1F" w:rsidRPr="0003777A" w:rsidRDefault="00FA6A1F" w:rsidP="00177D2C">
            <w:pPr>
              <w:pStyle w:val="TableText"/>
            </w:pPr>
            <w:r w:rsidRPr="0003777A">
              <w:t>A skilled workforce is developed to deliver effective services to prevent and minimise gambling harm (6)</w:t>
            </w:r>
          </w:p>
        </w:tc>
        <w:tc>
          <w:tcPr>
            <w:tcW w:w="3367" w:type="dxa"/>
            <w:tcBorders>
              <w:bottom w:val="single" w:sz="4" w:space="0" w:color="A6A6A6" w:themeColor="background1" w:themeShade="A6"/>
            </w:tcBorders>
          </w:tcPr>
          <w:p w14:paraId="4F66550A" w14:textId="77777777" w:rsidR="00FA6A1F" w:rsidRPr="0003777A" w:rsidRDefault="00FA6A1F" w:rsidP="00177D2C">
            <w:pPr>
              <w:pStyle w:val="TableText"/>
            </w:pPr>
            <w:r w:rsidRPr="0003777A">
              <w:t>People participate in decision-making about activities in their communities that prevent and minimise gambling harm (3)</w:t>
            </w:r>
          </w:p>
        </w:tc>
        <w:tc>
          <w:tcPr>
            <w:tcW w:w="3367" w:type="dxa"/>
            <w:tcBorders>
              <w:bottom w:val="single" w:sz="4" w:space="0" w:color="A6A6A6" w:themeColor="background1" w:themeShade="A6"/>
            </w:tcBorders>
          </w:tcPr>
          <w:p w14:paraId="4F66550B" w14:textId="77777777" w:rsidR="00FA6A1F" w:rsidRPr="0003777A" w:rsidRDefault="00FA6A1F" w:rsidP="00AD245C">
            <w:pPr>
              <w:pStyle w:val="TableText"/>
            </w:pPr>
            <w:r w:rsidRPr="0003777A">
              <w:t>There is a reduction in gambling</w:t>
            </w:r>
            <w:r>
              <w:t>-</w:t>
            </w:r>
            <w:r w:rsidRPr="0003777A">
              <w:t xml:space="preserve">harm inequities between population groups (particularly Māori, Pacific </w:t>
            </w:r>
            <w:r>
              <w:t xml:space="preserve">peoples </w:t>
            </w:r>
            <w:r w:rsidRPr="0003777A">
              <w:t>and Asian peoples, as the populations that are most vulnerable to gambling harm) (1)</w:t>
            </w:r>
          </w:p>
        </w:tc>
        <w:tc>
          <w:tcPr>
            <w:tcW w:w="3367" w:type="dxa"/>
            <w:tcBorders>
              <w:bottom w:val="single" w:sz="4" w:space="0" w:color="A6A6A6" w:themeColor="background1" w:themeShade="A6"/>
            </w:tcBorders>
          </w:tcPr>
          <w:p w14:paraId="4F66550C" w14:textId="77777777" w:rsidR="00FA6A1F" w:rsidRPr="0003777A" w:rsidRDefault="00FA6A1F" w:rsidP="00177D2C">
            <w:pPr>
              <w:pStyle w:val="TableText"/>
            </w:pPr>
            <w:r w:rsidRPr="0003777A">
              <w:t>Māori have healthier futures, through the prevention and minimisation of gambling harm (2)</w:t>
            </w:r>
          </w:p>
        </w:tc>
      </w:tr>
      <w:tr w:rsidR="00AD245C" w:rsidRPr="000836A4" w14:paraId="4F665513" w14:textId="77777777" w:rsidTr="00AD7459">
        <w:trPr>
          <w:cantSplit/>
        </w:trPr>
        <w:tc>
          <w:tcPr>
            <w:tcW w:w="1134" w:type="dxa"/>
            <w:vMerge/>
            <w:tcBorders>
              <w:bottom w:val="single" w:sz="4" w:space="0" w:color="A6A6A6" w:themeColor="background1" w:themeShade="A6"/>
            </w:tcBorders>
          </w:tcPr>
          <w:p w14:paraId="4F66550E" w14:textId="77777777" w:rsidR="00FA6A1F" w:rsidRPr="0003777A" w:rsidRDefault="00FA6A1F" w:rsidP="00177D2C">
            <w:pPr>
              <w:pStyle w:val="TableText"/>
            </w:pPr>
          </w:p>
        </w:tc>
        <w:tc>
          <w:tcPr>
            <w:tcW w:w="3366" w:type="dxa"/>
            <w:tcBorders>
              <w:top w:val="single" w:sz="4" w:space="0" w:color="A6A6A6" w:themeColor="background1" w:themeShade="A6"/>
              <w:bottom w:val="single" w:sz="4" w:space="0" w:color="A6A6A6" w:themeColor="background1" w:themeShade="A6"/>
            </w:tcBorders>
          </w:tcPr>
          <w:p w14:paraId="4F66550F" w14:textId="77777777" w:rsidR="00FA6A1F" w:rsidRPr="0003777A" w:rsidRDefault="00FA6A1F" w:rsidP="00177D2C">
            <w:pPr>
              <w:pStyle w:val="TableText"/>
            </w:pPr>
            <w:r w:rsidRPr="0003777A">
              <w:t>Services enhance people</w:t>
            </w:r>
            <w:r w:rsidR="008303C6">
              <w:t>’</w:t>
            </w:r>
            <w:r w:rsidRPr="0003777A">
              <w:t>s mana and build life skills and resiliency to improve healthy choices that prevent and minimise gambling harm (7)</w:t>
            </w:r>
          </w:p>
        </w:tc>
        <w:tc>
          <w:tcPr>
            <w:tcW w:w="3367" w:type="dxa"/>
            <w:tcBorders>
              <w:top w:val="single" w:sz="4" w:space="0" w:color="A6A6A6" w:themeColor="background1" w:themeShade="A6"/>
              <w:bottom w:val="single" w:sz="4" w:space="0" w:color="A6A6A6" w:themeColor="background1" w:themeShade="A6"/>
            </w:tcBorders>
          </w:tcPr>
          <w:p w14:paraId="4F665510" w14:textId="77777777" w:rsidR="00FA6A1F" w:rsidRPr="0003777A" w:rsidRDefault="00FA6A1F" w:rsidP="00177D2C">
            <w:pPr>
              <w:pStyle w:val="TableText"/>
            </w:pPr>
            <w:r w:rsidRPr="0003777A">
              <w:t>People understand and acknowledge the range of gambling harms that affect individuals, families, whānau and communities (5)</w:t>
            </w:r>
          </w:p>
        </w:tc>
        <w:tc>
          <w:tcPr>
            <w:tcW w:w="3367" w:type="dxa"/>
            <w:tcBorders>
              <w:top w:val="single" w:sz="4" w:space="0" w:color="A6A6A6" w:themeColor="background1" w:themeShade="A6"/>
              <w:bottom w:val="single" w:sz="4" w:space="0" w:color="A6A6A6" w:themeColor="background1" w:themeShade="A6"/>
            </w:tcBorders>
          </w:tcPr>
          <w:p w14:paraId="4F665511" w14:textId="77777777" w:rsidR="00FA6A1F" w:rsidRPr="0003777A" w:rsidRDefault="00FA6A1F" w:rsidP="00177D2C">
            <w:pPr>
              <w:pStyle w:val="TableText"/>
            </w:pPr>
          </w:p>
        </w:tc>
        <w:tc>
          <w:tcPr>
            <w:tcW w:w="3367" w:type="dxa"/>
            <w:tcBorders>
              <w:top w:val="single" w:sz="4" w:space="0" w:color="A6A6A6" w:themeColor="background1" w:themeShade="A6"/>
              <w:bottom w:val="single" w:sz="4" w:space="0" w:color="A6A6A6" w:themeColor="background1" w:themeShade="A6"/>
            </w:tcBorders>
          </w:tcPr>
          <w:p w14:paraId="4F665512" w14:textId="77777777" w:rsidR="00FA6A1F" w:rsidRPr="0003777A" w:rsidRDefault="00FA6A1F" w:rsidP="00177D2C">
            <w:pPr>
              <w:pStyle w:val="TableText"/>
              <w:rPr>
                <w:i/>
                <w:iCs/>
              </w:rPr>
            </w:pPr>
            <w:r w:rsidRPr="0003777A">
              <w:t>Healthy policy at the national, regional and local level prevents and minimises gambling harm (4)</w:t>
            </w:r>
          </w:p>
        </w:tc>
      </w:tr>
      <w:tr w:rsidR="00AD245C" w:rsidRPr="000836A4" w14:paraId="4F665519" w14:textId="77777777" w:rsidTr="00AD7459">
        <w:trPr>
          <w:cantSplit/>
        </w:trPr>
        <w:tc>
          <w:tcPr>
            <w:tcW w:w="1134" w:type="dxa"/>
            <w:vMerge/>
            <w:tcBorders>
              <w:bottom w:val="single" w:sz="4" w:space="0" w:color="A6A6A6" w:themeColor="background1" w:themeShade="A6"/>
            </w:tcBorders>
          </w:tcPr>
          <w:p w14:paraId="4F665514" w14:textId="77777777" w:rsidR="00FA6A1F" w:rsidRPr="0003777A" w:rsidRDefault="00FA6A1F" w:rsidP="00177D2C">
            <w:pPr>
              <w:pStyle w:val="TableText"/>
            </w:pPr>
          </w:p>
        </w:tc>
        <w:tc>
          <w:tcPr>
            <w:tcW w:w="3366" w:type="dxa"/>
            <w:tcBorders>
              <w:top w:val="single" w:sz="4" w:space="0" w:color="A6A6A6" w:themeColor="background1" w:themeShade="A6"/>
              <w:bottom w:val="single" w:sz="4" w:space="0" w:color="A6A6A6" w:themeColor="background1" w:themeShade="A6"/>
            </w:tcBorders>
          </w:tcPr>
          <w:p w14:paraId="4F665515" w14:textId="77777777" w:rsidR="00FA6A1F" w:rsidRPr="0003777A" w:rsidRDefault="00FA6A1F" w:rsidP="00177D2C">
            <w:pPr>
              <w:pStyle w:val="TableText"/>
            </w:pPr>
            <w:r w:rsidRPr="0003777A">
              <w:t>People access effective treatment and support services at the right time and place (10)</w:t>
            </w:r>
          </w:p>
        </w:tc>
        <w:tc>
          <w:tcPr>
            <w:tcW w:w="3367" w:type="dxa"/>
            <w:tcBorders>
              <w:top w:val="single" w:sz="4" w:space="0" w:color="A6A6A6" w:themeColor="background1" w:themeShade="A6"/>
              <w:bottom w:val="single" w:sz="4" w:space="0" w:color="A6A6A6" w:themeColor="background1" w:themeShade="A6"/>
            </w:tcBorders>
          </w:tcPr>
          <w:p w14:paraId="4F665516" w14:textId="77777777" w:rsidR="00FA6A1F" w:rsidRPr="0003777A" w:rsidRDefault="00FA6A1F" w:rsidP="00177D2C">
            <w:pPr>
              <w:pStyle w:val="TableText"/>
            </w:pPr>
            <w:r w:rsidRPr="0003777A">
              <w:t>Gambling environments are designed to prevent and minimise gambling harm (8)</w:t>
            </w:r>
          </w:p>
        </w:tc>
        <w:tc>
          <w:tcPr>
            <w:tcW w:w="3367" w:type="dxa"/>
            <w:tcBorders>
              <w:top w:val="single" w:sz="4" w:space="0" w:color="A6A6A6" w:themeColor="background1" w:themeShade="A6"/>
              <w:bottom w:val="single" w:sz="4" w:space="0" w:color="A6A6A6" w:themeColor="background1" w:themeShade="A6"/>
            </w:tcBorders>
          </w:tcPr>
          <w:p w14:paraId="4F665517" w14:textId="77777777" w:rsidR="00FA6A1F" w:rsidRPr="0003777A" w:rsidRDefault="00FA6A1F" w:rsidP="00177D2C">
            <w:pPr>
              <w:pStyle w:val="TableText"/>
            </w:pPr>
          </w:p>
        </w:tc>
        <w:tc>
          <w:tcPr>
            <w:tcW w:w="3367" w:type="dxa"/>
            <w:tcBorders>
              <w:top w:val="single" w:sz="4" w:space="0" w:color="A6A6A6" w:themeColor="background1" w:themeShade="A6"/>
              <w:bottom w:val="single" w:sz="4" w:space="0" w:color="A6A6A6" w:themeColor="background1" w:themeShade="A6"/>
            </w:tcBorders>
          </w:tcPr>
          <w:p w14:paraId="4F665518" w14:textId="77777777" w:rsidR="00FA6A1F" w:rsidRPr="0003777A" w:rsidRDefault="00FA6A1F" w:rsidP="00177D2C">
            <w:pPr>
              <w:pStyle w:val="TableText"/>
              <w:rPr>
                <w:i/>
                <w:iCs/>
              </w:rPr>
            </w:pPr>
            <w:r w:rsidRPr="0003777A">
              <w:t xml:space="preserve">A programme of research and evaluation establishes an evidence base that underpins all activities </w:t>
            </w:r>
            <w:r>
              <w:t xml:space="preserve">to prevent and minimise gambling harm </w:t>
            </w:r>
            <w:r w:rsidRPr="0003777A">
              <w:t>(11)</w:t>
            </w:r>
          </w:p>
        </w:tc>
      </w:tr>
      <w:tr w:rsidR="00AD245C" w:rsidRPr="000836A4" w14:paraId="4F66551F" w14:textId="77777777" w:rsidTr="00AD7459">
        <w:trPr>
          <w:cantSplit/>
        </w:trPr>
        <w:tc>
          <w:tcPr>
            <w:tcW w:w="1134" w:type="dxa"/>
            <w:vMerge/>
            <w:tcBorders>
              <w:bottom w:val="single" w:sz="4" w:space="0" w:color="A6A6A6" w:themeColor="background1" w:themeShade="A6"/>
            </w:tcBorders>
          </w:tcPr>
          <w:p w14:paraId="4F66551A" w14:textId="77777777" w:rsidR="00FA6A1F" w:rsidRPr="0003777A" w:rsidRDefault="00FA6A1F" w:rsidP="00177D2C">
            <w:pPr>
              <w:pStyle w:val="TableText"/>
            </w:pPr>
          </w:p>
        </w:tc>
        <w:tc>
          <w:tcPr>
            <w:tcW w:w="3366" w:type="dxa"/>
            <w:tcBorders>
              <w:top w:val="single" w:sz="4" w:space="0" w:color="A6A6A6" w:themeColor="background1" w:themeShade="A6"/>
              <w:bottom w:val="single" w:sz="4" w:space="0" w:color="A6A6A6" w:themeColor="background1" w:themeShade="A6"/>
            </w:tcBorders>
          </w:tcPr>
          <w:p w14:paraId="4F66551B" w14:textId="77777777" w:rsidR="00FA6A1F" w:rsidRPr="0003777A" w:rsidRDefault="00FA6A1F" w:rsidP="00177D2C">
            <w:pPr>
              <w:pStyle w:val="TableText"/>
            </w:pPr>
          </w:p>
        </w:tc>
        <w:tc>
          <w:tcPr>
            <w:tcW w:w="3367" w:type="dxa"/>
            <w:tcBorders>
              <w:top w:val="single" w:sz="4" w:space="0" w:color="A6A6A6" w:themeColor="background1" w:themeShade="A6"/>
              <w:bottom w:val="single" w:sz="4" w:space="0" w:color="A6A6A6" w:themeColor="background1" w:themeShade="A6"/>
            </w:tcBorders>
          </w:tcPr>
          <w:p w14:paraId="4F66551C" w14:textId="77777777" w:rsidR="00FA6A1F" w:rsidRPr="0003777A" w:rsidRDefault="00FA6A1F" w:rsidP="00177D2C">
            <w:pPr>
              <w:pStyle w:val="TableText"/>
            </w:pPr>
            <w:r w:rsidRPr="0003777A">
              <w:t>Services raise awareness about the signs and range of gambling harms that affect individuals, families, whānau and communities, and how to respond (9)</w:t>
            </w:r>
          </w:p>
        </w:tc>
        <w:tc>
          <w:tcPr>
            <w:tcW w:w="3367" w:type="dxa"/>
            <w:tcBorders>
              <w:top w:val="single" w:sz="4" w:space="0" w:color="A6A6A6" w:themeColor="background1" w:themeShade="A6"/>
              <w:bottom w:val="single" w:sz="4" w:space="0" w:color="A6A6A6" w:themeColor="background1" w:themeShade="A6"/>
            </w:tcBorders>
          </w:tcPr>
          <w:p w14:paraId="4F66551D" w14:textId="77777777" w:rsidR="00FA6A1F" w:rsidRPr="0003777A" w:rsidRDefault="00FA6A1F" w:rsidP="00177D2C">
            <w:pPr>
              <w:pStyle w:val="TableText"/>
            </w:pPr>
          </w:p>
        </w:tc>
        <w:tc>
          <w:tcPr>
            <w:tcW w:w="3367" w:type="dxa"/>
            <w:tcBorders>
              <w:top w:val="single" w:sz="4" w:space="0" w:color="A6A6A6" w:themeColor="background1" w:themeShade="A6"/>
              <w:bottom w:val="single" w:sz="4" w:space="0" w:color="A6A6A6" w:themeColor="background1" w:themeShade="A6"/>
            </w:tcBorders>
          </w:tcPr>
          <w:p w14:paraId="4F66551E" w14:textId="77777777" w:rsidR="00FA6A1F" w:rsidRPr="0003777A" w:rsidRDefault="00FA6A1F" w:rsidP="00177D2C">
            <w:pPr>
              <w:pStyle w:val="TableText"/>
            </w:pPr>
          </w:p>
        </w:tc>
      </w:tr>
    </w:tbl>
    <w:p w14:paraId="4F665520" w14:textId="77777777" w:rsidR="00FA6A1F" w:rsidRDefault="00FA6A1F" w:rsidP="00177D2C"/>
    <w:p w14:paraId="4F665521" w14:textId="77777777" w:rsidR="00FA6A1F" w:rsidRDefault="00FA6A1F" w:rsidP="00177D2C">
      <w:r w:rsidRPr="008D3CB4">
        <w:t xml:space="preserve">Service and research contracts initiated under the previous strategic framework and its objectives will continue but </w:t>
      </w:r>
      <w:r>
        <w:t xml:space="preserve">will </w:t>
      </w:r>
      <w:r w:rsidRPr="008D3CB4">
        <w:t xml:space="preserve">be gradually shifted to the new framework </w:t>
      </w:r>
      <w:r>
        <w:t>as opportunities occur (for example, through contract renewal or tender processes).</w:t>
      </w:r>
    </w:p>
    <w:p w14:paraId="4F665522" w14:textId="77777777" w:rsidR="00FA6A1F" w:rsidRDefault="00FA6A1F" w:rsidP="00177D2C"/>
    <w:p w14:paraId="4F665523" w14:textId="77777777" w:rsidR="00AD245C" w:rsidRDefault="00AD245C" w:rsidP="00FA6A1F">
      <w:pPr>
        <w:pStyle w:val="Heading1"/>
        <w:sectPr w:rsidR="00AD245C" w:rsidSect="00AD245C">
          <w:footerReference w:type="default" r:id="rId45"/>
          <w:pgSz w:w="16834" w:h="11907" w:orient="landscape" w:code="9"/>
          <w:pgMar w:top="992" w:right="1134" w:bottom="992" w:left="1134" w:header="284" w:footer="425" w:gutter="0"/>
          <w:cols w:space="720"/>
          <w:docGrid w:linePitch="286"/>
        </w:sectPr>
      </w:pPr>
      <w:bookmarkStart w:id="333" w:name="_Toc329860073"/>
      <w:bookmarkStart w:id="334" w:name="_Toc421026488"/>
      <w:bookmarkStart w:id="335" w:name="_Toc517090917"/>
      <w:bookmarkStart w:id="336" w:name="_Toc522089421"/>
      <w:bookmarkStart w:id="337" w:name="_Toc78882338"/>
    </w:p>
    <w:p w14:paraId="4F665524" w14:textId="77777777" w:rsidR="00FA6A1F" w:rsidRDefault="00FA6A1F" w:rsidP="00AD7459">
      <w:pPr>
        <w:pStyle w:val="Heading2"/>
        <w:spacing w:before="0"/>
      </w:pPr>
      <w:bookmarkStart w:id="338" w:name="_Appendix_5:_Making"/>
      <w:bookmarkStart w:id="339" w:name="_Toc80965869"/>
      <w:bookmarkEnd w:id="338"/>
      <w:r>
        <w:lastRenderedPageBreak/>
        <w:t xml:space="preserve">Appendix 5: </w:t>
      </w:r>
      <w:r w:rsidRPr="00C10A99">
        <w:t>Making a submission</w:t>
      </w:r>
      <w:bookmarkEnd w:id="333"/>
      <w:bookmarkEnd w:id="334"/>
      <w:bookmarkEnd w:id="335"/>
      <w:bookmarkEnd w:id="336"/>
      <w:bookmarkEnd w:id="337"/>
      <w:bookmarkEnd w:id="339"/>
    </w:p>
    <w:p w14:paraId="4F665525" w14:textId="77777777" w:rsidR="00FA6A1F" w:rsidRPr="00AD7459" w:rsidRDefault="00FA6A1F" w:rsidP="00AD7459">
      <w:pPr>
        <w:pStyle w:val="Heading3"/>
        <w:rPr>
          <w:i/>
        </w:rPr>
      </w:pPr>
      <w:bookmarkStart w:id="340" w:name="_Toc456090385"/>
      <w:bookmarkStart w:id="341" w:name="_Toc476904702"/>
      <w:r w:rsidRPr="00AD7459">
        <w:rPr>
          <w:i/>
        </w:rPr>
        <w:t>Strategy to Prevent and Minimise Gambling Harm 2022/23 to 2024/25: Consultation document</w:t>
      </w:r>
    </w:p>
    <w:p w14:paraId="4F665526" w14:textId="77777777" w:rsidR="00FA6A1F" w:rsidRPr="00C9524D" w:rsidRDefault="00FA6A1F" w:rsidP="00AD7459">
      <w:pPr>
        <w:pStyle w:val="Heading4"/>
      </w:pPr>
      <w:bookmarkStart w:id="342" w:name="_Toc78882339"/>
      <w:r w:rsidRPr="00C9524D">
        <w:t>Your feedback</w:t>
      </w:r>
      <w:bookmarkEnd w:id="340"/>
      <w:bookmarkEnd w:id="341"/>
      <w:bookmarkEnd w:id="342"/>
    </w:p>
    <w:p w14:paraId="4F665527" w14:textId="77777777" w:rsidR="00FA6A1F" w:rsidRPr="00C9524D" w:rsidRDefault="00FA6A1F" w:rsidP="00AD7459">
      <w:r w:rsidRPr="00C9524D">
        <w:t>The Ministry welcomes your thoughts and feedback on this draft strategy, which outlines the proposed strategic direction and services to prevent and minimise gambling harm, and the associated gambling levy rates, to apply from 1 July 20</w:t>
      </w:r>
      <w:r>
        <w:t>22</w:t>
      </w:r>
      <w:r w:rsidRPr="00C9524D">
        <w:t xml:space="preserve"> to 30</w:t>
      </w:r>
      <w:r w:rsidR="00AD7459">
        <w:t> </w:t>
      </w:r>
      <w:r w:rsidRPr="00C9524D">
        <w:t>June 202</w:t>
      </w:r>
      <w:r>
        <w:t>5</w:t>
      </w:r>
      <w:r w:rsidRPr="00C9524D">
        <w:t>.</w:t>
      </w:r>
    </w:p>
    <w:p w14:paraId="4F665528" w14:textId="77777777" w:rsidR="00AD7459" w:rsidRDefault="00AD7459" w:rsidP="00AD7459"/>
    <w:p w14:paraId="4F665529" w14:textId="77777777" w:rsidR="00FA6A1F" w:rsidRDefault="00FA6A1F" w:rsidP="00AD7459">
      <w:r w:rsidRPr="00C9524D">
        <w:t>Your feedback is vital to help us develop the final strategy.</w:t>
      </w:r>
    </w:p>
    <w:p w14:paraId="4F66552A" w14:textId="77777777" w:rsidR="00AD7459" w:rsidRPr="00C9524D" w:rsidRDefault="00AD7459" w:rsidP="00AD7459"/>
    <w:p w14:paraId="4F66552B" w14:textId="77777777" w:rsidR="00FA6A1F" w:rsidRPr="00C9524D" w:rsidRDefault="00FA6A1F" w:rsidP="00AD7459">
      <w:pPr>
        <w:pStyle w:val="Heading4"/>
      </w:pPr>
      <w:bookmarkStart w:id="343" w:name="_Toc478474661"/>
      <w:bookmarkStart w:id="344" w:name="_Toc478824394"/>
      <w:bookmarkStart w:id="345" w:name="_Toc78882340"/>
      <w:r w:rsidRPr="00C9524D">
        <w:t>How to provide feedback</w:t>
      </w:r>
      <w:bookmarkEnd w:id="343"/>
      <w:bookmarkEnd w:id="344"/>
      <w:bookmarkEnd w:id="345"/>
    </w:p>
    <w:p w14:paraId="4F66552C" w14:textId="77777777" w:rsidR="00FA6A1F" w:rsidRPr="00C9524D" w:rsidRDefault="00FA6A1F" w:rsidP="00AD7459">
      <w:r w:rsidRPr="00C9524D">
        <w:t>You can provide feedback by:</w:t>
      </w:r>
    </w:p>
    <w:p w14:paraId="4F66552D" w14:textId="77777777" w:rsidR="00FA6A1F" w:rsidRDefault="00FA6A1F" w:rsidP="00AD7459">
      <w:pPr>
        <w:pStyle w:val="Bullet"/>
      </w:pPr>
      <w:r>
        <w:t xml:space="preserve">making an online submission at </w:t>
      </w:r>
      <w:hyperlink r:id="rId46" w:history="1">
        <w:r w:rsidRPr="00374EF4">
          <w:rPr>
            <w:rStyle w:val="Hyperlink"/>
          </w:rPr>
          <w:t>https://consult.health.govt.nz</w:t>
        </w:r>
      </w:hyperlink>
    </w:p>
    <w:p w14:paraId="4F66552E" w14:textId="77777777" w:rsidR="00FA6A1F" w:rsidRDefault="00FA6A1F" w:rsidP="00AD7459">
      <w:pPr>
        <w:pStyle w:val="Bullet"/>
      </w:pPr>
      <w:r w:rsidRPr="00C9524D">
        <w:t xml:space="preserve">using the form </w:t>
      </w:r>
      <w:r>
        <w:t xml:space="preserve">at the end of this document and emailing it to </w:t>
      </w:r>
      <w:hyperlink r:id="rId47" w:history="1">
        <w:r w:rsidRPr="00C9524D">
          <w:t>gamblingharm@moh.govt.nz</w:t>
        </w:r>
      </w:hyperlink>
    </w:p>
    <w:p w14:paraId="4F66552F" w14:textId="77777777" w:rsidR="00FA6A1F" w:rsidRDefault="00FA6A1F" w:rsidP="00FA6A1F">
      <w:pPr>
        <w:pStyle w:val="Bullet"/>
      </w:pPr>
      <w:r w:rsidRPr="00C9524D">
        <w:t>send</w:t>
      </w:r>
      <w:r>
        <w:t xml:space="preserve">ing </w:t>
      </w:r>
      <w:r w:rsidRPr="00C9524D">
        <w:t>a hard copy to:</w:t>
      </w:r>
      <w:r w:rsidR="00AD7459">
        <w:br/>
      </w:r>
      <w:r w:rsidRPr="00C9524D">
        <w:t>Strategy to Prevent and Minimise Gambling Harm Consultation</w:t>
      </w:r>
      <w:r>
        <w:br/>
      </w:r>
      <w:r w:rsidRPr="00C9524D">
        <w:t>Ministry of Health</w:t>
      </w:r>
      <w:r>
        <w:br/>
      </w:r>
      <w:r w:rsidRPr="00C9524D">
        <w:t>PO Box 5013</w:t>
      </w:r>
      <w:r>
        <w:br/>
      </w:r>
      <w:r w:rsidRPr="00C9524D">
        <w:t>Wellington 6140</w:t>
      </w:r>
    </w:p>
    <w:p w14:paraId="4F665530" w14:textId="77777777" w:rsidR="008303C6" w:rsidRDefault="00FA6A1F" w:rsidP="00AD7459">
      <w:pPr>
        <w:pStyle w:val="Bullet"/>
      </w:pPr>
      <w:r w:rsidRPr="00C9524D">
        <w:t>attending a discussion</w:t>
      </w:r>
      <w:r>
        <w:t xml:space="preserve"> and </w:t>
      </w:r>
      <w:r w:rsidRPr="00C9524D">
        <w:t>consultation meeting</w:t>
      </w:r>
      <w:r w:rsidR="008303C6">
        <w:t xml:space="preserve"> – </w:t>
      </w:r>
      <w:r>
        <w:t>m</w:t>
      </w:r>
      <w:r w:rsidRPr="00C9524D">
        <w:t>eeting details are available on our website</w:t>
      </w:r>
      <w:r>
        <w:t xml:space="preserve"> </w:t>
      </w:r>
      <w:hyperlink r:id="rId48" w:history="1">
        <w:r w:rsidRPr="00EB5B65">
          <w:rPr>
            <w:rStyle w:val="Hyperlink"/>
          </w:rPr>
          <w:t>https://consult.health.govt.nz</w:t>
        </w:r>
      </w:hyperlink>
      <w:r w:rsidR="00AD7459" w:rsidRPr="00AD7459">
        <w:t>.</w:t>
      </w:r>
    </w:p>
    <w:p w14:paraId="4F665531" w14:textId="77777777" w:rsidR="00AD7459" w:rsidRPr="00AD7459" w:rsidRDefault="00AD7459" w:rsidP="00AD7459"/>
    <w:p w14:paraId="4F665532" w14:textId="77777777" w:rsidR="00FA6A1F" w:rsidRPr="00C9524D" w:rsidRDefault="00FA6A1F" w:rsidP="00AD7459">
      <w:pPr>
        <w:pStyle w:val="Heading4"/>
      </w:pPr>
      <w:bookmarkStart w:id="346" w:name="_Toc78882341"/>
      <w:r w:rsidRPr="00C9524D">
        <w:t>Publishing submissions</w:t>
      </w:r>
      <w:bookmarkEnd w:id="346"/>
    </w:p>
    <w:p w14:paraId="4F665533" w14:textId="77777777" w:rsidR="00FA6A1F" w:rsidRDefault="00FA6A1F" w:rsidP="00AD7459">
      <w:r w:rsidRPr="00C9524D">
        <w:t>We may publish all submissions or a summary of submissions on the Ministry of Health</w:t>
      </w:r>
      <w:r w:rsidR="008303C6">
        <w:t>’</w:t>
      </w:r>
      <w:r w:rsidRPr="00C9524D">
        <w:t>s website, unless you ask us not to</w:t>
      </w:r>
      <w:r>
        <w:t xml:space="preserve"> include details from your submission</w:t>
      </w:r>
      <w:r w:rsidRPr="00C9524D">
        <w:t>.</w:t>
      </w:r>
    </w:p>
    <w:p w14:paraId="4F665534" w14:textId="77777777" w:rsidR="00AD7459" w:rsidRDefault="00AD7459" w:rsidP="00AD7459"/>
    <w:p w14:paraId="4F665535" w14:textId="77777777" w:rsidR="00FA6A1F" w:rsidRDefault="00FA6A1F" w:rsidP="00AD7459">
      <w:r w:rsidRPr="00C9524D">
        <w:t>If you are submitting as an individual, we will automatically remove your personal details and any identifiable information. You can also choose to have your personal details withheld if your submission is requested under the Official Information Act 1982.</w:t>
      </w:r>
    </w:p>
    <w:p w14:paraId="4F665536" w14:textId="77777777" w:rsidR="00AD7459" w:rsidRDefault="00AD7459" w:rsidP="00AD7459"/>
    <w:p w14:paraId="4F665537" w14:textId="77777777" w:rsidR="00FA6A1F" w:rsidRPr="00C9524D" w:rsidRDefault="00FA6A1F" w:rsidP="00AD7459">
      <w:pPr>
        <w:pStyle w:val="Heading4"/>
      </w:pPr>
      <w:bookmarkStart w:id="347" w:name="_Toc78882342"/>
      <w:r w:rsidRPr="00C9524D">
        <w:t>Closing date for submissions</w:t>
      </w:r>
      <w:bookmarkEnd w:id="347"/>
    </w:p>
    <w:p w14:paraId="4F665538" w14:textId="1338E596" w:rsidR="00FA6A1F" w:rsidRDefault="00FA6A1F" w:rsidP="00AD7459">
      <w:pPr>
        <w:keepNext/>
      </w:pPr>
      <w:r w:rsidRPr="00C9524D">
        <w:t xml:space="preserve">The Ministry of Health must receive your submission by </w:t>
      </w:r>
      <w:r w:rsidRPr="00A516C0">
        <w:t xml:space="preserve">5pm Friday </w:t>
      </w:r>
      <w:r w:rsidR="0073146D">
        <w:t>8</w:t>
      </w:r>
      <w:r w:rsidRPr="00A516C0">
        <w:t xml:space="preserve"> </w:t>
      </w:r>
      <w:r>
        <w:t>Octo</w:t>
      </w:r>
      <w:r w:rsidRPr="00A516C0">
        <w:t>ber 2021.</w:t>
      </w:r>
    </w:p>
    <w:p w14:paraId="4F665539" w14:textId="77777777" w:rsidR="00AD7459" w:rsidRDefault="00AD7459" w:rsidP="00AD7459">
      <w:pPr>
        <w:keepNext/>
      </w:pPr>
    </w:p>
    <w:p w14:paraId="4F66553A" w14:textId="77777777" w:rsidR="00FA6A1F" w:rsidRDefault="00FA6A1F" w:rsidP="00AD7459">
      <w:r w:rsidRPr="00C9524D">
        <w:t xml:space="preserve">Any submissions received after this due date may not be included in the analysis of submissions, even if they </w:t>
      </w:r>
      <w:r>
        <w:t>were</w:t>
      </w:r>
      <w:r w:rsidRPr="00C9524D">
        <w:t xml:space="preserve"> posted earlier. You might prefer to email your submission to ensure that the Ministry receives it on time.</w:t>
      </w:r>
    </w:p>
    <w:p w14:paraId="4F66553B" w14:textId="77777777" w:rsidR="00FA6A1F" w:rsidRDefault="00FA6A1F" w:rsidP="00AD7459"/>
    <w:p w14:paraId="4F66553C" w14:textId="77777777" w:rsidR="00FA6A1F" w:rsidRPr="00C9524D" w:rsidRDefault="00FA6A1F" w:rsidP="00AD7459">
      <w:pPr>
        <w:pStyle w:val="Heading4"/>
      </w:pPr>
      <w:bookmarkStart w:id="348" w:name="_Toc78882343"/>
      <w:r w:rsidRPr="00C9524D">
        <w:t>Information about the person/organisation providing feedback</w:t>
      </w:r>
      <w:bookmarkEnd w:id="348"/>
    </w:p>
    <w:p w14:paraId="4F66553D" w14:textId="77777777" w:rsidR="00FA6A1F" w:rsidRDefault="00FA6A1F" w:rsidP="00AD7459">
      <w:r w:rsidRPr="00C9524D">
        <w:t xml:space="preserve">You are encouraged to fill in this section. The information you provide will help the Ministry analyse your feedback. However, your submission will </w:t>
      </w:r>
      <w:r>
        <w:t xml:space="preserve">still </w:t>
      </w:r>
      <w:r w:rsidRPr="00C9524D">
        <w:t>be accepted if you do not fill in this section.</w:t>
      </w:r>
    </w:p>
    <w:p w14:paraId="4F66553E" w14:textId="77777777" w:rsidR="00AD7459" w:rsidRPr="00C9524D" w:rsidRDefault="00AD7459" w:rsidP="00AD7459"/>
    <w:tbl>
      <w:tblPr>
        <w:tblW w:w="8134"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3827"/>
      </w:tblGrid>
      <w:tr w:rsidR="00FA6A1F" w:rsidRPr="00C9524D" w14:paraId="4F665541" w14:textId="77777777" w:rsidTr="00AD7459">
        <w:trPr>
          <w:cantSplit/>
        </w:trPr>
        <w:tc>
          <w:tcPr>
            <w:tcW w:w="4307" w:type="dxa"/>
            <w:tcBorders>
              <w:top w:val="nil"/>
              <w:bottom w:val="nil"/>
            </w:tcBorders>
            <w:vAlign w:val="bottom"/>
          </w:tcPr>
          <w:p w14:paraId="4F66553F" w14:textId="77777777" w:rsidR="00FA6A1F" w:rsidRPr="00C9524D" w:rsidRDefault="00FA6A1F" w:rsidP="002C2F26">
            <w:pPr>
              <w:tabs>
                <w:tab w:val="right" w:pos="4199"/>
              </w:tabs>
              <w:spacing w:after="30"/>
              <w:rPr>
                <w:rFonts w:cs="Arial"/>
              </w:rPr>
            </w:pPr>
            <w:r w:rsidRPr="00C9524D">
              <w:t>This submission was completed by:</w:t>
            </w:r>
            <w:r w:rsidRPr="00C9524D">
              <w:rPr>
                <w:rFonts w:cs="Arial"/>
              </w:rPr>
              <w:tab/>
            </w:r>
            <w:r w:rsidRPr="00C9524D">
              <w:rPr>
                <w:rFonts w:cs="Arial"/>
                <w:i/>
                <w:sz w:val="18"/>
              </w:rPr>
              <w:t>(name)</w:t>
            </w:r>
          </w:p>
        </w:tc>
        <w:tc>
          <w:tcPr>
            <w:tcW w:w="3827" w:type="dxa"/>
            <w:tcBorders>
              <w:top w:val="nil"/>
            </w:tcBorders>
            <w:vAlign w:val="bottom"/>
          </w:tcPr>
          <w:p w14:paraId="4F665540" w14:textId="77777777" w:rsidR="00FA6A1F" w:rsidRPr="00C9524D" w:rsidRDefault="00FA6A1F" w:rsidP="002C2F26">
            <w:pPr>
              <w:spacing w:after="30"/>
              <w:rPr>
                <w:rFonts w:cs="Arial"/>
                <w:sz w:val="20"/>
              </w:rPr>
            </w:pPr>
            <w:r w:rsidRPr="00C9524D">
              <w:rPr>
                <w:rFonts w:cs="Arial"/>
                <w:sz w:val="20"/>
              </w:rPr>
              <w:fldChar w:fldCharType="begin">
                <w:ffData>
                  <w:name w:val="Text1"/>
                  <w:enabled/>
                  <w:calcOnExit w:val="0"/>
                  <w:textInput/>
                </w:ffData>
              </w:fldChar>
            </w:r>
            <w:r w:rsidRPr="00C9524D">
              <w:rPr>
                <w:rFonts w:cs="Arial"/>
                <w:sz w:val="20"/>
              </w:rPr>
              <w:instrText xml:space="preserve"> FORMTEXT </w:instrText>
            </w:r>
            <w:r w:rsidRPr="00C9524D">
              <w:rPr>
                <w:rFonts w:cs="Arial"/>
                <w:sz w:val="20"/>
              </w:rPr>
            </w:r>
            <w:r w:rsidRPr="00C9524D">
              <w:rPr>
                <w:rFonts w:cs="Arial"/>
                <w:sz w:val="20"/>
              </w:rPr>
              <w:fldChar w:fldCharType="separate"/>
            </w:r>
            <w:r w:rsidRPr="00C9524D">
              <w:rPr>
                <w:rFonts w:cs="Arial"/>
                <w:noProof/>
                <w:sz w:val="20"/>
              </w:rPr>
              <w:t> </w:t>
            </w:r>
            <w:r w:rsidRPr="00C9524D">
              <w:rPr>
                <w:rFonts w:cs="Arial"/>
                <w:noProof/>
                <w:sz w:val="20"/>
              </w:rPr>
              <w:t> </w:t>
            </w:r>
            <w:r w:rsidRPr="00C9524D">
              <w:rPr>
                <w:rFonts w:cs="Arial"/>
                <w:noProof/>
                <w:sz w:val="20"/>
              </w:rPr>
              <w:t> </w:t>
            </w:r>
            <w:r w:rsidRPr="00C9524D">
              <w:rPr>
                <w:rFonts w:cs="Arial"/>
                <w:noProof/>
                <w:sz w:val="20"/>
              </w:rPr>
              <w:t> </w:t>
            </w:r>
            <w:r w:rsidRPr="00C9524D">
              <w:rPr>
                <w:rFonts w:cs="Arial"/>
                <w:noProof/>
                <w:sz w:val="20"/>
              </w:rPr>
              <w:t> </w:t>
            </w:r>
            <w:r w:rsidRPr="00C9524D">
              <w:rPr>
                <w:rFonts w:cs="Arial"/>
                <w:sz w:val="20"/>
              </w:rPr>
              <w:fldChar w:fldCharType="end"/>
            </w:r>
          </w:p>
        </w:tc>
      </w:tr>
      <w:tr w:rsidR="00FA6A1F" w:rsidRPr="00C9524D" w14:paraId="4F665544" w14:textId="77777777" w:rsidTr="00AD7459">
        <w:trPr>
          <w:cantSplit/>
        </w:trPr>
        <w:tc>
          <w:tcPr>
            <w:tcW w:w="4307" w:type="dxa"/>
            <w:tcBorders>
              <w:top w:val="nil"/>
              <w:bottom w:val="nil"/>
            </w:tcBorders>
            <w:vAlign w:val="bottom"/>
          </w:tcPr>
          <w:p w14:paraId="4F665542" w14:textId="77777777" w:rsidR="00FA6A1F" w:rsidRPr="00C9524D" w:rsidRDefault="00FA6A1F" w:rsidP="002C2F26">
            <w:pPr>
              <w:tabs>
                <w:tab w:val="right" w:pos="4199"/>
              </w:tabs>
              <w:spacing w:before="90" w:after="30"/>
              <w:rPr>
                <w:rFonts w:cs="Arial"/>
              </w:rPr>
            </w:pPr>
            <w:r w:rsidRPr="00C9524D">
              <w:rPr>
                <w:rFonts w:cs="Arial"/>
              </w:rPr>
              <w:t>Address:</w:t>
            </w:r>
            <w:r w:rsidRPr="00C9524D">
              <w:rPr>
                <w:rFonts w:cs="Arial"/>
              </w:rPr>
              <w:tab/>
            </w:r>
            <w:r w:rsidRPr="00C9524D">
              <w:rPr>
                <w:rFonts w:cs="Arial"/>
                <w:i/>
                <w:sz w:val="18"/>
              </w:rPr>
              <w:t>(street/box number)</w:t>
            </w:r>
          </w:p>
        </w:tc>
        <w:tc>
          <w:tcPr>
            <w:tcW w:w="3827" w:type="dxa"/>
            <w:vAlign w:val="bottom"/>
          </w:tcPr>
          <w:p w14:paraId="4F665543" w14:textId="77777777" w:rsidR="00FA6A1F" w:rsidRPr="00C9524D" w:rsidRDefault="00FA6A1F" w:rsidP="002C2F26">
            <w:pPr>
              <w:spacing w:before="90" w:after="30"/>
              <w:rPr>
                <w:rFonts w:cs="Arial"/>
                <w:sz w:val="20"/>
              </w:rPr>
            </w:pPr>
            <w:r w:rsidRPr="00C9524D">
              <w:rPr>
                <w:rFonts w:cs="Arial"/>
                <w:sz w:val="20"/>
              </w:rPr>
              <w:fldChar w:fldCharType="begin">
                <w:ffData>
                  <w:name w:val="Text1"/>
                  <w:enabled/>
                  <w:calcOnExit w:val="0"/>
                  <w:textInput/>
                </w:ffData>
              </w:fldChar>
            </w:r>
            <w:bookmarkStart w:id="349" w:name="Text1"/>
            <w:r w:rsidRPr="00C9524D">
              <w:rPr>
                <w:rFonts w:cs="Arial"/>
                <w:sz w:val="20"/>
              </w:rPr>
              <w:instrText xml:space="preserve"> FORMTEXT </w:instrText>
            </w:r>
            <w:r w:rsidRPr="00C9524D">
              <w:rPr>
                <w:rFonts w:cs="Arial"/>
                <w:sz w:val="20"/>
              </w:rPr>
            </w:r>
            <w:r w:rsidRPr="00C9524D">
              <w:rPr>
                <w:rFonts w:cs="Arial"/>
                <w:sz w:val="20"/>
              </w:rPr>
              <w:fldChar w:fldCharType="separate"/>
            </w:r>
            <w:r w:rsidRPr="00C9524D">
              <w:rPr>
                <w:rFonts w:cs="Arial"/>
                <w:noProof/>
                <w:sz w:val="20"/>
              </w:rPr>
              <w:t> </w:t>
            </w:r>
            <w:r w:rsidRPr="00C9524D">
              <w:rPr>
                <w:rFonts w:cs="Arial"/>
                <w:noProof/>
                <w:sz w:val="20"/>
              </w:rPr>
              <w:t> </w:t>
            </w:r>
            <w:r w:rsidRPr="00C9524D">
              <w:rPr>
                <w:rFonts w:cs="Arial"/>
                <w:noProof/>
                <w:sz w:val="20"/>
              </w:rPr>
              <w:t> </w:t>
            </w:r>
            <w:r w:rsidRPr="00C9524D">
              <w:rPr>
                <w:rFonts w:cs="Arial"/>
                <w:noProof/>
                <w:sz w:val="20"/>
              </w:rPr>
              <w:t> </w:t>
            </w:r>
            <w:r w:rsidRPr="00C9524D">
              <w:rPr>
                <w:rFonts w:cs="Arial"/>
                <w:noProof/>
                <w:sz w:val="20"/>
              </w:rPr>
              <w:t> </w:t>
            </w:r>
            <w:r w:rsidRPr="00C9524D">
              <w:rPr>
                <w:rFonts w:cs="Arial"/>
                <w:sz w:val="20"/>
              </w:rPr>
              <w:fldChar w:fldCharType="end"/>
            </w:r>
            <w:bookmarkEnd w:id="349"/>
          </w:p>
        </w:tc>
      </w:tr>
      <w:tr w:rsidR="00FA6A1F" w:rsidRPr="00C9524D" w14:paraId="4F665547" w14:textId="77777777" w:rsidTr="00AD7459">
        <w:trPr>
          <w:cantSplit/>
        </w:trPr>
        <w:tc>
          <w:tcPr>
            <w:tcW w:w="4307" w:type="dxa"/>
            <w:tcBorders>
              <w:top w:val="nil"/>
              <w:bottom w:val="nil"/>
            </w:tcBorders>
            <w:vAlign w:val="bottom"/>
          </w:tcPr>
          <w:p w14:paraId="4F665545" w14:textId="77777777" w:rsidR="00FA6A1F" w:rsidRPr="00C9524D" w:rsidRDefault="00FA6A1F" w:rsidP="002C2F26">
            <w:pPr>
              <w:tabs>
                <w:tab w:val="right" w:pos="4199"/>
              </w:tabs>
              <w:spacing w:before="90" w:after="30"/>
              <w:rPr>
                <w:rFonts w:cs="Arial"/>
                <w:i/>
              </w:rPr>
            </w:pPr>
            <w:r w:rsidRPr="00C9524D">
              <w:rPr>
                <w:rFonts w:cs="Arial"/>
              </w:rPr>
              <w:tab/>
            </w:r>
            <w:r w:rsidRPr="00C9524D">
              <w:rPr>
                <w:rFonts w:cs="Arial"/>
                <w:i/>
                <w:sz w:val="18"/>
              </w:rPr>
              <w:t>(town/city)</w:t>
            </w:r>
          </w:p>
        </w:tc>
        <w:tc>
          <w:tcPr>
            <w:tcW w:w="3827" w:type="dxa"/>
            <w:vAlign w:val="bottom"/>
          </w:tcPr>
          <w:p w14:paraId="4F665546" w14:textId="77777777" w:rsidR="00FA6A1F" w:rsidRPr="00C9524D" w:rsidRDefault="00FA6A1F" w:rsidP="002C2F26">
            <w:pPr>
              <w:spacing w:before="90" w:after="30"/>
              <w:rPr>
                <w:rFonts w:cs="Arial"/>
                <w:sz w:val="20"/>
              </w:rPr>
            </w:pPr>
            <w:r w:rsidRPr="00C9524D">
              <w:rPr>
                <w:rFonts w:cs="Arial"/>
                <w:sz w:val="20"/>
              </w:rPr>
              <w:fldChar w:fldCharType="begin">
                <w:ffData>
                  <w:name w:val="Text1"/>
                  <w:enabled/>
                  <w:calcOnExit w:val="0"/>
                  <w:textInput/>
                </w:ffData>
              </w:fldChar>
            </w:r>
            <w:r w:rsidRPr="00C9524D">
              <w:rPr>
                <w:rFonts w:cs="Arial"/>
                <w:sz w:val="20"/>
              </w:rPr>
              <w:instrText xml:space="preserve"> FORMTEXT </w:instrText>
            </w:r>
            <w:r w:rsidRPr="00C9524D">
              <w:rPr>
                <w:rFonts w:cs="Arial"/>
                <w:sz w:val="20"/>
              </w:rPr>
            </w:r>
            <w:r w:rsidRPr="00C9524D">
              <w:rPr>
                <w:rFonts w:cs="Arial"/>
                <w:sz w:val="20"/>
              </w:rPr>
              <w:fldChar w:fldCharType="separate"/>
            </w:r>
            <w:r w:rsidRPr="00C9524D">
              <w:rPr>
                <w:rFonts w:cs="Arial"/>
                <w:noProof/>
                <w:sz w:val="20"/>
              </w:rPr>
              <w:t> </w:t>
            </w:r>
            <w:r w:rsidRPr="00C9524D">
              <w:rPr>
                <w:rFonts w:cs="Arial"/>
                <w:noProof/>
                <w:sz w:val="20"/>
              </w:rPr>
              <w:t> </w:t>
            </w:r>
            <w:r w:rsidRPr="00C9524D">
              <w:rPr>
                <w:rFonts w:cs="Arial"/>
                <w:noProof/>
                <w:sz w:val="20"/>
              </w:rPr>
              <w:t> </w:t>
            </w:r>
            <w:r w:rsidRPr="00C9524D">
              <w:rPr>
                <w:rFonts w:cs="Arial"/>
                <w:noProof/>
                <w:sz w:val="20"/>
              </w:rPr>
              <w:t> </w:t>
            </w:r>
            <w:r w:rsidRPr="00C9524D">
              <w:rPr>
                <w:rFonts w:cs="Arial"/>
                <w:noProof/>
                <w:sz w:val="20"/>
              </w:rPr>
              <w:t> </w:t>
            </w:r>
            <w:r w:rsidRPr="00C9524D">
              <w:rPr>
                <w:rFonts w:cs="Arial"/>
                <w:sz w:val="20"/>
              </w:rPr>
              <w:fldChar w:fldCharType="end"/>
            </w:r>
          </w:p>
        </w:tc>
      </w:tr>
      <w:tr w:rsidR="00FA6A1F" w:rsidRPr="00C9524D" w14:paraId="4F66554A" w14:textId="77777777" w:rsidTr="00AD7459">
        <w:trPr>
          <w:cantSplit/>
        </w:trPr>
        <w:tc>
          <w:tcPr>
            <w:tcW w:w="4307" w:type="dxa"/>
            <w:tcBorders>
              <w:top w:val="nil"/>
              <w:bottom w:val="nil"/>
            </w:tcBorders>
            <w:vAlign w:val="bottom"/>
          </w:tcPr>
          <w:p w14:paraId="4F665548" w14:textId="77777777" w:rsidR="00FA6A1F" w:rsidRPr="00C9524D" w:rsidRDefault="00FA6A1F" w:rsidP="002C2F26">
            <w:pPr>
              <w:spacing w:before="90" w:after="30"/>
              <w:rPr>
                <w:rFonts w:cs="Arial"/>
              </w:rPr>
            </w:pPr>
            <w:r w:rsidRPr="00C9524D">
              <w:rPr>
                <w:rFonts w:cs="Arial"/>
              </w:rPr>
              <w:t>Email:</w:t>
            </w:r>
          </w:p>
        </w:tc>
        <w:tc>
          <w:tcPr>
            <w:tcW w:w="3827" w:type="dxa"/>
            <w:vAlign w:val="bottom"/>
          </w:tcPr>
          <w:p w14:paraId="4F665549" w14:textId="77777777" w:rsidR="00FA6A1F" w:rsidRPr="00C9524D" w:rsidRDefault="00FA6A1F" w:rsidP="002C2F26">
            <w:pPr>
              <w:spacing w:before="90" w:after="30"/>
              <w:rPr>
                <w:rFonts w:cs="Arial"/>
                <w:sz w:val="20"/>
              </w:rPr>
            </w:pPr>
            <w:r w:rsidRPr="00C9524D">
              <w:rPr>
                <w:rFonts w:cs="Arial"/>
                <w:sz w:val="20"/>
              </w:rPr>
              <w:fldChar w:fldCharType="begin">
                <w:ffData>
                  <w:name w:val="Text1"/>
                  <w:enabled/>
                  <w:calcOnExit w:val="0"/>
                  <w:textInput/>
                </w:ffData>
              </w:fldChar>
            </w:r>
            <w:r w:rsidRPr="00C9524D">
              <w:rPr>
                <w:rFonts w:cs="Arial"/>
                <w:sz w:val="20"/>
              </w:rPr>
              <w:instrText xml:space="preserve"> FORMTEXT </w:instrText>
            </w:r>
            <w:r w:rsidRPr="00C9524D">
              <w:rPr>
                <w:rFonts w:cs="Arial"/>
                <w:sz w:val="20"/>
              </w:rPr>
            </w:r>
            <w:r w:rsidRPr="00C9524D">
              <w:rPr>
                <w:rFonts w:cs="Arial"/>
                <w:sz w:val="20"/>
              </w:rPr>
              <w:fldChar w:fldCharType="separate"/>
            </w:r>
            <w:r w:rsidRPr="00C9524D">
              <w:rPr>
                <w:rFonts w:cs="Arial"/>
                <w:noProof/>
                <w:sz w:val="20"/>
              </w:rPr>
              <w:t> </w:t>
            </w:r>
            <w:r w:rsidRPr="00C9524D">
              <w:rPr>
                <w:rFonts w:cs="Arial"/>
                <w:noProof/>
                <w:sz w:val="20"/>
              </w:rPr>
              <w:t> </w:t>
            </w:r>
            <w:r w:rsidRPr="00C9524D">
              <w:rPr>
                <w:rFonts w:cs="Arial"/>
                <w:noProof/>
                <w:sz w:val="20"/>
              </w:rPr>
              <w:t> </w:t>
            </w:r>
            <w:r w:rsidRPr="00C9524D">
              <w:rPr>
                <w:rFonts w:cs="Arial"/>
                <w:noProof/>
                <w:sz w:val="20"/>
              </w:rPr>
              <w:t> </w:t>
            </w:r>
            <w:r w:rsidRPr="00C9524D">
              <w:rPr>
                <w:rFonts w:cs="Arial"/>
                <w:noProof/>
                <w:sz w:val="20"/>
              </w:rPr>
              <w:t> </w:t>
            </w:r>
            <w:r w:rsidRPr="00C9524D">
              <w:rPr>
                <w:rFonts w:cs="Arial"/>
                <w:sz w:val="20"/>
              </w:rPr>
              <w:fldChar w:fldCharType="end"/>
            </w:r>
          </w:p>
        </w:tc>
      </w:tr>
      <w:tr w:rsidR="00FA6A1F" w:rsidRPr="00C9524D" w14:paraId="4F66554D" w14:textId="77777777" w:rsidTr="00AD7459">
        <w:trPr>
          <w:cantSplit/>
        </w:trPr>
        <w:tc>
          <w:tcPr>
            <w:tcW w:w="4307" w:type="dxa"/>
            <w:tcBorders>
              <w:top w:val="nil"/>
              <w:bottom w:val="nil"/>
            </w:tcBorders>
            <w:vAlign w:val="bottom"/>
          </w:tcPr>
          <w:p w14:paraId="4F66554B" w14:textId="77777777" w:rsidR="00FA6A1F" w:rsidRPr="00C9524D" w:rsidRDefault="00FA6A1F" w:rsidP="002C2F26">
            <w:pPr>
              <w:spacing w:before="90" w:after="30"/>
              <w:rPr>
                <w:rFonts w:cs="Arial"/>
              </w:rPr>
            </w:pPr>
            <w:r w:rsidRPr="00C9524D">
              <w:rPr>
                <w:rFonts w:cs="Arial"/>
              </w:rPr>
              <w:t xml:space="preserve">Organisation </w:t>
            </w:r>
            <w:r w:rsidRPr="00C9524D">
              <w:rPr>
                <w:rFonts w:cs="Arial"/>
                <w:i/>
                <w:sz w:val="18"/>
              </w:rPr>
              <w:t>(if applicable)</w:t>
            </w:r>
            <w:r w:rsidRPr="00C9524D">
              <w:rPr>
                <w:rFonts w:cs="Arial"/>
                <w:sz w:val="18"/>
              </w:rPr>
              <w:t>:</w:t>
            </w:r>
          </w:p>
        </w:tc>
        <w:tc>
          <w:tcPr>
            <w:tcW w:w="3827" w:type="dxa"/>
            <w:vAlign w:val="bottom"/>
          </w:tcPr>
          <w:p w14:paraId="4F66554C" w14:textId="77777777" w:rsidR="00FA6A1F" w:rsidRPr="00C9524D" w:rsidRDefault="00FA6A1F" w:rsidP="002C2F26">
            <w:pPr>
              <w:spacing w:before="90" w:after="30"/>
              <w:rPr>
                <w:rFonts w:cs="Arial"/>
                <w:sz w:val="20"/>
              </w:rPr>
            </w:pPr>
            <w:r w:rsidRPr="00C9524D">
              <w:rPr>
                <w:rFonts w:cs="Arial"/>
                <w:sz w:val="20"/>
              </w:rPr>
              <w:fldChar w:fldCharType="begin">
                <w:ffData>
                  <w:name w:val="Text1"/>
                  <w:enabled/>
                  <w:calcOnExit w:val="0"/>
                  <w:textInput/>
                </w:ffData>
              </w:fldChar>
            </w:r>
            <w:r w:rsidRPr="00C9524D">
              <w:rPr>
                <w:rFonts w:cs="Arial"/>
                <w:sz w:val="20"/>
              </w:rPr>
              <w:instrText xml:space="preserve"> FORMTEXT </w:instrText>
            </w:r>
            <w:r w:rsidRPr="00C9524D">
              <w:rPr>
                <w:rFonts w:cs="Arial"/>
                <w:sz w:val="20"/>
              </w:rPr>
            </w:r>
            <w:r w:rsidRPr="00C9524D">
              <w:rPr>
                <w:rFonts w:cs="Arial"/>
                <w:sz w:val="20"/>
              </w:rPr>
              <w:fldChar w:fldCharType="separate"/>
            </w:r>
            <w:r w:rsidRPr="00C9524D">
              <w:rPr>
                <w:rFonts w:cs="Arial"/>
                <w:noProof/>
                <w:sz w:val="20"/>
              </w:rPr>
              <w:t> </w:t>
            </w:r>
            <w:r w:rsidRPr="00C9524D">
              <w:rPr>
                <w:rFonts w:cs="Arial"/>
                <w:noProof/>
                <w:sz w:val="20"/>
              </w:rPr>
              <w:t> </w:t>
            </w:r>
            <w:r w:rsidRPr="00C9524D">
              <w:rPr>
                <w:rFonts w:cs="Arial"/>
                <w:noProof/>
                <w:sz w:val="20"/>
              </w:rPr>
              <w:t> </w:t>
            </w:r>
            <w:r w:rsidRPr="00C9524D">
              <w:rPr>
                <w:rFonts w:cs="Arial"/>
                <w:noProof/>
                <w:sz w:val="20"/>
              </w:rPr>
              <w:t> </w:t>
            </w:r>
            <w:r w:rsidRPr="00C9524D">
              <w:rPr>
                <w:rFonts w:cs="Arial"/>
                <w:noProof/>
                <w:sz w:val="20"/>
              </w:rPr>
              <w:t> </w:t>
            </w:r>
            <w:r w:rsidRPr="00C9524D">
              <w:rPr>
                <w:rFonts w:cs="Arial"/>
                <w:sz w:val="20"/>
              </w:rPr>
              <w:fldChar w:fldCharType="end"/>
            </w:r>
          </w:p>
        </w:tc>
      </w:tr>
      <w:tr w:rsidR="00FA6A1F" w:rsidRPr="00C9524D" w14:paraId="4F665550" w14:textId="77777777" w:rsidTr="00AD7459">
        <w:trPr>
          <w:cantSplit/>
        </w:trPr>
        <w:tc>
          <w:tcPr>
            <w:tcW w:w="4307" w:type="dxa"/>
            <w:tcBorders>
              <w:top w:val="nil"/>
              <w:bottom w:val="nil"/>
            </w:tcBorders>
            <w:vAlign w:val="bottom"/>
          </w:tcPr>
          <w:p w14:paraId="4F66554E" w14:textId="77777777" w:rsidR="00FA6A1F" w:rsidRPr="00C9524D" w:rsidRDefault="00FA6A1F" w:rsidP="002C2F26">
            <w:pPr>
              <w:spacing w:before="90" w:after="30"/>
              <w:rPr>
                <w:rFonts w:cs="Arial"/>
              </w:rPr>
            </w:pPr>
            <w:r w:rsidRPr="00C9524D">
              <w:rPr>
                <w:rFonts w:cs="Arial"/>
              </w:rPr>
              <w:t xml:space="preserve">Position </w:t>
            </w:r>
            <w:r w:rsidRPr="00C9524D">
              <w:rPr>
                <w:rFonts w:cs="Arial"/>
                <w:i/>
                <w:sz w:val="18"/>
              </w:rPr>
              <w:t>(if applicable)</w:t>
            </w:r>
            <w:r w:rsidRPr="00C9524D">
              <w:rPr>
                <w:rFonts w:cs="Arial"/>
                <w:sz w:val="18"/>
              </w:rPr>
              <w:t>:</w:t>
            </w:r>
          </w:p>
        </w:tc>
        <w:tc>
          <w:tcPr>
            <w:tcW w:w="3827" w:type="dxa"/>
            <w:vAlign w:val="bottom"/>
          </w:tcPr>
          <w:p w14:paraId="4F66554F" w14:textId="77777777" w:rsidR="00FA6A1F" w:rsidRPr="00C9524D" w:rsidRDefault="00FA6A1F" w:rsidP="002C2F26">
            <w:pPr>
              <w:spacing w:before="90" w:after="30"/>
              <w:rPr>
                <w:rFonts w:cs="Arial"/>
                <w:sz w:val="20"/>
              </w:rPr>
            </w:pPr>
            <w:r w:rsidRPr="00C9524D">
              <w:rPr>
                <w:rFonts w:cs="Arial"/>
                <w:sz w:val="20"/>
              </w:rPr>
              <w:fldChar w:fldCharType="begin">
                <w:ffData>
                  <w:name w:val="Text1"/>
                  <w:enabled/>
                  <w:calcOnExit w:val="0"/>
                  <w:textInput/>
                </w:ffData>
              </w:fldChar>
            </w:r>
            <w:r w:rsidRPr="00C9524D">
              <w:rPr>
                <w:rFonts w:cs="Arial"/>
                <w:sz w:val="20"/>
              </w:rPr>
              <w:instrText xml:space="preserve"> FORMTEXT </w:instrText>
            </w:r>
            <w:r w:rsidRPr="00C9524D">
              <w:rPr>
                <w:rFonts w:cs="Arial"/>
                <w:sz w:val="20"/>
              </w:rPr>
            </w:r>
            <w:r w:rsidRPr="00C9524D">
              <w:rPr>
                <w:rFonts w:cs="Arial"/>
                <w:sz w:val="20"/>
              </w:rPr>
              <w:fldChar w:fldCharType="separate"/>
            </w:r>
            <w:r w:rsidRPr="00C9524D">
              <w:rPr>
                <w:rFonts w:cs="Arial"/>
                <w:noProof/>
                <w:sz w:val="20"/>
              </w:rPr>
              <w:t> </w:t>
            </w:r>
            <w:r w:rsidRPr="00C9524D">
              <w:rPr>
                <w:rFonts w:cs="Arial"/>
                <w:noProof/>
                <w:sz w:val="20"/>
              </w:rPr>
              <w:t> </w:t>
            </w:r>
            <w:r w:rsidRPr="00C9524D">
              <w:rPr>
                <w:rFonts w:cs="Arial"/>
                <w:noProof/>
                <w:sz w:val="20"/>
              </w:rPr>
              <w:t> </w:t>
            </w:r>
            <w:r w:rsidRPr="00C9524D">
              <w:rPr>
                <w:rFonts w:cs="Arial"/>
                <w:noProof/>
                <w:sz w:val="20"/>
              </w:rPr>
              <w:t> </w:t>
            </w:r>
            <w:r w:rsidRPr="00C9524D">
              <w:rPr>
                <w:rFonts w:cs="Arial"/>
                <w:noProof/>
                <w:sz w:val="20"/>
              </w:rPr>
              <w:t> </w:t>
            </w:r>
            <w:r w:rsidRPr="00C9524D">
              <w:rPr>
                <w:rFonts w:cs="Arial"/>
                <w:sz w:val="20"/>
              </w:rPr>
              <w:fldChar w:fldCharType="end"/>
            </w:r>
          </w:p>
        </w:tc>
      </w:tr>
    </w:tbl>
    <w:p w14:paraId="4F665551" w14:textId="77777777" w:rsidR="00FA6A1F" w:rsidRDefault="00FA6A1F" w:rsidP="00AD7459"/>
    <w:p w14:paraId="4F665552" w14:textId="77777777" w:rsidR="00FA6A1F" w:rsidRPr="00C9524D" w:rsidRDefault="00FA6A1F" w:rsidP="00FA6A1F">
      <w:r w:rsidRPr="00C9524D">
        <w:t xml:space="preserve">This submission </w:t>
      </w:r>
      <w:r w:rsidRPr="00174E84">
        <w:rPr>
          <w:i/>
          <w:sz w:val="18"/>
          <w:szCs w:val="18"/>
        </w:rPr>
        <w:t>(tick one box only)</w:t>
      </w:r>
      <w:r w:rsidRPr="00174E84">
        <w:rPr>
          <w:sz w:val="18"/>
          <w:szCs w:val="18"/>
        </w:rPr>
        <w:t>:</w:t>
      </w:r>
    </w:p>
    <w:p w14:paraId="4F665553" w14:textId="77777777" w:rsidR="00FA6A1F" w:rsidRPr="00C9524D" w:rsidRDefault="00FA6A1F" w:rsidP="00FA6A1F">
      <w:pPr>
        <w:spacing w:before="60"/>
        <w:ind w:left="567" w:hanging="567"/>
      </w:pPr>
      <w:r w:rsidRPr="00C9524D">
        <w:rPr>
          <w:sz w:val="24"/>
          <w:szCs w:val="24"/>
        </w:rPr>
        <w:fldChar w:fldCharType="begin">
          <w:ffData>
            <w:name w:val="Check1"/>
            <w:enabled/>
            <w:calcOnExit w:val="0"/>
            <w:checkBox>
              <w:sizeAuto/>
              <w:default w:val="0"/>
            </w:checkBox>
          </w:ffData>
        </w:fldChar>
      </w:r>
      <w:bookmarkStart w:id="350" w:name="Check1"/>
      <w:r w:rsidRPr="00C9524D">
        <w:rPr>
          <w:sz w:val="24"/>
          <w:szCs w:val="24"/>
        </w:rPr>
        <w:instrText xml:space="preserve"> FORMCHECKBOX </w:instrText>
      </w:r>
      <w:r w:rsidR="00D90DAF">
        <w:rPr>
          <w:sz w:val="24"/>
          <w:szCs w:val="24"/>
        </w:rPr>
      </w:r>
      <w:r w:rsidR="00D90DAF">
        <w:rPr>
          <w:sz w:val="24"/>
          <w:szCs w:val="24"/>
        </w:rPr>
        <w:fldChar w:fldCharType="separate"/>
      </w:r>
      <w:r w:rsidRPr="00C9524D">
        <w:rPr>
          <w:sz w:val="24"/>
          <w:szCs w:val="24"/>
        </w:rPr>
        <w:fldChar w:fldCharType="end"/>
      </w:r>
      <w:bookmarkEnd w:id="350"/>
      <w:r w:rsidRPr="00C9524D">
        <w:tab/>
        <w:t>is made by an individual or individuals (not on behalf of an organisation nor in their professional capacity)</w:t>
      </w:r>
    </w:p>
    <w:p w14:paraId="4F665554" w14:textId="77777777" w:rsidR="00FA6A1F" w:rsidRPr="00D528A0" w:rsidRDefault="00FA6A1F" w:rsidP="00FA6A1F">
      <w:pPr>
        <w:spacing w:before="60"/>
        <w:ind w:left="567" w:hanging="567"/>
      </w:pPr>
      <w:r w:rsidRPr="00C9524D">
        <w:rPr>
          <w:sz w:val="24"/>
          <w:szCs w:val="24"/>
        </w:rPr>
        <w:fldChar w:fldCharType="begin">
          <w:ffData>
            <w:name w:val="Check2"/>
            <w:enabled/>
            <w:calcOnExit w:val="0"/>
            <w:checkBox>
              <w:sizeAuto/>
              <w:default w:val="0"/>
            </w:checkBox>
          </w:ffData>
        </w:fldChar>
      </w:r>
      <w:bookmarkStart w:id="351" w:name="Check2"/>
      <w:r w:rsidRPr="00C9524D">
        <w:rPr>
          <w:sz w:val="24"/>
          <w:szCs w:val="24"/>
        </w:rPr>
        <w:instrText xml:space="preserve"> FORMCHECKBOX </w:instrText>
      </w:r>
      <w:r w:rsidR="00D90DAF">
        <w:rPr>
          <w:sz w:val="24"/>
          <w:szCs w:val="24"/>
        </w:rPr>
      </w:r>
      <w:r w:rsidR="00D90DAF">
        <w:rPr>
          <w:sz w:val="24"/>
          <w:szCs w:val="24"/>
        </w:rPr>
        <w:fldChar w:fldCharType="separate"/>
      </w:r>
      <w:r w:rsidRPr="00C9524D">
        <w:rPr>
          <w:sz w:val="24"/>
          <w:szCs w:val="24"/>
        </w:rPr>
        <w:fldChar w:fldCharType="end"/>
      </w:r>
      <w:bookmarkEnd w:id="351"/>
      <w:r w:rsidRPr="00C9524D">
        <w:rPr>
          <w:sz w:val="24"/>
          <w:szCs w:val="24"/>
        </w:rPr>
        <w:tab/>
      </w:r>
      <w:r w:rsidRPr="00D528A0">
        <w:t>is made on behalf of a group or organisation(s).</w:t>
      </w:r>
    </w:p>
    <w:p w14:paraId="4F665555" w14:textId="77777777" w:rsidR="00AD7459" w:rsidRDefault="00AD7459" w:rsidP="00AD7459"/>
    <w:p w14:paraId="4F665556" w14:textId="77777777" w:rsidR="00FA6A1F" w:rsidRPr="00C9524D" w:rsidRDefault="00FA6A1F" w:rsidP="00AD7459">
      <w:r w:rsidRPr="00C9524D">
        <w:t>Please indicate which sector(s) your submission represents (</w:t>
      </w:r>
      <w:r w:rsidRPr="00C9524D">
        <w:rPr>
          <w:i/>
        </w:rPr>
        <w:t>you may tick more than one box)</w:t>
      </w:r>
      <w:r w:rsidRPr="00C9524D">
        <w:t>:</w:t>
      </w:r>
    </w:p>
    <w:p w14:paraId="4F665557" w14:textId="77777777" w:rsidR="00FA6A1F" w:rsidRPr="00C9524D" w:rsidRDefault="00FA6A1F" w:rsidP="00AD7459">
      <w:pPr>
        <w:tabs>
          <w:tab w:val="left" w:pos="567"/>
          <w:tab w:val="left" w:pos="3544"/>
          <w:tab w:val="left" w:pos="4111"/>
        </w:tabs>
        <w:spacing w:before="60"/>
        <w:rPr>
          <w:rFonts w:cs="Arial"/>
        </w:rPr>
      </w:pPr>
      <w:r w:rsidRPr="00C9524D">
        <w:rPr>
          <w:rFonts w:cs="Arial"/>
          <w:sz w:val="28"/>
          <w:szCs w:val="28"/>
        </w:rPr>
        <w:fldChar w:fldCharType="begin">
          <w:ffData>
            <w:name w:val="Check1"/>
            <w:enabled/>
            <w:calcOnExit w:val="0"/>
            <w:checkBox>
              <w:sizeAuto/>
              <w:default w:val="0"/>
            </w:checkBox>
          </w:ffData>
        </w:fldChar>
      </w:r>
      <w:r w:rsidRPr="00C9524D">
        <w:rPr>
          <w:rFonts w:cs="Arial"/>
          <w:sz w:val="28"/>
          <w:szCs w:val="28"/>
        </w:rPr>
        <w:instrText xml:space="preserve"> FORMCHECKBOX </w:instrText>
      </w:r>
      <w:r w:rsidR="00D90DAF">
        <w:rPr>
          <w:rFonts w:cs="Arial"/>
          <w:sz w:val="28"/>
          <w:szCs w:val="28"/>
        </w:rPr>
      </w:r>
      <w:r w:rsidR="00D90DAF">
        <w:rPr>
          <w:rFonts w:cs="Arial"/>
          <w:sz w:val="28"/>
          <w:szCs w:val="28"/>
        </w:rPr>
        <w:fldChar w:fldCharType="separate"/>
      </w:r>
      <w:r w:rsidRPr="00C9524D">
        <w:rPr>
          <w:rFonts w:cs="Arial"/>
          <w:sz w:val="28"/>
          <w:szCs w:val="28"/>
        </w:rPr>
        <w:fldChar w:fldCharType="end"/>
      </w:r>
      <w:r w:rsidRPr="00C9524D">
        <w:rPr>
          <w:rFonts w:cs="Arial"/>
        </w:rPr>
        <w:tab/>
        <w:t>Māori</w:t>
      </w:r>
      <w:r w:rsidRPr="00C9524D">
        <w:rPr>
          <w:rFonts w:cs="Arial"/>
        </w:rPr>
        <w:tab/>
      </w:r>
      <w:r w:rsidRPr="00C9524D">
        <w:rPr>
          <w:rFonts w:cs="Arial"/>
          <w:sz w:val="28"/>
          <w:szCs w:val="28"/>
        </w:rPr>
        <w:fldChar w:fldCharType="begin">
          <w:ffData>
            <w:name w:val="Check1"/>
            <w:enabled/>
            <w:calcOnExit w:val="0"/>
            <w:checkBox>
              <w:sizeAuto/>
              <w:default w:val="0"/>
            </w:checkBox>
          </w:ffData>
        </w:fldChar>
      </w:r>
      <w:r w:rsidRPr="00C9524D">
        <w:rPr>
          <w:rFonts w:cs="Arial"/>
          <w:sz w:val="28"/>
          <w:szCs w:val="28"/>
        </w:rPr>
        <w:instrText xml:space="preserve"> FORMCHECKBOX </w:instrText>
      </w:r>
      <w:r w:rsidR="00D90DAF">
        <w:rPr>
          <w:rFonts w:cs="Arial"/>
          <w:sz w:val="28"/>
          <w:szCs w:val="28"/>
        </w:rPr>
      </w:r>
      <w:r w:rsidR="00D90DAF">
        <w:rPr>
          <w:rFonts w:cs="Arial"/>
          <w:sz w:val="28"/>
          <w:szCs w:val="28"/>
        </w:rPr>
        <w:fldChar w:fldCharType="separate"/>
      </w:r>
      <w:r w:rsidRPr="00C9524D">
        <w:rPr>
          <w:rFonts w:cs="Arial"/>
          <w:sz w:val="28"/>
          <w:szCs w:val="28"/>
        </w:rPr>
        <w:fldChar w:fldCharType="end"/>
      </w:r>
      <w:r w:rsidRPr="00C9524D">
        <w:rPr>
          <w:rFonts w:cs="Arial"/>
        </w:rPr>
        <w:tab/>
        <w:t>Family/</w:t>
      </w:r>
      <w:r>
        <w:rPr>
          <w:rFonts w:cs="Arial"/>
        </w:rPr>
        <w:t>w</w:t>
      </w:r>
      <w:r w:rsidRPr="00C9524D">
        <w:rPr>
          <w:rFonts w:cs="Arial"/>
        </w:rPr>
        <w:t>hānau</w:t>
      </w:r>
    </w:p>
    <w:p w14:paraId="4F665558" w14:textId="77777777" w:rsidR="00FA6A1F" w:rsidRPr="00C9524D" w:rsidRDefault="00FA6A1F" w:rsidP="00AD7459">
      <w:pPr>
        <w:tabs>
          <w:tab w:val="left" w:pos="567"/>
          <w:tab w:val="left" w:pos="3544"/>
          <w:tab w:val="left" w:pos="4111"/>
        </w:tabs>
        <w:spacing w:before="60"/>
        <w:rPr>
          <w:rFonts w:cs="Arial"/>
        </w:rPr>
      </w:pPr>
      <w:r w:rsidRPr="00C9524D">
        <w:rPr>
          <w:rFonts w:cs="Arial"/>
          <w:sz w:val="28"/>
          <w:szCs w:val="28"/>
        </w:rPr>
        <w:fldChar w:fldCharType="begin">
          <w:ffData>
            <w:name w:val="Check1"/>
            <w:enabled/>
            <w:calcOnExit w:val="0"/>
            <w:checkBox>
              <w:sizeAuto/>
              <w:default w:val="0"/>
            </w:checkBox>
          </w:ffData>
        </w:fldChar>
      </w:r>
      <w:r w:rsidRPr="00C9524D">
        <w:rPr>
          <w:rFonts w:cs="Arial"/>
          <w:sz w:val="28"/>
          <w:szCs w:val="28"/>
        </w:rPr>
        <w:instrText xml:space="preserve"> FORMCHECKBOX </w:instrText>
      </w:r>
      <w:r w:rsidR="00D90DAF">
        <w:rPr>
          <w:rFonts w:cs="Arial"/>
          <w:sz w:val="28"/>
          <w:szCs w:val="28"/>
        </w:rPr>
      </w:r>
      <w:r w:rsidR="00D90DAF">
        <w:rPr>
          <w:rFonts w:cs="Arial"/>
          <w:sz w:val="28"/>
          <w:szCs w:val="28"/>
        </w:rPr>
        <w:fldChar w:fldCharType="separate"/>
      </w:r>
      <w:r w:rsidRPr="00C9524D">
        <w:rPr>
          <w:rFonts w:cs="Arial"/>
          <w:sz w:val="28"/>
          <w:szCs w:val="28"/>
        </w:rPr>
        <w:fldChar w:fldCharType="end"/>
      </w:r>
      <w:r w:rsidRPr="00C9524D">
        <w:rPr>
          <w:rFonts w:cs="Arial"/>
        </w:rPr>
        <w:tab/>
        <w:t>Pacific</w:t>
      </w:r>
      <w:r>
        <w:rPr>
          <w:rFonts w:cs="Arial"/>
        </w:rPr>
        <w:t xml:space="preserve"> peoples</w:t>
      </w:r>
      <w:r w:rsidRPr="00C9524D">
        <w:rPr>
          <w:rFonts w:cs="Arial"/>
        </w:rPr>
        <w:tab/>
      </w:r>
      <w:r w:rsidRPr="00C9524D">
        <w:rPr>
          <w:rFonts w:cs="Arial"/>
          <w:sz w:val="28"/>
          <w:szCs w:val="28"/>
        </w:rPr>
        <w:fldChar w:fldCharType="begin">
          <w:ffData>
            <w:name w:val="Check1"/>
            <w:enabled/>
            <w:calcOnExit w:val="0"/>
            <w:checkBox>
              <w:sizeAuto/>
              <w:default w:val="0"/>
            </w:checkBox>
          </w:ffData>
        </w:fldChar>
      </w:r>
      <w:r w:rsidRPr="00C9524D">
        <w:rPr>
          <w:rFonts w:cs="Arial"/>
          <w:sz w:val="28"/>
          <w:szCs w:val="28"/>
        </w:rPr>
        <w:instrText xml:space="preserve"> FORMCHECKBOX </w:instrText>
      </w:r>
      <w:r w:rsidR="00D90DAF">
        <w:rPr>
          <w:rFonts w:cs="Arial"/>
          <w:sz w:val="28"/>
          <w:szCs w:val="28"/>
        </w:rPr>
      </w:r>
      <w:r w:rsidR="00D90DAF">
        <w:rPr>
          <w:rFonts w:cs="Arial"/>
          <w:sz w:val="28"/>
          <w:szCs w:val="28"/>
        </w:rPr>
        <w:fldChar w:fldCharType="separate"/>
      </w:r>
      <w:r w:rsidRPr="00C9524D">
        <w:rPr>
          <w:rFonts w:cs="Arial"/>
          <w:sz w:val="28"/>
          <w:szCs w:val="28"/>
        </w:rPr>
        <w:fldChar w:fldCharType="end"/>
      </w:r>
      <w:r w:rsidRPr="00C9524D">
        <w:rPr>
          <w:rFonts w:cs="Arial"/>
        </w:rPr>
        <w:tab/>
        <w:t>Consumer</w:t>
      </w:r>
    </w:p>
    <w:p w14:paraId="4F665559" w14:textId="77777777" w:rsidR="00FA6A1F" w:rsidRPr="00C9524D" w:rsidRDefault="00FA6A1F" w:rsidP="00AD7459">
      <w:pPr>
        <w:tabs>
          <w:tab w:val="left" w:pos="567"/>
          <w:tab w:val="left" w:pos="3544"/>
          <w:tab w:val="left" w:pos="4111"/>
        </w:tabs>
        <w:spacing w:before="60"/>
        <w:rPr>
          <w:rFonts w:cs="Arial"/>
        </w:rPr>
      </w:pPr>
      <w:r w:rsidRPr="00C9524D">
        <w:rPr>
          <w:rFonts w:cs="Arial"/>
          <w:sz w:val="28"/>
          <w:szCs w:val="28"/>
        </w:rPr>
        <w:fldChar w:fldCharType="begin">
          <w:ffData>
            <w:name w:val="Check1"/>
            <w:enabled/>
            <w:calcOnExit w:val="0"/>
            <w:checkBox>
              <w:sizeAuto/>
              <w:default w:val="0"/>
            </w:checkBox>
          </w:ffData>
        </w:fldChar>
      </w:r>
      <w:r w:rsidRPr="00C9524D">
        <w:rPr>
          <w:rFonts w:cs="Arial"/>
          <w:sz w:val="28"/>
          <w:szCs w:val="28"/>
        </w:rPr>
        <w:instrText xml:space="preserve"> FORMCHECKBOX </w:instrText>
      </w:r>
      <w:r w:rsidR="00D90DAF">
        <w:rPr>
          <w:rFonts w:cs="Arial"/>
          <w:sz w:val="28"/>
          <w:szCs w:val="28"/>
        </w:rPr>
      </w:r>
      <w:r w:rsidR="00D90DAF">
        <w:rPr>
          <w:rFonts w:cs="Arial"/>
          <w:sz w:val="28"/>
          <w:szCs w:val="28"/>
        </w:rPr>
        <w:fldChar w:fldCharType="separate"/>
      </w:r>
      <w:r w:rsidRPr="00C9524D">
        <w:rPr>
          <w:rFonts w:cs="Arial"/>
          <w:sz w:val="28"/>
          <w:szCs w:val="28"/>
        </w:rPr>
        <w:fldChar w:fldCharType="end"/>
      </w:r>
      <w:r w:rsidRPr="00C9524D">
        <w:rPr>
          <w:rFonts w:cs="Arial"/>
        </w:rPr>
        <w:tab/>
        <w:t>Asian</w:t>
      </w:r>
      <w:r>
        <w:rPr>
          <w:rFonts w:cs="Arial"/>
        </w:rPr>
        <w:t xml:space="preserve"> peoples</w:t>
      </w:r>
      <w:r w:rsidRPr="00C9524D">
        <w:rPr>
          <w:rFonts w:cs="Arial"/>
        </w:rPr>
        <w:tab/>
      </w:r>
      <w:r w:rsidRPr="00C9524D">
        <w:rPr>
          <w:rFonts w:cs="Arial"/>
          <w:sz w:val="28"/>
          <w:szCs w:val="28"/>
        </w:rPr>
        <w:fldChar w:fldCharType="begin">
          <w:ffData>
            <w:name w:val="Check1"/>
            <w:enabled/>
            <w:calcOnExit w:val="0"/>
            <w:checkBox>
              <w:sizeAuto/>
              <w:default w:val="0"/>
            </w:checkBox>
          </w:ffData>
        </w:fldChar>
      </w:r>
      <w:r w:rsidRPr="00C9524D">
        <w:rPr>
          <w:rFonts w:cs="Arial"/>
          <w:sz w:val="28"/>
          <w:szCs w:val="28"/>
        </w:rPr>
        <w:instrText xml:space="preserve"> FORMCHECKBOX </w:instrText>
      </w:r>
      <w:r w:rsidR="00D90DAF">
        <w:rPr>
          <w:rFonts w:cs="Arial"/>
          <w:sz w:val="28"/>
          <w:szCs w:val="28"/>
        </w:rPr>
      </w:r>
      <w:r w:rsidR="00D90DAF">
        <w:rPr>
          <w:rFonts w:cs="Arial"/>
          <w:sz w:val="28"/>
          <w:szCs w:val="28"/>
        </w:rPr>
        <w:fldChar w:fldCharType="separate"/>
      </w:r>
      <w:r w:rsidRPr="00C9524D">
        <w:rPr>
          <w:rFonts w:cs="Arial"/>
          <w:sz w:val="28"/>
          <w:szCs w:val="28"/>
        </w:rPr>
        <w:fldChar w:fldCharType="end"/>
      </w:r>
      <w:r w:rsidRPr="00C9524D">
        <w:rPr>
          <w:rFonts w:cs="Arial"/>
        </w:rPr>
        <w:tab/>
        <w:t xml:space="preserve">Local </w:t>
      </w:r>
      <w:r>
        <w:rPr>
          <w:rFonts w:cs="Arial"/>
        </w:rPr>
        <w:t>g</w:t>
      </w:r>
      <w:r w:rsidRPr="00C9524D">
        <w:rPr>
          <w:rFonts w:cs="Arial"/>
        </w:rPr>
        <w:t>overnment</w:t>
      </w:r>
    </w:p>
    <w:p w14:paraId="4F66555A" w14:textId="77777777" w:rsidR="00FA6A1F" w:rsidRPr="00C9524D" w:rsidRDefault="00FA6A1F" w:rsidP="00AD7459">
      <w:pPr>
        <w:tabs>
          <w:tab w:val="left" w:pos="567"/>
          <w:tab w:val="left" w:pos="3544"/>
          <w:tab w:val="left" w:pos="4111"/>
        </w:tabs>
        <w:spacing w:before="60"/>
        <w:rPr>
          <w:rFonts w:cs="Arial"/>
        </w:rPr>
      </w:pPr>
      <w:r w:rsidRPr="00C9524D">
        <w:rPr>
          <w:rFonts w:cs="Arial"/>
          <w:sz w:val="28"/>
          <w:szCs w:val="28"/>
        </w:rPr>
        <w:fldChar w:fldCharType="begin">
          <w:ffData>
            <w:name w:val="Check1"/>
            <w:enabled/>
            <w:calcOnExit w:val="0"/>
            <w:checkBox>
              <w:sizeAuto/>
              <w:default w:val="0"/>
            </w:checkBox>
          </w:ffData>
        </w:fldChar>
      </w:r>
      <w:r w:rsidRPr="00C9524D">
        <w:rPr>
          <w:rFonts w:cs="Arial"/>
          <w:sz w:val="28"/>
          <w:szCs w:val="28"/>
        </w:rPr>
        <w:instrText xml:space="preserve"> FORMCHECKBOX </w:instrText>
      </w:r>
      <w:r w:rsidR="00D90DAF">
        <w:rPr>
          <w:rFonts w:cs="Arial"/>
          <w:sz w:val="28"/>
          <w:szCs w:val="28"/>
        </w:rPr>
      </w:r>
      <w:r w:rsidR="00D90DAF">
        <w:rPr>
          <w:rFonts w:cs="Arial"/>
          <w:sz w:val="28"/>
          <w:szCs w:val="28"/>
        </w:rPr>
        <w:fldChar w:fldCharType="separate"/>
      </w:r>
      <w:r w:rsidRPr="00C9524D">
        <w:rPr>
          <w:rFonts w:cs="Arial"/>
          <w:sz w:val="28"/>
          <w:szCs w:val="28"/>
        </w:rPr>
        <w:fldChar w:fldCharType="end"/>
      </w:r>
      <w:r w:rsidRPr="00C9524D">
        <w:rPr>
          <w:rFonts w:cs="Arial"/>
        </w:rPr>
        <w:tab/>
        <w:t xml:space="preserve">Service </w:t>
      </w:r>
      <w:r>
        <w:rPr>
          <w:rFonts w:cs="Arial"/>
        </w:rPr>
        <w:t>p</w:t>
      </w:r>
      <w:r w:rsidRPr="00C9524D">
        <w:rPr>
          <w:rFonts w:cs="Arial"/>
        </w:rPr>
        <w:t>rovider</w:t>
      </w:r>
      <w:r w:rsidRPr="00C9524D">
        <w:rPr>
          <w:rFonts w:cs="Arial"/>
        </w:rPr>
        <w:tab/>
      </w:r>
      <w:r w:rsidRPr="00C9524D">
        <w:rPr>
          <w:rFonts w:cs="Arial"/>
          <w:sz w:val="28"/>
          <w:szCs w:val="28"/>
        </w:rPr>
        <w:fldChar w:fldCharType="begin">
          <w:ffData>
            <w:name w:val="Check1"/>
            <w:enabled/>
            <w:calcOnExit w:val="0"/>
            <w:checkBox>
              <w:sizeAuto/>
              <w:default w:val="0"/>
            </w:checkBox>
          </w:ffData>
        </w:fldChar>
      </w:r>
      <w:r w:rsidRPr="00C9524D">
        <w:rPr>
          <w:rFonts w:cs="Arial"/>
          <w:sz w:val="28"/>
          <w:szCs w:val="28"/>
        </w:rPr>
        <w:instrText xml:space="preserve"> FORMCHECKBOX </w:instrText>
      </w:r>
      <w:r w:rsidR="00D90DAF">
        <w:rPr>
          <w:rFonts w:cs="Arial"/>
          <w:sz w:val="28"/>
          <w:szCs w:val="28"/>
        </w:rPr>
      </w:r>
      <w:r w:rsidR="00D90DAF">
        <w:rPr>
          <w:rFonts w:cs="Arial"/>
          <w:sz w:val="28"/>
          <w:szCs w:val="28"/>
        </w:rPr>
        <w:fldChar w:fldCharType="separate"/>
      </w:r>
      <w:r w:rsidRPr="00C9524D">
        <w:rPr>
          <w:rFonts w:cs="Arial"/>
          <w:sz w:val="28"/>
          <w:szCs w:val="28"/>
        </w:rPr>
        <w:fldChar w:fldCharType="end"/>
      </w:r>
      <w:r w:rsidRPr="00C9524D">
        <w:rPr>
          <w:rFonts w:cs="Arial"/>
        </w:rPr>
        <w:tab/>
        <w:t xml:space="preserve">Central </w:t>
      </w:r>
      <w:r>
        <w:rPr>
          <w:rFonts w:cs="Arial"/>
        </w:rPr>
        <w:t>g</w:t>
      </w:r>
      <w:r w:rsidRPr="00C9524D">
        <w:rPr>
          <w:rFonts w:cs="Arial"/>
        </w:rPr>
        <w:t>overnment</w:t>
      </w:r>
    </w:p>
    <w:p w14:paraId="4F66555B" w14:textId="77777777" w:rsidR="00FA6A1F" w:rsidRDefault="00FA6A1F" w:rsidP="00AD7459">
      <w:pPr>
        <w:tabs>
          <w:tab w:val="left" w:pos="567"/>
          <w:tab w:val="left" w:pos="3544"/>
          <w:tab w:val="left" w:pos="4111"/>
        </w:tabs>
        <w:spacing w:before="60"/>
        <w:rPr>
          <w:rFonts w:cs="Arial"/>
        </w:rPr>
      </w:pPr>
      <w:r w:rsidRPr="00C9524D">
        <w:rPr>
          <w:rFonts w:cs="Arial"/>
          <w:sz w:val="28"/>
          <w:szCs w:val="28"/>
        </w:rPr>
        <w:fldChar w:fldCharType="begin">
          <w:ffData>
            <w:name w:val="Check1"/>
            <w:enabled/>
            <w:calcOnExit w:val="0"/>
            <w:checkBox>
              <w:sizeAuto/>
              <w:default w:val="0"/>
            </w:checkBox>
          </w:ffData>
        </w:fldChar>
      </w:r>
      <w:r w:rsidRPr="00C9524D">
        <w:rPr>
          <w:rFonts w:cs="Arial"/>
          <w:sz w:val="28"/>
          <w:szCs w:val="28"/>
        </w:rPr>
        <w:instrText xml:space="preserve"> FORMCHECKBOX </w:instrText>
      </w:r>
      <w:r w:rsidR="00D90DAF">
        <w:rPr>
          <w:rFonts w:cs="Arial"/>
          <w:sz w:val="28"/>
          <w:szCs w:val="28"/>
        </w:rPr>
      </w:r>
      <w:r w:rsidR="00D90DAF">
        <w:rPr>
          <w:rFonts w:cs="Arial"/>
          <w:sz w:val="28"/>
          <w:szCs w:val="28"/>
        </w:rPr>
        <w:fldChar w:fldCharType="separate"/>
      </w:r>
      <w:r w:rsidRPr="00C9524D">
        <w:rPr>
          <w:rFonts w:cs="Arial"/>
          <w:sz w:val="28"/>
          <w:szCs w:val="28"/>
        </w:rPr>
        <w:fldChar w:fldCharType="end"/>
      </w:r>
      <w:r>
        <w:rPr>
          <w:rFonts w:cs="Arial"/>
        </w:rPr>
        <w:tab/>
        <w:t>Gambling industry (l</w:t>
      </w:r>
      <w:r w:rsidRPr="00C9524D">
        <w:rPr>
          <w:rFonts w:cs="Arial"/>
        </w:rPr>
        <w:t xml:space="preserve">evy </w:t>
      </w:r>
      <w:r>
        <w:rPr>
          <w:rFonts w:cs="Arial"/>
        </w:rPr>
        <w:t>p</w:t>
      </w:r>
      <w:r w:rsidRPr="00C9524D">
        <w:rPr>
          <w:rFonts w:cs="Arial"/>
        </w:rPr>
        <w:t>ayer)</w:t>
      </w:r>
      <w:r w:rsidRPr="00C9524D">
        <w:rPr>
          <w:rFonts w:cs="Arial"/>
        </w:rPr>
        <w:tab/>
      </w:r>
      <w:r w:rsidRPr="00C9524D">
        <w:rPr>
          <w:rFonts w:cs="Arial"/>
          <w:sz w:val="28"/>
          <w:szCs w:val="28"/>
        </w:rPr>
        <w:fldChar w:fldCharType="begin">
          <w:ffData>
            <w:name w:val="Check1"/>
            <w:enabled/>
            <w:calcOnExit w:val="0"/>
            <w:checkBox>
              <w:sizeAuto/>
              <w:default w:val="0"/>
            </w:checkBox>
          </w:ffData>
        </w:fldChar>
      </w:r>
      <w:r w:rsidRPr="00C9524D">
        <w:rPr>
          <w:rFonts w:cs="Arial"/>
          <w:sz w:val="28"/>
          <w:szCs w:val="28"/>
        </w:rPr>
        <w:instrText xml:space="preserve"> FORMCHECKBOX </w:instrText>
      </w:r>
      <w:r w:rsidR="00D90DAF">
        <w:rPr>
          <w:rFonts w:cs="Arial"/>
          <w:sz w:val="28"/>
          <w:szCs w:val="28"/>
        </w:rPr>
      </w:r>
      <w:r w:rsidR="00D90DAF">
        <w:rPr>
          <w:rFonts w:cs="Arial"/>
          <w:sz w:val="28"/>
          <w:szCs w:val="28"/>
        </w:rPr>
        <w:fldChar w:fldCharType="separate"/>
      </w:r>
      <w:r w:rsidRPr="00C9524D">
        <w:rPr>
          <w:rFonts w:cs="Arial"/>
          <w:sz w:val="28"/>
          <w:szCs w:val="28"/>
        </w:rPr>
        <w:fldChar w:fldCharType="end"/>
      </w:r>
      <w:r w:rsidRPr="00C9524D">
        <w:rPr>
          <w:rFonts w:cs="Arial"/>
        </w:rPr>
        <w:tab/>
        <w:t>Researcher</w:t>
      </w:r>
    </w:p>
    <w:bookmarkStart w:id="352" w:name="_Hlk77946697"/>
    <w:p w14:paraId="4F66555C" w14:textId="77777777" w:rsidR="00FA6A1F" w:rsidRPr="004A5731" w:rsidRDefault="00FA6A1F" w:rsidP="00AD7459">
      <w:pPr>
        <w:tabs>
          <w:tab w:val="left" w:pos="567"/>
          <w:tab w:val="left" w:pos="3544"/>
          <w:tab w:val="left" w:pos="4111"/>
          <w:tab w:val="right" w:leader="underscore" w:pos="8080"/>
        </w:tabs>
        <w:spacing w:before="60"/>
        <w:rPr>
          <w:rFonts w:cs="Arial"/>
          <w:iCs/>
        </w:rPr>
      </w:pPr>
      <w:r w:rsidRPr="00C9524D">
        <w:rPr>
          <w:rFonts w:cs="Arial"/>
          <w:sz w:val="28"/>
          <w:szCs w:val="28"/>
        </w:rPr>
        <w:fldChar w:fldCharType="begin">
          <w:ffData>
            <w:name w:val="Check1"/>
            <w:enabled/>
            <w:calcOnExit w:val="0"/>
            <w:checkBox>
              <w:sizeAuto/>
              <w:default w:val="0"/>
            </w:checkBox>
          </w:ffData>
        </w:fldChar>
      </w:r>
      <w:r w:rsidRPr="00C9524D">
        <w:rPr>
          <w:rFonts w:cs="Arial"/>
          <w:sz w:val="28"/>
          <w:szCs w:val="28"/>
        </w:rPr>
        <w:instrText xml:space="preserve"> FORMCHECKBOX </w:instrText>
      </w:r>
      <w:r w:rsidR="00D90DAF">
        <w:rPr>
          <w:rFonts w:cs="Arial"/>
          <w:sz w:val="28"/>
          <w:szCs w:val="28"/>
        </w:rPr>
      </w:r>
      <w:r w:rsidR="00D90DAF">
        <w:rPr>
          <w:rFonts w:cs="Arial"/>
          <w:sz w:val="28"/>
          <w:szCs w:val="28"/>
        </w:rPr>
        <w:fldChar w:fldCharType="separate"/>
      </w:r>
      <w:r w:rsidRPr="00C9524D">
        <w:rPr>
          <w:rFonts w:cs="Arial"/>
          <w:sz w:val="28"/>
          <w:szCs w:val="28"/>
        </w:rPr>
        <w:fldChar w:fldCharType="end"/>
      </w:r>
      <w:r w:rsidRPr="00C9524D">
        <w:rPr>
          <w:rFonts w:cs="Arial"/>
        </w:rPr>
        <w:tab/>
      </w:r>
      <w:r>
        <w:rPr>
          <w:rFonts w:cs="Arial"/>
        </w:rPr>
        <w:t>Children/Young people</w:t>
      </w:r>
      <w:r w:rsidR="00AD7459">
        <w:rPr>
          <w:rFonts w:cs="Arial"/>
        </w:rPr>
        <w:tab/>
      </w:r>
      <w:r w:rsidRPr="00C9524D">
        <w:rPr>
          <w:rFonts w:cs="Arial"/>
          <w:sz w:val="28"/>
          <w:szCs w:val="28"/>
        </w:rPr>
        <w:fldChar w:fldCharType="begin">
          <w:ffData>
            <w:name w:val="Check1"/>
            <w:enabled/>
            <w:calcOnExit w:val="0"/>
            <w:checkBox>
              <w:sizeAuto/>
              <w:default w:val="0"/>
            </w:checkBox>
          </w:ffData>
        </w:fldChar>
      </w:r>
      <w:r w:rsidRPr="00C9524D">
        <w:rPr>
          <w:rFonts w:cs="Arial"/>
          <w:sz w:val="28"/>
          <w:szCs w:val="28"/>
        </w:rPr>
        <w:instrText xml:space="preserve"> FORMCHECKBOX </w:instrText>
      </w:r>
      <w:r w:rsidR="00D90DAF">
        <w:rPr>
          <w:rFonts w:cs="Arial"/>
          <w:sz w:val="28"/>
          <w:szCs w:val="28"/>
        </w:rPr>
      </w:r>
      <w:r w:rsidR="00D90DAF">
        <w:rPr>
          <w:rFonts w:cs="Arial"/>
          <w:sz w:val="28"/>
          <w:szCs w:val="28"/>
        </w:rPr>
        <w:fldChar w:fldCharType="separate"/>
      </w:r>
      <w:r w:rsidRPr="00C9524D">
        <w:rPr>
          <w:rFonts w:cs="Arial"/>
          <w:sz w:val="28"/>
          <w:szCs w:val="28"/>
        </w:rPr>
        <w:fldChar w:fldCharType="end"/>
      </w:r>
      <w:r w:rsidR="00AD7459">
        <w:rPr>
          <w:rFonts w:cs="Arial"/>
          <w:sz w:val="28"/>
          <w:szCs w:val="28"/>
        </w:rPr>
        <w:tab/>
      </w:r>
      <w:r w:rsidRPr="00C9524D">
        <w:rPr>
          <w:rFonts w:cs="Arial"/>
        </w:rPr>
        <w:t>Other</w:t>
      </w:r>
      <w:r w:rsidRPr="00C9524D">
        <w:rPr>
          <w:rFonts w:cs="Arial"/>
          <w:i/>
          <w:iCs/>
          <w:sz w:val="18"/>
        </w:rPr>
        <w:t xml:space="preserve"> (please specify)</w:t>
      </w:r>
      <w:bookmarkEnd w:id="352"/>
      <w:r w:rsidRPr="004A5731">
        <w:rPr>
          <w:rFonts w:cs="Arial"/>
          <w:iCs/>
          <w:sz w:val="20"/>
        </w:rPr>
        <w:tab/>
      </w:r>
    </w:p>
    <w:p w14:paraId="4F66555D" w14:textId="77777777" w:rsidR="00AD7459" w:rsidRDefault="00AD7459" w:rsidP="00AD7459"/>
    <w:p w14:paraId="4F66555E" w14:textId="77777777" w:rsidR="00FA6A1F" w:rsidRPr="00C9524D" w:rsidRDefault="00FA6A1F" w:rsidP="00AD7459">
      <w:pPr>
        <w:pStyle w:val="Heading4"/>
      </w:pPr>
      <w:r w:rsidRPr="00C9524D">
        <w:t>Summary of submissions</w:t>
      </w:r>
    </w:p>
    <w:p w14:paraId="4F66555F" w14:textId="77777777" w:rsidR="00FA6A1F" w:rsidRDefault="00FA6A1F" w:rsidP="00AD7459">
      <w:r w:rsidRPr="00C9524D">
        <w:t>If you wish to be notified when a summary of submissions is available, please ensure your contact details are provided above and tick the box below.</w:t>
      </w:r>
    </w:p>
    <w:p w14:paraId="4F665560" w14:textId="77777777" w:rsidR="00FA6A1F" w:rsidRDefault="00FA6A1F" w:rsidP="00AD7459">
      <w:pPr>
        <w:spacing w:before="60"/>
        <w:ind w:left="567" w:hanging="567"/>
      </w:pPr>
      <w:r w:rsidRPr="00C9524D">
        <w:rPr>
          <w:rFonts w:cs="Arial"/>
        </w:rPr>
        <w:fldChar w:fldCharType="begin">
          <w:ffData>
            <w:name w:val="Check1"/>
            <w:enabled/>
            <w:calcOnExit w:val="0"/>
            <w:checkBox>
              <w:sizeAuto/>
              <w:default w:val="0"/>
            </w:checkBox>
          </w:ffData>
        </w:fldChar>
      </w:r>
      <w:r w:rsidRPr="00C9524D">
        <w:rPr>
          <w:rFonts w:cs="Arial"/>
        </w:rPr>
        <w:instrText xml:space="preserve"> FORMCHECKBOX </w:instrText>
      </w:r>
      <w:r w:rsidR="00D90DAF">
        <w:rPr>
          <w:rFonts w:cs="Arial"/>
        </w:rPr>
      </w:r>
      <w:r w:rsidR="00D90DAF">
        <w:rPr>
          <w:rFonts w:cs="Arial"/>
        </w:rPr>
        <w:fldChar w:fldCharType="separate"/>
      </w:r>
      <w:r w:rsidRPr="00C9524D">
        <w:rPr>
          <w:rFonts w:cs="Arial"/>
        </w:rPr>
        <w:fldChar w:fldCharType="end"/>
      </w:r>
      <w:r w:rsidRPr="00C9524D">
        <w:rPr>
          <w:rFonts w:cs="Arial"/>
        </w:rPr>
        <w:tab/>
        <w:t xml:space="preserve">I </w:t>
      </w:r>
      <w:r w:rsidRPr="00C9524D">
        <w:t>wish to be informed when the summary of submissions is available</w:t>
      </w:r>
      <w:r>
        <w:t>.</w:t>
      </w:r>
    </w:p>
    <w:p w14:paraId="4F665561" w14:textId="77777777" w:rsidR="00AD7459" w:rsidRPr="00C9524D" w:rsidRDefault="00AD7459" w:rsidP="00AD7459"/>
    <w:p w14:paraId="4F665562" w14:textId="77777777" w:rsidR="00FA6A1F" w:rsidRPr="00C9524D" w:rsidRDefault="00FA6A1F" w:rsidP="00AD7459">
      <w:pPr>
        <w:pStyle w:val="Heading4"/>
      </w:pPr>
      <w:r w:rsidRPr="00C9524D">
        <w:t>Privacy</w:t>
      </w:r>
    </w:p>
    <w:p w14:paraId="4F665563" w14:textId="77777777" w:rsidR="00FA6A1F" w:rsidRPr="00C9524D" w:rsidRDefault="00FA6A1F" w:rsidP="00AD7459">
      <w:r w:rsidRPr="00C9524D">
        <w:t>We may publish all submissions, or a summary of submissions, on the Ministry</w:t>
      </w:r>
      <w:r w:rsidR="008303C6">
        <w:t>’</w:t>
      </w:r>
      <w:r w:rsidRPr="00C9524D">
        <w:t>s website. If you are submitting as an individual, we will automatically remove your personal details and any identifiable information.</w:t>
      </w:r>
    </w:p>
    <w:p w14:paraId="4F665564" w14:textId="77777777" w:rsidR="00AD7459" w:rsidRDefault="00AD7459" w:rsidP="00AD7459"/>
    <w:p w14:paraId="4F665565" w14:textId="77777777" w:rsidR="00FA6A1F" w:rsidRPr="00C9524D" w:rsidRDefault="00FA6A1F" w:rsidP="00AD7459">
      <w:r w:rsidRPr="00C9524D">
        <w:t>If you do not want your submission published on the Ministry</w:t>
      </w:r>
      <w:r w:rsidR="008303C6">
        <w:t>’</w:t>
      </w:r>
      <w:r w:rsidRPr="00C9524D">
        <w:t>s website, please tick this box:</w:t>
      </w:r>
    </w:p>
    <w:p w14:paraId="4F665566" w14:textId="77777777" w:rsidR="00FA6A1F" w:rsidRPr="00C9524D" w:rsidRDefault="00FA6A1F" w:rsidP="00AD7459">
      <w:pPr>
        <w:spacing w:before="60"/>
        <w:ind w:left="567" w:hanging="567"/>
      </w:pPr>
      <w:r w:rsidRPr="00C9524D">
        <w:lastRenderedPageBreak/>
        <w:fldChar w:fldCharType="begin">
          <w:ffData>
            <w:name w:val=""/>
            <w:enabled/>
            <w:calcOnExit w:val="0"/>
            <w:checkBox>
              <w:sizeAuto/>
              <w:default w:val="0"/>
            </w:checkBox>
          </w:ffData>
        </w:fldChar>
      </w:r>
      <w:r w:rsidRPr="00C9524D">
        <w:instrText xml:space="preserve"> FORMCHECKBOX </w:instrText>
      </w:r>
      <w:r w:rsidR="00D90DAF">
        <w:fldChar w:fldCharType="separate"/>
      </w:r>
      <w:r w:rsidRPr="00C9524D">
        <w:fldChar w:fldCharType="end"/>
      </w:r>
      <w:r w:rsidRPr="00C9524D">
        <w:tab/>
        <w:t>Do not publish this submission.</w:t>
      </w:r>
    </w:p>
    <w:p w14:paraId="4F665567" w14:textId="77777777" w:rsidR="00FA6A1F" w:rsidRDefault="00FA6A1F" w:rsidP="00AD7459"/>
    <w:p w14:paraId="4F665568" w14:textId="77777777" w:rsidR="00FA6A1F" w:rsidRPr="00C9524D" w:rsidRDefault="00FA6A1F" w:rsidP="00FA6A1F">
      <w:r w:rsidRPr="00C9524D">
        <w:t xml:space="preserve">Your submission </w:t>
      </w:r>
      <w:r>
        <w:t>will</w:t>
      </w:r>
      <w:r w:rsidRPr="00C9524D">
        <w:t xml:space="preserve"> be subject to requests made under the Official Information Act</w:t>
      </w:r>
      <w:r>
        <w:t xml:space="preserve"> 1982</w:t>
      </w:r>
      <w:r w:rsidRPr="00C9524D">
        <w:t>. If you want your personal details removed from your submission, please tick this box:</w:t>
      </w:r>
    </w:p>
    <w:p w14:paraId="4F665569" w14:textId="77777777" w:rsidR="00FA6A1F" w:rsidRPr="00C9524D" w:rsidRDefault="00FA6A1F" w:rsidP="00AD7459">
      <w:pPr>
        <w:spacing w:before="60"/>
        <w:ind w:left="567" w:hanging="567"/>
      </w:pPr>
      <w:r w:rsidRPr="00C9524D">
        <w:fldChar w:fldCharType="begin">
          <w:ffData>
            <w:name w:val="Check1"/>
            <w:enabled/>
            <w:calcOnExit w:val="0"/>
            <w:checkBox>
              <w:sizeAuto/>
              <w:default w:val="0"/>
            </w:checkBox>
          </w:ffData>
        </w:fldChar>
      </w:r>
      <w:r w:rsidRPr="00C9524D">
        <w:instrText xml:space="preserve"> FORMCHECKBOX </w:instrText>
      </w:r>
      <w:r w:rsidR="00D90DAF">
        <w:fldChar w:fldCharType="separate"/>
      </w:r>
      <w:r w:rsidRPr="00C9524D">
        <w:fldChar w:fldCharType="end"/>
      </w:r>
      <w:r w:rsidRPr="00C9524D">
        <w:tab/>
        <w:t>Remove my personal details from Official Information Act responses.</w:t>
      </w:r>
    </w:p>
    <w:p w14:paraId="4F66556A" w14:textId="77777777" w:rsidR="00AD7459" w:rsidRDefault="00AD7459" w:rsidP="00AD7459"/>
    <w:p w14:paraId="4F66556B" w14:textId="77777777" w:rsidR="00FA6A1F" w:rsidRPr="00C9524D" w:rsidRDefault="00FA6A1F" w:rsidP="00AD7459">
      <w:r w:rsidRPr="00C9524D">
        <w:t>If your submission contains commercially sensitive information, please tick this box:</w:t>
      </w:r>
    </w:p>
    <w:p w14:paraId="4F66556C" w14:textId="77777777" w:rsidR="00FA6A1F" w:rsidRDefault="00FA6A1F" w:rsidP="00AD7459">
      <w:pPr>
        <w:spacing w:before="60"/>
        <w:ind w:left="567" w:hanging="567"/>
      </w:pPr>
      <w:r w:rsidRPr="00C9524D">
        <w:fldChar w:fldCharType="begin">
          <w:ffData>
            <w:name w:val="Check1"/>
            <w:enabled/>
            <w:calcOnExit w:val="0"/>
            <w:checkBox>
              <w:sizeAuto/>
              <w:default w:val="0"/>
            </w:checkBox>
          </w:ffData>
        </w:fldChar>
      </w:r>
      <w:r w:rsidRPr="00C9524D">
        <w:instrText xml:space="preserve"> FORMCHECKBOX </w:instrText>
      </w:r>
      <w:r w:rsidR="00D90DAF">
        <w:fldChar w:fldCharType="separate"/>
      </w:r>
      <w:r w:rsidRPr="00C9524D">
        <w:fldChar w:fldCharType="end"/>
      </w:r>
      <w:r w:rsidRPr="00C9524D">
        <w:tab/>
        <w:t>This submission contains commercially sensitive information.</w:t>
      </w:r>
    </w:p>
    <w:p w14:paraId="4F66556D" w14:textId="77777777" w:rsidR="00AD7459" w:rsidRDefault="00AD7459" w:rsidP="00AD7459"/>
    <w:p w14:paraId="4F66556E" w14:textId="77777777" w:rsidR="00FA6A1F" w:rsidRPr="00C9524D" w:rsidRDefault="00FA6A1F" w:rsidP="002F1E1F">
      <w:pPr>
        <w:pStyle w:val="Heading3"/>
        <w:keepNext w:val="0"/>
        <w:pageBreakBefore/>
        <w:spacing w:before="0"/>
      </w:pPr>
      <w:bookmarkStart w:id="353" w:name="_Toc78882344"/>
      <w:r w:rsidRPr="00C9524D">
        <w:lastRenderedPageBreak/>
        <w:t>Consultation questions</w:t>
      </w:r>
      <w:bookmarkEnd w:id="353"/>
    </w:p>
    <w:p w14:paraId="4F66556F" w14:textId="77777777" w:rsidR="00FA6A1F" w:rsidRPr="00C9524D" w:rsidRDefault="00FA6A1F" w:rsidP="002F1E1F">
      <w:r w:rsidRPr="00C9524D">
        <w:t xml:space="preserve">The following questions about the </w:t>
      </w:r>
      <w:r w:rsidRPr="00C9524D">
        <w:rPr>
          <w:i/>
        </w:rPr>
        <w:t>Strategy to Prevent and Minimise Gambling Harm</w:t>
      </w:r>
      <w:r>
        <w:rPr>
          <w:i/>
        </w:rPr>
        <w:t xml:space="preserve"> 2022/23 to 2024/25</w:t>
      </w:r>
      <w:r w:rsidRPr="00C9524D">
        <w:rPr>
          <w:i/>
        </w:rPr>
        <w:t xml:space="preserve">: Consultation </w:t>
      </w:r>
      <w:r>
        <w:rPr>
          <w:i/>
        </w:rPr>
        <w:t>d</w:t>
      </w:r>
      <w:r w:rsidRPr="00C9524D">
        <w:rPr>
          <w:i/>
        </w:rPr>
        <w:t xml:space="preserve">ocument </w:t>
      </w:r>
      <w:r w:rsidRPr="00C9524D">
        <w:t>(the draft strategy) are designed to help you prepare your feedback. However, you do not have to answer the questions if you prefer to structure your submission in some other way.</w:t>
      </w:r>
    </w:p>
    <w:p w14:paraId="4F665570" w14:textId="77777777" w:rsidR="002F1E1F" w:rsidRDefault="002F1E1F" w:rsidP="002F1E1F"/>
    <w:p w14:paraId="4F665571" w14:textId="77777777" w:rsidR="00FA6A1F" w:rsidRDefault="00FA6A1F" w:rsidP="002F1E1F">
      <w:r w:rsidRPr="00C9524D">
        <w:t>Please include or cite relevant supporting evidence in your submission if you can.</w:t>
      </w:r>
    </w:p>
    <w:p w14:paraId="4F665572" w14:textId="77777777" w:rsidR="002F1E1F" w:rsidRDefault="002F1E1F" w:rsidP="002F1E1F"/>
    <w:p w14:paraId="4F665573" w14:textId="77777777" w:rsidR="00FA6A1F" w:rsidRDefault="00FA6A1F" w:rsidP="002F1E1F">
      <w:r w:rsidRPr="00C9524D">
        <w:t xml:space="preserve">You are also welcomed to provide any other feedback on the draft strategy or more generally any ideas on preventing or minimising gambling harm in </w:t>
      </w:r>
      <w:r>
        <w:t xml:space="preserve">Aotearoa </w:t>
      </w:r>
      <w:r w:rsidRPr="00C9524D">
        <w:t xml:space="preserve">New Zealand (refer </w:t>
      </w:r>
      <w:hyperlink w:anchor="Text2" w:history="1">
        <w:r w:rsidR="00E5081A" w:rsidRPr="00E5081A">
          <w:rPr>
            <w:rStyle w:val="Hyperlink"/>
          </w:rPr>
          <w:t>question 13</w:t>
        </w:r>
      </w:hyperlink>
      <w:r w:rsidRPr="00C9524D">
        <w:t>).</w:t>
      </w:r>
    </w:p>
    <w:p w14:paraId="4F665574" w14:textId="77777777" w:rsidR="002F1E1F" w:rsidRDefault="002F1E1F" w:rsidP="002F1E1F"/>
    <w:p w14:paraId="4F665575" w14:textId="77777777" w:rsidR="00FA6A1F" w:rsidRDefault="00FA6A1F" w:rsidP="002F1E1F">
      <w:pPr>
        <w:pStyle w:val="Heading4"/>
      </w:pPr>
      <w:bookmarkStart w:id="354" w:name="_Toc78882345"/>
      <w:r w:rsidRPr="00C9524D">
        <w:t>Strategic direction</w:t>
      </w:r>
      <w:bookmarkEnd w:id="354"/>
    </w:p>
    <w:p w14:paraId="4F665576" w14:textId="77777777" w:rsidR="00FA6A1F" w:rsidRDefault="00FA6A1F" w:rsidP="002F1E1F">
      <w:r w:rsidRPr="00003227">
        <w:t xml:space="preserve">The Gambling Act 2003 defines harm, the purpose of the strategy (to prevent and minimise gambling harm) and key components that a </w:t>
      </w:r>
      <w:r>
        <w:t>s</w:t>
      </w:r>
      <w:r w:rsidRPr="00003227">
        <w:t xml:space="preserve">trategy must include. Neither these legislative provisions nor the content of the other strategic documents and frameworks with which the proposed </w:t>
      </w:r>
      <w:r>
        <w:t>s</w:t>
      </w:r>
      <w:r w:rsidRPr="00003227">
        <w:t>trategy is expected to align are under consideration in this consultation.</w:t>
      </w:r>
    </w:p>
    <w:p w14:paraId="4F665577" w14:textId="77777777" w:rsidR="002F1E1F" w:rsidRPr="00003227" w:rsidRDefault="002F1E1F" w:rsidP="002F1E1F"/>
    <w:p w14:paraId="4F665578" w14:textId="77777777" w:rsidR="00FA6A1F" w:rsidRDefault="00FA6A1F" w:rsidP="002F1E1F">
      <w:r w:rsidRPr="00C9524D">
        <w:t>In terms of the strategic direction, objectives and associated priority actions (</w:t>
      </w:r>
      <w:hyperlink w:anchor="_1_Introduction" w:history="1">
        <w:r w:rsidR="00E5081A" w:rsidRPr="00E5081A">
          <w:rPr>
            <w:rStyle w:val="Hyperlink"/>
          </w:rPr>
          <w:t>sections</w:t>
        </w:r>
        <w:r w:rsidR="00E5081A">
          <w:rPr>
            <w:rStyle w:val="Hyperlink"/>
          </w:rPr>
          <w:t> </w:t>
        </w:r>
        <w:r w:rsidR="00E5081A" w:rsidRPr="00E5081A">
          <w:rPr>
            <w:rStyle w:val="Hyperlink"/>
          </w:rPr>
          <w:t>1</w:t>
        </w:r>
      </w:hyperlink>
      <w:r w:rsidR="00E5081A" w:rsidRPr="00E5081A">
        <w:rPr>
          <w:rStyle w:val="Hyperlink"/>
        </w:rPr>
        <w:t xml:space="preserve"> </w:t>
      </w:r>
      <w:hyperlink w:anchor="_2_The_strategic" w:history="1">
        <w:r w:rsidR="00E5081A" w:rsidRPr="00E5081A">
          <w:rPr>
            <w:rStyle w:val="Hyperlink"/>
          </w:rPr>
          <w:t>and 2</w:t>
        </w:r>
      </w:hyperlink>
      <w:r w:rsidRPr="00C9524D">
        <w:t>)</w:t>
      </w:r>
      <w:r>
        <w:t>:</w:t>
      </w:r>
    </w:p>
    <w:p w14:paraId="4F665579" w14:textId="77777777" w:rsidR="008303C6" w:rsidRDefault="00FA6A1F" w:rsidP="005F4F5E">
      <w:pPr>
        <w:pStyle w:val="Number"/>
        <w:numPr>
          <w:ilvl w:val="2"/>
          <w:numId w:val="7"/>
        </w:numPr>
        <w:spacing w:after="120" w:line="264" w:lineRule="auto"/>
      </w:pPr>
      <w:r w:rsidRPr="008C661B">
        <w:t>Do you agree with the proposed strategic goal, objective</w:t>
      </w:r>
      <w:r>
        <w:t>s</w:t>
      </w:r>
      <w:r w:rsidRPr="008C661B">
        <w:t xml:space="preserve"> and </w:t>
      </w:r>
      <w:r>
        <w:t xml:space="preserve">priority </w:t>
      </w:r>
      <w:r w:rsidRPr="008C661B">
        <w:t>action areas?</w:t>
      </w:r>
    </w:p>
    <w:p w14:paraId="4F66557A" w14:textId="77777777" w:rsidR="00FA6A1F" w:rsidRDefault="00FA6A1F" w:rsidP="002F1E1F">
      <w:pPr>
        <w:tabs>
          <w:tab w:val="left" w:pos="993"/>
          <w:tab w:val="left" w:pos="1701"/>
          <w:tab w:val="left" w:pos="2127"/>
        </w:tabs>
        <w:spacing w:after="120"/>
        <w:ind w:left="567"/>
      </w:pPr>
      <w:r w:rsidRPr="00C9524D">
        <w:fldChar w:fldCharType="begin">
          <w:ffData>
            <w:name w:val=""/>
            <w:enabled/>
            <w:calcOnExit w:val="0"/>
            <w:checkBox>
              <w:sizeAuto/>
              <w:default w:val="0"/>
            </w:checkBox>
          </w:ffData>
        </w:fldChar>
      </w:r>
      <w:r w:rsidRPr="00C9524D">
        <w:instrText xml:space="preserve"> FORMCHECKBOX </w:instrText>
      </w:r>
      <w:r w:rsidR="00D90DAF">
        <w:fldChar w:fldCharType="separate"/>
      </w:r>
      <w:r w:rsidRPr="00C9524D">
        <w:fldChar w:fldCharType="end"/>
      </w:r>
      <w:r w:rsidRPr="00C9524D">
        <w:tab/>
        <w:t>Yes</w:t>
      </w:r>
      <w:r w:rsidRPr="00C9524D">
        <w:tab/>
      </w:r>
      <w:r w:rsidRPr="00C9524D">
        <w:fldChar w:fldCharType="begin">
          <w:ffData>
            <w:name w:val="Check1"/>
            <w:enabled/>
            <w:calcOnExit w:val="0"/>
            <w:checkBox>
              <w:sizeAuto/>
              <w:default w:val="0"/>
            </w:checkBox>
          </w:ffData>
        </w:fldChar>
      </w:r>
      <w:r w:rsidRPr="00C9524D">
        <w:instrText xml:space="preserve"> FORMCHECKBOX </w:instrText>
      </w:r>
      <w:r w:rsidR="00D90DAF">
        <w:fldChar w:fldCharType="separate"/>
      </w:r>
      <w:r w:rsidRPr="00C9524D">
        <w:fldChar w:fldCharType="end"/>
      </w:r>
      <w:r w:rsidRPr="00C9524D">
        <w:tab/>
        <w:t>No. If not</w:t>
      </w:r>
      <w:r>
        <w:t>,</w:t>
      </w:r>
      <w:r w:rsidRPr="00C9524D">
        <w:t xml:space="preserve"> please explain why.</w:t>
      </w:r>
    </w:p>
    <w:tbl>
      <w:tblPr>
        <w:tblW w:w="0" w:type="auto"/>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Layout w:type="fixed"/>
        <w:tblLook w:val="04A0" w:firstRow="1" w:lastRow="0" w:firstColumn="1" w:lastColumn="0" w:noHBand="0" w:noVBand="1"/>
      </w:tblPr>
      <w:tblGrid>
        <w:gridCol w:w="7513"/>
      </w:tblGrid>
      <w:tr w:rsidR="00FA6A1F" w14:paraId="4F66557C" w14:textId="77777777" w:rsidTr="002F1E1F">
        <w:trPr>
          <w:cantSplit/>
          <w:trHeight w:val="1134"/>
        </w:trPr>
        <w:tc>
          <w:tcPr>
            <w:tcW w:w="7513" w:type="dxa"/>
          </w:tcPr>
          <w:p w14:paraId="4F66557B" w14:textId="77777777" w:rsidR="00FA6A1F" w:rsidRPr="00181C5C" w:rsidRDefault="00FA6A1F" w:rsidP="002F1E1F">
            <w:pPr>
              <w:pStyle w:val="TableText"/>
            </w:pPr>
            <w:r w:rsidRPr="00181C5C">
              <w:fldChar w:fldCharType="begin">
                <w:ffData>
                  <w:name w:val="Text2"/>
                  <w:enabled/>
                  <w:calcOnExit w:val="0"/>
                  <w:textInput/>
                </w:ffData>
              </w:fldChar>
            </w:r>
            <w:r w:rsidRPr="00181C5C">
              <w:instrText xml:space="preserve"> FORMTEXT </w:instrText>
            </w:r>
            <w:r w:rsidRPr="00181C5C">
              <w:fldChar w:fldCharType="separate"/>
            </w:r>
            <w:r w:rsidRPr="00181C5C">
              <w:rPr>
                <w:noProof/>
              </w:rPr>
              <w:t> </w:t>
            </w:r>
            <w:r w:rsidRPr="00181C5C">
              <w:rPr>
                <w:noProof/>
              </w:rPr>
              <w:t> </w:t>
            </w:r>
            <w:r w:rsidRPr="00181C5C">
              <w:rPr>
                <w:noProof/>
              </w:rPr>
              <w:t> </w:t>
            </w:r>
            <w:r w:rsidRPr="00181C5C">
              <w:rPr>
                <w:noProof/>
              </w:rPr>
              <w:t> </w:t>
            </w:r>
            <w:r w:rsidRPr="00181C5C">
              <w:rPr>
                <w:noProof/>
              </w:rPr>
              <w:t> </w:t>
            </w:r>
            <w:r w:rsidRPr="00181C5C">
              <w:fldChar w:fldCharType="end"/>
            </w:r>
          </w:p>
        </w:tc>
      </w:tr>
    </w:tbl>
    <w:p w14:paraId="4F66557D" w14:textId="77777777" w:rsidR="00FA6A1F" w:rsidRPr="00C9524D" w:rsidRDefault="00FA6A1F" w:rsidP="002F1E1F"/>
    <w:p w14:paraId="4F66557E" w14:textId="77777777" w:rsidR="00FA6A1F" w:rsidRDefault="00FA6A1F" w:rsidP="005F4F5E">
      <w:pPr>
        <w:pStyle w:val="Number"/>
        <w:numPr>
          <w:ilvl w:val="2"/>
          <w:numId w:val="7"/>
        </w:numPr>
        <w:spacing w:after="120" w:line="264" w:lineRule="auto"/>
      </w:pPr>
      <w:r w:rsidRPr="00C9524D">
        <w:t xml:space="preserve">Does the draft </w:t>
      </w:r>
      <w:r>
        <w:t>s</w:t>
      </w:r>
      <w:r w:rsidRPr="00C9524D">
        <w:t xml:space="preserve">trategic </w:t>
      </w:r>
      <w:r>
        <w:t>p</w:t>
      </w:r>
      <w:r w:rsidRPr="00C9524D">
        <w:t>lan adequately reflect changes in the gambling environment?</w:t>
      </w:r>
    </w:p>
    <w:p w14:paraId="4F66557F" w14:textId="77777777" w:rsidR="00FA6A1F" w:rsidRDefault="00FA6A1F" w:rsidP="002F1E1F">
      <w:pPr>
        <w:tabs>
          <w:tab w:val="left" w:pos="993"/>
          <w:tab w:val="left" w:pos="1701"/>
          <w:tab w:val="left" w:pos="2127"/>
        </w:tabs>
        <w:spacing w:after="120"/>
        <w:ind w:left="567"/>
      </w:pPr>
      <w:r w:rsidRPr="00C9524D">
        <w:fldChar w:fldCharType="begin">
          <w:ffData>
            <w:name w:val="Check1"/>
            <w:enabled/>
            <w:calcOnExit w:val="0"/>
            <w:checkBox>
              <w:sizeAuto/>
              <w:default w:val="0"/>
            </w:checkBox>
          </w:ffData>
        </w:fldChar>
      </w:r>
      <w:r w:rsidRPr="00C9524D">
        <w:instrText xml:space="preserve"> FORMCHECKBOX </w:instrText>
      </w:r>
      <w:r w:rsidR="00D90DAF">
        <w:fldChar w:fldCharType="separate"/>
      </w:r>
      <w:r w:rsidRPr="00C9524D">
        <w:fldChar w:fldCharType="end"/>
      </w:r>
      <w:r w:rsidRPr="00C9524D">
        <w:tab/>
        <w:t>Yes</w:t>
      </w:r>
      <w:r w:rsidRPr="00C9524D">
        <w:tab/>
      </w:r>
      <w:r w:rsidRPr="00C9524D">
        <w:fldChar w:fldCharType="begin">
          <w:ffData>
            <w:name w:val="Check1"/>
            <w:enabled/>
            <w:calcOnExit w:val="0"/>
            <w:checkBox>
              <w:sizeAuto/>
              <w:default w:val="0"/>
            </w:checkBox>
          </w:ffData>
        </w:fldChar>
      </w:r>
      <w:r w:rsidRPr="00C9524D">
        <w:instrText xml:space="preserve"> FORMCHECKBOX </w:instrText>
      </w:r>
      <w:r w:rsidR="00D90DAF">
        <w:fldChar w:fldCharType="separate"/>
      </w:r>
      <w:r w:rsidRPr="00C9524D">
        <w:fldChar w:fldCharType="end"/>
      </w:r>
      <w:r w:rsidRPr="00C9524D">
        <w:tab/>
        <w:t>No. If not</w:t>
      </w:r>
      <w:r>
        <w:t>,</w:t>
      </w:r>
      <w:r w:rsidRPr="00C9524D">
        <w:t xml:space="preserve"> what else should be included and why?</w:t>
      </w:r>
    </w:p>
    <w:tbl>
      <w:tblPr>
        <w:tblW w:w="0" w:type="auto"/>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Layout w:type="fixed"/>
        <w:tblLook w:val="04A0" w:firstRow="1" w:lastRow="0" w:firstColumn="1" w:lastColumn="0" w:noHBand="0" w:noVBand="1"/>
      </w:tblPr>
      <w:tblGrid>
        <w:gridCol w:w="7513"/>
      </w:tblGrid>
      <w:tr w:rsidR="00FA6A1F" w:rsidRPr="00181C5C" w14:paraId="4F665581" w14:textId="77777777" w:rsidTr="002F1E1F">
        <w:trPr>
          <w:cantSplit/>
          <w:trHeight w:val="1134"/>
        </w:trPr>
        <w:tc>
          <w:tcPr>
            <w:tcW w:w="7513" w:type="dxa"/>
          </w:tcPr>
          <w:p w14:paraId="4F665580" w14:textId="77777777" w:rsidR="00FA6A1F" w:rsidRPr="00181C5C" w:rsidRDefault="00FA6A1F" w:rsidP="002F1E1F">
            <w:pPr>
              <w:pStyle w:val="TableText"/>
            </w:pPr>
            <w:r w:rsidRPr="00181C5C">
              <w:fldChar w:fldCharType="begin">
                <w:ffData>
                  <w:name w:val="Text2"/>
                  <w:enabled/>
                  <w:calcOnExit w:val="0"/>
                  <w:textInput/>
                </w:ffData>
              </w:fldChar>
            </w:r>
            <w:r w:rsidRPr="00181C5C">
              <w:instrText xml:space="preserve"> FORMTEXT </w:instrText>
            </w:r>
            <w:r w:rsidRPr="00181C5C">
              <w:fldChar w:fldCharType="separate"/>
            </w:r>
            <w:r w:rsidRPr="00181C5C">
              <w:rPr>
                <w:noProof/>
              </w:rPr>
              <w:t> </w:t>
            </w:r>
            <w:r w:rsidRPr="00181C5C">
              <w:rPr>
                <w:noProof/>
              </w:rPr>
              <w:t> </w:t>
            </w:r>
            <w:r w:rsidRPr="00181C5C">
              <w:rPr>
                <w:noProof/>
              </w:rPr>
              <w:t> </w:t>
            </w:r>
            <w:r w:rsidRPr="00181C5C">
              <w:rPr>
                <w:noProof/>
              </w:rPr>
              <w:t> </w:t>
            </w:r>
            <w:r w:rsidRPr="00181C5C">
              <w:rPr>
                <w:noProof/>
              </w:rPr>
              <w:t> </w:t>
            </w:r>
            <w:r w:rsidRPr="00181C5C">
              <w:fldChar w:fldCharType="end"/>
            </w:r>
          </w:p>
        </w:tc>
      </w:tr>
    </w:tbl>
    <w:p w14:paraId="4F665582" w14:textId="77777777" w:rsidR="00FA6A1F" w:rsidRPr="00C9524D" w:rsidRDefault="00FA6A1F" w:rsidP="00FA6A1F"/>
    <w:p w14:paraId="4F665583" w14:textId="77777777" w:rsidR="00FA6A1F" w:rsidRDefault="00FA6A1F" w:rsidP="005F4F5E">
      <w:pPr>
        <w:pStyle w:val="Number"/>
        <w:keepNext/>
        <w:numPr>
          <w:ilvl w:val="2"/>
          <w:numId w:val="7"/>
        </w:numPr>
        <w:spacing w:after="120" w:line="264" w:lineRule="auto"/>
      </w:pPr>
      <w:r w:rsidRPr="008C661B">
        <w:lastRenderedPageBreak/>
        <w:t>Do you have any comments to make on the priority populations</w:t>
      </w:r>
      <w:r>
        <w:t>,</w:t>
      </w:r>
      <w:r w:rsidRPr="008C661B">
        <w:t xml:space="preserve"> including how we will address inequities?</w:t>
      </w:r>
    </w:p>
    <w:p w14:paraId="4F665584" w14:textId="77777777" w:rsidR="00FA6A1F" w:rsidRPr="00C9524D" w:rsidRDefault="00FA6A1F" w:rsidP="002F1E1F">
      <w:pPr>
        <w:keepNext/>
        <w:tabs>
          <w:tab w:val="left" w:pos="993"/>
          <w:tab w:val="left" w:pos="6237"/>
          <w:tab w:val="left" w:pos="6663"/>
        </w:tabs>
        <w:spacing w:before="60" w:after="120"/>
        <w:ind w:left="567"/>
      </w:pPr>
      <w:r w:rsidRPr="00C9524D">
        <w:fldChar w:fldCharType="begin">
          <w:ffData>
            <w:name w:val="Check1"/>
            <w:enabled/>
            <w:calcOnExit w:val="0"/>
            <w:checkBox>
              <w:sizeAuto/>
              <w:default w:val="0"/>
            </w:checkBox>
          </w:ffData>
        </w:fldChar>
      </w:r>
      <w:r w:rsidRPr="00C9524D">
        <w:instrText xml:space="preserve"> FORMCHECKBOX </w:instrText>
      </w:r>
      <w:r w:rsidR="00D90DAF">
        <w:fldChar w:fldCharType="separate"/>
      </w:r>
      <w:r w:rsidRPr="00C9524D">
        <w:fldChar w:fldCharType="end"/>
      </w:r>
      <w:r w:rsidRPr="00C9524D">
        <w:tab/>
        <w:t>Yes</w:t>
      </w:r>
    </w:p>
    <w:tbl>
      <w:tblPr>
        <w:tblW w:w="0" w:type="auto"/>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Layout w:type="fixed"/>
        <w:tblLook w:val="04A0" w:firstRow="1" w:lastRow="0" w:firstColumn="1" w:lastColumn="0" w:noHBand="0" w:noVBand="1"/>
      </w:tblPr>
      <w:tblGrid>
        <w:gridCol w:w="7513"/>
      </w:tblGrid>
      <w:tr w:rsidR="00FA6A1F" w:rsidRPr="00181C5C" w14:paraId="4F665586" w14:textId="77777777" w:rsidTr="002F1E1F">
        <w:trPr>
          <w:cantSplit/>
          <w:trHeight w:val="1134"/>
        </w:trPr>
        <w:tc>
          <w:tcPr>
            <w:tcW w:w="7513" w:type="dxa"/>
          </w:tcPr>
          <w:p w14:paraId="4F665585" w14:textId="77777777" w:rsidR="00FA6A1F" w:rsidRPr="00181C5C" w:rsidRDefault="00FA6A1F" w:rsidP="002F1E1F">
            <w:pPr>
              <w:pStyle w:val="TableText"/>
            </w:pPr>
            <w:r w:rsidRPr="00181C5C">
              <w:fldChar w:fldCharType="begin">
                <w:ffData>
                  <w:name w:val="Text2"/>
                  <w:enabled/>
                  <w:calcOnExit w:val="0"/>
                  <w:textInput/>
                </w:ffData>
              </w:fldChar>
            </w:r>
            <w:r w:rsidRPr="00181C5C">
              <w:instrText xml:space="preserve"> FORMTEXT </w:instrText>
            </w:r>
            <w:r w:rsidRPr="00181C5C">
              <w:fldChar w:fldCharType="separate"/>
            </w:r>
            <w:r w:rsidRPr="00181C5C">
              <w:rPr>
                <w:noProof/>
              </w:rPr>
              <w:t> </w:t>
            </w:r>
            <w:r w:rsidRPr="00181C5C">
              <w:rPr>
                <w:noProof/>
              </w:rPr>
              <w:t> </w:t>
            </w:r>
            <w:r w:rsidRPr="00181C5C">
              <w:rPr>
                <w:noProof/>
              </w:rPr>
              <w:t> </w:t>
            </w:r>
            <w:r w:rsidRPr="00181C5C">
              <w:rPr>
                <w:noProof/>
              </w:rPr>
              <w:t> </w:t>
            </w:r>
            <w:r w:rsidRPr="00181C5C">
              <w:rPr>
                <w:noProof/>
              </w:rPr>
              <w:t> </w:t>
            </w:r>
            <w:r w:rsidRPr="00181C5C">
              <w:fldChar w:fldCharType="end"/>
            </w:r>
          </w:p>
        </w:tc>
      </w:tr>
    </w:tbl>
    <w:p w14:paraId="4F665587" w14:textId="77777777" w:rsidR="00FA6A1F" w:rsidRDefault="00FA6A1F" w:rsidP="002F1E1F"/>
    <w:p w14:paraId="4F665588" w14:textId="77777777" w:rsidR="008303C6" w:rsidRDefault="00FA6A1F" w:rsidP="005F4F5E">
      <w:pPr>
        <w:pStyle w:val="Number"/>
        <w:numPr>
          <w:ilvl w:val="2"/>
          <w:numId w:val="7"/>
        </w:numPr>
        <w:spacing w:after="120" w:line="264" w:lineRule="auto"/>
      </w:pPr>
      <w:r w:rsidRPr="008C661B">
        <w:t>Do you have any comment to make on the key shifts?</w:t>
      </w:r>
    </w:p>
    <w:p w14:paraId="4F665589" w14:textId="77777777" w:rsidR="00FA6A1F" w:rsidRPr="00C9524D" w:rsidRDefault="00FA6A1F" w:rsidP="002F1E1F">
      <w:pPr>
        <w:tabs>
          <w:tab w:val="left" w:pos="993"/>
          <w:tab w:val="left" w:pos="1701"/>
          <w:tab w:val="left" w:pos="2127"/>
        </w:tabs>
        <w:spacing w:after="120"/>
        <w:ind w:left="567"/>
      </w:pPr>
      <w:r w:rsidRPr="00C9524D">
        <w:fldChar w:fldCharType="begin">
          <w:ffData>
            <w:name w:val="Check1"/>
            <w:enabled/>
            <w:calcOnExit w:val="0"/>
            <w:checkBox>
              <w:sizeAuto/>
              <w:default w:val="0"/>
            </w:checkBox>
          </w:ffData>
        </w:fldChar>
      </w:r>
      <w:r w:rsidRPr="00C9524D">
        <w:instrText xml:space="preserve"> FORMCHECKBOX </w:instrText>
      </w:r>
      <w:r w:rsidR="00D90DAF">
        <w:fldChar w:fldCharType="separate"/>
      </w:r>
      <w:r w:rsidRPr="00C9524D">
        <w:fldChar w:fldCharType="end"/>
      </w:r>
      <w:r w:rsidRPr="00C9524D">
        <w:tab/>
        <w:t>Yes</w:t>
      </w:r>
    </w:p>
    <w:tbl>
      <w:tblPr>
        <w:tblW w:w="0" w:type="auto"/>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Layout w:type="fixed"/>
        <w:tblLook w:val="04A0" w:firstRow="1" w:lastRow="0" w:firstColumn="1" w:lastColumn="0" w:noHBand="0" w:noVBand="1"/>
      </w:tblPr>
      <w:tblGrid>
        <w:gridCol w:w="7513"/>
      </w:tblGrid>
      <w:tr w:rsidR="00FA6A1F" w:rsidRPr="00181C5C" w14:paraId="4F66558B" w14:textId="77777777" w:rsidTr="002F1E1F">
        <w:trPr>
          <w:cantSplit/>
          <w:trHeight w:val="1134"/>
        </w:trPr>
        <w:tc>
          <w:tcPr>
            <w:tcW w:w="7513" w:type="dxa"/>
          </w:tcPr>
          <w:p w14:paraId="4F66558A" w14:textId="77777777" w:rsidR="00FA6A1F" w:rsidRPr="00181C5C" w:rsidRDefault="00FA6A1F" w:rsidP="002F1E1F">
            <w:pPr>
              <w:pStyle w:val="TableText"/>
            </w:pPr>
            <w:r w:rsidRPr="00181C5C">
              <w:fldChar w:fldCharType="begin">
                <w:ffData>
                  <w:name w:val="Text2"/>
                  <w:enabled/>
                  <w:calcOnExit w:val="0"/>
                  <w:textInput/>
                </w:ffData>
              </w:fldChar>
            </w:r>
            <w:r w:rsidRPr="00181C5C">
              <w:instrText xml:space="preserve"> FORMTEXT </w:instrText>
            </w:r>
            <w:r w:rsidRPr="00181C5C">
              <w:fldChar w:fldCharType="separate"/>
            </w:r>
            <w:r w:rsidRPr="00181C5C">
              <w:rPr>
                <w:noProof/>
              </w:rPr>
              <w:t> </w:t>
            </w:r>
            <w:r w:rsidRPr="00181C5C">
              <w:rPr>
                <w:noProof/>
              </w:rPr>
              <w:t> </w:t>
            </w:r>
            <w:r w:rsidRPr="00181C5C">
              <w:rPr>
                <w:noProof/>
              </w:rPr>
              <w:t> </w:t>
            </w:r>
            <w:r w:rsidRPr="00181C5C">
              <w:rPr>
                <w:noProof/>
              </w:rPr>
              <w:t> </w:t>
            </w:r>
            <w:r w:rsidRPr="00181C5C">
              <w:rPr>
                <w:noProof/>
              </w:rPr>
              <w:t> </w:t>
            </w:r>
            <w:r w:rsidRPr="00181C5C">
              <w:fldChar w:fldCharType="end"/>
            </w:r>
          </w:p>
        </w:tc>
      </w:tr>
    </w:tbl>
    <w:p w14:paraId="4F66558C" w14:textId="77777777" w:rsidR="00FA6A1F" w:rsidRDefault="00FA6A1F" w:rsidP="002F1E1F"/>
    <w:p w14:paraId="4F66558D" w14:textId="77777777" w:rsidR="00FA6A1F" w:rsidRDefault="00FA6A1F" w:rsidP="002F1E1F">
      <w:pPr>
        <w:pStyle w:val="Heading4"/>
      </w:pPr>
      <w:bookmarkStart w:id="355" w:name="_Toc78882346"/>
      <w:r w:rsidRPr="00C9524D">
        <w:t xml:space="preserve">Service </w:t>
      </w:r>
      <w:r>
        <w:t>p</w:t>
      </w:r>
      <w:r w:rsidRPr="00C9524D">
        <w:t xml:space="preserve">lan and </w:t>
      </w:r>
      <w:r>
        <w:t>f</w:t>
      </w:r>
      <w:r w:rsidRPr="00C9524D">
        <w:t>unding</w:t>
      </w:r>
      <w:bookmarkEnd w:id="355"/>
    </w:p>
    <w:p w14:paraId="4F66558E" w14:textId="77777777" w:rsidR="00FA6A1F" w:rsidRDefault="00FA6A1F" w:rsidP="002F1E1F">
      <w:r w:rsidRPr="00411462">
        <w:t xml:space="preserve">The Gambling Act </w:t>
      </w:r>
      <w:r>
        <w:t xml:space="preserve">2003 </w:t>
      </w:r>
      <w:r w:rsidRPr="00411462">
        <w:t xml:space="preserve">requires the </w:t>
      </w:r>
      <w:r>
        <w:t>s</w:t>
      </w:r>
      <w:r w:rsidRPr="00411462">
        <w:t xml:space="preserve">ervice </w:t>
      </w:r>
      <w:r>
        <w:t>p</w:t>
      </w:r>
      <w:r w:rsidRPr="00411462">
        <w:t>lan and</w:t>
      </w:r>
      <w:r>
        <w:t>,</w:t>
      </w:r>
      <w:r w:rsidRPr="00411462">
        <w:t xml:space="preserve"> by implication</w:t>
      </w:r>
      <w:r>
        <w:t>,</w:t>
      </w:r>
      <w:r w:rsidRPr="00411462">
        <w:t xml:space="preserve"> the indicative budget appropriations to have a focus on public health. The legislation is not under consideration in this consultation.</w:t>
      </w:r>
    </w:p>
    <w:p w14:paraId="4F66558F" w14:textId="77777777" w:rsidR="002F1E1F" w:rsidRDefault="002F1E1F" w:rsidP="002F1E1F"/>
    <w:p w14:paraId="4F665590" w14:textId="77777777" w:rsidR="00FA6A1F" w:rsidRDefault="00FA6A1F" w:rsidP="002F1E1F">
      <w:r w:rsidRPr="00C9524D">
        <w:t xml:space="preserve">In terms of the content of the </w:t>
      </w:r>
      <w:r>
        <w:t>s</w:t>
      </w:r>
      <w:r w:rsidRPr="00C9524D">
        <w:t xml:space="preserve">ervice </w:t>
      </w:r>
      <w:r>
        <w:t>p</w:t>
      </w:r>
      <w:r w:rsidRPr="00C9524D">
        <w:t>lan and indicative budgets (</w:t>
      </w:r>
      <w:hyperlink w:anchor="_3_Draft_service" w:history="1">
        <w:r w:rsidR="00E5081A" w:rsidRPr="00E5081A">
          <w:rPr>
            <w:rStyle w:val="Hyperlink"/>
          </w:rPr>
          <w:t>section 3</w:t>
        </w:r>
      </w:hyperlink>
      <w:r w:rsidRPr="00C9524D">
        <w:t>)</w:t>
      </w:r>
      <w:r>
        <w:t>:</w:t>
      </w:r>
    </w:p>
    <w:p w14:paraId="4F665591" w14:textId="77777777" w:rsidR="00FA6A1F" w:rsidRPr="00C9524D" w:rsidRDefault="00FA6A1F" w:rsidP="005F4F5E">
      <w:pPr>
        <w:pStyle w:val="Number"/>
        <w:numPr>
          <w:ilvl w:val="2"/>
          <w:numId w:val="7"/>
        </w:numPr>
        <w:spacing w:after="120" w:line="264" w:lineRule="auto"/>
      </w:pPr>
      <w:r w:rsidRPr="00C9524D">
        <w:t xml:space="preserve">Does the draft </w:t>
      </w:r>
      <w:r>
        <w:t>s</w:t>
      </w:r>
      <w:r w:rsidRPr="00C9524D">
        <w:t xml:space="preserve">ervice </w:t>
      </w:r>
      <w:r>
        <w:t>p</w:t>
      </w:r>
      <w:r w:rsidRPr="00C9524D">
        <w:t>lan adequately cover what it needs to cover, for example</w:t>
      </w:r>
      <w:r>
        <w:t>,</w:t>
      </w:r>
      <w:r w:rsidRPr="00C9524D">
        <w:t xml:space="preserve"> does it include the right types of services and activities?</w:t>
      </w:r>
    </w:p>
    <w:p w14:paraId="4F665592" w14:textId="77777777" w:rsidR="00FA6A1F" w:rsidRPr="00C9524D" w:rsidRDefault="00FA6A1F" w:rsidP="002F1E1F">
      <w:pPr>
        <w:tabs>
          <w:tab w:val="left" w:pos="993"/>
          <w:tab w:val="left" w:pos="1701"/>
          <w:tab w:val="left" w:pos="2127"/>
        </w:tabs>
        <w:spacing w:after="120"/>
        <w:ind w:left="567"/>
      </w:pPr>
      <w:r w:rsidRPr="00C9524D">
        <w:rPr>
          <w:rFonts w:cs="Arial"/>
        </w:rPr>
        <w:fldChar w:fldCharType="begin">
          <w:ffData>
            <w:name w:val="Check1"/>
            <w:enabled/>
            <w:calcOnExit w:val="0"/>
            <w:checkBox>
              <w:sizeAuto/>
              <w:default w:val="0"/>
            </w:checkBox>
          </w:ffData>
        </w:fldChar>
      </w:r>
      <w:r w:rsidRPr="00C9524D">
        <w:rPr>
          <w:rFonts w:cs="Arial"/>
        </w:rPr>
        <w:instrText xml:space="preserve"> FORMCHECKBOX </w:instrText>
      </w:r>
      <w:r w:rsidR="00D90DAF">
        <w:rPr>
          <w:rFonts w:cs="Arial"/>
        </w:rPr>
      </w:r>
      <w:r w:rsidR="00D90DAF">
        <w:rPr>
          <w:rFonts w:cs="Arial"/>
        </w:rPr>
        <w:fldChar w:fldCharType="separate"/>
      </w:r>
      <w:r w:rsidRPr="00C9524D">
        <w:rPr>
          <w:rFonts w:cs="Arial"/>
        </w:rPr>
        <w:fldChar w:fldCharType="end"/>
      </w:r>
      <w:r w:rsidRPr="00C9524D">
        <w:rPr>
          <w:rFonts w:cs="Arial"/>
        </w:rPr>
        <w:tab/>
        <w:t>Yes</w:t>
      </w:r>
      <w:r w:rsidRPr="00C9524D">
        <w:rPr>
          <w:rFonts w:cs="Arial"/>
        </w:rPr>
        <w:tab/>
      </w:r>
      <w:r w:rsidRPr="00C9524D">
        <w:rPr>
          <w:rFonts w:cs="Arial"/>
        </w:rPr>
        <w:fldChar w:fldCharType="begin">
          <w:ffData>
            <w:name w:val="Check1"/>
            <w:enabled/>
            <w:calcOnExit w:val="0"/>
            <w:checkBox>
              <w:sizeAuto/>
              <w:default w:val="0"/>
            </w:checkBox>
          </w:ffData>
        </w:fldChar>
      </w:r>
      <w:r w:rsidRPr="00C9524D">
        <w:rPr>
          <w:rFonts w:cs="Arial"/>
        </w:rPr>
        <w:instrText xml:space="preserve"> FORMCHECKBOX </w:instrText>
      </w:r>
      <w:r w:rsidR="00D90DAF">
        <w:rPr>
          <w:rFonts w:cs="Arial"/>
        </w:rPr>
      </w:r>
      <w:r w:rsidR="00D90DAF">
        <w:rPr>
          <w:rFonts w:cs="Arial"/>
        </w:rPr>
        <w:fldChar w:fldCharType="separate"/>
      </w:r>
      <w:r w:rsidRPr="00C9524D">
        <w:rPr>
          <w:rFonts w:cs="Arial"/>
        </w:rPr>
        <w:fldChar w:fldCharType="end"/>
      </w:r>
      <w:r w:rsidRPr="00C9524D">
        <w:rPr>
          <w:rFonts w:cs="Arial"/>
        </w:rPr>
        <w:tab/>
        <w:t xml:space="preserve">No. </w:t>
      </w:r>
      <w:r w:rsidRPr="00C9524D">
        <w:t>If not, what is not adequately covered and why?</w:t>
      </w:r>
    </w:p>
    <w:tbl>
      <w:tblPr>
        <w:tblW w:w="0" w:type="auto"/>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Layout w:type="fixed"/>
        <w:tblLook w:val="04A0" w:firstRow="1" w:lastRow="0" w:firstColumn="1" w:lastColumn="0" w:noHBand="0" w:noVBand="1"/>
      </w:tblPr>
      <w:tblGrid>
        <w:gridCol w:w="7513"/>
      </w:tblGrid>
      <w:tr w:rsidR="00FA6A1F" w:rsidRPr="00181C5C" w14:paraId="4F665594" w14:textId="77777777" w:rsidTr="002F1E1F">
        <w:trPr>
          <w:cantSplit/>
          <w:trHeight w:val="1134"/>
        </w:trPr>
        <w:tc>
          <w:tcPr>
            <w:tcW w:w="7513" w:type="dxa"/>
          </w:tcPr>
          <w:p w14:paraId="4F665593" w14:textId="77777777" w:rsidR="00FA6A1F" w:rsidRPr="00181C5C" w:rsidRDefault="00FA6A1F" w:rsidP="002F1E1F">
            <w:pPr>
              <w:pStyle w:val="TableText"/>
            </w:pPr>
            <w:r w:rsidRPr="00181C5C">
              <w:fldChar w:fldCharType="begin">
                <w:ffData>
                  <w:name w:val="Text2"/>
                  <w:enabled/>
                  <w:calcOnExit w:val="0"/>
                  <w:textInput/>
                </w:ffData>
              </w:fldChar>
            </w:r>
            <w:r w:rsidRPr="00181C5C">
              <w:instrText xml:space="preserve"> FORMTEXT </w:instrText>
            </w:r>
            <w:r w:rsidRPr="00181C5C">
              <w:fldChar w:fldCharType="separate"/>
            </w:r>
            <w:r w:rsidRPr="00181C5C">
              <w:rPr>
                <w:noProof/>
              </w:rPr>
              <w:t> </w:t>
            </w:r>
            <w:r w:rsidRPr="00181C5C">
              <w:rPr>
                <w:noProof/>
              </w:rPr>
              <w:t> </w:t>
            </w:r>
            <w:r w:rsidRPr="00181C5C">
              <w:rPr>
                <w:noProof/>
              </w:rPr>
              <w:t> </w:t>
            </w:r>
            <w:r w:rsidRPr="00181C5C">
              <w:rPr>
                <w:noProof/>
              </w:rPr>
              <w:t> </w:t>
            </w:r>
            <w:r w:rsidRPr="00181C5C">
              <w:rPr>
                <w:noProof/>
              </w:rPr>
              <w:t> </w:t>
            </w:r>
            <w:r w:rsidRPr="00181C5C">
              <w:fldChar w:fldCharType="end"/>
            </w:r>
          </w:p>
        </w:tc>
      </w:tr>
    </w:tbl>
    <w:p w14:paraId="4F665595" w14:textId="77777777" w:rsidR="00FA6A1F" w:rsidRDefault="00FA6A1F" w:rsidP="00FA6A1F"/>
    <w:p w14:paraId="4F665596" w14:textId="77777777" w:rsidR="00FA6A1F" w:rsidRPr="008C661B" w:rsidRDefault="00FA6A1F" w:rsidP="005F4F5E">
      <w:pPr>
        <w:pStyle w:val="Number"/>
        <w:numPr>
          <w:ilvl w:val="2"/>
          <w:numId w:val="7"/>
        </w:numPr>
        <w:spacing w:after="120" w:line="264" w:lineRule="auto"/>
      </w:pPr>
      <w:r w:rsidRPr="008C661B">
        <w:t>Do you consider the proposed funding mix for services and supports appropriate?</w:t>
      </w:r>
    </w:p>
    <w:p w14:paraId="4F665597" w14:textId="77777777" w:rsidR="00FA6A1F" w:rsidRPr="00C9524D" w:rsidRDefault="00FA6A1F" w:rsidP="002F1E1F">
      <w:pPr>
        <w:pStyle w:val="Number"/>
        <w:numPr>
          <w:ilvl w:val="0"/>
          <w:numId w:val="0"/>
        </w:numPr>
        <w:tabs>
          <w:tab w:val="left" w:pos="993"/>
          <w:tab w:val="left" w:pos="1701"/>
          <w:tab w:val="left" w:pos="2127"/>
        </w:tabs>
        <w:spacing w:before="0" w:after="120"/>
        <w:ind w:left="567"/>
      </w:pPr>
      <w:r w:rsidRPr="00C9524D">
        <w:fldChar w:fldCharType="begin">
          <w:ffData>
            <w:name w:val="Check1"/>
            <w:enabled/>
            <w:calcOnExit w:val="0"/>
            <w:checkBox>
              <w:sizeAuto/>
              <w:default w:val="0"/>
            </w:checkBox>
          </w:ffData>
        </w:fldChar>
      </w:r>
      <w:r w:rsidRPr="00C9524D">
        <w:instrText xml:space="preserve"> FORMCHECKBOX </w:instrText>
      </w:r>
      <w:r w:rsidR="00D90DAF">
        <w:fldChar w:fldCharType="separate"/>
      </w:r>
      <w:r w:rsidRPr="00C9524D">
        <w:fldChar w:fldCharType="end"/>
      </w:r>
      <w:r w:rsidRPr="00C9524D">
        <w:tab/>
        <w:t>Yes</w:t>
      </w:r>
      <w:r w:rsidRPr="00C9524D">
        <w:tab/>
      </w:r>
      <w:r w:rsidRPr="00C9524D">
        <w:fldChar w:fldCharType="begin">
          <w:ffData>
            <w:name w:val="Check1"/>
            <w:enabled/>
            <w:calcOnExit w:val="0"/>
            <w:checkBox>
              <w:sizeAuto/>
              <w:default w:val="0"/>
            </w:checkBox>
          </w:ffData>
        </w:fldChar>
      </w:r>
      <w:r w:rsidRPr="00C9524D">
        <w:instrText xml:space="preserve"> FORMCHECKBOX </w:instrText>
      </w:r>
      <w:r w:rsidR="00D90DAF">
        <w:fldChar w:fldCharType="separate"/>
      </w:r>
      <w:r w:rsidRPr="00C9524D">
        <w:fldChar w:fldCharType="end"/>
      </w:r>
      <w:r w:rsidRPr="00C9524D">
        <w:tab/>
        <w:t>No. If not, what changes should be made and why?</w:t>
      </w:r>
    </w:p>
    <w:tbl>
      <w:tblPr>
        <w:tblW w:w="0" w:type="auto"/>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Layout w:type="fixed"/>
        <w:tblLook w:val="04A0" w:firstRow="1" w:lastRow="0" w:firstColumn="1" w:lastColumn="0" w:noHBand="0" w:noVBand="1"/>
      </w:tblPr>
      <w:tblGrid>
        <w:gridCol w:w="7513"/>
      </w:tblGrid>
      <w:tr w:rsidR="00FA6A1F" w:rsidRPr="00181C5C" w14:paraId="4F665599" w14:textId="77777777" w:rsidTr="002F1E1F">
        <w:trPr>
          <w:cantSplit/>
          <w:trHeight w:val="1134"/>
        </w:trPr>
        <w:tc>
          <w:tcPr>
            <w:tcW w:w="7513" w:type="dxa"/>
          </w:tcPr>
          <w:p w14:paraId="4F665598" w14:textId="77777777" w:rsidR="00FA6A1F" w:rsidRPr="00181C5C" w:rsidRDefault="00FA6A1F" w:rsidP="002F1E1F">
            <w:pPr>
              <w:pStyle w:val="TableText"/>
            </w:pPr>
            <w:r w:rsidRPr="00181C5C">
              <w:fldChar w:fldCharType="begin">
                <w:ffData>
                  <w:name w:val="Text2"/>
                  <w:enabled/>
                  <w:calcOnExit w:val="0"/>
                  <w:textInput/>
                </w:ffData>
              </w:fldChar>
            </w:r>
            <w:r w:rsidRPr="00181C5C">
              <w:instrText xml:space="preserve"> FORMTEXT </w:instrText>
            </w:r>
            <w:r w:rsidRPr="00181C5C">
              <w:fldChar w:fldCharType="separate"/>
            </w:r>
            <w:r w:rsidRPr="00181C5C">
              <w:rPr>
                <w:noProof/>
              </w:rPr>
              <w:t> </w:t>
            </w:r>
            <w:r w:rsidRPr="00181C5C">
              <w:rPr>
                <w:noProof/>
              </w:rPr>
              <w:t> </w:t>
            </w:r>
            <w:r w:rsidRPr="00181C5C">
              <w:rPr>
                <w:noProof/>
              </w:rPr>
              <w:t> </w:t>
            </w:r>
            <w:r w:rsidRPr="00181C5C">
              <w:rPr>
                <w:noProof/>
              </w:rPr>
              <w:t> </w:t>
            </w:r>
            <w:r w:rsidRPr="00181C5C">
              <w:rPr>
                <w:noProof/>
              </w:rPr>
              <w:t> </w:t>
            </w:r>
            <w:r w:rsidRPr="00181C5C">
              <w:fldChar w:fldCharType="end"/>
            </w:r>
          </w:p>
        </w:tc>
      </w:tr>
    </w:tbl>
    <w:p w14:paraId="4F66559A" w14:textId="77777777" w:rsidR="00FA6A1F" w:rsidRDefault="00FA6A1F" w:rsidP="00FA6A1F"/>
    <w:p w14:paraId="4F66559B" w14:textId="77777777" w:rsidR="008303C6" w:rsidRDefault="00FA6A1F" w:rsidP="005F4F5E">
      <w:pPr>
        <w:pStyle w:val="Number"/>
        <w:keepNext/>
        <w:numPr>
          <w:ilvl w:val="2"/>
          <w:numId w:val="7"/>
        </w:numPr>
        <w:spacing w:after="120" w:line="264" w:lineRule="auto"/>
      </w:pPr>
      <w:r w:rsidRPr="008C661B">
        <w:lastRenderedPageBreak/>
        <w:t>Do you agree with the proposed new services (including the de</w:t>
      </w:r>
      <w:r>
        <w:t>-</w:t>
      </w:r>
      <w:r w:rsidRPr="008C661B">
        <w:t>stigmatisation initiative), innovations pilots and investments?</w:t>
      </w:r>
    </w:p>
    <w:p w14:paraId="4F66559C" w14:textId="77777777" w:rsidR="00FA6A1F" w:rsidRPr="00BE57BF" w:rsidRDefault="00FA6A1F" w:rsidP="002F1E1F">
      <w:pPr>
        <w:keepNext/>
        <w:tabs>
          <w:tab w:val="left" w:pos="993"/>
          <w:tab w:val="left" w:pos="1701"/>
          <w:tab w:val="left" w:pos="2127"/>
        </w:tabs>
        <w:spacing w:after="120"/>
        <w:ind w:left="567"/>
        <w:rPr>
          <w:spacing w:val="-4"/>
        </w:rPr>
      </w:pPr>
      <w:r w:rsidRPr="00C9524D">
        <w:rPr>
          <w:rFonts w:cs="Arial"/>
        </w:rPr>
        <w:fldChar w:fldCharType="begin">
          <w:ffData>
            <w:name w:val="Check1"/>
            <w:enabled/>
            <w:calcOnExit w:val="0"/>
            <w:checkBox>
              <w:sizeAuto/>
              <w:default w:val="0"/>
            </w:checkBox>
          </w:ffData>
        </w:fldChar>
      </w:r>
      <w:r w:rsidRPr="00C9524D">
        <w:rPr>
          <w:rFonts w:cs="Arial"/>
        </w:rPr>
        <w:instrText xml:space="preserve"> FORMCHECKBOX </w:instrText>
      </w:r>
      <w:r w:rsidR="00D90DAF">
        <w:rPr>
          <w:rFonts w:cs="Arial"/>
        </w:rPr>
      </w:r>
      <w:r w:rsidR="00D90DAF">
        <w:rPr>
          <w:rFonts w:cs="Arial"/>
        </w:rPr>
        <w:fldChar w:fldCharType="separate"/>
      </w:r>
      <w:r w:rsidRPr="00C9524D">
        <w:rPr>
          <w:rFonts w:cs="Arial"/>
        </w:rPr>
        <w:fldChar w:fldCharType="end"/>
      </w:r>
      <w:r w:rsidRPr="00C9524D">
        <w:rPr>
          <w:rFonts w:cs="Arial"/>
        </w:rPr>
        <w:tab/>
        <w:t>Yes</w:t>
      </w:r>
      <w:r w:rsidRPr="00C9524D">
        <w:rPr>
          <w:rFonts w:cs="Arial"/>
        </w:rPr>
        <w:tab/>
      </w:r>
      <w:r w:rsidRPr="00C9524D">
        <w:rPr>
          <w:rFonts w:cs="Arial"/>
        </w:rPr>
        <w:fldChar w:fldCharType="begin">
          <w:ffData>
            <w:name w:val="Check1"/>
            <w:enabled/>
            <w:calcOnExit w:val="0"/>
            <w:checkBox>
              <w:sizeAuto/>
              <w:default w:val="0"/>
            </w:checkBox>
          </w:ffData>
        </w:fldChar>
      </w:r>
      <w:r w:rsidRPr="00C9524D">
        <w:rPr>
          <w:rFonts w:cs="Arial"/>
        </w:rPr>
        <w:instrText xml:space="preserve"> FORMCHECKBOX </w:instrText>
      </w:r>
      <w:r w:rsidR="00D90DAF">
        <w:rPr>
          <w:rFonts w:cs="Arial"/>
        </w:rPr>
      </w:r>
      <w:r w:rsidR="00D90DAF">
        <w:rPr>
          <w:rFonts w:cs="Arial"/>
        </w:rPr>
        <w:fldChar w:fldCharType="separate"/>
      </w:r>
      <w:r w:rsidRPr="00C9524D">
        <w:rPr>
          <w:rFonts w:cs="Arial"/>
        </w:rPr>
        <w:fldChar w:fldCharType="end"/>
      </w:r>
      <w:r w:rsidRPr="00C9524D">
        <w:rPr>
          <w:rFonts w:cs="Arial"/>
        </w:rPr>
        <w:tab/>
      </w:r>
      <w:r w:rsidRPr="00BE57BF">
        <w:rPr>
          <w:rFonts w:cs="Arial"/>
          <w:spacing w:val="-4"/>
        </w:rPr>
        <w:t>No.</w:t>
      </w:r>
      <w:r>
        <w:rPr>
          <w:rFonts w:cs="Arial"/>
          <w:spacing w:val="-4"/>
        </w:rPr>
        <w:t xml:space="preserve"> </w:t>
      </w:r>
      <w:r w:rsidRPr="00C9524D">
        <w:t>If not, what changes should be made and why?</w:t>
      </w:r>
    </w:p>
    <w:tbl>
      <w:tblPr>
        <w:tblW w:w="0" w:type="auto"/>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Layout w:type="fixed"/>
        <w:tblLook w:val="04A0" w:firstRow="1" w:lastRow="0" w:firstColumn="1" w:lastColumn="0" w:noHBand="0" w:noVBand="1"/>
      </w:tblPr>
      <w:tblGrid>
        <w:gridCol w:w="7513"/>
      </w:tblGrid>
      <w:tr w:rsidR="00FA6A1F" w:rsidRPr="00181C5C" w14:paraId="4F66559E" w14:textId="77777777" w:rsidTr="002F1E1F">
        <w:trPr>
          <w:cantSplit/>
          <w:trHeight w:val="1134"/>
        </w:trPr>
        <w:tc>
          <w:tcPr>
            <w:tcW w:w="7513" w:type="dxa"/>
          </w:tcPr>
          <w:p w14:paraId="4F66559D" w14:textId="77777777" w:rsidR="00FA6A1F" w:rsidRPr="00181C5C" w:rsidRDefault="00FA6A1F" w:rsidP="002F1E1F">
            <w:pPr>
              <w:pStyle w:val="TableText"/>
            </w:pPr>
            <w:r w:rsidRPr="00181C5C">
              <w:fldChar w:fldCharType="begin">
                <w:ffData>
                  <w:name w:val="Text2"/>
                  <w:enabled/>
                  <w:calcOnExit w:val="0"/>
                  <w:textInput/>
                </w:ffData>
              </w:fldChar>
            </w:r>
            <w:r w:rsidRPr="00181C5C">
              <w:instrText xml:space="preserve"> FORMTEXT </w:instrText>
            </w:r>
            <w:r w:rsidRPr="00181C5C">
              <w:fldChar w:fldCharType="separate"/>
            </w:r>
            <w:r w:rsidRPr="00181C5C">
              <w:rPr>
                <w:noProof/>
              </w:rPr>
              <w:t> </w:t>
            </w:r>
            <w:r w:rsidRPr="00181C5C">
              <w:rPr>
                <w:noProof/>
              </w:rPr>
              <w:t> </w:t>
            </w:r>
            <w:r w:rsidRPr="00181C5C">
              <w:rPr>
                <w:noProof/>
              </w:rPr>
              <w:t> </w:t>
            </w:r>
            <w:r w:rsidRPr="00181C5C">
              <w:rPr>
                <w:noProof/>
              </w:rPr>
              <w:t> </w:t>
            </w:r>
            <w:r w:rsidRPr="00181C5C">
              <w:rPr>
                <w:noProof/>
              </w:rPr>
              <w:t> </w:t>
            </w:r>
            <w:r w:rsidRPr="00181C5C">
              <w:fldChar w:fldCharType="end"/>
            </w:r>
          </w:p>
        </w:tc>
      </w:tr>
    </w:tbl>
    <w:p w14:paraId="4F66559F" w14:textId="77777777" w:rsidR="00FA6A1F" w:rsidRDefault="00FA6A1F" w:rsidP="002F1E1F"/>
    <w:p w14:paraId="4F6655A0" w14:textId="77777777" w:rsidR="008303C6" w:rsidRDefault="00FA6A1F" w:rsidP="005F4F5E">
      <w:pPr>
        <w:pStyle w:val="Number"/>
        <w:numPr>
          <w:ilvl w:val="2"/>
          <w:numId w:val="7"/>
        </w:numPr>
        <w:spacing w:after="120" w:line="264" w:lineRule="auto"/>
      </w:pPr>
      <w:r w:rsidRPr="008C661B">
        <w:t>Do you agree with the priorities for research and evaluation that have been outlined</w:t>
      </w:r>
      <w:r>
        <w:t xml:space="preserve"> in the draft service plan</w:t>
      </w:r>
      <w:r w:rsidRPr="008C661B">
        <w:t>?</w:t>
      </w:r>
    </w:p>
    <w:p w14:paraId="4F6655A1" w14:textId="77777777" w:rsidR="00FA6A1F" w:rsidRPr="008C661B" w:rsidRDefault="00FA6A1F" w:rsidP="002F1E1F">
      <w:pPr>
        <w:pStyle w:val="Number"/>
        <w:numPr>
          <w:ilvl w:val="0"/>
          <w:numId w:val="0"/>
        </w:numPr>
        <w:tabs>
          <w:tab w:val="left" w:pos="993"/>
          <w:tab w:val="left" w:pos="1701"/>
          <w:tab w:val="left" w:pos="2127"/>
          <w:tab w:val="left" w:pos="7513"/>
          <w:tab w:val="left" w:pos="7938"/>
        </w:tabs>
        <w:spacing w:before="0" w:after="120"/>
        <w:ind w:left="567"/>
        <w:rPr>
          <w:rFonts w:cs="Arial"/>
        </w:rPr>
      </w:pPr>
      <w:r w:rsidRPr="008C661B">
        <w:rPr>
          <w:rFonts w:cs="Arial"/>
        </w:rPr>
        <w:fldChar w:fldCharType="begin">
          <w:ffData>
            <w:name w:val="Check1"/>
            <w:enabled/>
            <w:calcOnExit w:val="0"/>
            <w:checkBox>
              <w:sizeAuto/>
              <w:default w:val="0"/>
            </w:checkBox>
          </w:ffData>
        </w:fldChar>
      </w:r>
      <w:r w:rsidRPr="008C661B">
        <w:rPr>
          <w:rFonts w:cs="Arial"/>
        </w:rPr>
        <w:instrText xml:space="preserve"> FORMCHECKBOX </w:instrText>
      </w:r>
      <w:r w:rsidR="00D90DAF">
        <w:rPr>
          <w:rFonts w:cs="Arial"/>
        </w:rPr>
      </w:r>
      <w:r w:rsidR="00D90DAF">
        <w:rPr>
          <w:rFonts w:cs="Arial"/>
        </w:rPr>
        <w:fldChar w:fldCharType="separate"/>
      </w:r>
      <w:r w:rsidRPr="008C661B">
        <w:rPr>
          <w:rFonts w:cs="Arial"/>
        </w:rPr>
        <w:fldChar w:fldCharType="end"/>
      </w:r>
      <w:r w:rsidRPr="008C661B">
        <w:rPr>
          <w:rFonts w:cs="Arial"/>
        </w:rPr>
        <w:tab/>
        <w:t>Yes</w:t>
      </w:r>
      <w:r w:rsidRPr="008C661B">
        <w:rPr>
          <w:rFonts w:cs="Arial"/>
        </w:rPr>
        <w:tab/>
      </w:r>
      <w:r w:rsidRPr="008C661B">
        <w:rPr>
          <w:rFonts w:cs="Arial"/>
        </w:rPr>
        <w:fldChar w:fldCharType="begin">
          <w:ffData>
            <w:name w:val="Check1"/>
            <w:enabled/>
            <w:calcOnExit w:val="0"/>
            <w:checkBox>
              <w:sizeAuto/>
              <w:default w:val="0"/>
            </w:checkBox>
          </w:ffData>
        </w:fldChar>
      </w:r>
      <w:r w:rsidRPr="008C661B">
        <w:rPr>
          <w:rFonts w:cs="Arial"/>
        </w:rPr>
        <w:instrText xml:space="preserve"> FORMCHECKBOX </w:instrText>
      </w:r>
      <w:r w:rsidR="00D90DAF">
        <w:rPr>
          <w:rFonts w:cs="Arial"/>
        </w:rPr>
      </w:r>
      <w:r w:rsidR="00D90DAF">
        <w:rPr>
          <w:rFonts w:cs="Arial"/>
        </w:rPr>
        <w:fldChar w:fldCharType="separate"/>
      </w:r>
      <w:r w:rsidRPr="008C661B">
        <w:rPr>
          <w:rFonts w:cs="Arial"/>
        </w:rPr>
        <w:fldChar w:fldCharType="end"/>
      </w:r>
      <w:r w:rsidRPr="008C661B">
        <w:rPr>
          <w:rFonts w:cs="Arial"/>
        </w:rPr>
        <w:tab/>
      </w:r>
      <w:r w:rsidRPr="00BE57BF">
        <w:rPr>
          <w:rFonts w:cs="Arial"/>
          <w:spacing w:val="-4"/>
        </w:rPr>
        <w:t>No.</w:t>
      </w:r>
      <w:r>
        <w:rPr>
          <w:rFonts w:cs="Arial"/>
          <w:spacing w:val="-4"/>
        </w:rPr>
        <w:t xml:space="preserve"> </w:t>
      </w:r>
      <w:r w:rsidRPr="00C9524D">
        <w:t>If not, what changes should be made and why?</w:t>
      </w:r>
    </w:p>
    <w:tbl>
      <w:tblPr>
        <w:tblW w:w="0" w:type="auto"/>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Layout w:type="fixed"/>
        <w:tblLook w:val="04A0" w:firstRow="1" w:lastRow="0" w:firstColumn="1" w:lastColumn="0" w:noHBand="0" w:noVBand="1"/>
      </w:tblPr>
      <w:tblGrid>
        <w:gridCol w:w="7513"/>
      </w:tblGrid>
      <w:tr w:rsidR="00FA6A1F" w:rsidRPr="00181C5C" w14:paraId="4F6655A3" w14:textId="77777777" w:rsidTr="002F1E1F">
        <w:trPr>
          <w:cantSplit/>
          <w:trHeight w:val="1134"/>
        </w:trPr>
        <w:tc>
          <w:tcPr>
            <w:tcW w:w="7513" w:type="dxa"/>
          </w:tcPr>
          <w:p w14:paraId="4F6655A2" w14:textId="77777777" w:rsidR="00FA6A1F" w:rsidRPr="00181C5C" w:rsidRDefault="00FA6A1F" w:rsidP="002F1E1F">
            <w:pPr>
              <w:pStyle w:val="TableText"/>
            </w:pPr>
            <w:r w:rsidRPr="00181C5C">
              <w:fldChar w:fldCharType="begin">
                <w:ffData>
                  <w:name w:val="Text2"/>
                  <w:enabled/>
                  <w:calcOnExit w:val="0"/>
                  <w:textInput/>
                </w:ffData>
              </w:fldChar>
            </w:r>
            <w:r w:rsidRPr="00181C5C">
              <w:instrText xml:space="preserve"> FORMTEXT </w:instrText>
            </w:r>
            <w:r w:rsidRPr="00181C5C">
              <w:fldChar w:fldCharType="separate"/>
            </w:r>
            <w:r w:rsidRPr="00181C5C">
              <w:rPr>
                <w:noProof/>
              </w:rPr>
              <w:t> </w:t>
            </w:r>
            <w:r w:rsidRPr="00181C5C">
              <w:rPr>
                <w:noProof/>
              </w:rPr>
              <w:t> </w:t>
            </w:r>
            <w:r w:rsidRPr="00181C5C">
              <w:rPr>
                <w:noProof/>
              </w:rPr>
              <w:t> </w:t>
            </w:r>
            <w:r w:rsidRPr="00181C5C">
              <w:rPr>
                <w:noProof/>
              </w:rPr>
              <w:t> </w:t>
            </w:r>
            <w:r w:rsidRPr="00181C5C">
              <w:rPr>
                <w:noProof/>
              </w:rPr>
              <w:t> </w:t>
            </w:r>
            <w:r w:rsidRPr="00181C5C">
              <w:fldChar w:fldCharType="end"/>
            </w:r>
          </w:p>
        </w:tc>
      </w:tr>
    </w:tbl>
    <w:p w14:paraId="4F6655A4" w14:textId="77777777" w:rsidR="00FA6A1F" w:rsidRDefault="00FA6A1F" w:rsidP="00FA6A1F"/>
    <w:p w14:paraId="4F6655A5" w14:textId="77777777" w:rsidR="00FA6A1F" w:rsidRDefault="00FA6A1F" w:rsidP="002F1E1F">
      <w:pPr>
        <w:pStyle w:val="Heading4"/>
      </w:pPr>
      <w:bookmarkStart w:id="356" w:name="_Toc78882347"/>
      <w:r w:rsidRPr="00C9524D">
        <w:t>Levy formula and levy rates</w:t>
      </w:r>
      <w:bookmarkEnd w:id="356"/>
    </w:p>
    <w:p w14:paraId="4F6655A6" w14:textId="77777777" w:rsidR="00FA6A1F" w:rsidRPr="00411462" w:rsidRDefault="00FA6A1F" w:rsidP="002F1E1F">
      <w:r w:rsidRPr="00411462">
        <w:t xml:space="preserve">The levy formula is prescribed in legislation and </w:t>
      </w:r>
      <w:r>
        <w:t xml:space="preserve">is </w:t>
      </w:r>
      <w:r w:rsidRPr="00411462">
        <w:t xml:space="preserve">not under consideration in this consultation. The figures for variables A, B and R are derived from data held by the Ministry, the DIA and IRD and are a matter of record. Comment on variable C (the funding appropriation proposed for the strategy) is covered in </w:t>
      </w:r>
      <w:r>
        <w:t>the service plan and funding questions</w:t>
      </w:r>
      <w:r w:rsidRPr="00411462">
        <w:t xml:space="preserve"> above.</w:t>
      </w:r>
    </w:p>
    <w:p w14:paraId="4F6655A7" w14:textId="77777777" w:rsidR="002F1E1F" w:rsidRDefault="002F1E1F" w:rsidP="002F1E1F"/>
    <w:p w14:paraId="4F6655A8" w14:textId="77777777" w:rsidR="00FA6A1F" w:rsidRDefault="00FA6A1F" w:rsidP="002F1E1F">
      <w:r w:rsidRPr="00C9524D">
        <w:t>In terms of the other components of the levy formula</w:t>
      </w:r>
      <w:r>
        <w:t xml:space="preserve"> (</w:t>
      </w:r>
      <w:hyperlink w:anchor="_4_Draft_levy" w:history="1">
        <w:r w:rsidR="00E5081A" w:rsidRPr="00E5081A">
          <w:rPr>
            <w:rStyle w:val="Hyperlink"/>
          </w:rPr>
          <w:t>section 4</w:t>
        </w:r>
      </w:hyperlink>
      <w:r>
        <w:t>):</w:t>
      </w:r>
    </w:p>
    <w:p w14:paraId="4F6655A9" w14:textId="77777777" w:rsidR="00FA6A1F" w:rsidRDefault="00FA6A1F" w:rsidP="005F4F5E">
      <w:pPr>
        <w:pStyle w:val="Number"/>
        <w:numPr>
          <w:ilvl w:val="2"/>
          <w:numId w:val="7"/>
        </w:numPr>
        <w:spacing w:after="120" w:line="264" w:lineRule="auto"/>
      </w:pPr>
      <w:r w:rsidRPr="00C9524D">
        <w:t>Are the player expenditure forecasts for each gambling sector (D) realistic?</w:t>
      </w:r>
    </w:p>
    <w:p w14:paraId="4F6655AA" w14:textId="77777777" w:rsidR="00FA6A1F" w:rsidRDefault="00FA6A1F" w:rsidP="002F1E1F">
      <w:pPr>
        <w:tabs>
          <w:tab w:val="left" w:pos="993"/>
          <w:tab w:val="left" w:pos="1701"/>
          <w:tab w:val="left" w:pos="2127"/>
        </w:tabs>
        <w:spacing w:after="120"/>
        <w:ind w:left="567"/>
      </w:pPr>
      <w:r w:rsidRPr="00C9524D">
        <w:fldChar w:fldCharType="begin">
          <w:ffData>
            <w:name w:val="Check1"/>
            <w:enabled/>
            <w:calcOnExit w:val="0"/>
            <w:checkBox>
              <w:sizeAuto/>
              <w:default w:val="0"/>
            </w:checkBox>
          </w:ffData>
        </w:fldChar>
      </w:r>
      <w:r w:rsidRPr="00C9524D">
        <w:instrText xml:space="preserve"> FORMCHECKBOX </w:instrText>
      </w:r>
      <w:r w:rsidR="00D90DAF">
        <w:fldChar w:fldCharType="separate"/>
      </w:r>
      <w:r w:rsidRPr="00C9524D">
        <w:fldChar w:fldCharType="end"/>
      </w:r>
      <w:r w:rsidRPr="00C9524D">
        <w:tab/>
        <w:t>Yes</w:t>
      </w:r>
      <w:r w:rsidRPr="00C9524D">
        <w:tab/>
      </w:r>
      <w:r w:rsidRPr="00C9524D">
        <w:fldChar w:fldCharType="begin">
          <w:ffData>
            <w:name w:val="Check1"/>
            <w:enabled/>
            <w:calcOnExit w:val="0"/>
            <w:checkBox>
              <w:sizeAuto/>
              <w:default w:val="0"/>
            </w:checkBox>
          </w:ffData>
        </w:fldChar>
      </w:r>
      <w:r w:rsidRPr="00C9524D">
        <w:instrText xml:space="preserve"> FORMCHECKBOX </w:instrText>
      </w:r>
      <w:r w:rsidR="00D90DAF">
        <w:fldChar w:fldCharType="separate"/>
      </w:r>
      <w:r w:rsidRPr="00C9524D">
        <w:fldChar w:fldCharType="end"/>
      </w:r>
      <w:r w:rsidRPr="00C9524D">
        <w:tab/>
        <w:t>No. If no</w:t>
      </w:r>
      <w:r>
        <w:t>t</w:t>
      </w:r>
      <w:r w:rsidRPr="00C9524D">
        <w:t xml:space="preserve">, please explain why </w:t>
      </w:r>
      <w:r>
        <w:t>not</w:t>
      </w:r>
    </w:p>
    <w:tbl>
      <w:tblPr>
        <w:tblW w:w="0" w:type="auto"/>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Layout w:type="fixed"/>
        <w:tblLook w:val="04A0" w:firstRow="1" w:lastRow="0" w:firstColumn="1" w:lastColumn="0" w:noHBand="0" w:noVBand="1"/>
      </w:tblPr>
      <w:tblGrid>
        <w:gridCol w:w="7513"/>
      </w:tblGrid>
      <w:tr w:rsidR="00FA6A1F" w:rsidRPr="00181C5C" w14:paraId="4F6655AC" w14:textId="77777777" w:rsidTr="00113BFE">
        <w:trPr>
          <w:cantSplit/>
          <w:trHeight w:val="1134"/>
        </w:trPr>
        <w:tc>
          <w:tcPr>
            <w:tcW w:w="7513" w:type="dxa"/>
          </w:tcPr>
          <w:p w14:paraId="4F6655AB" w14:textId="77777777" w:rsidR="00FA6A1F" w:rsidRPr="00181C5C" w:rsidRDefault="00FA6A1F" w:rsidP="002F1E1F">
            <w:pPr>
              <w:pStyle w:val="TableText"/>
            </w:pPr>
            <w:r w:rsidRPr="00181C5C">
              <w:fldChar w:fldCharType="begin">
                <w:ffData>
                  <w:name w:val="Text2"/>
                  <w:enabled/>
                  <w:calcOnExit w:val="0"/>
                  <w:textInput/>
                </w:ffData>
              </w:fldChar>
            </w:r>
            <w:r w:rsidRPr="00181C5C">
              <w:instrText xml:space="preserve"> FORMTEXT </w:instrText>
            </w:r>
            <w:r w:rsidRPr="00181C5C">
              <w:fldChar w:fldCharType="separate"/>
            </w:r>
            <w:r w:rsidRPr="00181C5C">
              <w:rPr>
                <w:noProof/>
              </w:rPr>
              <w:t> </w:t>
            </w:r>
            <w:r w:rsidRPr="00181C5C">
              <w:rPr>
                <w:noProof/>
              </w:rPr>
              <w:t> </w:t>
            </w:r>
            <w:r w:rsidRPr="00181C5C">
              <w:rPr>
                <w:noProof/>
              </w:rPr>
              <w:t> </w:t>
            </w:r>
            <w:r w:rsidRPr="00181C5C">
              <w:rPr>
                <w:noProof/>
              </w:rPr>
              <w:t> </w:t>
            </w:r>
            <w:r w:rsidRPr="00181C5C">
              <w:rPr>
                <w:noProof/>
              </w:rPr>
              <w:t> </w:t>
            </w:r>
            <w:r w:rsidRPr="00181C5C">
              <w:fldChar w:fldCharType="end"/>
            </w:r>
          </w:p>
        </w:tc>
      </w:tr>
    </w:tbl>
    <w:p w14:paraId="4F6655AD" w14:textId="77777777" w:rsidR="00FA6A1F" w:rsidRDefault="00FA6A1F" w:rsidP="00FA6A1F"/>
    <w:p w14:paraId="4F6655AE" w14:textId="77777777" w:rsidR="008303C6" w:rsidRDefault="00FA6A1F" w:rsidP="005F4F5E">
      <w:pPr>
        <w:pStyle w:val="Number"/>
        <w:numPr>
          <w:ilvl w:val="2"/>
          <w:numId w:val="7"/>
        </w:numPr>
        <w:spacing w:after="120" w:line="264" w:lineRule="auto"/>
      </w:pPr>
      <w:r w:rsidRPr="00C9524D">
        <w:t xml:space="preserve">Are there realistic pairs of </w:t>
      </w:r>
      <w:r>
        <w:t xml:space="preserve">expenditure/presentation </w:t>
      </w:r>
      <w:r w:rsidRPr="00C9524D">
        <w:t>weightings (W1 and W2) other than those discussed in this consultation document?</w:t>
      </w:r>
    </w:p>
    <w:p w14:paraId="4F6655AF" w14:textId="77777777" w:rsidR="00FA6A1F" w:rsidRDefault="00FA6A1F" w:rsidP="002F1E1F">
      <w:pPr>
        <w:tabs>
          <w:tab w:val="left" w:pos="993"/>
          <w:tab w:val="left" w:pos="1701"/>
          <w:tab w:val="left" w:pos="2127"/>
        </w:tabs>
        <w:spacing w:after="120"/>
        <w:ind w:left="567"/>
      </w:pPr>
      <w:r w:rsidRPr="00C9524D">
        <w:fldChar w:fldCharType="begin">
          <w:ffData>
            <w:name w:val="Check1"/>
            <w:enabled/>
            <w:calcOnExit w:val="0"/>
            <w:checkBox>
              <w:sizeAuto/>
              <w:default w:val="0"/>
            </w:checkBox>
          </w:ffData>
        </w:fldChar>
      </w:r>
      <w:r w:rsidRPr="00C9524D">
        <w:instrText xml:space="preserve"> FORMCHECKBOX </w:instrText>
      </w:r>
      <w:r w:rsidR="00D90DAF">
        <w:fldChar w:fldCharType="separate"/>
      </w:r>
      <w:r w:rsidRPr="00C9524D">
        <w:fldChar w:fldCharType="end"/>
      </w:r>
      <w:r w:rsidRPr="00C9524D">
        <w:tab/>
        <w:t>Yes</w:t>
      </w:r>
      <w:r>
        <w:tab/>
      </w:r>
      <w:r w:rsidRPr="00C9524D">
        <w:fldChar w:fldCharType="begin">
          <w:ffData>
            <w:name w:val="Check1"/>
            <w:enabled/>
            <w:calcOnExit w:val="0"/>
            <w:checkBox>
              <w:sizeAuto/>
              <w:default w:val="0"/>
            </w:checkBox>
          </w:ffData>
        </w:fldChar>
      </w:r>
      <w:r w:rsidRPr="00C9524D">
        <w:instrText xml:space="preserve"> FORMCHECKBOX </w:instrText>
      </w:r>
      <w:r w:rsidR="00D90DAF">
        <w:fldChar w:fldCharType="separate"/>
      </w:r>
      <w:r w:rsidRPr="00C9524D">
        <w:fldChar w:fldCharType="end"/>
      </w:r>
      <w:r w:rsidRPr="00C9524D">
        <w:tab/>
        <w:t>No.</w:t>
      </w:r>
      <w:r>
        <w:t xml:space="preserve"> </w:t>
      </w:r>
      <w:r w:rsidRPr="00C9524D">
        <w:t xml:space="preserve">If </w:t>
      </w:r>
      <w:r>
        <w:t xml:space="preserve">yes, </w:t>
      </w:r>
      <w:r w:rsidRPr="00C9524D">
        <w:t>please</w:t>
      </w:r>
      <w:r>
        <w:t xml:space="preserve"> explain </w:t>
      </w:r>
      <w:r w:rsidRPr="00C9524D">
        <w:t>what and why</w:t>
      </w:r>
    </w:p>
    <w:tbl>
      <w:tblPr>
        <w:tblW w:w="0" w:type="auto"/>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Layout w:type="fixed"/>
        <w:tblLook w:val="04A0" w:firstRow="1" w:lastRow="0" w:firstColumn="1" w:lastColumn="0" w:noHBand="0" w:noVBand="1"/>
      </w:tblPr>
      <w:tblGrid>
        <w:gridCol w:w="7513"/>
      </w:tblGrid>
      <w:tr w:rsidR="00FA6A1F" w:rsidRPr="00181C5C" w14:paraId="4F6655B1" w14:textId="77777777" w:rsidTr="00113BFE">
        <w:trPr>
          <w:cantSplit/>
          <w:trHeight w:val="1134"/>
        </w:trPr>
        <w:tc>
          <w:tcPr>
            <w:tcW w:w="7513" w:type="dxa"/>
          </w:tcPr>
          <w:p w14:paraId="4F6655B0" w14:textId="77777777" w:rsidR="00FA6A1F" w:rsidRPr="00181C5C" w:rsidRDefault="00FA6A1F" w:rsidP="002F1E1F">
            <w:pPr>
              <w:pStyle w:val="TableText"/>
            </w:pPr>
            <w:r w:rsidRPr="00181C5C">
              <w:fldChar w:fldCharType="begin">
                <w:ffData>
                  <w:name w:val="Text2"/>
                  <w:enabled/>
                  <w:calcOnExit w:val="0"/>
                  <w:textInput/>
                </w:ffData>
              </w:fldChar>
            </w:r>
            <w:r w:rsidRPr="00181C5C">
              <w:instrText xml:space="preserve"> FORMTEXT </w:instrText>
            </w:r>
            <w:r w:rsidRPr="00181C5C">
              <w:fldChar w:fldCharType="separate"/>
            </w:r>
            <w:r w:rsidRPr="00181C5C">
              <w:rPr>
                <w:noProof/>
              </w:rPr>
              <w:t> </w:t>
            </w:r>
            <w:r w:rsidRPr="00181C5C">
              <w:rPr>
                <w:noProof/>
              </w:rPr>
              <w:t> </w:t>
            </w:r>
            <w:r w:rsidRPr="00181C5C">
              <w:rPr>
                <w:noProof/>
              </w:rPr>
              <w:t> </w:t>
            </w:r>
            <w:r w:rsidRPr="00181C5C">
              <w:rPr>
                <w:noProof/>
              </w:rPr>
              <w:t> </w:t>
            </w:r>
            <w:r w:rsidRPr="00181C5C">
              <w:rPr>
                <w:noProof/>
              </w:rPr>
              <w:t> </w:t>
            </w:r>
            <w:r w:rsidRPr="00181C5C">
              <w:fldChar w:fldCharType="end"/>
            </w:r>
          </w:p>
        </w:tc>
      </w:tr>
    </w:tbl>
    <w:p w14:paraId="4F6655B2" w14:textId="77777777" w:rsidR="00FA6A1F" w:rsidRDefault="00FA6A1F" w:rsidP="00FA6A1F"/>
    <w:p w14:paraId="4F6655B3" w14:textId="77777777" w:rsidR="00FA6A1F" w:rsidRDefault="00FA6A1F" w:rsidP="005F4F5E">
      <w:pPr>
        <w:pStyle w:val="Number"/>
        <w:keepLines/>
        <w:numPr>
          <w:ilvl w:val="2"/>
          <w:numId w:val="7"/>
        </w:numPr>
        <w:spacing w:after="120" w:line="264" w:lineRule="auto"/>
      </w:pPr>
      <w:r w:rsidRPr="00C9524D">
        <w:lastRenderedPageBreak/>
        <w:t xml:space="preserve">Which pair of weighting options for W1 and W2 do you prefer, if any, and why? </w:t>
      </w:r>
      <w:r w:rsidRPr="00411462">
        <w:t>Please keep in mind that the levy weighting options only affect the proportion of levy to be paid by each gambling sector and do not affect the total amount of the levy</w:t>
      </w:r>
      <w:r w:rsidR="00113BFE">
        <w:t>.</w:t>
      </w:r>
    </w:p>
    <w:tbl>
      <w:tblPr>
        <w:tblW w:w="0" w:type="auto"/>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Layout w:type="fixed"/>
        <w:tblLook w:val="04A0" w:firstRow="1" w:lastRow="0" w:firstColumn="1" w:lastColumn="0" w:noHBand="0" w:noVBand="1"/>
      </w:tblPr>
      <w:tblGrid>
        <w:gridCol w:w="7513"/>
      </w:tblGrid>
      <w:tr w:rsidR="00FA6A1F" w:rsidRPr="00181C5C" w14:paraId="4F6655B5" w14:textId="77777777" w:rsidTr="00113BFE">
        <w:trPr>
          <w:cantSplit/>
          <w:trHeight w:val="1134"/>
        </w:trPr>
        <w:tc>
          <w:tcPr>
            <w:tcW w:w="7513" w:type="dxa"/>
          </w:tcPr>
          <w:p w14:paraId="4F6655B4" w14:textId="77777777" w:rsidR="00FA6A1F" w:rsidRPr="00181C5C" w:rsidRDefault="00FA6A1F" w:rsidP="002F1E1F">
            <w:pPr>
              <w:pStyle w:val="TableText"/>
            </w:pPr>
            <w:r w:rsidRPr="00181C5C">
              <w:fldChar w:fldCharType="begin">
                <w:ffData>
                  <w:name w:val="Text2"/>
                  <w:enabled/>
                  <w:calcOnExit w:val="0"/>
                  <w:textInput/>
                </w:ffData>
              </w:fldChar>
            </w:r>
            <w:r w:rsidRPr="00181C5C">
              <w:instrText xml:space="preserve"> FORMTEXT </w:instrText>
            </w:r>
            <w:r w:rsidRPr="00181C5C">
              <w:fldChar w:fldCharType="separate"/>
            </w:r>
            <w:r w:rsidRPr="00181C5C">
              <w:rPr>
                <w:noProof/>
              </w:rPr>
              <w:t> </w:t>
            </w:r>
            <w:r w:rsidRPr="00181C5C">
              <w:rPr>
                <w:noProof/>
              </w:rPr>
              <w:t> </w:t>
            </w:r>
            <w:r w:rsidRPr="00181C5C">
              <w:rPr>
                <w:noProof/>
              </w:rPr>
              <w:t> </w:t>
            </w:r>
            <w:r w:rsidRPr="00181C5C">
              <w:rPr>
                <w:noProof/>
              </w:rPr>
              <w:t> </w:t>
            </w:r>
            <w:r w:rsidRPr="00181C5C">
              <w:rPr>
                <w:noProof/>
              </w:rPr>
              <w:t> </w:t>
            </w:r>
            <w:r w:rsidRPr="00181C5C">
              <w:fldChar w:fldCharType="end"/>
            </w:r>
          </w:p>
        </w:tc>
      </w:tr>
    </w:tbl>
    <w:p w14:paraId="4F6655B6" w14:textId="77777777" w:rsidR="00FA6A1F" w:rsidRPr="00411462" w:rsidRDefault="00FA6A1F" w:rsidP="00113BFE"/>
    <w:p w14:paraId="4F6655B7" w14:textId="77777777" w:rsidR="00FA6A1F" w:rsidRPr="00C9524D" w:rsidRDefault="00FA6A1F" w:rsidP="005F4F5E">
      <w:pPr>
        <w:pStyle w:val="Number"/>
        <w:numPr>
          <w:ilvl w:val="2"/>
          <w:numId w:val="7"/>
        </w:numPr>
        <w:spacing w:after="120" w:line="264" w:lineRule="auto"/>
      </w:pPr>
      <w:r w:rsidRPr="00C9524D">
        <w:t xml:space="preserve">Do you have any comment on the estimated levy rates for each sector, keeping in mind </w:t>
      </w:r>
      <w:r>
        <w:t xml:space="preserve">that </w:t>
      </w:r>
      <w:r w:rsidRPr="00C9524D">
        <w:t>the levy formula itself is set out in legislation and is not under consideration in this consultation?</w:t>
      </w:r>
    </w:p>
    <w:tbl>
      <w:tblPr>
        <w:tblW w:w="0" w:type="auto"/>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Layout w:type="fixed"/>
        <w:tblLook w:val="04A0" w:firstRow="1" w:lastRow="0" w:firstColumn="1" w:lastColumn="0" w:noHBand="0" w:noVBand="1"/>
      </w:tblPr>
      <w:tblGrid>
        <w:gridCol w:w="7513"/>
      </w:tblGrid>
      <w:tr w:rsidR="00FA6A1F" w:rsidRPr="00181C5C" w14:paraId="4F6655B9" w14:textId="77777777" w:rsidTr="00113BFE">
        <w:trPr>
          <w:cantSplit/>
          <w:trHeight w:val="1134"/>
        </w:trPr>
        <w:tc>
          <w:tcPr>
            <w:tcW w:w="7513" w:type="dxa"/>
          </w:tcPr>
          <w:p w14:paraId="4F6655B8" w14:textId="77777777" w:rsidR="00FA6A1F" w:rsidRPr="00181C5C" w:rsidRDefault="00FA6A1F" w:rsidP="002F1E1F">
            <w:pPr>
              <w:pStyle w:val="TableText"/>
            </w:pPr>
            <w:r w:rsidRPr="00181C5C">
              <w:fldChar w:fldCharType="begin">
                <w:ffData>
                  <w:name w:val="Text2"/>
                  <w:enabled/>
                  <w:calcOnExit w:val="0"/>
                  <w:textInput/>
                </w:ffData>
              </w:fldChar>
            </w:r>
            <w:r w:rsidRPr="00181C5C">
              <w:instrText xml:space="preserve"> FORMTEXT </w:instrText>
            </w:r>
            <w:r w:rsidRPr="00181C5C">
              <w:fldChar w:fldCharType="separate"/>
            </w:r>
            <w:r w:rsidRPr="00181C5C">
              <w:rPr>
                <w:noProof/>
              </w:rPr>
              <w:t> </w:t>
            </w:r>
            <w:r w:rsidRPr="00181C5C">
              <w:rPr>
                <w:noProof/>
              </w:rPr>
              <w:t> </w:t>
            </w:r>
            <w:r w:rsidRPr="00181C5C">
              <w:rPr>
                <w:noProof/>
              </w:rPr>
              <w:t> </w:t>
            </w:r>
            <w:r w:rsidRPr="00181C5C">
              <w:rPr>
                <w:noProof/>
              </w:rPr>
              <w:t> </w:t>
            </w:r>
            <w:r w:rsidRPr="00181C5C">
              <w:rPr>
                <w:noProof/>
              </w:rPr>
              <w:t> </w:t>
            </w:r>
            <w:r w:rsidRPr="00181C5C">
              <w:fldChar w:fldCharType="end"/>
            </w:r>
          </w:p>
        </w:tc>
      </w:tr>
    </w:tbl>
    <w:p w14:paraId="4F6655BA" w14:textId="77777777" w:rsidR="00E5081A" w:rsidRDefault="00E5081A" w:rsidP="00E5081A">
      <w:bookmarkStart w:id="357" w:name="_Toc78882348"/>
    </w:p>
    <w:p w14:paraId="4F6655BB" w14:textId="77777777" w:rsidR="00FA6A1F" w:rsidRDefault="00FA6A1F" w:rsidP="00FA6A1F">
      <w:pPr>
        <w:pStyle w:val="Heading3"/>
      </w:pPr>
      <w:r w:rsidRPr="00C9524D">
        <w:t>Anything else</w:t>
      </w:r>
      <w:r>
        <w:t>?</w:t>
      </w:r>
      <w:bookmarkEnd w:id="357"/>
    </w:p>
    <w:p w14:paraId="4F6655BC" w14:textId="77777777" w:rsidR="00FA6A1F" w:rsidRDefault="00FA6A1F" w:rsidP="005F4F5E">
      <w:pPr>
        <w:pStyle w:val="Number"/>
        <w:numPr>
          <w:ilvl w:val="2"/>
          <w:numId w:val="7"/>
        </w:numPr>
        <w:spacing w:after="120" w:line="264" w:lineRule="auto"/>
      </w:pPr>
      <w:bookmarkStart w:id="358" w:name="Text2"/>
      <w:bookmarkEnd w:id="358"/>
      <w:r w:rsidRPr="00C9524D">
        <w:t>Is there anything else you would like to tell us about the draft strategy or preventing and minimising gambling harm more generally?</w:t>
      </w:r>
    </w:p>
    <w:tbl>
      <w:tblPr>
        <w:tblW w:w="0" w:type="auto"/>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Layout w:type="fixed"/>
        <w:tblLook w:val="04A0" w:firstRow="1" w:lastRow="0" w:firstColumn="1" w:lastColumn="0" w:noHBand="0" w:noVBand="1"/>
      </w:tblPr>
      <w:tblGrid>
        <w:gridCol w:w="7513"/>
      </w:tblGrid>
      <w:tr w:rsidR="00FA6A1F" w:rsidRPr="00181C5C" w14:paraId="4F6655BE" w14:textId="77777777" w:rsidTr="00113BFE">
        <w:trPr>
          <w:cantSplit/>
          <w:trHeight w:val="1134"/>
        </w:trPr>
        <w:tc>
          <w:tcPr>
            <w:tcW w:w="7513" w:type="dxa"/>
          </w:tcPr>
          <w:p w14:paraId="4F6655BD" w14:textId="77777777" w:rsidR="00FA6A1F" w:rsidRPr="00181C5C" w:rsidRDefault="00FA6A1F" w:rsidP="00113BFE">
            <w:pPr>
              <w:pStyle w:val="TableText"/>
            </w:pPr>
            <w:r w:rsidRPr="00181C5C">
              <w:fldChar w:fldCharType="begin">
                <w:ffData>
                  <w:name w:val="Text2"/>
                  <w:enabled/>
                  <w:calcOnExit w:val="0"/>
                  <w:textInput/>
                </w:ffData>
              </w:fldChar>
            </w:r>
            <w:r w:rsidRPr="00181C5C">
              <w:instrText xml:space="preserve"> FORMTEXT </w:instrText>
            </w:r>
            <w:r w:rsidRPr="00181C5C">
              <w:fldChar w:fldCharType="separate"/>
            </w:r>
            <w:r w:rsidRPr="00181C5C">
              <w:rPr>
                <w:noProof/>
              </w:rPr>
              <w:t> </w:t>
            </w:r>
            <w:r w:rsidRPr="00181C5C">
              <w:rPr>
                <w:noProof/>
              </w:rPr>
              <w:t> </w:t>
            </w:r>
            <w:r w:rsidRPr="00181C5C">
              <w:rPr>
                <w:noProof/>
              </w:rPr>
              <w:t> </w:t>
            </w:r>
            <w:r w:rsidRPr="00181C5C">
              <w:rPr>
                <w:noProof/>
              </w:rPr>
              <w:t> </w:t>
            </w:r>
            <w:r w:rsidRPr="00181C5C">
              <w:rPr>
                <w:noProof/>
              </w:rPr>
              <w:t> </w:t>
            </w:r>
            <w:r w:rsidRPr="00181C5C">
              <w:fldChar w:fldCharType="end"/>
            </w:r>
          </w:p>
        </w:tc>
      </w:tr>
    </w:tbl>
    <w:p w14:paraId="4F6655BF" w14:textId="77777777" w:rsidR="00FA6A1F" w:rsidRDefault="00FA6A1F" w:rsidP="00113BFE"/>
    <w:p w14:paraId="4F6655C0" w14:textId="77777777" w:rsidR="00FA6A1F" w:rsidRDefault="00FA6A1F" w:rsidP="00113BFE">
      <w:r w:rsidRPr="00C9524D">
        <w:t>Thank you for taking the time to provide feedback.</w:t>
      </w:r>
    </w:p>
    <w:p w14:paraId="4F6655C1" w14:textId="77777777" w:rsidR="008A1803" w:rsidRPr="008A1803" w:rsidRDefault="008A1803" w:rsidP="00430A03"/>
    <w:sectPr w:rsidR="008A1803" w:rsidRPr="008A1803" w:rsidSect="00F10643">
      <w:footerReference w:type="default" r:id="rId49"/>
      <w:pgSz w:w="11907" w:h="16834" w:code="9"/>
      <w:pgMar w:top="1418" w:right="1701" w:bottom="1134" w:left="1843" w:header="284" w:footer="425" w:gutter="284"/>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44C56" w14:textId="77777777" w:rsidR="00251F03" w:rsidRDefault="00251F03">
      <w:r>
        <w:separator/>
      </w:r>
    </w:p>
    <w:p w14:paraId="2AF15F14" w14:textId="77777777" w:rsidR="00251F03" w:rsidRDefault="00251F03"/>
  </w:endnote>
  <w:endnote w:type="continuationSeparator" w:id="0">
    <w:p w14:paraId="11C4169E" w14:textId="77777777" w:rsidR="00251F03" w:rsidRDefault="00251F03">
      <w:r>
        <w:continuationSeparator/>
      </w:r>
    </w:p>
    <w:p w14:paraId="2AA4713C" w14:textId="77777777" w:rsidR="00251F03" w:rsidRDefault="00251F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655D9" w14:textId="77777777" w:rsidR="00D90DAF" w:rsidRPr="00581136" w:rsidRDefault="00D90DAF" w:rsidP="005A79E5">
    <w:pPr>
      <w:pStyle w:val="Footer"/>
      <w:pBdr>
        <w:bottom w:val="single" w:sz="4" w:space="1" w:color="auto"/>
      </w:pBdr>
      <w:tabs>
        <w:tab w:val="right" w:pos="9639"/>
      </w:tabs>
      <w:rPr>
        <w:b/>
      </w:rPr>
    </w:pPr>
    <w:r w:rsidRPr="00581136">
      <w:rPr>
        <w:b/>
      </w:rPr>
      <w:t>Released 20</w:t>
    </w:r>
    <w:r>
      <w:rPr>
        <w:b/>
      </w:rPr>
      <w:t>21</w:t>
    </w:r>
    <w:r w:rsidRPr="00581136">
      <w:rPr>
        <w:b/>
      </w:rPr>
      <w:tab/>
      <w:t>health.govt.nz</w:t>
    </w:r>
  </w:p>
  <w:p w14:paraId="4F6655DA" w14:textId="77777777" w:rsidR="00D90DAF" w:rsidRPr="005A79E5" w:rsidRDefault="00D90DAF">
    <w:pPr>
      <w:pStyle w:val="Footer"/>
      <w:rPr>
        <w:sz w:val="2"/>
        <w:szCs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655F7" w14:textId="77777777" w:rsidR="00D90DAF" w:rsidRPr="00571223" w:rsidRDefault="00D90DAF" w:rsidP="00571223">
    <w:pPr>
      <w:pStyle w:val="VersoFooter"/>
      <w:rPr>
        <w:sz w:val="2"/>
        <w:szCs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Ind w:w="-567" w:type="dxa"/>
      <w:tblLayout w:type="fixed"/>
      <w:tblLook w:val="04A0" w:firstRow="1" w:lastRow="0" w:firstColumn="1" w:lastColumn="0" w:noHBand="0" w:noVBand="1"/>
    </w:tblPr>
    <w:tblGrid>
      <w:gridCol w:w="675"/>
      <w:gridCol w:w="9072"/>
    </w:tblGrid>
    <w:tr w:rsidR="00D90DAF" w14:paraId="4F6655FA" w14:textId="77777777" w:rsidTr="006E2886">
      <w:trPr>
        <w:cantSplit/>
      </w:trPr>
      <w:tc>
        <w:tcPr>
          <w:tcW w:w="675" w:type="dxa"/>
          <w:vAlign w:val="center"/>
        </w:tcPr>
        <w:p w14:paraId="4F6655F8" w14:textId="77777777" w:rsidR="00D90DAF" w:rsidRPr="00931466" w:rsidRDefault="00D90DAF"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xii</w:t>
          </w:r>
          <w:r w:rsidRPr="00931466">
            <w:rPr>
              <w:rStyle w:val="PageNumber"/>
            </w:rPr>
            <w:fldChar w:fldCharType="end"/>
          </w:r>
        </w:p>
      </w:tc>
      <w:tc>
        <w:tcPr>
          <w:tcW w:w="9072" w:type="dxa"/>
          <w:vAlign w:val="center"/>
        </w:tcPr>
        <w:p w14:paraId="4F6655F9" w14:textId="77777777" w:rsidR="00D90DAF" w:rsidRDefault="00D90DAF" w:rsidP="00564CFF">
          <w:pPr>
            <w:pStyle w:val="RectoFooter"/>
            <w:jc w:val="left"/>
          </w:pPr>
          <w:r>
            <w:t>strategy to prevent and minimise gambling harm 2022/23 to 2024/25: consultation document</w:t>
          </w:r>
        </w:p>
      </w:tc>
    </w:tr>
  </w:tbl>
  <w:p w14:paraId="4F6655FB" w14:textId="77777777" w:rsidR="00D90DAF" w:rsidRPr="00571223" w:rsidRDefault="00D90DAF" w:rsidP="00571223">
    <w:pPr>
      <w:pStyle w:val="VersoFooter"/>
      <w:rPr>
        <w:sz w:val="2"/>
        <w:szCs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Ind w:w="-567" w:type="dxa"/>
      <w:tblLayout w:type="fixed"/>
      <w:tblLook w:val="04A0" w:firstRow="1" w:lastRow="0" w:firstColumn="1" w:lastColumn="0" w:noHBand="0" w:noVBand="1"/>
    </w:tblPr>
    <w:tblGrid>
      <w:gridCol w:w="675"/>
      <w:gridCol w:w="9072"/>
    </w:tblGrid>
    <w:tr w:rsidR="00D90DAF" w14:paraId="4F6655FE" w14:textId="77777777" w:rsidTr="006E2886">
      <w:trPr>
        <w:cantSplit/>
      </w:trPr>
      <w:tc>
        <w:tcPr>
          <w:tcW w:w="675" w:type="dxa"/>
          <w:vAlign w:val="center"/>
        </w:tcPr>
        <w:p w14:paraId="4F6655FC" w14:textId="77777777" w:rsidR="00D90DAF" w:rsidRPr="00931466" w:rsidRDefault="00D90DAF"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24</w:t>
          </w:r>
          <w:r w:rsidRPr="00931466">
            <w:rPr>
              <w:rStyle w:val="PageNumber"/>
            </w:rPr>
            <w:fldChar w:fldCharType="end"/>
          </w:r>
        </w:p>
      </w:tc>
      <w:tc>
        <w:tcPr>
          <w:tcW w:w="9072" w:type="dxa"/>
          <w:vAlign w:val="center"/>
        </w:tcPr>
        <w:p w14:paraId="4F6655FD" w14:textId="77777777" w:rsidR="00D90DAF" w:rsidRDefault="00D90DAF" w:rsidP="00564CFF">
          <w:pPr>
            <w:pStyle w:val="RectoFooter"/>
            <w:ind w:left="-108"/>
            <w:jc w:val="left"/>
          </w:pPr>
          <w:r>
            <w:t>strategy to prevent and minimise gambling harm 2022/23 to 2024/25: consultation document</w:t>
          </w:r>
        </w:p>
      </w:tc>
    </w:tr>
  </w:tbl>
  <w:p w14:paraId="4F6655FF" w14:textId="77777777" w:rsidR="00D90DAF" w:rsidRPr="00571223" w:rsidRDefault="00D90DAF" w:rsidP="00571223">
    <w:pPr>
      <w:pStyle w:val="VersoFooter"/>
      <w:rPr>
        <w:sz w:val="2"/>
        <w:szCs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D90DAF" w14:paraId="4F665602" w14:textId="77777777" w:rsidTr="006E2886">
      <w:trPr>
        <w:cantSplit/>
      </w:trPr>
      <w:tc>
        <w:tcPr>
          <w:tcW w:w="8080" w:type="dxa"/>
          <w:vAlign w:val="center"/>
        </w:tcPr>
        <w:p w14:paraId="4F665600" w14:textId="77777777" w:rsidR="00D90DAF" w:rsidRDefault="00D90DAF" w:rsidP="00564CFF">
          <w:pPr>
            <w:pStyle w:val="RectoFooter"/>
          </w:pPr>
          <w:r>
            <w:t>strategy to prevent and minimise gambling harm 2022/23 to 2024/25: consultation document</w:t>
          </w:r>
        </w:p>
      </w:tc>
      <w:tc>
        <w:tcPr>
          <w:tcW w:w="709" w:type="dxa"/>
          <w:vAlign w:val="center"/>
        </w:tcPr>
        <w:p w14:paraId="4F665601" w14:textId="77777777" w:rsidR="00D90DAF" w:rsidRPr="00931466" w:rsidRDefault="00D90DAF"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3</w:t>
          </w:r>
          <w:r w:rsidRPr="00931466">
            <w:rPr>
              <w:rStyle w:val="PageNumber"/>
            </w:rPr>
            <w:fldChar w:fldCharType="end"/>
          </w:r>
        </w:p>
      </w:tc>
    </w:tr>
  </w:tbl>
  <w:p w14:paraId="4F665603" w14:textId="77777777" w:rsidR="00D90DAF" w:rsidRPr="00581EB8" w:rsidRDefault="00D90DAF" w:rsidP="00581EB8">
    <w:pPr>
      <w:pStyle w:val="Footer"/>
      <w:rPr>
        <w:sz w:val="2"/>
        <w:szCs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601" w:type="dxa"/>
      <w:tblLayout w:type="fixed"/>
      <w:tblCellMar>
        <w:left w:w="0" w:type="dxa"/>
        <w:right w:w="0" w:type="dxa"/>
      </w:tblCellMar>
      <w:tblLook w:val="04A0" w:firstRow="1" w:lastRow="0" w:firstColumn="1" w:lastColumn="0" w:noHBand="0" w:noVBand="1"/>
    </w:tblPr>
    <w:tblGrid>
      <w:gridCol w:w="13892"/>
      <w:gridCol w:w="709"/>
    </w:tblGrid>
    <w:tr w:rsidR="00D90DAF" w14:paraId="4F665606" w14:textId="77777777" w:rsidTr="00261451">
      <w:trPr>
        <w:cantSplit/>
      </w:trPr>
      <w:tc>
        <w:tcPr>
          <w:tcW w:w="13892" w:type="dxa"/>
          <w:vAlign w:val="center"/>
        </w:tcPr>
        <w:p w14:paraId="4F665604" w14:textId="77777777" w:rsidR="00D90DAF" w:rsidRDefault="00D90DAF" w:rsidP="00564CFF">
          <w:pPr>
            <w:pStyle w:val="RectoFooter"/>
          </w:pPr>
          <w:r>
            <w:t>strategy to prevent and minimise gambling harm 2022/23 to 2024/25: consultation document</w:t>
          </w:r>
        </w:p>
      </w:tc>
      <w:tc>
        <w:tcPr>
          <w:tcW w:w="709" w:type="dxa"/>
          <w:vAlign w:val="center"/>
        </w:tcPr>
        <w:p w14:paraId="4F665605" w14:textId="77777777" w:rsidR="00D90DAF" w:rsidRPr="00931466" w:rsidRDefault="00D90DAF"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19</w:t>
          </w:r>
          <w:r w:rsidRPr="00931466">
            <w:rPr>
              <w:rStyle w:val="PageNumber"/>
            </w:rPr>
            <w:fldChar w:fldCharType="end"/>
          </w:r>
        </w:p>
      </w:tc>
    </w:tr>
  </w:tbl>
  <w:p w14:paraId="4F665607" w14:textId="77777777" w:rsidR="00D90DAF" w:rsidRPr="00581EB8" w:rsidRDefault="00D90DAF" w:rsidP="00581EB8">
    <w:pPr>
      <w:pStyle w:val="Footer"/>
      <w:rPr>
        <w:sz w:val="2"/>
        <w:szCs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D90DAF" w14:paraId="4F66560A" w14:textId="77777777" w:rsidTr="006E2886">
      <w:trPr>
        <w:cantSplit/>
      </w:trPr>
      <w:tc>
        <w:tcPr>
          <w:tcW w:w="8080" w:type="dxa"/>
          <w:vAlign w:val="center"/>
        </w:tcPr>
        <w:p w14:paraId="4F665608" w14:textId="77777777" w:rsidR="00D90DAF" w:rsidRDefault="00D90DAF" w:rsidP="00564CFF">
          <w:pPr>
            <w:pStyle w:val="RectoFooter"/>
          </w:pPr>
          <w:r>
            <w:t>strategy to prevent and minimise gambling harm 2022/23 to 2024/25: consultation document</w:t>
          </w:r>
        </w:p>
      </w:tc>
      <w:tc>
        <w:tcPr>
          <w:tcW w:w="709" w:type="dxa"/>
          <w:vAlign w:val="center"/>
        </w:tcPr>
        <w:p w14:paraId="4F665609" w14:textId="77777777" w:rsidR="00D90DAF" w:rsidRPr="00931466" w:rsidRDefault="00D90DAF"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23</w:t>
          </w:r>
          <w:r w:rsidRPr="00931466">
            <w:rPr>
              <w:rStyle w:val="PageNumber"/>
            </w:rPr>
            <w:fldChar w:fldCharType="end"/>
          </w:r>
        </w:p>
      </w:tc>
    </w:tr>
  </w:tbl>
  <w:p w14:paraId="4F66560B" w14:textId="77777777" w:rsidR="00D90DAF" w:rsidRPr="00581EB8" w:rsidRDefault="00D90DAF" w:rsidP="00581EB8">
    <w:pPr>
      <w:pStyle w:val="Footer"/>
      <w:rPr>
        <w:sz w:val="2"/>
        <w:szCs w:val="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601" w:type="dxa"/>
      <w:tblLayout w:type="fixed"/>
      <w:tblCellMar>
        <w:left w:w="0" w:type="dxa"/>
        <w:right w:w="0" w:type="dxa"/>
      </w:tblCellMar>
      <w:tblLook w:val="04A0" w:firstRow="1" w:lastRow="0" w:firstColumn="1" w:lastColumn="0" w:noHBand="0" w:noVBand="1"/>
    </w:tblPr>
    <w:tblGrid>
      <w:gridCol w:w="13892"/>
      <w:gridCol w:w="709"/>
    </w:tblGrid>
    <w:tr w:rsidR="00D90DAF" w14:paraId="4F66560E" w14:textId="77777777" w:rsidTr="003D5733">
      <w:trPr>
        <w:cantSplit/>
      </w:trPr>
      <w:tc>
        <w:tcPr>
          <w:tcW w:w="13892" w:type="dxa"/>
          <w:vAlign w:val="center"/>
        </w:tcPr>
        <w:p w14:paraId="4F66560C" w14:textId="77777777" w:rsidR="00D90DAF" w:rsidRDefault="00D90DAF" w:rsidP="003D5733">
          <w:pPr>
            <w:pStyle w:val="RectoFooter"/>
          </w:pPr>
          <w:r>
            <w:t>strategy to prevent and minimise gambling harm 2022/23 to 2024/25: consultation document</w:t>
          </w:r>
        </w:p>
      </w:tc>
      <w:tc>
        <w:tcPr>
          <w:tcW w:w="709" w:type="dxa"/>
          <w:vAlign w:val="center"/>
        </w:tcPr>
        <w:p w14:paraId="4F66560D" w14:textId="77777777" w:rsidR="00D90DAF" w:rsidRPr="00931466" w:rsidRDefault="00D90DAF" w:rsidP="003D5733">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61</w:t>
          </w:r>
          <w:r w:rsidRPr="00931466">
            <w:rPr>
              <w:rStyle w:val="PageNumber"/>
            </w:rPr>
            <w:fldChar w:fldCharType="end"/>
          </w:r>
        </w:p>
      </w:tc>
    </w:tr>
  </w:tbl>
  <w:p w14:paraId="4F66560F" w14:textId="77777777" w:rsidR="00D90DAF" w:rsidRPr="00581EB8" w:rsidRDefault="00D90DAF" w:rsidP="00581EB8">
    <w:pPr>
      <w:pStyle w:val="Footer"/>
      <w:rPr>
        <w:sz w:val="2"/>
        <w:szCs w:val="2"/>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D90DAF" w14:paraId="4F665612" w14:textId="77777777" w:rsidTr="006E2886">
      <w:trPr>
        <w:cantSplit/>
      </w:trPr>
      <w:tc>
        <w:tcPr>
          <w:tcW w:w="8080" w:type="dxa"/>
          <w:vAlign w:val="center"/>
        </w:tcPr>
        <w:p w14:paraId="4F665610" w14:textId="77777777" w:rsidR="00D90DAF" w:rsidRDefault="00D90DAF" w:rsidP="00564CFF">
          <w:pPr>
            <w:pStyle w:val="RectoFooter"/>
          </w:pPr>
          <w:r>
            <w:t>strategy to prevent and minimise gambling harm 2022/23 to 2024/25: consultation document</w:t>
          </w:r>
        </w:p>
      </w:tc>
      <w:tc>
        <w:tcPr>
          <w:tcW w:w="709" w:type="dxa"/>
          <w:vAlign w:val="center"/>
        </w:tcPr>
        <w:p w14:paraId="4F665611" w14:textId="77777777" w:rsidR="00D90DAF" w:rsidRPr="00931466" w:rsidRDefault="00D90DAF"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67</w:t>
          </w:r>
          <w:r w:rsidRPr="00931466">
            <w:rPr>
              <w:rStyle w:val="PageNumber"/>
            </w:rPr>
            <w:fldChar w:fldCharType="end"/>
          </w:r>
        </w:p>
      </w:tc>
    </w:tr>
  </w:tbl>
  <w:p w14:paraId="4F665613" w14:textId="77777777" w:rsidR="00D90DAF" w:rsidRPr="00581EB8" w:rsidRDefault="00D90DAF" w:rsidP="00581EB8">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655DB" w14:textId="77777777" w:rsidR="00D90DAF" w:rsidRDefault="00D90DAF"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655DC" w14:textId="77777777" w:rsidR="00D90DAF" w:rsidRDefault="00D90DA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D90DAF" w14:paraId="4F6655E1" w14:textId="77777777" w:rsidTr="006E2886">
      <w:trPr>
        <w:cantSplit/>
      </w:trPr>
      <w:tc>
        <w:tcPr>
          <w:tcW w:w="709" w:type="dxa"/>
          <w:vAlign w:val="center"/>
        </w:tcPr>
        <w:p w14:paraId="4F6655DF" w14:textId="77777777" w:rsidR="00D90DAF" w:rsidRPr="00931466" w:rsidRDefault="00D90DAF"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iv</w:t>
          </w:r>
          <w:r w:rsidRPr="00931466">
            <w:rPr>
              <w:rStyle w:val="PageNumber"/>
            </w:rPr>
            <w:fldChar w:fldCharType="end"/>
          </w:r>
        </w:p>
      </w:tc>
      <w:tc>
        <w:tcPr>
          <w:tcW w:w="8080" w:type="dxa"/>
          <w:vAlign w:val="center"/>
        </w:tcPr>
        <w:p w14:paraId="4F6655E0" w14:textId="77777777" w:rsidR="00D90DAF" w:rsidRDefault="00D90DAF" w:rsidP="00564CFF">
          <w:pPr>
            <w:pStyle w:val="RectoFooter"/>
            <w:jc w:val="left"/>
          </w:pPr>
          <w:r>
            <w:t>strategy to prevent and minimise gambling harm 2022/23 to 2024/25: consultation document</w:t>
          </w:r>
        </w:p>
      </w:tc>
    </w:tr>
  </w:tbl>
  <w:p w14:paraId="4F6655E2" w14:textId="77777777" w:rsidR="00D90DAF" w:rsidRPr="00571223" w:rsidRDefault="00D90DAF"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D90DAF" w14:paraId="4F6655E5" w14:textId="77777777" w:rsidTr="006B62E6">
      <w:trPr>
        <w:cantSplit/>
      </w:trPr>
      <w:tc>
        <w:tcPr>
          <w:tcW w:w="8080" w:type="dxa"/>
          <w:vAlign w:val="center"/>
        </w:tcPr>
        <w:p w14:paraId="4F6655E3" w14:textId="77777777" w:rsidR="00D90DAF" w:rsidRDefault="00D90DAF" w:rsidP="00564CFF">
          <w:pPr>
            <w:pStyle w:val="RectoFooter"/>
          </w:pPr>
          <w:r>
            <w:t>strategy to prevent and minimise gambling harm 2022/23 to 2024/25: consultation document</w:t>
          </w:r>
        </w:p>
      </w:tc>
      <w:tc>
        <w:tcPr>
          <w:tcW w:w="709" w:type="dxa"/>
          <w:vAlign w:val="center"/>
        </w:tcPr>
        <w:p w14:paraId="4F6655E4" w14:textId="77777777" w:rsidR="00D90DAF" w:rsidRPr="00931466" w:rsidRDefault="00D90DAF"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w:t>
          </w:r>
          <w:r w:rsidRPr="00931466">
            <w:rPr>
              <w:rStyle w:val="PageNumber"/>
            </w:rPr>
            <w:fldChar w:fldCharType="end"/>
          </w:r>
        </w:p>
      </w:tc>
    </w:tr>
  </w:tbl>
  <w:p w14:paraId="4F6655E6" w14:textId="77777777" w:rsidR="00D90DAF" w:rsidRPr="00581EB8" w:rsidRDefault="00D90DAF"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655E7" w14:textId="77777777" w:rsidR="00D90DAF" w:rsidRPr="00571223" w:rsidRDefault="00D90DAF"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89" w:type="dxa"/>
      <w:tblLook w:val="04A0" w:firstRow="1" w:lastRow="0" w:firstColumn="1" w:lastColumn="0" w:noHBand="0" w:noVBand="1"/>
    </w:tblPr>
    <w:tblGrid>
      <w:gridCol w:w="8046"/>
      <w:gridCol w:w="567"/>
      <w:gridCol w:w="1276"/>
    </w:tblGrid>
    <w:tr w:rsidR="00D90DAF" w14:paraId="4F6655EB" w14:textId="77777777" w:rsidTr="007920E2">
      <w:tc>
        <w:tcPr>
          <w:tcW w:w="8046" w:type="dxa"/>
          <w:vAlign w:val="center"/>
        </w:tcPr>
        <w:p w14:paraId="4F6655E8" w14:textId="77777777" w:rsidR="00D90DAF" w:rsidRDefault="00D90DAF" w:rsidP="00926083">
          <w:pPr>
            <w:pStyle w:val="RectoFooter"/>
          </w:pPr>
          <w:r>
            <w:t>[TITLE]</w:t>
          </w:r>
        </w:p>
      </w:tc>
      <w:tc>
        <w:tcPr>
          <w:tcW w:w="567" w:type="dxa"/>
          <w:vAlign w:val="center"/>
        </w:tcPr>
        <w:p w14:paraId="4F6655E9" w14:textId="77777777" w:rsidR="00D90DAF" w:rsidRPr="00931466" w:rsidRDefault="00D90DAF"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w:t>
          </w:r>
          <w:r w:rsidRPr="00931466">
            <w:rPr>
              <w:rStyle w:val="PageNumber"/>
            </w:rPr>
            <w:fldChar w:fldCharType="end"/>
          </w:r>
        </w:p>
      </w:tc>
      <w:tc>
        <w:tcPr>
          <w:tcW w:w="1276" w:type="dxa"/>
          <w:shd w:val="clear" w:color="auto" w:fill="auto"/>
          <w:vAlign w:val="center"/>
        </w:tcPr>
        <w:p w14:paraId="4F6655EA" w14:textId="77777777" w:rsidR="00D90DAF" w:rsidRPr="00931466" w:rsidRDefault="00D90DAF" w:rsidP="00931466">
          <w:pPr>
            <w:pStyle w:val="Footer"/>
            <w:jc w:val="right"/>
            <w:rPr>
              <w:sz w:val="15"/>
              <w:szCs w:val="15"/>
            </w:rPr>
          </w:pPr>
        </w:p>
      </w:tc>
    </w:tr>
  </w:tbl>
  <w:p w14:paraId="4F6655EC" w14:textId="77777777" w:rsidR="00D90DAF" w:rsidRPr="00581EB8" w:rsidRDefault="00D90DAF" w:rsidP="00581EB8">
    <w:pPr>
      <w:pStyle w:val="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D90DAF" w14:paraId="4F6655F1" w14:textId="77777777" w:rsidTr="00D662F8">
      <w:trPr>
        <w:cantSplit/>
      </w:trPr>
      <w:tc>
        <w:tcPr>
          <w:tcW w:w="709" w:type="dxa"/>
          <w:vAlign w:val="center"/>
        </w:tcPr>
        <w:p w14:paraId="4F6655EF" w14:textId="77777777" w:rsidR="00D90DAF" w:rsidRPr="00931466" w:rsidRDefault="00D90DAF"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viii</w:t>
          </w:r>
          <w:r w:rsidRPr="00931466">
            <w:rPr>
              <w:rStyle w:val="PageNumber"/>
            </w:rPr>
            <w:fldChar w:fldCharType="end"/>
          </w:r>
        </w:p>
      </w:tc>
      <w:tc>
        <w:tcPr>
          <w:tcW w:w="8080" w:type="dxa"/>
          <w:vAlign w:val="center"/>
        </w:tcPr>
        <w:p w14:paraId="4F6655F0" w14:textId="77777777" w:rsidR="00D90DAF" w:rsidRDefault="00D90DAF" w:rsidP="001957F4">
          <w:pPr>
            <w:pStyle w:val="RectoFooter"/>
            <w:jc w:val="left"/>
          </w:pPr>
          <w:r>
            <w:t>strategy to prevent and minimise gambling harm 2022/23 to 2024/25: consultation document</w:t>
          </w:r>
        </w:p>
      </w:tc>
    </w:tr>
  </w:tbl>
  <w:p w14:paraId="4F6655F2" w14:textId="77777777" w:rsidR="00D90DAF" w:rsidRPr="00571223" w:rsidRDefault="00D90DAF" w:rsidP="00571223">
    <w:pPr>
      <w:pStyle w:val="VersoFoote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D90DAF" w14:paraId="4F6655F5" w14:textId="77777777" w:rsidTr="006E2886">
      <w:trPr>
        <w:cantSplit/>
      </w:trPr>
      <w:tc>
        <w:tcPr>
          <w:tcW w:w="8080" w:type="dxa"/>
          <w:vAlign w:val="center"/>
        </w:tcPr>
        <w:p w14:paraId="4F6655F3" w14:textId="77777777" w:rsidR="00D90DAF" w:rsidRDefault="00D90DAF" w:rsidP="00564CFF">
          <w:pPr>
            <w:pStyle w:val="RectoFooter"/>
          </w:pPr>
          <w:r>
            <w:t>strategy to prevent and minimise gambling harm 2022/23 to 2024/25: consultation document</w:t>
          </w:r>
        </w:p>
      </w:tc>
      <w:tc>
        <w:tcPr>
          <w:tcW w:w="709" w:type="dxa"/>
          <w:vAlign w:val="center"/>
        </w:tcPr>
        <w:p w14:paraId="4F6655F4" w14:textId="77777777" w:rsidR="00D90DAF" w:rsidRPr="00931466" w:rsidRDefault="00D90DAF"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xi</w:t>
          </w:r>
          <w:r w:rsidRPr="00931466">
            <w:rPr>
              <w:rStyle w:val="PageNumber"/>
            </w:rPr>
            <w:fldChar w:fldCharType="end"/>
          </w:r>
        </w:p>
      </w:tc>
    </w:tr>
  </w:tbl>
  <w:p w14:paraId="4F6655F6" w14:textId="77777777" w:rsidR="00D90DAF" w:rsidRPr="00581EB8" w:rsidRDefault="00D90DAF"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9DE14" w14:textId="77777777" w:rsidR="00251F03" w:rsidRPr="00A26E6B" w:rsidRDefault="00251F03" w:rsidP="00A26E6B"/>
  </w:footnote>
  <w:footnote w:type="continuationSeparator" w:id="0">
    <w:p w14:paraId="6D693358" w14:textId="77777777" w:rsidR="00251F03" w:rsidRDefault="00251F03">
      <w:r>
        <w:continuationSeparator/>
      </w:r>
    </w:p>
    <w:p w14:paraId="77E3A3E9" w14:textId="77777777" w:rsidR="00251F03" w:rsidRDefault="00251F03"/>
  </w:footnote>
  <w:footnote w:id="1">
    <w:p w14:paraId="4F665618" w14:textId="77777777" w:rsidR="00D90DAF" w:rsidRDefault="00D90DAF" w:rsidP="00D91240">
      <w:pPr>
        <w:pStyle w:val="FootnoteText"/>
      </w:pPr>
      <w:r w:rsidRPr="00D91240">
        <w:rPr>
          <w:rStyle w:val="FootnoteReference"/>
          <w:rFonts w:eastAsia="MS Gothic"/>
        </w:rPr>
        <w:footnoteRef/>
      </w:r>
      <w:r>
        <w:tab/>
      </w:r>
      <w:r w:rsidRPr="00B729F8">
        <w:t>Malatest International, Gambling Harm Needs Assessment 2021</w:t>
      </w:r>
      <w:r>
        <w:t>.</w:t>
      </w:r>
    </w:p>
  </w:footnote>
  <w:footnote w:id="2">
    <w:p w14:paraId="4F665619" w14:textId="77777777" w:rsidR="00D90DAF" w:rsidRPr="008303C6" w:rsidRDefault="00D90DAF" w:rsidP="00D91240">
      <w:pPr>
        <w:pStyle w:val="FootnoteText"/>
      </w:pPr>
      <w:r w:rsidRPr="00D91240">
        <w:rPr>
          <w:rStyle w:val="FootnoteReference"/>
          <w:rFonts w:eastAsia="MS Gothic"/>
        </w:rPr>
        <w:footnoteRef/>
      </w:r>
      <w:r>
        <w:tab/>
      </w:r>
      <w:r w:rsidRPr="008303C6">
        <w:t>Ministry of Health. 2019</w:t>
      </w:r>
      <w:r w:rsidRPr="00A16BCF">
        <w:t xml:space="preserve">. </w:t>
      </w:r>
      <w:r w:rsidRPr="00A16BCF">
        <w:rPr>
          <w:i/>
          <w:iCs/>
        </w:rPr>
        <w:t>Strategy to Prevent and Minimise Gambling Harm 2019/20 to 2021/22</w:t>
      </w:r>
      <w:r>
        <w:t>.</w:t>
      </w:r>
      <w:r w:rsidRPr="00A16BCF">
        <w:t xml:space="preserve"> Wellington: Ministry of Health.</w:t>
      </w:r>
      <w:r>
        <w:t xml:space="preserve"> URL: </w:t>
      </w:r>
      <w:hyperlink r:id="rId1" w:history="1">
        <w:r w:rsidRPr="00CF56A6">
          <w:rPr>
            <w:rStyle w:val="Hyperlink"/>
          </w:rPr>
          <w:t>www.health.govt.nz/publication/strategy-prevent-and-minimise-gambling-harm-2019-20-2021-22</w:t>
        </w:r>
      </w:hyperlink>
      <w:r w:rsidRPr="00D91240">
        <w:t>.</w:t>
      </w:r>
    </w:p>
  </w:footnote>
  <w:footnote w:id="3">
    <w:p w14:paraId="4F66561A" w14:textId="77777777" w:rsidR="00D90DAF" w:rsidRDefault="00D90DAF" w:rsidP="00164C09">
      <w:pPr>
        <w:pStyle w:val="FootnoteText"/>
      </w:pPr>
      <w:r w:rsidRPr="00164C09">
        <w:rPr>
          <w:rStyle w:val="FootnoteReference"/>
          <w:rFonts w:eastAsia="MS Gothic"/>
        </w:rPr>
        <w:footnoteRef/>
      </w:r>
      <w:r>
        <w:tab/>
      </w:r>
      <w:r w:rsidRPr="00B729F8">
        <w:t>Malatest International, Gambling Harm Needs Assessment 2021</w:t>
      </w:r>
      <w:r>
        <w:t>.</w:t>
      </w:r>
    </w:p>
  </w:footnote>
  <w:footnote w:id="4">
    <w:p w14:paraId="4F66561B" w14:textId="77777777" w:rsidR="00D90DAF" w:rsidRPr="0003777A" w:rsidRDefault="00D90DAF" w:rsidP="00DA0FA1">
      <w:pPr>
        <w:pStyle w:val="FootnoteText"/>
      </w:pPr>
      <w:r w:rsidRPr="00DA0FA1">
        <w:rPr>
          <w:rStyle w:val="FootnoteReference"/>
          <w:rFonts w:eastAsiaTheme="majorEastAsia"/>
        </w:rPr>
        <w:footnoteRef/>
      </w:r>
      <w:r>
        <w:tab/>
      </w:r>
      <w:r w:rsidRPr="00DA0FA1">
        <w:rPr>
          <w:i/>
        </w:rPr>
        <w:t>New Zealanders’ Participation in Gambling: Results from the 2016 Health and Lifestyles Survey meta-analysis.</w:t>
      </w:r>
    </w:p>
  </w:footnote>
  <w:footnote w:id="5">
    <w:p w14:paraId="4F66561C" w14:textId="77777777" w:rsidR="00D90DAF" w:rsidRDefault="00D90DAF" w:rsidP="00DA0FA1">
      <w:pPr>
        <w:pStyle w:val="FootnoteText"/>
      </w:pPr>
      <w:r w:rsidRPr="00DA0FA1">
        <w:rPr>
          <w:rStyle w:val="FootnoteReference"/>
          <w:rFonts w:eastAsiaTheme="majorEastAsia"/>
        </w:rPr>
        <w:footnoteRef/>
      </w:r>
      <w:r>
        <w:tab/>
      </w:r>
      <w:r w:rsidRPr="00AD09D5">
        <w:t>Kupe: Gambling Harm HLS 2018 results</w:t>
      </w:r>
      <w:r>
        <w:t xml:space="preserve"> – </w:t>
      </w:r>
      <w:hyperlink r:id="rId2" w:anchor="!/gambling/gambling-harm" w:history="1">
        <w:r w:rsidRPr="00DA0FA1">
          <w:rPr>
            <w:rStyle w:val="Hyperlink"/>
          </w:rPr>
          <w:t>https://kupe.hpa.org.nz/#!/gambling/gambling-harm</w:t>
        </w:r>
      </w:hyperlink>
      <w:r>
        <w:t>.</w:t>
      </w:r>
    </w:p>
  </w:footnote>
  <w:footnote w:id="6">
    <w:p w14:paraId="4F66561D" w14:textId="77777777" w:rsidR="00D90DAF" w:rsidRPr="008303C6" w:rsidRDefault="00D90DAF" w:rsidP="001A0826">
      <w:pPr>
        <w:pStyle w:val="FootnoteText"/>
      </w:pPr>
      <w:r w:rsidRPr="001A0826">
        <w:rPr>
          <w:rStyle w:val="FootnoteReference"/>
          <w:rFonts w:eastAsia="MS Gothic"/>
        </w:rPr>
        <w:footnoteRef/>
      </w:r>
      <w:r>
        <w:tab/>
      </w:r>
      <w:r w:rsidRPr="008303C6">
        <w:t xml:space="preserve">Korn DA, Shaffer HJ. 1999. Gambling and the health of the public: adopting a public health perspective. </w:t>
      </w:r>
      <w:r w:rsidRPr="008303C6">
        <w:rPr>
          <w:i/>
          <w:iCs/>
        </w:rPr>
        <w:t>Journal of Gambling Studies</w:t>
      </w:r>
      <w:r w:rsidRPr="001A0826">
        <w:rPr>
          <w:iCs/>
        </w:rPr>
        <w:t xml:space="preserve"> 15</w:t>
      </w:r>
      <w:r>
        <w:rPr>
          <w:iCs/>
        </w:rPr>
        <w:t>:</w:t>
      </w:r>
      <w:r w:rsidRPr="008303C6">
        <w:rPr>
          <w:i/>
          <w:iCs/>
        </w:rPr>
        <w:t xml:space="preserve"> </w:t>
      </w:r>
      <w:r w:rsidRPr="008303C6">
        <w:t xml:space="preserve">289–365. DOI: </w:t>
      </w:r>
      <w:r>
        <w:rPr>
          <w:rFonts w:cs="Segoe UI"/>
          <w:color w:val="333333"/>
          <w:shd w:val="clear" w:color="auto" w:fill="FCFCFC"/>
        </w:rPr>
        <w:t>doi.org/10.1023/A:1023005115932 (accessed 15 July 2021).</w:t>
      </w:r>
    </w:p>
  </w:footnote>
  <w:footnote w:id="7">
    <w:p w14:paraId="4F66561E" w14:textId="77777777" w:rsidR="00D90DAF" w:rsidRPr="0003777A" w:rsidRDefault="00D90DAF" w:rsidP="002C2F26">
      <w:pPr>
        <w:pStyle w:val="FootnoteText"/>
      </w:pPr>
      <w:r w:rsidRPr="002C2F26">
        <w:rPr>
          <w:rStyle w:val="FootnoteReference"/>
          <w:rFonts w:eastAsiaTheme="majorEastAsia"/>
        </w:rPr>
        <w:footnoteRef/>
      </w:r>
      <w:r>
        <w:tab/>
        <w:t xml:space="preserve">See the Achieving equity webpage of the Ministry’s website at: </w:t>
      </w:r>
      <w:hyperlink r:id="rId3" w:anchor=":~:text=Whakamaua%3A%20Māori%20Health%20Action%20Plan%202020-2025%20is%20the,the%20Ministry’s%20new%20Te%20Tiriti%20o%20Waitangi%20Framework" w:history="1">
        <w:r w:rsidRPr="002C2F26">
          <w:rPr>
            <w:rStyle w:val="Hyperlink"/>
          </w:rPr>
          <w:t>www.hauora.co.nz/new-action-plan-to-boost-maori-health-and-wellbeing/#:~:text=Whakamaua%3A%20Māori%20Health%20Action%20Plan%202020-2025%20is%20the,the%20Ministry’s%20new%20Te%20Tiriti%20o%20Waitangi%20Framework</w:t>
        </w:r>
      </w:hyperlink>
      <w:r>
        <w:t xml:space="preserve"> </w:t>
      </w:r>
      <w:hyperlink r:id="rId4" w:history="1">
        <w:r w:rsidRPr="002C2F26">
          <w:rPr>
            <w:rStyle w:val="Hyperlink"/>
          </w:rPr>
          <w:t>www.health.govt.nz/about-ministry/what-we-do/work-programme-2019-20/achieving-equity</w:t>
        </w:r>
      </w:hyperlink>
    </w:p>
  </w:footnote>
  <w:footnote w:id="8">
    <w:p w14:paraId="4F66561F" w14:textId="77777777" w:rsidR="00D90DAF" w:rsidRPr="008303C6" w:rsidRDefault="00D90DAF" w:rsidP="002C2F26">
      <w:pPr>
        <w:pStyle w:val="FootnoteText"/>
      </w:pPr>
      <w:r w:rsidRPr="002C2F26">
        <w:rPr>
          <w:rStyle w:val="FootnoteReference"/>
          <w:rFonts w:eastAsia="MS Gothic"/>
        </w:rPr>
        <w:footnoteRef/>
      </w:r>
      <w:r>
        <w:tab/>
      </w:r>
      <w:r w:rsidRPr="008303C6">
        <w:t xml:space="preserve">Government Inquiry into Mental Health and Addiction. 2018. </w:t>
      </w:r>
      <w:r w:rsidRPr="008303C6">
        <w:rPr>
          <w:i/>
          <w:iCs/>
        </w:rPr>
        <w:t xml:space="preserve">He Ara Oranga: Report of the Government Inquiry into Mental Health and Addiction. </w:t>
      </w:r>
      <w:r w:rsidRPr="008303C6">
        <w:t xml:space="preserve">Wellington: Government Inquiry into Mental Health and Addiction. URL: </w:t>
      </w:r>
      <w:hyperlink r:id="rId5" w:history="1">
        <w:r w:rsidRPr="008303C6">
          <w:rPr>
            <w:rStyle w:val="Hyperlink"/>
          </w:rPr>
          <w:t>www.mentalhealth.inquiry.govt.nz/assets/Summary-reports/He-Ara-Oranga.pdf</w:t>
        </w:r>
      </w:hyperlink>
      <w:r w:rsidRPr="008303C6">
        <w:t xml:space="preserve"> (accessed 15 July 2021).</w:t>
      </w:r>
    </w:p>
  </w:footnote>
  <w:footnote w:id="9">
    <w:p w14:paraId="4F665620" w14:textId="77777777" w:rsidR="00D90DAF" w:rsidRPr="008303C6" w:rsidRDefault="00D90DAF" w:rsidP="002C2F26">
      <w:pPr>
        <w:pStyle w:val="FootnoteText"/>
      </w:pPr>
      <w:r w:rsidRPr="002C2F26">
        <w:rPr>
          <w:rStyle w:val="FootnoteReference"/>
          <w:rFonts w:eastAsia="MS Gothic"/>
        </w:rPr>
        <w:footnoteRef/>
      </w:r>
      <w:r>
        <w:tab/>
      </w:r>
      <w:r w:rsidRPr="008E20F2">
        <w:t>Ministry</w:t>
      </w:r>
      <w:r>
        <w:rPr>
          <w:shd w:val="clear" w:color="auto" w:fill="FFFFFF"/>
        </w:rPr>
        <w:t xml:space="preserve"> of Health. 2020. </w:t>
      </w:r>
      <w:r w:rsidRPr="008E20F2">
        <w:rPr>
          <w:i/>
          <w:iCs/>
          <w:shd w:val="clear" w:color="auto" w:fill="FFFFFF"/>
        </w:rPr>
        <w:t>Whakamaua: Māori Health Action Plan 2020</w:t>
      </w:r>
      <w:r>
        <w:rPr>
          <w:i/>
          <w:iCs/>
          <w:shd w:val="clear" w:color="auto" w:fill="FFFFFF"/>
        </w:rPr>
        <w:t>–</w:t>
      </w:r>
      <w:r w:rsidRPr="008E20F2">
        <w:rPr>
          <w:i/>
          <w:iCs/>
          <w:shd w:val="clear" w:color="auto" w:fill="FFFFFF"/>
        </w:rPr>
        <w:t>2025</w:t>
      </w:r>
      <w:r>
        <w:rPr>
          <w:shd w:val="clear" w:color="auto" w:fill="FFFFFF"/>
        </w:rPr>
        <w:t>. Wellington: Ministry of Health.</w:t>
      </w:r>
    </w:p>
  </w:footnote>
  <w:footnote w:id="10">
    <w:p w14:paraId="4F665621" w14:textId="77777777" w:rsidR="00D90DAF" w:rsidRPr="008303C6" w:rsidRDefault="00D90DAF" w:rsidP="002C2F26">
      <w:pPr>
        <w:pStyle w:val="FootnoteText"/>
      </w:pPr>
      <w:r w:rsidRPr="002C2F26">
        <w:rPr>
          <w:rStyle w:val="FootnoteReference"/>
          <w:rFonts w:eastAsia="MS Gothic"/>
        </w:rPr>
        <w:footnoteRef/>
      </w:r>
      <w:r>
        <w:tab/>
        <w:t xml:space="preserve">See the Gambling webpage on the </w:t>
      </w:r>
      <w:r w:rsidRPr="008303C6">
        <w:t xml:space="preserve">Department of Internal Affairs website, at: </w:t>
      </w:r>
      <w:hyperlink r:id="rId6" w:history="1">
        <w:r w:rsidRPr="008303C6">
          <w:rPr>
            <w:rStyle w:val="Hyperlink"/>
          </w:rPr>
          <w:t>www.dia.govt.nz/Gambling</w:t>
        </w:r>
      </w:hyperlink>
    </w:p>
  </w:footnote>
  <w:footnote w:id="11">
    <w:p w14:paraId="4F665622" w14:textId="77777777" w:rsidR="00D90DAF" w:rsidRPr="008303C6" w:rsidRDefault="00D90DAF" w:rsidP="002C2F26">
      <w:pPr>
        <w:pStyle w:val="FootnoteText"/>
      </w:pPr>
      <w:r w:rsidRPr="002C2F26">
        <w:rPr>
          <w:rStyle w:val="FootnoteReference"/>
          <w:rFonts w:eastAsia="MS Gothic"/>
        </w:rPr>
        <w:footnoteRef/>
      </w:r>
      <w:r>
        <w:tab/>
      </w:r>
      <w:r w:rsidRPr="008303C6">
        <w:t>Waitangi Tribunal</w:t>
      </w:r>
      <w:r>
        <w:t>.</w:t>
      </w:r>
      <w:r w:rsidRPr="008303C6">
        <w:t xml:space="preserve"> 2019. </w:t>
      </w:r>
      <w:r w:rsidRPr="008303C6">
        <w:rPr>
          <w:i/>
          <w:iCs/>
        </w:rPr>
        <w:t xml:space="preserve">Hauora: Report on stage one of the Health Services and Outcomes Kaupapa Inquiry. </w:t>
      </w:r>
      <w:r w:rsidRPr="008303C6">
        <w:t xml:space="preserve">Wai 2575: Waitangi Report 2019. Lower Hutt: Legislation Direct. URL: </w:t>
      </w:r>
      <w:hyperlink r:id="rId7" w:history="1">
        <w:r w:rsidRPr="008303C6">
          <w:rPr>
            <w:rStyle w:val="Hyperlink"/>
          </w:rPr>
          <w:t>https://forms.justice.govt.nz/search/Documents/WT/wt_DOC_152801817/Hauora%20W.pdf</w:t>
        </w:r>
      </w:hyperlink>
      <w:r w:rsidRPr="008303C6">
        <w:t xml:space="preserve"> (accessed 15 July 2021).</w:t>
      </w:r>
    </w:p>
  </w:footnote>
  <w:footnote w:id="12">
    <w:p w14:paraId="4F665623" w14:textId="77777777" w:rsidR="00D90DAF" w:rsidRPr="008303C6" w:rsidRDefault="00D90DAF" w:rsidP="002C2F26">
      <w:pPr>
        <w:pStyle w:val="FootnoteText"/>
      </w:pPr>
      <w:r w:rsidRPr="002C2F26">
        <w:rPr>
          <w:rStyle w:val="FootnoteReference"/>
          <w:rFonts w:eastAsia="MS Gothic"/>
        </w:rPr>
        <w:footnoteRef/>
      </w:r>
      <w:r>
        <w:tab/>
      </w:r>
      <w:r w:rsidRPr="008303C6">
        <w:t xml:space="preserve">See the webpage He Korowai Oranga on the Ministry’s website at: </w:t>
      </w:r>
      <w:hyperlink r:id="rId8" w:history="1">
        <w:r w:rsidRPr="008303C6">
          <w:rPr>
            <w:rStyle w:val="Hyperlink"/>
          </w:rPr>
          <w:t>www.health.govt.nz/our-work/populations/maori-health/he-korowai-oranga</w:t>
        </w:r>
      </w:hyperlink>
    </w:p>
  </w:footnote>
  <w:footnote w:id="13">
    <w:p w14:paraId="4F665624" w14:textId="77777777" w:rsidR="00D90DAF" w:rsidRDefault="00D90DAF" w:rsidP="003A45D7">
      <w:pPr>
        <w:pStyle w:val="FootnoteText"/>
      </w:pPr>
      <w:r>
        <w:rPr>
          <w:rStyle w:val="FootnoteReference"/>
        </w:rPr>
        <w:footnoteRef/>
      </w:r>
      <w:r>
        <w:tab/>
      </w:r>
      <w:r>
        <w:rPr>
          <w:i/>
          <w:iCs/>
        </w:rPr>
        <w:t xml:space="preserve">Kia Kaha </w:t>
      </w:r>
      <w:r w:rsidRPr="0003777A">
        <w:t xml:space="preserve">also includes the principle </w:t>
      </w:r>
      <w:r>
        <w:t>of h</w:t>
      </w:r>
      <w:r w:rsidRPr="0003777A">
        <w:t xml:space="preserve">uman </w:t>
      </w:r>
      <w:r>
        <w:t>r</w:t>
      </w:r>
      <w:r w:rsidRPr="0003777A">
        <w:t>ights, largely in relation to compulsory treatment in the mental health system. We have excluded this</w:t>
      </w:r>
      <w:r>
        <w:t xml:space="preserve"> principle in this draft strategy</w:t>
      </w:r>
      <w:r w:rsidRPr="0003777A">
        <w:t xml:space="preserve"> as it has limited relevance to gambling prevention and harm minimisation.</w:t>
      </w:r>
    </w:p>
  </w:footnote>
  <w:footnote w:id="14">
    <w:p w14:paraId="4F665625" w14:textId="77777777" w:rsidR="00D90DAF" w:rsidRPr="0003777A" w:rsidRDefault="00D90DAF" w:rsidP="00BB1771">
      <w:pPr>
        <w:pStyle w:val="FootnoteText"/>
      </w:pPr>
      <w:r w:rsidRPr="00BB1771">
        <w:rPr>
          <w:rStyle w:val="FootnoteReference"/>
          <w:rFonts w:eastAsia="MS Gothic"/>
        </w:rPr>
        <w:footnoteRef/>
      </w:r>
      <w:r>
        <w:tab/>
      </w:r>
      <w:r w:rsidRPr="0003777A">
        <w:t xml:space="preserve">In this </w:t>
      </w:r>
      <w:r>
        <w:t xml:space="preserve">draft </w:t>
      </w:r>
      <w:r w:rsidRPr="0003777A">
        <w:t>strategy, young people</w:t>
      </w:r>
      <w:r>
        <w:t xml:space="preserve"> </w:t>
      </w:r>
      <w:r w:rsidRPr="0003777A">
        <w:t>/</w:t>
      </w:r>
      <w:r>
        <w:t xml:space="preserve"> </w:t>
      </w:r>
      <w:r w:rsidRPr="0003777A">
        <w:t xml:space="preserve">rangatahi </w:t>
      </w:r>
      <w:r>
        <w:t>relates to people</w:t>
      </w:r>
      <w:r w:rsidRPr="0003777A">
        <w:t xml:space="preserve"> aged under 25 years, as set out in the Child and Youth Wellbeing Strategy</w:t>
      </w:r>
      <w:r>
        <w:t xml:space="preserve"> (see the Child and Youth Wellbeing Strategy website at: </w:t>
      </w:r>
      <w:hyperlink r:id="rId9" w:history="1">
        <w:r w:rsidRPr="00BB1771">
          <w:rPr>
            <w:rStyle w:val="Hyperlink"/>
          </w:rPr>
          <w:t>https://childyouthwellbeing.govt.nz/resources/child-and-youth-wellbeing-strategy</w:t>
        </w:r>
      </w:hyperlink>
      <w:r>
        <w:t>).</w:t>
      </w:r>
    </w:p>
  </w:footnote>
  <w:footnote w:id="15">
    <w:p w14:paraId="4F665626" w14:textId="77777777" w:rsidR="00D90DAF" w:rsidRDefault="00D90DAF" w:rsidP="00DA41CC">
      <w:pPr>
        <w:pStyle w:val="FootnoteText"/>
      </w:pPr>
      <w:r w:rsidRPr="00DA41CC">
        <w:rPr>
          <w:rStyle w:val="FootnoteReference"/>
          <w:rFonts w:eastAsia="MS Gothic"/>
        </w:rPr>
        <w:footnoteRef/>
      </w:r>
      <w:r>
        <w:tab/>
      </w:r>
      <w:r w:rsidRPr="00EB74DC">
        <w:t>The forecast underspend is a consequence of $5 million underspend being transferred into the current levy period, with some delays in spending because of the response to COVID-19.</w:t>
      </w:r>
    </w:p>
  </w:footnote>
  <w:footnote w:id="16">
    <w:p w14:paraId="4F665627" w14:textId="77777777" w:rsidR="00D90DAF" w:rsidRPr="0003777A" w:rsidRDefault="00D90DAF" w:rsidP="00F46EA9">
      <w:pPr>
        <w:pStyle w:val="FootnoteText"/>
      </w:pPr>
      <w:r w:rsidRPr="00F46EA9">
        <w:rPr>
          <w:rStyle w:val="FootnoteReference"/>
          <w:rFonts w:eastAsia="MS Gothic"/>
        </w:rPr>
        <w:footnoteRef/>
      </w:r>
      <w:r>
        <w:tab/>
      </w:r>
      <w:hyperlink r:id="rId10" w:history="1">
        <w:r w:rsidRPr="00F46EA9">
          <w:rPr>
            <w:rStyle w:val="Hyperlink"/>
          </w:rPr>
          <w:t>https://www.hetaumata.co.nz/public-health/pou-toru-core-competencies</w:t>
        </w:r>
      </w:hyperlink>
    </w:p>
  </w:footnote>
  <w:footnote w:id="17">
    <w:p w14:paraId="4F665628" w14:textId="77777777" w:rsidR="00D90DAF" w:rsidRPr="008303C6" w:rsidRDefault="00D90DAF" w:rsidP="00E43F7D">
      <w:pPr>
        <w:pStyle w:val="FootnoteText"/>
      </w:pPr>
      <w:r w:rsidRPr="00E43F7D">
        <w:rPr>
          <w:rStyle w:val="FootnoteReference"/>
          <w:rFonts w:eastAsia="MS Gothic"/>
        </w:rPr>
        <w:footnoteRef/>
      </w:r>
      <w:r>
        <w:tab/>
      </w:r>
      <w:r w:rsidRPr="00E43F7D">
        <w:t>Te Pou is a national workforce centre for mental health, addiction and disability. For more information, see the website for Te Pou at:</w:t>
      </w:r>
      <w:r w:rsidRPr="008303C6">
        <w:t xml:space="preserve"> </w:t>
      </w:r>
      <w:hyperlink r:id="rId11" w:history="1">
        <w:r w:rsidRPr="008303C6">
          <w:rPr>
            <w:rStyle w:val="Hyperlink"/>
          </w:rPr>
          <w:t>www.tepou.co.nz</w:t>
        </w:r>
      </w:hyperlink>
      <w:r>
        <w:t>.</w:t>
      </w:r>
    </w:p>
  </w:footnote>
  <w:footnote w:id="18">
    <w:p w14:paraId="4F665629" w14:textId="77777777" w:rsidR="00D90DAF" w:rsidRPr="0003777A" w:rsidRDefault="00D90DAF" w:rsidP="007B7120">
      <w:pPr>
        <w:pStyle w:val="FootnoteText"/>
      </w:pPr>
      <w:r w:rsidRPr="007B7120">
        <w:rPr>
          <w:rStyle w:val="FootnoteReference"/>
          <w:rFonts w:eastAsiaTheme="majorEastAsia"/>
        </w:rPr>
        <w:footnoteRef/>
      </w:r>
      <w:r w:rsidRPr="0003777A">
        <w:rPr>
          <w:b/>
        </w:rPr>
        <w:tab/>
        <w:t>R</w:t>
      </w:r>
      <w:r w:rsidRPr="0003777A">
        <w:t xml:space="preserve"> was added to the formula by section 107 of the Gambling Amendment Act 2015, which came into effect on 3 March 2015.</w:t>
      </w:r>
    </w:p>
  </w:footnote>
  <w:footnote w:id="19">
    <w:p w14:paraId="4F66562A" w14:textId="77777777" w:rsidR="00D90DAF" w:rsidRPr="00125B7B" w:rsidRDefault="00D90DAF" w:rsidP="001049E8">
      <w:pPr>
        <w:pStyle w:val="FootnoteText"/>
      </w:pPr>
      <w:r w:rsidRPr="001049E8">
        <w:rPr>
          <w:rStyle w:val="FootnoteReference"/>
          <w:rFonts w:eastAsiaTheme="majorEastAsia"/>
        </w:rPr>
        <w:footnoteRef/>
      </w:r>
      <w:r w:rsidRPr="0003777A">
        <w:tab/>
        <w:t>The IRD provides gaming duty and problem gambling levy data to the DIA. The Tax Administration Act 1994 requires the IRD to use its best endeavours to protect the integrity of the tax system by (among other things) maintaining the confidentiality of the affairs of taxpayers.</w:t>
      </w:r>
      <w:r>
        <w:t xml:space="preserve"> </w:t>
      </w:r>
    </w:p>
  </w:footnote>
  <w:footnote w:id="20">
    <w:p w14:paraId="4F66562B" w14:textId="77777777" w:rsidR="00D90DAF" w:rsidRPr="0003777A" w:rsidRDefault="00D90DAF" w:rsidP="00C25919">
      <w:pPr>
        <w:pStyle w:val="FootnoteText"/>
      </w:pPr>
      <w:r w:rsidRPr="00C25919">
        <w:rPr>
          <w:rStyle w:val="FootnoteReference"/>
          <w:rFonts w:eastAsiaTheme="majorEastAsia"/>
        </w:rPr>
        <w:footnoteRef/>
      </w:r>
      <w:r w:rsidRPr="0003777A">
        <w:tab/>
      </w:r>
      <w:r>
        <w:t>Data taken from the Gaming machine profits (GMP dashboard) webpage on the website for Te Tari Taiwhenua, Department of Internal Affairs at</w:t>
      </w:r>
      <w:r w:rsidRPr="0003777A">
        <w:t xml:space="preserve">: </w:t>
      </w:r>
      <w:hyperlink r:id="rId12" w:history="1">
        <w:r w:rsidRPr="00C25919">
          <w:rPr>
            <w:rStyle w:val="Hyperlink"/>
          </w:rPr>
          <w:t>https://www.dia.govt.nz/gambling-statistics-gmp-dashboard</w:t>
        </w:r>
      </w:hyperlink>
      <w:r w:rsidRPr="0003777A">
        <w:t xml:space="preserve"> (accessed 21 January 2021).</w:t>
      </w:r>
    </w:p>
  </w:footnote>
  <w:footnote w:id="21">
    <w:p w14:paraId="4F66562C" w14:textId="77777777" w:rsidR="00D90DAF" w:rsidRPr="0003777A" w:rsidRDefault="00D90DAF" w:rsidP="00C25919">
      <w:pPr>
        <w:pStyle w:val="FootnoteText"/>
      </w:pPr>
      <w:r w:rsidRPr="00C25919">
        <w:rPr>
          <w:rStyle w:val="FootnoteReference"/>
          <w:rFonts w:eastAsiaTheme="majorEastAsia"/>
        </w:rPr>
        <w:footnoteRef/>
      </w:r>
      <w:r>
        <w:tab/>
      </w:r>
      <w:hyperlink r:id="rId13" w:history="1">
        <w:r w:rsidRPr="00C25919">
          <w:rPr>
            <w:rStyle w:val="Hyperlink"/>
          </w:rPr>
          <w:t>https://www.gets.govt.nz/NZLC/ExternalTenderDetails.htm?id=23370625</w:t>
        </w:r>
      </w:hyperlink>
    </w:p>
  </w:footnote>
  <w:footnote w:id="22">
    <w:p w14:paraId="4F66562D" w14:textId="77777777" w:rsidR="00D90DAF" w:rsidRDefault="00D90DAF" w:rsidP="00C25919">
      <w:pPr>
        <w:pStyle w:val="FootnoteText"/>
      </w:pPr>
      <w:r w:rsidRPr="00C25919">
        <w:rPr>
          <w:rStyle w:val="FootnoteReference"/>
          <w:rFonts w:eastAsia="MS Gothic"/>
        </w:rPr>
        <w:footnoteRef/>
      </w:r>
      <w:r>
        <w:tab/>
        <w:t>This takes account of any underspend for the ‘previous levy period’.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4A0" w:firstRow="1" w:lastRow="0" w:firstColumn="1" w:lastColumn="0" w:noHBand="0" w:noVBand="1"/>
    </w:tblPr>
    <w:tblGrid>
      <w:gridCol w:w="5210"/>
      <w:gridCol w:w="4429"/>
    </w:tblGrid>
    <w:tr w:rsidR="00D90DAF" w14:paraId="4F6655D7" w14:textId="77777777" w:rsidTr="005A79E5">
      <w:trPr>
        <w:cantSplit/>
      </w:trPr>
      <w:tc>
        <w:tcPr>
          <w:tcW w:w="5210" w:type="dxa"/>
        </w:tcPr>
        <w:p w14:paraId="4F6655D5" w14:textId="77777777" w:rsidR="00D90DAF" w:rsidRDefault="00D90DAF" w:rsidP="008814E8">
          <w:pPr>
            <w:pStyle w:val="Header"/>
          </w:pPr>
          <w:r>
            <w:rPr>
              <w:noProof/>
              <w:lang w:eastAsia="en-NZ"/>
            </w:rPr>
            <w:drawing>
              <wp:inline distT="0" distB="0" distL="0" distR="0" wp14:anchorId="4F665614" wp14:editId="2D82638B">
                <wp:extent cx="1395076" cy="573578"/>
                <wp:effectExtent l="0" t="0" r="0" b="0"/>
                <wp:docPr id="5"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inistry of Health logo"/>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4F6655D6" w14:textId="77777777" w:rsidR="00D90DAF" w:rsidRDefault="00D90DAF" w:rsidP="008814E8">
          <w:pPr>
            <w:pStyle w:val="Header"/>
            <w:jc w:val="right"/>
          </w:pPr>
          <w:r>
            <w:rPr>
              <w:noProof/>
              <w:lang w:eastAsia="en-NZ"/>
            </w:rPr>
            <w:drawing>
              <wp:inline distT="0" distB="0" distL="0" distR="0" wp14:anchorId="4F665616" wp14:editId="43E04F88">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ew Zealand Government logo"/>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4F6655D8" w14:textId="77777777" w:rsidR="00D90DAF" w:rsidRDefault="00D90D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655DD" w14:textId="77777777" w:rsidR="00D90DAF" w:rsidRDefault="00D90DAF"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655DE" w14:textId="77777777" w:rsidR="00D90DAF" w:rsidRDefault="00D90DAF" w:rsidP="009001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655ED" w14:textId="77777777" w:rsidR="00D90DAF" w:rsidRDefault="00D90DAF" w:rsidP="00533B9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655EE" w14:textId="77777777" w:rsidR="00D90DAF" w:rsidRDefault="00D90DAF"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17C7"/>
    <w:multiLevelType w:val="multilevel"/>
    <w:tmpl w:val="7A1E5B02"/>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Numb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23C85AE7"/>
    <w:multiLevelType w:val="hybridMultilevel"/>
    <w:tmpl w:val="416C56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4D043F"/>
    <w:multiLevelType w:val="hybridMultilevel"/>
    <w:tmpl w:val="2A6CE3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27E47E1"/>
    <w:multiLevelType w:val="hybridMultilevel"/>
    <w:tmpl w:val="8E4462B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655547B8"/>
    <w:multiLevelType w:val="multilevel"/>
    <w:tmpl w:val="48B0E7A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C1218D3"/>
    <w:multiLevelType w:val="singleLevel"/>
    <w:tmpl w:val="F9C47940"/>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8"/>
  </w:num>
  <w:num w:numId="2">
    <w:abstractNumId w:val="3"/>
  </w:num>
  <w:num w:numId="3">
    <w:abstractNumId w:val="4"/>
  </w:num>
  <w:num w:numId="4">
    <w:abstractNumId w:val="1"/>
  </w:num>
  <w:num w:numId="5">
    <w:abstractNumId w:val="0"/>
  </w:num>
  <w:num w:numId="6">
    <w:abstractNumId w:val="6"/>
  </w:num>
  <w:num w:numId="7">
    <w:abstractNumId w:val="7"/>
  </w:num>
  <w:num w:numId="8">
    <w:abstractNumId w:val="5"/>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5BB5"/>
    <w:rsid w:val="00021E7A"/>
    <w:rsid w:val="00025A6F"/>
    <w:rsid w:val="0002618D"/>
    <w:rsid w:val="00030B26"/>
    <w:rsid w:val="00030E84"/>
    <w:rsid w:val="00032C0A"/>
    <w:rsid w:val="00035257"/>
    <w:rsid w:val="00035D68"/>
    <w:rsid w:val="00036027"/>
    <w:rsid w:val="000419A9"/>
    <w:rsid w:val="00045613"/>
    <w:rsid w:val="00047899"/>
    <w:rsid w:val="00053921"/>
    <w:rsid w:val="00054B44"/>
    <w:rsid w:val="0006006B"/>
    <w:rsid w:val="0006228D"/>
    <w:rsid w:val="00070816"/>
    <w:rsid w:val="00070AD9"/>
    <w:rsid w:val="00072BD6"/>
    <w:rsid w:val="000756FF"/>
    <w:rsid w:val="00075B78"/>
    <w:rsid w:val="000763E9"/>
    <w:rsid w:val="00082CD6"/>
    <w:rsid w:val="0008437D"/>
    <w:rsid w:val="00085AFE"/>
    <w:rsid w:val="00094800"/>
    <w:rsid w:val="00096E67"/>
    <w:rsid w:val="000A0158"/>
    <w:rsid w:val="000A373D"/>
    <w:rsid w:val="000A41ED"/>
    <w:rsid w:val="000A77BD"/>
    <w:rsid w:val="000B0730"/>
    <w:rsid w:val="000B2029"/>
    <w:rsid w:val="000D19F4"/>
    <w:rsid w:val="000D58DD"/>
    <w:rsid w:val="000F1F42"/>
    <w:rsid w:val="000F2AE2"/>
    <w:rsid w:val="000F2BFF"/>
    <w:rsid w:val="00102063"/>
    <w:rsid w:val="001049E8"/>
    <w:rsid w:val="0010541C"/>
    <w:rsid w:val="00105770"/>
    <w:rsid w:val="00106F93"/>
    <w:rsid w:val="00111D50"/>
    <w:rsid w:val="00113B8E"/>
    <w:rsid w:val="00113BFE"/>
    <w:rsid w:val="00117F59"/>
    <w:rsid w:val="0012053C"/>
    <w:rsid w:val="00122363"/>
    <w:rsid w:val="00125D45"/>
    <w:rsid w:val="001342C7"/>
    <w:rsid w:val="0013585C"/>
    <w:rsid w:val="00142261"/>
    <w:rsid w:val="00142954"/>
    <w:rsid w:val="00144C3D"/>
    <w:rsid w:val="001460E0"/>
    <w:rsid w:val="001472F0"/>
    <w:rsid w:val="00147F71"/>
    <w:rsid w:val="00150A6E"/>
    <w:rsid w:val="0016304B"/>
    <w:rsid w:val="0016318F"/>
    <w:rsid w:val="0016468A"/>
    <w:rsid w:val="00164C09"/>
    <w:rsid w:val="0017070E"/>
    <w:rsid w:val="00174F02"/>
    <w:rsid w:val="00177D2C"/>
    <w:rsid w:val="0018376C"/>
    <w:rsid w:val="0018662D"/>
    <w:rsid w:val="001957F4"/>
    <w:rsid w:val="00197427"/>
    <w:rsid w:val="001A0826"/>
    <w:rsid w:val="001A21B4"/>
    <w:rsid w:val="001A5CF5"/>
    <w:rsid w:val="001B39D2"/>
    <w:rsid w:val="001B4BF8"/>
    <w:rsid w:val="001B7B14"/>
    <w:rsid w:val="001C4326"/>
    <w:rsid w:val="001C665E"/>
    <w:rsid w:val="001D3541"/>
    <w:rsid w:val="001D3E4E"/>
    <w:rsid w:val="001E254A"/>
    <w:rsid w:val="001E7386"/>
    <w:rsid w:val="001F45A7"/>
    <w:rsid w:val="001F5E27"/>
    <w:rsid w:val="0020027C"/>
    <w:rsid w:val="00201A01"/>
    <w:rsid w:val="0020754B"/>
    <w:rsid w:val="002104D3"/>
    <w:rsid w:val="00213A33"/>
    <w:rsid w:val="0021763B"/>
    <w:rsid w:val="00231C51"/>
    <w:rsid w:val="00232E9F"/>
    <w:rsid w:val="00245748"/>
    <w:rsid w:val="00246DB1"/>
    <w:rsid w:val="002476B5"/>
    <w:rsid w:val="0025116A"/>
    <w:rsid w:val="00251F03"/>
    <w:rsid w:val="002520CC"/>
    <w:rsid w:val="00253ECF"/>
    <w:rsid w:val="00254044"/>
    <w:rsid w:val="002546A1"/>
    <w:rsid w:val="002575E8"/>
    <w:rsid w:val="00257EF1"/>
    <w:rsid w:val="00261451"/>
    <w:rsid w:val="002628F4"/>
    <w:rsid w:val="00275D08"/>
    <w:rsid w:val="002839AF"/>
    <w:rsid w:val="002858E3"/>
    <w:rsid w:val="0029190A"/>
    <w:rsid w:val="00292C5A"/>
    <w:rsid w:val="00295241"/>
    <w:rsid w:val="002A4DFC"/>
    <w:rsid w:val="002B047D"/>
    <w:rsid w:val="002B732B"/>
    <w:rsid w:val="002B76A7"/>
    <w:rsid w:val="002B7BEC"/>
    <w:rsid w:val="002C2219"/>
    <w:rsid w:val="002C2552"/>
    <w:rsid w:val="002C2F26"/>
    <w:rsid w:val="002C380A"/>
    <w:rsid w:val="002D0DF2"/>
    <w:rsid w:val="002D23BD"/>
    <w:rsid w:val="002E0B47"/>
    <w:rsid w:val="002F1E1F"/>
    <w:rsid w:val="002F3A0D"/>
    <w:rsid w:val="002F4685"/>
    <w:rsid w:val="002F7213"/>
    <w:rsid w:val="0030382F"/>
    <w:rsid w:val="0030408D"/>
    <w:rsid w:val="003060E4"/>
    <w:rsid w:val="003160E7"/>
    <w:rsid w:val="0031739E"/>
    <w:rsid w:val="00317DA3"/>
    <w:rsid w:val="003212F4"/>
    <w:rsid w:val="00321381"/>
    <w:rsid w:val="003235C6"/>
    <w:rsid w:val="003309CA"/>
    <w:rsid w:val="003325AB"/>
    <w:rsid w:val="003332D1"/>
    <w:rsid w:val="0033412B"/>
    <w:rsid w:val="0033448B"/>
    <w:rsid w:val="003347C7"/>
    <w:rsid w:val="00341161"/>
    <w:rsid w:val="00343365"/>
    <w:rsid w:val="003445F4"/>
    <w:rsid w:val="00353501"/>
    <w:rsid w:val="00353734"/>
    <w:rsid w:val="003538D4"/>
    <w:rsid w:val="003606F8"/>
    <w:rsid w:val="003648EF"/>
    <w:rsid w:val="003673E6"/>
    <w:rsid w:val="00377264"/>
    <w:rsid w:val="003779D2"/>
    <w:rsid w:val="00385E38"/>
    <w:rsid w:val="003A26A5"/>
    <w:rsid w:val="003A3761"/>
    <w:rsid w:val="003A45D7"/>
    <w:rsid w:val="003A512D"/>
    <w:rsid w:val="003A5FEA"/>
    <w:rsid w:val="003A710B"/>
    <w:rsid w:val="003B1D10"/>
    <w:rsid w:val="003C310C"/>
    <w:rsid w:val="003C76D4"/>
    <w:rsid w:val="003D137D"/>
    <w:rsid w:val="003D2CC5"/>
    <w:rsid w:val="003D3E5C"/>
    <w:rsid w:val="003D5733"/>
    <w:rsid w:val="003E04C1"/>
    <w:rsid w:val="003E0887"/>
    <w:rsid w:val="003E74C8"/>
    <w:rsid w:val="003E74E2"/>
    <w:rsid w:val="003E7C46"/>
    <w:rsid w:val="003F2106"/>
    <w:rsid w:val="003F52A7"/>
    <w:rsid w:val="003F7013"/>
    <w:rsid w:val="003F7F6A"/>
    <w:rsid w:val="0040240C"/>
    <w:rsid w:val="00413021"/>
    <w:rsid w:val="00414C35"/>
    <w:rsid w:val="004171B7"/>
    <w:rsid w:val="004301C6"/>
    <w:rsid w:val="00430A03"/>
    <w:rsid w:val="0043478F"/>
    <w:rsid w:val="0043602B"/>
    <w:rsid w:val="004367D2"/>
    <w:rsid w:val="00440BE0"/>
    <w:rsid w:val="00442A06"/>
    <w:rsid w:val="00442C1C"/>
    <w:rsid w:val="0044584B"/>
    <w:rsid w:val="00447CB7"/>
    <w:rsid w:val="00455CC9"/>
    <w:rsid w:val="00460826"/>
    <w:rsid w:val="00460B1E"/>
    <w:rsid w:val="00460EA7"/>
    <w:rsid w:val="0046195B"/>
    <w:rsid w:val="0046362D"/>
    <w:rsid w:val="0046596D"/>
    <w:rsid w:val="0047350C"/>
    <w:rsid w:val="00476B21"/>
    <w:rsid w:val="004852AB"/>
    <w:rsid w:val="00487C04"/>
    <w:rsid w:val="004907E1"/>
    <w:rsid w:val="00494C8E"/>
    <w:rsid w:val="004A035B"/>
    <w:rsid w:val="004A2108"/>
    <w:rsid w:val="004A38D7"/>
    <w:rsid w:val="004A778C"/>
    <w:rsid w:val="004B14DD"/>
    <w:rsid w:val="004B48C7"/>
    <w:rsid w:val="004B5F7A"/>
    <w:rsid w:val="004C1A41"/>
    <w:rsid w:val="004C2E6A"/>
    <w:rsid w:val="004C64B8"/>
    <w:rsid w:val="004D2A2D"/>
    <w:rsid w:val="004D479F"/>
    <w:rsid w:val="004D6689"/>
    <w:rsid w:val="004E1D1D"/>
    <w:rsid w:val="004E7AC8"/>
    <w:rsid w:val="004F05F4"/>
    <w:rsid w:val="004F08FD"/>
    <w:rsid w:val="004F0C94"/>
    <w:rsid w:val="004F4E9A"/>
    <w:rsid w:val="005019AE"/>
    <w:rsid w:val="00503749"/>
    <w:rsid w:val="00503D59"/>
    <w:rsid w:val="00504CF4"/>
    <w:rsid w:val="0050635B"/>
    <w:rsid w:val="005075B3"/>
    <w:rsid w:val="005151C2"/>
    <w:rsid w:val="005275E8"/>
    <w:rsid w:val="005309FE"/>
    <w:rsid w:val="0053199F"/>
    <w:rsid w:val="00531E12"/>
    <w:rsid w:val="00533B90"/>
    <w:rsid w:val="005410F8"/>
    <w:rsid w:val="005448EC"/>
    <w:rsid w:val="00545963"/>
    <w:rsid w:val="00550256"/>
    <w:rsid w:val="00553165"/>
    <w:rsid w:val="00553958"/>
    <w:rsid w:val="00556BB7"/>
    <w:rsid w:val="0055763D"/>
    <w:rsid w:val="00561516"/>
    <w:rsid w:val="005621F2"/>
    <w:rsid w:val="00564CFF"/>
    <w:rsid w:val="0056758B"/>
    <w:rsid w:val="00567B58"/>
    <w:rsid w:val="00571223"/>
    <w:rsid w:val="005763E0"/>
    <w:rsid w:val="00581136"/>
    <w:rsid w:val="00581EB8"/>
    <w:rsid w:val="005839E7"/>
    <w:rsid w:val="0058426D"/>
    <w:rsid w:val="0058437F"/>
    <w:rsid w:val="005A27CA"/>
    <w:rsid w:val="005A43BD"/>
    <w:rsid w:val="005A79E5"/>
    <w:rsid w:val="005D034C"/>
    <w:rsid w:val="005D388B"/>
    <w:rsid w:val="005D5670"/>
    <w:rsid w:val="005E226E"/>
    <w:rsid w:val="005E2636"/>
    <w:rsid w:val="005F4F5E"/>
    <w:rsid w:val="006015D7"/>
    <w:rsid w:val="00601B21"/>
    <w:rsid w:val="006041F0"/>
    <w:rsid w:val="00605C6D"/>
    <w:rsid w:val="006120CA"/>
    <w:rsid w:val="0061443A"/>
    <w:rsid w:val="00624174"/>
    <w:rsid w:val="00626CF8"/>
    <w:rsid w:val="006314AF"/>
    <w:rsid w:val="00634003"/>
    <w:rsid w:val="00634ED8"/>
    <w:rsid w:val="00636D7D"/>
    <w:rsid w:val="00637408"/>
    <w:rsid w:val="00642868"/>
    <w:rsid w:val="00647AFE"/>
    <w:rsid w:val="00650417"/>
    <w:rsid w:val="006512BC"/>
    <w:rsid w:val="00653A5A"/>
    <w:rsid w:val="006554AC"/>
    <w:rsid w:val="00656F28"/>
    <w:rsid w:val="006575F4"/>
    <w:rsid w:val="006579E6"/>
    <w:rsid w:val="00660682"/>
    <w:rsid w:val="00660F74"/>
    <w:rsid w:val="00663EDC"/>
    <w:rsid w:val="00667417"/>
    <w:rsid w:val="00671078"/>
    <w:rsid w:val="006758CA"/>
    <w:rsid w:val="00680A04"/>
    <w:rsid w:val="00686D80"/>
    <w:rsid w:val="00694895"/>
    <w:rsid w:val="00697E2E"/>
    <w:rsid w:val="006A25A2"/>
    <w:rsid w:val="006A3B87"/>
    <w:rsid w:val="006B0A88"/>
    <w:rsid w:val="006B0E73"/>
    <w:rsid w:val="006B1E3D"/>
    <w:rsid w:val="006B4A4D"/>
    <w:rsid w:val="006B5695"/>
    <w:rsid w:val="006B62E6"/>
    <w:rsid w:val="006B7B2E"/>
    <w:rsid w:val="006C78EB"/>
    <w:rsid w:val="006D1660"/>
    <w:rsid w:val="006D2CBE"/>
    <w:rsid w:val="006D63E5"/>
    <w:rsid w:val="006E1753"/>
    <w:rsid w:val="006E2886"/>
    <w:rsid w:val="006E3911"/>
    <w:rsid w:val="006E69F4"/>
    <w:rsid w:val="006F1B67"/>
    <w:rsid w:val="006F4D9C"/>
    <w:rsid w:val="006F6BD2"/>
    <w:rsid w:val="0070091D"/>
    <w:rsid w:val="00702854"/>
    <w:rsid w:val="0071741C"/>
    <w:rsid w:val="0073146D"/>
    <w:rsid w:val="007315F0"/>
    <w:rsid w:val="00742B90"/>
    <w:rsid w:val="0074434D"/>
    <w:rsid w:val="00752E53"/>
    <w:rsid w:val="007570C4"/>
    <w:rsid w:val="007605B8"/>
    <w:rsid w:val="00771B1E"/>
    <w:rsid w:val="00773C95"/>
    <w:rsid w:val="00776F7A"/>
    <w:rsid w:val="0078171E"/>
    <w:rsid w:val="0078658E"/>
    <w:rsid w:val="007920E2"/>
    <w:rsid w:val="0079458B"/>
    <w:rsid w:val="0079566E"/>
    <w:rsid w:val="00795B34"/>
    <w:rsid w:val="007A067F"/>
    <w:rsid w:val="007A5D37"/>
    <w:rsid w:val="007B1770"/>
    <w:rsid w:val="007B4D3E"/>
    <w:rsid w:val="007B7120"/>
    <w:rsid w:val="007B7C70"/>
    <w:rsid w:val="007B7DEB"/>
    <w:rsid w:val="007C0449"/>
    <w:rsid w:val="007C43B6"/>
    <w:rsid w:val="007D2151"/>
    <w:rsid w:val="007D3B90"/>
    <w:rsid w:val="007D42CC"/>
    <w:rsid w:val="007D5DE4"/>
    <w:rsid w:val="007D7C3A"/>
    <w:rsid w:val="007E0777"/>
    <w:rsid w:val="007E1341"/>
    <w:rsid w:val="007E1B41"/>
    <w:rsid w:val="007E1EC4"/>
    <w:rsid w:val="007E30B9"/>
    <w:rsid w:val="007E74F1"/>
    <w:rsid w:val="007F0F0C"/>
    <w:rsid w:val="007F1288"/>
    <w:rsid w:val="007F3E11"/>
    <w:rsid w:val="00800A8A"/>
    <w:rsid w:val="0080155C"/>
    <w:rsid w:val="008017B4"/>
    <w:rsid w:val="008052E1"/>
    <w:rsid w:val="00811EEB"/>
    <w:rsid w:val="0082081A"/>
    <w:rsid w:val="00822F2C"/>
    <w:rsid w:val="00823DEE"/>
    <w:rsid w:val="008303C6"/>
    <w:rsid w:val="008305E8"/>
    <w:rsid w:val="00836165"/>
    <w:rsid w:val="008365B2"/>
    <w:rsid w:val="0084640C"/>
    <w:rsid w:val="00856088"/>
    <w:rsid w:val="00860826"/>
    <w:rsid w:val="00860E21"/>
    <w:rsid w:val="00863117"/>
    <w:rsid w:val="0086388B"/>
    <w:rsid w:val="008642E5"/>
    <w:rsid w:val="00864488"/>
    <w:rsid w:val="00870A36"/>
    <w:rsid w:val="00872D93"/>
    <w:rsid w:val="00880470"/>
    <w:rsid w:val="00880D94"/>
    <w:rsid w:val="008814E8"/>
    <w:rsid w:val="00886F64"/>
    <w:rsid w:val="008924DE"/>
    <w:rsid w:val="008A1803"/>
    <w:rsid w:val="008A3755"/>
    <w:rsid w:val="008B19DC"/>
    <w:rsid w:val="008B264F"/>
    <w:rsid w:val="008B6F83"/>
    <w:rsid w:val="008B7FD8"/>
    <w:rsid w:val="008C2973"/>
    <w:rsid w:val="008C6324"/>
    <w:rsid w:val="008C64C4"/>
    <w:rsid w:val="008D2CDD"/>
    <w:rsid w:val="008D74D5"/>
    <w:rsid w:val="008D7C9F"/>
    <w:rsid w:val="008E04BA"/>
    <w:rsid w:val="008E0ED1"/>
    <w:rsid w:val="008E2083"/>
    <w:rsid w:val="008E3A07"/>
    <w:rsid w:val="008E537B"/>
    <w:rsid w:val="008F29BE"/>
    <w:rsid w:val="008F4AE5"/>
    <w:rsid w:val="008F51EB"/>
    <w:rsid w:val="00900197"/>
    <w:rsid w:val="00902F55"/>
    <w:rsid w:val="0090582B"/>
    <w:rsid w:val="009060C0"/>
    <w:rsid w:val="009133F5"/>
    <w:rsid w:val="0091756F"/>
    <w:rsid w:val="00920A27"/>
    <w:rsid w:val="00921216"/>
    <w:rsid w:val="009216CC"/>
    <w:rsid w:val="00922E41"/>
    <w:rsid w:val="00925892"/>
    <w:rsid w:val="00926083"/>
    <w:rsid w:val="00926D08"/>
    <w:rsid w:val="00930D08"/>
    <w:rsid w:val="00931466"/>
    <w:rsid w:val="00932D69"/>
    <w:rsid w:val="009354FD"/>
    <w:rsid w:val="00935589"/>
    <w:rsid w:val="00937408"/>
    <w:rsid w:val="009427FA"/>
    <w:rsid w:val="00944647"/>
    <w:rsid w:val="009469E2"/>
    <w:rsid w:val="00951443"/>
    <w:rsid w:val="00953E89"/>
    <w:rsid w:val="0095565C"/>
    <w:rsid w:val="00964AB6"/>
    <w:rsid w:val="00966F9A"/>
    <w:rsid w:val="00977B8A"/>
    <w:rsid w:val="00982971"/>
    <w:rsid w:val="009845AD"/>
    <w:rsid w:val="00984835"/>
    <w:rsid w:val="009933EF"/>
    <w:rsid w:val="00995BA0"/>
    <w:rsid w:val="009971A7"/>
    <w:rsid w:val="009A418B"/>
    <w:rsid w:val="009A426F"/>
    <w:rsid w:val="009A42D5"/>
    <w:rsid w:val="009A4473"/>
    <w:rsid w:val="009B05C9"/>
    <w:rsid w:val="009B286C"/>
    <w:rsid w:val="009C151C"/>
    <w:rsid w:val="009C440A"/>
    <w:rsid w:val="009D5125"/>
    <w:rsid w:val="009D60B8"/>
    <w:rsid w:val="009D7D4B"/>
    <w:rsid w:val="009E36ED"/>
    <w:rsid w:val="009E3B47"/>
    <w:rsid w:val="009E3C8C"/>
    <w:rsid w:val="009E6B77"/>
    <w:rsid w:val="009F4372"/>
    <w:rsid w:val="009F460A"/>
    <w:rsid w:val="00A043FB"/>
    <w:rsid w:val="00A06BE4"/>
    <w:rsid w:val="00A0729C"/>
    <w:rsid w:val="00A073CF"/>
    <w:rsid w:val="00A07779"/>
    <w:rsid w:val="00A1166A"/>
    <w:rsid w:val="00A20B2E"/>
    <w:rsid w:val="00A24F33"/>
    <w:rsid w:val="00A25069"/>
    <w:rsid w:val="00A26E6B"/>
    <w:rsid w:val="00A3068F"/>
    <w:rsid w:val="00A3145B"/>
    <w:rsid w:val="00A339D0"/>
    <w:rsid w:val="00A3415C"/>
    <w:rsid w:val="00A41002"/>
    <w:rsid w:val="00A4201A"/>
    <w:rsid w:val="00A5465D"/>
    <w:rsid w:val="00A553CE"/>
    <w:rsid w:val="00A5677A"/>
    <w:rsid w:val="00A56DCC"/>
    <w:rsid w:val="00A625E8"/>
    <w:rsid w:val="00A63DFF"/>
    <w:rsid w:val="00A64496"/>
    <w:rsid w:val="00A6490D"/>
    <w:rsid w:val="00A67033"/>
    <w:rsid w:val="00A733EA"/>
    <w:rsid w:val="00A7415D"/>
    <w:rsid w:val="00A80363"/>
    <w:rsid w:val="00A80939"/>
    <w:rsid w:val="00A83E9D"/>
    <w:rsid w:val="00A87C05"/>
    <w:rsid w:val="00A9169D"/>
    <w:rsid w:val="00A93598"/>
    <w:rsid w:val="00A97A3A"/>
    <w:rsid w:val="00AA240C"/>
    <w:rsid w:val="00AB0332"/>
    <w:rsid w:val="00AC101C"/>
    <w:rsid w:val="00AD245C"/>
    <w:rsid w:val="00AD4CF1"/>
    <w:rsid w:val="00AD5988"/>
    <w:rsid w:val="00AD6293"/>
    <w:rsid w:val="00AD673C"/>
    <w:rsid w:val="00AD7459"/>
    <w:rsid w:val="00AE1643"/>
    <w:rsid w:val="00AE16AF"/>
    <w:rsid w:val="00AF372E"/>
    <w:rsid w:val="00AF7800"/>
    <w:rsid w:val="00B00CF5"/>
    <w:rsid w:val="00B072E0"/>
    <w:rsid w:val="00B1007E"/>
    <w:rsid w:val="00B12F1E"/>
    <w:rsid w:val="00B13D41"/>
    <w:rsid w:val="00B253F6"/>
    <w:rsid w:val="00B26675"/>
    <w:rsid w:val="00B305DB"/>
    <w:rsid w:val="00B332F8"/>
    <w:rsid w:val="00B3492B"/>
    <w:rsid w:val="00B43952"/>
    <w:rsid w:val="00B4646F"/>
    <w:rsid w:val="00B5326E"/>
    <w:rsid w:val="00B55C7D"/>
    <w:rsid w:val="00B63038"/>
    <w:rsid w:val="00B64BD8"/>
    <w:rsid w:val="00B701D1"/>
    <w:rsid w:val="00B73AF2"/>
    <w:rsid w:val="00B73D79"/>
    <w:rsid w:val="00B7551A"/>
    <w:rsid w:val="00B773F1"/>
    <w:rsid w:val="00B86AB1"/>
    <w:rsid w:val="00B87726"/>
    <w:rsid w:val="00B91B22"/>
    <w:rsid w:val="00BA7EBA"/>
    <w:rsid w:val="00BB1771"/>
    <w:rsid w:val="00BB2A06"/>
    <w:rsid w:val="00BB2CBB"/>
    <w:rsid w:val="00BB4198"/>
    <w:rsid w:val="00BB4835"/>
    <w:rsid w:val="00BC03EE"/>
    <w:rsid w:val="00BC59F1"/>
    <w:rsid w:val="00BD488E"/>
    <w:rsid w:val="00BF3DE1"/>
    <w:rsid w:val="00BF4843"/>
    <w:rsid w:val="00BF49F5"/>
    <w:rsid w:val="00BF5205"/>
    <w:rsid w:val="00C05132"/>
    <w:rsid w:val="00C12508"/>
    <w:rsid w:val="00C23728"/>
    <w:rsid w:val="00C25919"/>
    <w:rsid w:val="00C3026C"/>
    <w:rsid w:val="00C313A9"/>
    <w:rsid w:val="00C347C8"/>
    <w:rsid w:val="00C358E4"/>
    <w:rsid w:val="00C418EE"/>
    <w:rsid w:val="00C441CF"/>
    <w:rsid w:val="00C45AA2"/>
    <w:rsid w:val="00C4792C"/>
    <w:rsid w:val="00C55BEF"/>
    <w:rsid w:val="00C57C00"/>
    <w:rsid w:val="00C601AF"/>
    <w:rsid w:val="00C61A63"/>
    <w:rsid w:val="00C66296"/>
    <w:rsid w:val="00C7394D"/>
    <w:rsid w:val="00C756B7"/>
    <w:rsid w:val="00C77282"/>
    <w:rsid w:val="00C84DE5"/>
    <w:rsid w:val="00C86248"/>
    <w:rsid w:val="00C90B31"/>
    <w:rsid w:val="00CA0D6F"/>
    <w:rsid w:val="00CA4C33"/>
    <w:rsid w:val="00CA6F4A"/>
    <w:rsid w:val="00CB3483"/>
    <w:rsid w:val="00CB6427"/>
    <w:rsid w:val="00CB6E0C"/>
    <w:rsid w:val="00CC0844"/>
    <w:rsid w:val="00CC0FBE"/>
    <w:rsid w:val="00CD077C"/>
    <w:rsid w:val="00CD2119"/>
    <w:rsid w:val="00CD237A"/>
    <w:rsid w:val="00CD36AC"/>
    <w:rsid w:val="00CE13A3"/>
    <w:rsid w:val="00CE36BC"/>
    <w:rsid w:val="00CF1747"/>
    <w:rsid w:val="00CF3A90"/>
    <w:rsid w:val="00CF60ED"/>
    <w:rsid w:val="00D05D74"/>
    <w:rsid w:val="00D20C59"/>
    <w:rsid w:val="00D23323"/>
    <w:rsid w:val="00D2392A"/>
    <w:rsid w:val="00D25FFE"/>
    <w:rsid w:val="00D27922"/>
    <w:rsid w:val="00D27A64"/>
    <w:rsid w:val="00D37D80"/>
    <w:rsid w:val="00D427E9"/>
    <w:rsid w:val="00D442F3"/>
    <w:rsid w:val="00D44483"/>
    <w:rsid w:val="00D4476F"/>
    <w:rsid w:val="00D50573"/>
    <w:rsid w:val="00D54D50"/>
    <w:rsid w:val="00D560B4"/>
    <w:rsid w:val="00D662F8"/>
    <w:rsid w:val="00D66797"/>
    <w:rsid w:val="00D7087C"/>
    <w:rsid w:val="00D70C3C"/>
    <w:rsid w:val="00D71DF7"/>
    <w:rsid w:val="00D72BE5"/>
    <w:rsid w:val="00D81462"/>
    <w:rsid w:val="00D82431"/>
    <w:rsid w:val="00D82F26"/>
    <w:rsid w:val="00D863D0"/>
    <w:rsid w:val="00D86B00"/>
    <w:rsid w:val="00D86FB9"/>
    <w:rsid w:val="00D87C87"/>
    <w:rsid w:val="00D90BB4"/>
    <w:rsid w:val="00D90DAF"/>
    <w:rsid w:val="00D90E07"/>
    <w:rsid w:val="00D91240"/>
    <w:rsid w:val="00D932C2"/>
    <w:rsid w:val="00DA0232"/>
    <w:rsid w:val="00DA0FA1"/>
    <w:rsid w:val="00DA41CC"/>
    <w:rsid w:val="00DA7F9E"/>
    <w:rsid w:val="00DB39CF"/>
    <w:rsid w:val="00DB7256"/>
    <w:rsid w:val="00DC0401"/>
    <w:rsid w:val="00DC07B2"/>
    <w:rsid w:val="00DC20BD"/>
    <w:rsid w:val="00DD0BCD"/>
    <w:rsid w:val="00DD447A"/>
    <w:rsid w:val="00DE3B20"/>
    <w:rsid w:val="00DE6C94"/>
    <w:rsid w:val="00DE6FD7"/>
    <w:rsid w:val="00DF0C7C"/>
    <w:rsid w:val="00E10B18"/>
    <w:rsid w:val="00E23271"/>
    <w:rsid w:val="00E24F80"/>
    <w:rsid w:val="00E259F3"/>
    <w:rsid w:val="00E30985"/>
    <w:rsid w:val="00E33238"/>
    <w:rsid w:val="00E33934"/>
    <w:rsid w:val="00E376B7"/>
    <w:rsid w:val="00E42F5D"/>
    <w:rsid w:val="00E43F7D"/>
    <w:rsid w:val="00E4486C"/>
    <w:rsid w:val="00E460B6"/>
    <w:rsid w:val="00E5081A"/>
    <w:rsid w:val="00E511D5"/>
    <w:rsid w:val="00E53A9F"/>
    <w:rsid w:val="00E57349"/>
    <w:rsid w:val="00E60249"/>
    <w:rsid w:val="00E62238"/>
    <w:rsid w:val="00E65269"/>
    <w:rsid w:val="00E76D66"/>
    <w:rsid w:val="00E844E9"/>
    <w:rsid w:val="00E905E6"/>
    <w:rsid w:val="00EA796A"/>
    <w:rsid w:val="00EB1856"/>
    <w:rsid w:val="00EC50CE"/>
    <w:rsid w:val="00EC53E7"/>
    <w:rsid w:val="00EC5B34"/>
    <w:rsid w:val="00ED021E"/>
    <w:rsid w:val="00ED323C"/>
    <w:rsid w:val="00EE2D5C"/>
    <w:rsid w:val="00EE4ADE"/>
    <w:rsid w:val="00EE4DE8"/>
    <w:rsid w:val="00EE5CB7"/>
    <w:rsid w:val="00EF6F8E"/>
    <w:rsid w:val="00F000BF"/>
    <w:rsid w:val="00F024FE"/>
    <w:rsid w:val="00F05AD4"/>
    <w:rsid w:val="00F103BE"/>
    <w:rsid w:val="00F10643"/>
    <w:rsid w:val="00F10EB6"/>
    <w:rsid w:val="00F13F07"/>
    <w:rsid w:val="00F140B2"/>
    <w:rsid w:val="00F16595"/>
    <w:rsid w:val="00F25970"/>
    <w:rsid w:val="00F27BD7"/>
    <w:rsid w:val="00F311A9"/>
    <w:rsid w:val="00F31343"/>
    <w:rsid w:val="00F37381"/>
    <w:rsid w:val="00F46EA9"/>
    <w:rsid w:val="00F5180D"/>
    <w:rsid w:val="00F54E74"/>
    <w:rsid w:val="00F63781"/>
    <w:rsid w:val="00F65B3A"/>
    <w:rsid w:val="00F67496"/>
    <w:rsid w:val="00F7421E"/>
    <w:rsid w:val="00F801BA"/>
    <w:rsid w:val="00F807AD"/>
    <w:rsid w:val="00F8221B"/>
    <w:rsid w:val="00F9366A"/>
    <w:rsid w:val="00F946C9"/>
    <w:rsid w:val="00FA0EA5"/>
    <w:rsid w:val="00FA68C7"/>
    <w:rsid w:val="00FA6A1F"/>
    <w:rsid w:val="00FA74EE"/>
    <w:rsid w:val="00FB0A5B"/>
    <w:rsid w:val="00FB1B8E"/>
    <w:rsid w:val="00FC3711"/>
    <w:rsid w:val="00FC46E7"/>
    <w:rsid w:val="00FC5D25"/>
    <w:rsid w:val="00FD0D7E"/>
    <w:rsid w:val="00FD16C4"/>
    <w:rsid w:val="00FD362F"/>
    <w:rsid w:val="00FD47FE"/>
    <w:rsid w:val="00FD4FFB"/>
    <w:rsid w:val="00FE022F"/>
    <w:rsid w:val="00FE6E13"/>
    <w:rsid w:val="00FE7D38"/>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664DDA"/>
  <w15:docId w15:val="{0F68B44D-622E-4042-851E-DA8033221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iPriority="0" w:unhideWhenUsed="1"/>
    <w:lsdException w:name="caption" w:semiHidden="1" w:uiPriority="0"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81A"/>
    <w:rPr>
      <w:rFonts w:ascii="Segoe UI" w:hAnsi="Segoe UI"/>
      <w:sz w:val="21"/>
      <w:lang w:eastAsia="en-GB"/>
    </w:rPr>
  </w:style>
  <w:style w:type="paragraph" w:styleId="Heading1">
    <w:name w:val="heading 1"/>
    <w:basedOn w:val="Normal"/>
    <w:next w:val="Normal"/>
    <w:link w:val="Heading1Char"/>
    <w:uiPriority w:val="9"/>
    <w:qFormat/>
    <w:rsid w:val="00DA0FA1"/>
    <w:pPr>
      <w:pageBreakBefore/>
      <w:spacing w:after="360"/>
      <w:ind w:left="992" w:hanging="992"/>
      <w:outlineLvl w:val="0"/>
    </w:pPr>
    <w:rPr>
      <w:b/>
      <w:color w:val="23305D"/>
      <w:spacing w:val="-10"/>
      <w:sz w:val="72"/>
    </w:rPr>
  </w:style>
  <w:style w:type="paragraph" w:styleId="Heading2">
    <w:name w:val="heading 2"/>
    <w:basedOn w:val="Normal"/>
    <w:next w:val="Normal"/>
    <w:link w:val="Heading2Char"/>
    <w:qFormat/>
    <w:rsid w:val="002575E8"/>
    <w:pPr>
      <w:keepNext/>
      <w:spacing w:before="480" w:after="180"/>
      <w:outlineLvl w:val="1"/>
    </w:pPr>
    <w:rPr>
      <w:b/>
      <w:color w:val="0A6AB4"/>
      <w:spacing w:val="-5"/>
      <w:sz w:val="48"/>
    </w:rPr>
  </w:style>
  <w:style w:type="paragraph" w:styleId="Heading3">
    <w:name w:val="heading 3"/>
    <w:basedOn w:val="Normal"/>
    <w:next w:val="Normal"/>
    <w:link w:val="Heading3Char"/>
    <w:qFormat/>
    <w:rsid w:val="00030E84"/>
    <w:pPr>
      <w:keepNext/>
      <w:numPr>
        <w:ilvl w:val="2"/>
        <w:numId w:val="5"/>
      </w:numPr>
      <w:spacing w:before="360" w:after="180"/>
      <w:outlineLvl w:val="2"/>
    </w:pPr>
    <w:rPr>
      <w:color w:val="0A6AB4"/>
      <w:spacing w:val="-5"/>
      <w:sz w:val="36"/>
    </w:rPr>
  </w:style>
  <w:style w:type="paragraph" w:styleId="Heading4">
    <w:name w:val="heading 4"/>
    <w:basedOn w:val="Normal"/>
    <w:next w:val="Normal"/>
    <w:link w:val="Heading4Char"/>
    <w:uiPriority w:val="9"/>
    <w:qFormat/>
    <w:rsid w:val="00030E84"/>
    <w:pPr>
      <w:keepNext/>
      <w:spacing w:before="240" w:after="120"/>
      <w:outlineLvl w:val="3"/>
    </w:pPr>
    <w:rPr>
      <w:color w:val="0A6AB4"/>
      <w:sz w:val="28"/>
    </w:rPr>
  </w:style>
  <w:style w:type="paragraph" w:styleId="Heading5">
    <w:name w:val="heading 5"/>
    <w:basedOn w:val="Normal"/>
    <w:next w:val="Normal"/>
    <w:link w:val="Heading5Char"/>
    <w:uiPriority w:val="9"/>
    <w:qFormat/>
    <w:rsid w:val="00B00CF5"/>
    <w:pPr>
      <w:keepNext/>
      <w:spacing w:before="120" w:after="120"/>
      <w:outlineLvl w:val="4"/>
    </w:pPr>
    <w:rPr>
      <w:color w:val="0A6AB4"/>
      <w:sz w:val="24"/>
    </w:rPr>
  </w:style>
  <w:style w:type="paragraph" w:styleId="Heading6">
    <w:name w:val="heading 6"/>
    <w:basedOn w:val="Normal"/>
    <w:next w:val="Normal"/>
    <w:link w:val="Heading6Char"/>
    <w:uiPriority w:val="9"/>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9"/>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9"/>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9"/>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0FA1"/>
    <w:rPr>
      <w:rFonts w:ascii="Segoe UI" w:hAnsi="Segoe UI"/>
      <w:b/>
      <w:color w:val="23305D"/>
      <w:spacing w:val="-10"/>
      <w:sz w:val="72"/>
      <w:lang w:eastAsia="en-GB"/>
    </w:rPr>
  </w:style>
  <w:style w:type="character" w:customStyle="1" w:styleId="Heading2Char">
    <w:name w:val="Heading 2 Char"/>
    <w:link w:val="Heading2"/>
    <w:rsid w:val="00030E84"/>
    <w:rPr>
      <w:rFonts w:ascii="Segoe UI" w:hAnsi="Segoe UI"/>
      <w:b/>
      <w:color w:val="0A6AB4"/>
      <w:spacing w:val="-5"/>
      <w:sz w:val="48"/>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character" w:customStyle="1" w:styleId="Heading4Char">
    <w:name w:val="Heading 4 Char"/>
    <w:link w:val="Heading4"/>
    <w:uiPriority w:val="9"/>
    <w:rsid w:val="00030E84"/>
    <w:rPr>
      <w:rFonts w:ascii="Segoe UI" w:hAnsi="Segoe UI"/>
      <w:color w:val="0A6AB4"/>
      <w:sz w:val="28"/>
      <w:lang w:eastAsia="en-GB"/>
    </w:rPr>
  </w:style>
  <w:style w:type="character" w:customStyle="1" w:styleId="Heading5Char">
    <w:name w:val="Heading 5 Char"/>
    <w:link w:val="Heading5"/>
    <w:uiPriority w:val="9"/>
    <w:rsid w:val="00B00CF5"/>
    <w:rPr>
      <w:rFonts w:ascii="Segoe UI" w:hAnsi="Segoe UI"/>
      <w:color w:val="0A6AB4"/>
      <w:sz w:val="24"/>
      <w:lang w:eastAsia="en-GB"/>
    </w:rPr>
  </w:style>
  <w:style w:type="character" w:customStyle="1" w:styleId="Heading6Char">
    <w:name w:val="Heading 6 Char"/>
    <w:basedOn w:val="DefaultParagraphFont"/>
    <w:link w:val="Heading6"/>
    <w:uiPriority w:val="9"/>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uiPriority w:val="9"/>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9"/>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uiPriority w:val="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1957F4"/>
    <w:pPr>
      <w:tabs>
        <w:tab w:val="right" w:pos="8080"/>
      </w:tabs>
      <w:spacing w:before="300"/>
      <w:ind w:left="567" w:right="567" w:hanging="567"/>
    </w:pPr>
    <w:rPr>
      <w:rFonts w:ascii="Segoe UI Semibold" w:hAnsi="Segoe UI Semibold"/>
      <w:sz w:val="24"/>
    </w:rPr>
  </w:style>
  <w:style w:type="paragraph" w:styleId="TOC2">
    <w:name w:val="toc 2"/>
    <w:basedOn w:val="Normal"/>
    <w:next w:val="Normal"/>
    <w:uiPriority w:val="39"/>
    <w:qFormat/>
    <w:rsid w:val="001957F4"/>
    <w:pPr>
      <w:tabs>
        <w:tab w:val="right" w:pos="8080"/>
      </w:tabs>
      <w:spacing w:before="60"/>
      <w:ind w:right="567"/>
    </w:pPr>
  </w:style>
  <w:style w:type="paragraph" w:styleId="TOC3">
    <w:name w:val="toc 3"/>
    <w:basedOn w:val="Normal"/>
    <w:next w:val="Normal"/>
    <w:uiPriority w:val="39"/>
    <w:rsid w:val="001957F4"/>
    <w:pPr>
      <w:tabs>
        <w:tab w:val="right" w:pos="8080"/>
      </w:tabs>
      <w:spacing w:before="120"/>
      <w:ind w:left="992" w:right="567" w:hanging="992"/>
    </w:pPr>
  </w:style>
  <w:style w:type="paragraph" w:customStyle="1" w:styleId="Bullet">
    <w:name w:val="Bullet"/>
    <w:basedOn w:val="Normal"/>
    <w:link w:val="BulletChar"/>
    <w:qFormat/>
    <w:rsid w:val="00FA0EA5"/>
    <w:pPr>
      <w:numPr>
        <w:numId w:val="1"/>
      </w:numPr>
      <w:tabs>
        <w:tab w:val="clear" w:pos="284"/>
      </w:tabs>
      <w:spacing w:before="90"/>
    </w:pPr>
  </w:style>
  <w:style w:type="character" w:customStyle="1" w:styleId="BulletChar">
    <w:name w:val="Bullet Char"/>
    <w:link w:val="Bullet"/>
    <w:locked/>
    <w:rsid w:val="002B7BEC"/>
    <w:rPr>
      <w:rFonts w:ascii="Segoe UI" w:hAnsi="Segoe UI"/>
      <w:sz w:val="21"/>
      <w:lang w:eastAsia="en-GB"/>
    </w:rPr>
  </w:style>
  <w:style w:type="paragraph" w:styleId="Quote">
    <w:name w:val="Quote"/>
    <w:basedOn w:val="Normal"/>
    <w:next w:val="Normal"/>
    <w:link w:val="QuoteChar"/>
    <w:uiPriority w:val="29"/>
    <w:qFormat/>
    <w:pPr>
      <w:spacing w:before="120"/>
      <w:ind w:left="284" w:right="284"/>
    </w:pPr>
  </w:style>
  <w:style w:type="character" w:customStyle="1" w:styleId="QuoteChar">
    <w:name w:val="Quote Char"/>
    <w:link w:val="Quote"/>
    <w:uiPriority w:val="29"/>
    <w:rsid w:val="00122363"/>
    <w:rPr>
      <w:rFonts w:ascii="Georgia" w:hAnsi="Georgia"/>
      <w:sz w:val="22"/>
      <w:lang w:eastAsia="en-GB"/>
    </w:r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character" w:customStyle="1" w:styleId="FootnoteTextChar">
    <w:name w:val="Footnote Text Char"/>
    <w:link w:val="FootnoteText"/>
    <w:uiPriority w:val="99"/>
    <w:rsid w:val="00A7415D"/>
    <w:rPr>
      <w:rFonts w:ascii="Segoe UI" w:hAnsi="Segoe UI"/>
      <w:sz w:val="17"/>
      <w:lang w:eastAsia="en-GB"/>
    </w:rPr>
  </w:style>
  <w:style w:type="paragraph" w:styleId="Header">
    <w:name w:val="header"/>
    <w:basedOn w:val="Normal"/>
    <w:link w:val="HeaderChar"/>
    <w:qFormat/>
    <w:rsid w:val="00D25FFE"/>
  </w:style>
  <w:style w:type="character" w:customStyle="1" w:styleId="HeaderChar">
    <w:name w:val="Header Char"/>
    <w:link w:val="Header"/>
    <w:rsid w:val="0086388B"/>
    <w:rPr>
      <w:rFonts w:ascii="Georgia" w:hAnsi="Georgia"/>
      <w:sz w:val="22"/>
      <w:lang w:eastAsia="en-GB"/>
    </w:rPr>
  </w:style>
  <w:style w:type="paragraph" w:styleId="Title">
    <w:name w:val="Title"/>
    <w:basedOn w:val="Normal"/>
    <w:next w:val="Normal"/>
    <w:link w:val="TitleChar"/>
    <w:uiPriority w:val="10"/>
    <w:qFormat/>
    <w:rsid w:val="005A79E5"/>
    <w:pPr>
      <w:spacing w:line="216" w:lineRule="auto"/>
      <w:ind w:right="3402"/>
    </w:pPr>
    <w:rPr>
      <w:rFonts w:ascii="Segoe UI Black" w:hAnsi="Segoe UI Black" w:cs="Lucida Sans Unicode"/>
      <w:b/>
      <w:sz w:val="72"/>
      <w:szCs w:val="72"/>
    </w:rPr>
  </w:style>
  <w:style w:type="character" w:customStyle="1" w:styleId="TitleChar">
    <w:name w:val="Title Char"/>
    <w:link w:val="Title"/>
    <w:uiPriority w:val="10"/>
    <w:rsid w:val="005A79E5"/>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qFormat/>
    <w:rsid w:val="007A067F"/>
  </w:style>
  <w:style w:type="character" w:customStyle="1" w:styleId="FooterChar">
    <w:name w:val="Footer Char"/>
    <w:link w:val="Footer"/>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link w:val="TableTextChar"/>
    <w:qFormat/>
    <w:rsid w:val="00925892"/>
    <w:pPr>
      <w:spacing w:before="60" w:after="60"/>
    </w:pPr>
    <w:rPr>
      <w:sz w:val="18"/>
    </w:rPr>
  </w:style>
  <w:style w:type="character" w:customStyle="1" w:styleId="TableTextChar">
    <w:name w:val="TableText Char"/>
    <w:link w:val="TableText"/>
    <w:rsid w:val="00FA6A1F"/>
    <w:rPr>
      <w:rFonts w:ascii="Segoe UI" w:hAnsi="Segoe UI"/>
      <w:sz w:val="18"/>
      <w:lang w:eastAsia="en-GB"/>
    </w:rPr>
  </w:style>
  <w:style w:type="paragraph" w:customStyle="1" w:styleId="TableBullet">
    <w:name w:val="TableBullet"/>
    <w:basedOn w:val="TableText"/>
    <w:qFormat/>
    <w:rsid w:val="00CC0844"/>
    <w:pPr>
      <w:numPr>
        <w:numId w:val="4"/>
      </w:numPr>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0419A9"/>
    <w:pPr>
      <w:pBdr>
        <w:top w:val="single" w:sz="4" w:space="12" w:color="auto"/>
        <w:left w:val="single" w:sz="4" w:space="12" w:color="auto"/>
        <w:bottom w:val="single" w:sz="4" w:space="12" w:color="auto"/>
        <w:right w:val="single" w:sz="4" w:space="12" w:color="auto"/>
      </w:pBdr>
      <w:ind w:left="568" w:right="284"/>
    </w:pPr>
  </w:style>
  <w:style w:type="paragraph" w:customStyle="1" w:styleId="IntroHead">
    <w:name w:val="IntroHead"/>
    <w:basedOn w:val="Heading1"/>
    <w:next w:val="Normal"/>
    <w:qFormat/>
    <w:rsid w:val="00F54E74"/>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rsid w:val="0086388B"/>
    <w:rPr>
      <w:rFonts w:ascii="Calibri" w:eastAsia="Calibri" w:hAnsi="Calibri"/>
      <w:sz w:val="22"/>
      <w:szCs w:val="22"/>
      <w:lang w:val="en-US" w:eastAsia="en-US"/>
    </w:rPr>
  </w:style>
  <w:style w:type="paragraph" w:customStyle="1" w:styleId="Number">
    <w:name w:val="Number"/>
    <w:basedOn w:val="Normal"/>
    <w:qFormat/>
    <w:rsid w:val="00F140B2"/>
    <w:pPr>
      <w:numPr>
        <w:ilvl w:val="3"/>
        <w:numId w:val="5"/>
      </w:numPr>
      <w:spacing w:before="180"/>
    </w:pPr>
    <w:rPr>
      <w:szCs w:val="24"/>
    </w:rPr>
  </w:style>
  <w:style w:type="paragraph" w:customStyle="1" w:styleId="Letter">
    <w:name w:val="Letter"/>
    <w:basedOn w:val="Normal"/>
    <w:qFormat/>
    <w:rsid w:val="00F140B2"/>
    <w:pPr>
      <w:spacing w:before="120"/>
      <w:ind w:left="1134" w:hanging="567"/>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Roman">
    <w:name w:val="Roman"/>
    <w:basedOn w:val="Normal"/>
    <w:qFormat/>
    <w:rsid w:val="00AD6293"/>
    <w:pPr>
      <w:numPr>
        <w:ilvl w:val="5"/>
        <w:numId w:val="5"/>
      </w:numPr>
      <w:spacing w:before="90"/>
    </w:pPr>
    <w:rPr>
      <w:rFonts w:eastAsia="Arial Unicode MS"/>
    </w:rPr>
  </w:style>
  <w:style w:type="paragraph" w:styleId="BalloonText">
    <w:name w:val="Balloon Text"/>
    <w:basedOn w:val="Normal"/>
    <w:link w:val="BalloonTextChar"/>
    <w:uiPriority w:val="99"/>
    <w:semiHidden/>
    <w:unhideWhenUsed/>
    <w:rsid w:val="006F6BD2"/>
    <w:rPr>
      <w:rFonts w:ascii="Tahoma" w:hAnsi="Tahoma" w:cs="Tahoma"/>
      <w:sz w:val="16"/>
      <w:szCs w:val="16"/>
    </w:rPr>
  </w:style>
  <w:style w:type="table" w:styleId="TableGrid">
    <w:name w:val="Table Grid"/>
    <w:basedOn w:val="TableNormal"/>
    <w:uiPriority w:val="39"/>
    <w:rsid w:val="00FA6A1F"/>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hadedboxheading">
    <w:name w:val="Shaded box heading"/>
    <w:basedOn w:val="BoxHeading"/>
    <w:next w:val="Shadedboxtext"/>
    <w:qFormat/>
    <w:rsid w:val="00FA6A1F"/>
    <w:pPr>
      <w:spacing w:after="120"/>
    </w:pPr>
    <w:rPr>
      <w:rFonts w:eastAsia="Arial Unicode MS"/>
    </w:rPr>
  </w:style>
  <w:style w:type="paragraph" w:customStyle="1" w:styleId="Shadedboxtext">
    <w:name w:val="Shaded box text"/>
    <w:basedOn w:val="Normal"/>
    <w:qFormat/>
    <w:rsid w:val="00FA6A1F"/>
    <w:pPr>
      <w:spacing w:after="240" w:line="228" w:lineRule="auto"/>
      <w:ind w:right="142"/>
    </w:pPr>
    <w:rPr>
      <w:rFonts w:eastAsia="Arial Unicode MS"/>
    </w:rPr>
  </w:style>
  <w:style w:type="character" w:customStyle="1" w:styleId="BalloonTextChar">
    <w:name w:val="Balloon Text Char"/>
    <w:basedOn w:val="DefaultParagraphFont"/>
    <w:link w:val="BalloonText"/>
    <w:uiPriority w:val="99"/>
    <w:semiHidden/>
    <w:rsid w:val="006F6BD2"/>
    <w:rPr>
      <w:rFonts w:ascii="Tahoma" w:hAnsi="Tahoma" w:cs="Tahoma"/>
      <w:sz w:val="16"/>
      <w:szCs w:val="16"/>
      <w:lang w:eastAsia="en-GB"/>
    </w:rPr>
  </w:style>
  <w:style w:type="paragraph" w:styleId="Caption">
    <w:name w:val="caption"/>
    <w:basedOn w:val="Normal"/>
    <w:next w:val="Normal"/>
    <w:unhideWhenUsed/>
    <w:qFormat/>
    <w:rsid w:val="003D5733"/>
    <w:pPr>
      <w:spacing w:after="200"/>
    </w:pPr>
    <w:rPr>
      <w:b/>
      <w:bCs/>
      <w:color w:val="4F81BD" w:themeColor="accent1"/>
      <w:sz w:val="18"/>
      <w:szCs w:val="18"/>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Segoe UI" w:hAnsi="Segoe UI"/>
      <w:lang w:eastAsia="en-GB"/>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E5081A"/>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73146D"/>
    <w:rPr>
      <w:b/>
      <w:bCs/>
    </w:rPr>
  </w:style>
  <w:style w:type="character" w:customStyle="1" w:styleId="CommentSubjectChar">
    <w:name w:val="Comment Subject Char"/>
    <w:basedOn w:val="CommentTextChar"/>
    <w:link w:val="CommentSubject"/>
    <w:uiPriority w:val="99"/>
    <w:semiHidden/>
    <w:rsid w:val="0073146D"/>
    <w:rPr>
      <w:rFonts w:ascii="Segoe UI" w:hAnsi="Segoe UI"/>
      <w:b/>
      <w:bCs/>
      <w:lang w:eastAsia="en-GB"/>
    </w:rPr>
  </w:style>
  <w:style w:type="character" w:customStyle="1" w:styleId="normaltextrun">
    <w:name w:val="normaltextrun"/>
    <w:basedOn w:val="DefaultParagraphFont"/>
    <w:rsid w:val="00D90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consult.health.govt.nz" TargetMode="External"/><Relationship Id="rId26" Type="http://schemas.openxmlformats.org/officeDocument/2006/relationships/header" Target="header5.xml"/><Relationship Id="rId39" Type="http://schemas.openxmlformats.org/officeDocument/2006/relationships/hyperlink" Target="https://www.hetaumata.co.nz/sites/default/files/CC/CC-report.pdf.%20" TargetMode="Externa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image" Target="cid:image001.png@01D762A9.B9BE23C0" TargetMode="External"/><Relationship Id="rId42" Type="http://schemas.openxmlformats.org/officeDocument/2006/relationships/hyperlink" Target="http://www.health.govt.nz/our-work/mental-health-and-addictions/problem-gambling/service-user-data/intervention-client-data" TargetMode="External"/><Relationship Id="rId47" Type="http://schemas.openxmlformats.org/officeDocument/2006/relationships/hyperlink" Target="mailto:gamblingharm@moh.govt.nz"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gamblingharm@health.govt.nz" TargetMode="External"/><Relationship Id="rId25" Type="http://schemas.openxmlformats.org/officeDocument/2006/relationships/header" Target="header4.xml"/><Relationship Id="rId33" Type="http://schemas.openxmlformats.org/officeDocument/2006/relationships/image" Target="media/image5.png"/><Relationship Id="rId38" Type="http://schemas.openxmlformats.org/officeDocument/2006/relationships/hyperlink" Target="file:///C:\Users\vgavriel\AppData\Local\Temp\notes0E14DE\www.health.govt.nz\our-work\mental-health-and-addiction\addiction\gambling" TargetMode="External"/><Relationship Id="rId46" Type="http://schemas.openxmlformats.org/officeDocument/2006/relationships/hyperlink" Target="https://consult.health.govt.nz" TargetMode="External"/><Relationship Id="rId2" Type="http://schemas.openxmlformats.org/officeDocument/2006/relationships/numbering" Target="numbering.xml"/><Relationship Id="rId16" Type="http://schemas.openxmlformats.org/officeDocument/2006/relationships/hyperlink" Target="https://consult.health.govt.nz" TargetMode="External"/><Relationship Id="rId20" Type="http://schemas.openxmlformats.org/officeDocument/2006/relationships/header" Target="header3.xml"/><Relationship Id="rId29" Type="http://schemas.openxmlformats.org/officeDocument/2006/relationships/footer" Target="footer10.xml"/><Relationship Id="rId41" Type="http://schemas.openxmlformats.org/officeDocument/2006/relationships/hyperlink" Target="http://www.dia.govt.nz/gambling-statistics-expenditu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govt.nz" TargetMode="External"/><Relationship Id="rId24" Type="http://schemas.openxmlformats.org/officeDocument/2006/relationships/footer" Target="footer7.xml"/><Relationship Id="rId32" Type="http://schemas.openxmlformats.org/officeDocument/2006/relationships/hyperlink" Target="file:///C:\Users\vgavriel\AppData\Local\Temp\notes0E14DE\www.health.govt.nz\our-work\mental-health-and-addiction\addiction\gambling" TargetMode="External"/><Relationship Id="rId37" Type="http://schemas.openxmlformats.org/officeDocument/2006/relationships/footer" Target="footer14.xml"/><Relationship Id="rId40" Type="http://schemas.openxmlformats.org/officeDocument/2006/relationships/hyperlink" Target="http://www.dia.govt.nz" TargetMode="External"/><Relationship Id="rId45"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hyperlink" Target="https://consult.health.govt.nz" TargetMode="External"/><Relationship Id="rId23" Type="http://schemas.openxmlformats.org/officeDocument/2006/relationships/footer" Target="footer6.xml"/><Relationship Id="rId28" Type="http://schemas.openxmlformats.org/officeDocument/2006/relationships/footer" Target="footer9.xml"/><Relationship Id="rId36" Type="http://schemas.openxmlformats.org/officeDocument/2006/relationships/footer" Target="footer13.xml"/><Relationship Id="rId49" Type="http://schemas.openxmlformats.org/officeDocument/2006/relationships/footer" Target="footer17.xml"/><Relationship Id="rId10" Type="http://schemas.openxmlformats.org/officeDocument/2006/relationships/image" Target="media/image3.png"/><Relationship Id="rId19" Type="http://schemas.openxmlformats.org/officeDocument/2006/relationships/header" Target="header2.xml"/><Relationship Id="rId31" Type="http://schemas.openxmlformats.org/officeDocument/2006/relationships/hyperlink" Target="https://consult.health.govt.nz" TargetMode="External"/><Relationship Id="rId44"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oter" Target="footer11.xml"/><Relationship Id="rId35" Type="http://schemas.openxmlformats.org/officeDocument/2006/relationships/footer" Target="footer12.xml"/><Relationship Id="rId43" Type="http://schemas.openxmlformats.org/officeDocument/2006/relationships/image" Target="media/image6.emf"/><Relationship Id="rId48" Type="http://schemas.openxmlformats.org/officeDocument/2006/relationships/hyperlink" Target="https://consult.health.govt.nz" TargetMode="External"/><Relationship Id="rId8" Type="http://schemas.openxmlformats.org/officeDocument/2006/relationships/header" Target="header1.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health.govt.nz/our-work/populations/maori-health/he-korowai-oranga" TargetMode="External"/><Relationship Id="rId13" Type="http://schemas.openxmlformats.org/officeDocument/2006/relationships/hyperlink" Target="https://www.gets.govt.nz/NZLC/ExternalTenderDetails.htm?id=23370625" TargetMode="External"/><Relationship Id="rId3" Type="http://schemas.openxmlformats.org/officeDocument/2006/relationships/hyperlink" Target="http://www.hauora.co.nz/new-action-plan-to-boost-maori-health-and-wellbeing/" TargetMode="External"/><Relationship Id="rId7" Type="http://schemas.openxmlformats.org/officeDocument/2006/relationships/hyperlink" Target="https://forms.justice.govt.nz/search/Documents/WT/wt_DOC_152801817/Hauora%20W.pdf" TargetMode="External"/><Relationship Id="rId12" Type="http://schemas.openxmlformats.org/officeDocument/2006/relationships/hyperlink" Target="https://www.dia.govt.nz/gambling-statistics-gmp-dashboard" TargetMode="External"/><Relationship Id="rId2" Type="http://schemas.openxmlformats.org/officeDocument/2006/relationships/hyperlink" Target="https://kupe.hpa.org.nz/" TargetMode="External"/><Relationship Id="rId1" Type="http://schemas.openxmlformats.org/officeDocument/2006/relationships/hyperlink" Target="http://www.health.govt.nz/publication/strategy-prevent-and-minimise-gambling-harm-2019-20-2021-22" TargetMode="External"/><Relationship Id="rId6" Type="http://schemas.openxmlformats.org/officeDocument/2006/relationships/hyperlink" Target="http://www.dia.govt.nz/Gambling" TargetMode="External"/><Relationship Id="rId11" Type="http://schemas.openxmlformats.org/officeDocument/2006/relationships/hyperlink" Target="http://www.tepou.co.nz/" TargetMode="External"/><Relationship Id="rId5" Type="http://schemas.openxmlformats.org/officeDocument/2006/relationships/hyperlink" Target="http://www.mentalhealth.inquiry.govt.nz/assets/Summary-reports/He-Ara-Oranga.pdf" TargetMode="External"/><Relationship Id="rId10" Type="http://schemas.openxmlformats.org/officeDocument/2006/relationships/hyperlink" Target="https://www.hetaumata.co.nz/public-health/pou-toru-core-competencies" TargetMode="External"/><Relationship Id="rId4" Type="http://schemas.openxmlformats.org/officeDocument/2006/relationships/hyperlink" Target="http://www.health.govt.nz/about-ministry/what-we-do/work-programme-2019-20/achieving-equity" TargetMode="External"/><Relationship Id="rId9" Type="http://schemas.openxmlformats.org/officeDocument/2006/relationships/hyperlink" Target="https://childyouthwellbeing.govt.nz/resources/child-and-youth-wellbeing-strateg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8BF78-88E6-45E1-80DC-4A2046BCA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TotalTime>
  <Pages>81</Pages>
  <Words>24277</Words>
  <Characters>138384</Characters>
  <Application>Microsoft Office Word</Application>
  <DocSecurity>0</DocSecurity>
  <Lines>1153</Lines>
  <Paragraphs>324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to Prevent and Minimise Gambling Harm 2022/23 to 2024/25: Consultation document</dc:title>
  <dc:creator>Ministry of Health</dc:creator>
  <cp:lastModifiedBy>Julianne Ryan</cp:lastModifiedBy>
  <cp:revision>3</cp:revision>
  <cp:lastPrinted>2021-08-27T02:25:00Z</cp:lastPrinted>
  <dcterms:created xsi:type="dcterms:W3CDTF">2021-08-27T02:25:00Z</dcterms:created>
  <dcterms:modified xsi:type="dcterms:W3CDTF">2021-08-27T02:25:00Z</dcterms:modified>
</cp:coreProperties>
</file>