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7.xml" ContentType="application/vnd.openxmlformats-officedocument.wordprocessingml.foot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D54D50" w:rsidRDefault="00CB68A7" w:rsidP="00D54D50">
      <w:pPr>
        <w:pStyle w:val="Title"/>
      </w:pPr>
      <w:r>
        <w:t>Strategy to Prevent and Minimise Gambling Harm</w:t>
      </w:r>
    </w:p>
    <w:p w:rsidR="00455CC9" w:rsidRDefault="00CB68A7" w:rsidP="00455CC9">
      <w:pPr>
        <w:pStyle w:val="Year"/>
      </w:pPr>
      <w:r>
        <w:t>2019/20 to 2021/22</w:t>
      </w:r>
    </w:p>
    <w:p w:rsidR="00C86248" w:rsidRDefault="00CB68A7" w:rsidP="00343365">
      <w:pPr>
        <w:pStyle w:val="Subhead"/>
      </w:pPr>
      <w:r>
        <w:t>Consultation document</w:t>
      </w:r>
    </w:p>
    <w:p w:rsidR="00142954" w:rsidRPr="00142954" w:rsidRDefault="00142954" w:rsidP="00142954">
      <w:pPr>
        <w:sectPr w:rsidR="00142954" w:rsidRPr="00142954" w:rsidSect="000F2AE2">
          <w:headerReference w:type="default" r:id="rId8"/>
          <w:footerReference w:type="default" r:id="rId9"/>
          <w:pgSz w:w="11907" w:h="16834" w:code="9"/>
          <w:pgMar w:top="3969" w:right="851" w:bottom="851" w:left="2552" w:header="851" w:footer="851" w:gutter="0"/>
          <w:cols w:space="720"/>
        </w:sectPr>
      </w:pPr>
    </w:p>
    <w:p w:rsidR="00A80363" w:rsidRPr="00442C1C" w:rsidRDefault="00A80363">
      <w:pPr>
        <w:pStyle w:val="Imprint"/>
      </w:pPr>
      <w:r>
        <w:lastRenderedPageBreak/>
        <w:t xml:space="preserve">Citation: </w:t>
      </w:r>
      <w:r w:rsidR="00442C1C">
        <w:t xml:space="preserve">Ministry of Health. </w:t>
      </w:r>
      <w:r w:rsidR="00CB68A7">
        <w:t>2018</w:t>
      </w:r>
      <w:r w:rsidR="00442C1C">
        <w:t xml:space="preserve">. </w:t>
      </w:r>
      <w:r w:rsidR="00CB68A7">
        <w:rPr>
          <w:i/>
        </w:rPr>
        <w:t>Strategy to Prevent and Minimise Gambling Harm 2019/20 to 2021/22</w:t>
      </w:r>
      <w:r w:rsidR="008E3A07">
        <w:rPr>
          <w:i/>
        </w:rPr>
        <w:t xml:space="preserve">: </w:t>
      </w:r>
      <w:r w:rsidR="00CB68A7">
        <w:rPr>
          <w:i/>
        </w:rPr>
        <w:t>Consultation document</w:t>
      </w:r>
      <w:r w:rsidR="00442C1C">
        <w:t>. Wellington: Ministry of Health.</w:t>
      </w:r>
    </w:p>
    <w:p w:rsidR="00C86248" w:rsidRDefault="00C86248">
      <w:pPr>
        <w:pStyle w:val="Imprint"/>
      </w:pPr>
      <w:r>
        <w:t xml:space="preserve">Published in </w:t>
      </w:r>
      <w:r w:rsidR="00EA61F0">
        <w:t>August</w:t>
      </w:r>
      <w:r w:rsidR="00CB68A7">
        <w:t xml:space="preserve"> 2018</w:t>
      </w:r>
      <w:r w:rsidR="005019AE">
        <w:br/>
      </w:r>
      <w:r>
        <w:t>by the</w:t>
      </w:r>
      <w:r w:rsidR="00442C1C">
        <w:t xml:space="preserve"> </w:t>
      </w:r>
      <w:r>
        <w:t>Ministry of Health</w:t>
      </w:r>
      <w:r>
        <w:br/>
        <w:t>PO Box 5013, Wellington</w:t>
      </w:r>
      <w:r w:rsidR="00A80363">
        <w:t xml:space="preserve"> 614</w:t>
      </w:r>
      <w:r w:rsidR="006041F0">
        <w:t>0</w:t>
      </w:r>
      <w:r>
        <w:t>, New Zealand</w:t>
      </w:r>
    </w:p>
    <w:p w:rsidR="00082CD6" w:rsidRPr="009C0F2D" w:rsidRDefault="00D863D0" w:rsidP="00390525">
      <w:pPr>
        <w:jc w:val="center"/>
      </w:pPr>
      <w:r w:rsidRPr="00390525">
        <w:t>ISBN</w:t>
      </w:r>
      <w:r w:rsidR="00442C1C" w:rsidRPr="00390525">
        <w:t xml:space="preserve"> </w:t>
      </w:r>
      <w:r w:rsidR="00390525" w:rsidRPr="00390525">
        <w:rPr>
          <w:rFonts w:eastAsia="Arial" w:cs="Arial"/>
          <w:color w:val="000000"/>
          <w:szCs w:val="22"/>
        </w:rPr>
        <w:t>978-1-98-853981-2</w:t>
      </w:r>
      <w:r w:rsidR="00442C1C" w:rsidRPr="00390525">
        <w:t xml:space="preserve"> </w:t>
      </w:r>
      <w:r w:rsidRPr="00390525">
        <w:t>(</w:t>
      </w:r>
      <w:r w:rsidR="00442C1C" w:rsidRPr="00390525">
        <w:t>online</w:t>
      </w:r>
      <w:proofErr w:type="gramStart"/>
      <w:r w:rsidRPr="00390525">
        <w:t>)</w:t>
      </w:r>
      <w:proofErr w:type="gramEnd"/>
      <w:r w:rsidR="00082CD6" w:rsidRPr="00390525">
        <w:br/>
      </w:r>
      <w:r w:rsidR="00082CD6" w:rsidRPr="006D3130">
        <w:t xml:space="preserve">HP </w:t>
      </w:r>
      <w:r w:rsidR="006D3130" w:rsidRPr="006D3130">
        <w:t>6910</w:t>
      </w:r>
    </w:p>
    <w:p w:rsidR="00C86248" w:rsidRPr="00EC3578" w:rsidRDefault="008E3A07">
      <w:pPr>
        <w:pStyle w:val="Imprint"/>
        <w:rPr>
          <w:rStyle w:val="Hyperlink"/>
          <w:rFonts w:eastAsia="MS Gothic"/>
        </w:rPr>
      </w:pPr>
      <w:r>
        <w:t>This document is available at health.govt.nz</w:t>
      </w:r>
    </w:p>
    <w:p w:rsidR="00C86248" w:rsidRDefault="008C64C4">
      <w:pPr>
        <w:jc w:val="center"/>
      </w:pPr>
      <w:r>
        <w:rPr>
          <w:noProof/>
          <w:lang w:eastAsia="en-NZ"/>
        </w:rPr>
        <w:drawing>
          <wp:inline distT="0" distB="0" distL="0" distR="0" wp14:anchorId="7CDCFDED" wp14:editId="4506583F">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7E74F1" w:rsidRPr="001F45A7" w:rsidRDefault="007E74F1" w:rsidP="001F45A7">
      <w:pPr>
        <w:spacing w:before="240"/>
        <w:ind w:right="-851"/>
        <w:rPr>
          <w:sz w:val="18"/>
          <w:szCs w:val="18"/>
        </w:rPr>
      </w:pPr>
      <w:r w:rsidRPr="001F45A7">
        <w:rPr>
          <w:b/>
          <w:noProof/>
          <w:sz w:val="18"/>
          <w:szCs w:val="18"/>
          <w:lang w:eastAsia="en-NZ"/>
        </w:rPr>
        <w:drawing>
          <wp:inline distT="0" distB="0" distL="0" distR="0" wp14:anchorId="1F7438FD" wp14:editId="48BAFC0E">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1F45A7">
        <w:rPr>
          <w:sz w:val="18"/>
          <w:szCs w:val="18"/>
        </w:rPr>
        <w:t xml:space="preserve"> This work is licensed under the Creative Commons Attribution 4.0 International licence. In essence, </w:t>
      </w:r>
      <w:r w:rsidRPr="001F45A7">
        <w:rPr>
          <w:bCs/>
          <w:sz w:val="18"/>
          <w:szCs w:val="18"/>
        </w:rPr>
        <w:t xml:space="preserve">you are free to: </w:t>
      </w:r>
      <w:r w:rsidRPr="001F45A7">
        <w:rPr>
          <w:sz w:val="18"/>
          <w:szCs w:val="18"/>
        </w:rPr>
        <w:t xml:space="preserve">share </w:t>
      </w:r>
      <w:proofErr w:type="spellStart"/>
      <w:r w:rsidRPr="001F45A7">
        <w:rPr>
          <w:sz w:val="18"/>
          <w:szCs w:val="18"/>
        </w:rPr>
        <w:t>ie</w:t>
      </w:r>
      <w:proofErr w:type="spellEnd"/>
      <w:r w:rsidRPr="001F45A7">
        <w:rPr>
          <w:sz w:val="18"/>
          <w:szCs w:val="18"/>
        </w:rPr>
        <w:t xml:space="preserve">, copy and redistribute the material in any medium or format; adapt </w:t>
      </w:r>
      <w:proofErr w:type="spellStart"/>
      <w:r w:rsidRPr="001F45A7">
        <w:rPr>
          <w:sz w:val="18"/>
          <w:szCs w:val="18"/>
        </w:rPr>
        <w:t>ie</w:t>
      </w:r>
      <w:proofErr w:type="spellEnd"/>
      <w:r w:rsidRPr="001F45A7">
        <w:rPr>
          <w:sz w:val="18"/>
          <w:szCs w:val="18"/>
        </w:rPr>
        <w:t xml:space="preserve">, remix, transform and build upon the material. </w:t>
      </w:r>
      <w:r w:rsidRPr="001F45A7">
        <w:rPr>
          <w:bCs/>
          <w:sz w:val="18"/>
          <w:szCs w:val="18"/>
        </w:rPr>
        <w:t>You must give appropriate credit, provide a link to the licence and indicate if changes were made.</w:t>
      </w:r>
    </w:p>
    <w:p w:rsidR="00C86248" w:rsidRDefault="00C86248">
      <w:pPr>
        <w:jc w:val="center"/>
        <w:sectPr w:rsidR="00C86248" w:rsidSect="0016468A">
          <w:headerReference w:type="even" r:id="rId12"/>
          <w:headerReference w:type="default" r:id="rId13"/>
          <w:footerReference w:type="even" r:id="rId14"/>
          <w:footerReference w:type="default" r:id="rId15"/>
          <w:headerReference w:type="first" r:id="rId16"/>
          <w:pgSz w:w="11907" w:h="16834" w:code="9"/>
          <w:pgMar w:top="1701" w:right="1134" w:bottom="1134" w:left="1985" w:header="0" w:footer="0" w:gutter="0"/>
          <w:cols w:space="720"/>
          <w:vAlign w:val="bottom"/>
        </w:sectPr>
      </w:pPr>
    </w:p>
    <w:p w:rsidR="00032C0A" w:rsidRDefault="008E3A07" w:rsidP="00EC1A59">
      <w:pPr>
        <w:pStyle w:val="Heading1"/>
        <w:numPr>
          <w:ilvl w:val="0"/>
          <w:numId w:val="0"/>
        </w:numPr>
      </w:pPr>
      <w:bookmarkStart w:id="0" w:name="_Toc522089381"/>
      <w:bookmarkStart w:id="1" w:name="_Toc405792991"/>
      <w:bookmarkStart w:id="2" w:name="_Toc405793224"/>
      <w:r>
        <w:lastRenderedPageBreak/>
        <w:t>Foreword</w:t>
      </w:r>
      <w:bookmarkEnd w:id="0"/>
    </w:p>
    <w:p w:rsidR="00CB68A7" w:rsidRPr="00E312E8" w:rsidRDefault="00CB68A7" w:rsidP="00CB68A7">
      <w:r w:rsidRPr="00E312E8">
        <w:t xml:space="preserve">The Gambling Act 2003 </w:t>
      </w:r>
      <w:r>
        <w:t xml:space="preserve">(the Act) </w:t>
      </w:r>
      <w:r w:rsidRPr="00E312E8">
        <w:t xml:space="preserve">sets out requirements for an </w:t>
      </w:r>
      <w:r w:rsidR="00EC3578">
        <w:t>‘</w:t>
      </w:r>
      <w:r w:rsidRPr="00E312E8">
        <w:t>integrated problem gambling strategy focused on public health</w:t>
      </w:r>
      <w:r w:rsidR="00EC3578">
        <w:t>’</w:t>
      </w:r>
      <w:r w:rsidRPr="00E312E8">
        <w:t>. Four components that the strategy must include are: measures to promote public health, services to treat and assist problem gamblers and their families/</w:t>
      </w:r>
      <w:proofErr w:type="spellStart"/>
      <w:r w:rsidRPr="00E312E8">
        <w:t>whānau</w:t>
      </w:r>
      <w:proofErr w:type="spellEnd"/>
      <w:r w:rsidRPr="00E312E8">
        <w:t>, independent scientific research and evaluation.</w:t>
      </w:r>
    </w:p>
    <w:p w:rsidR="00CB68A7" w:rsidRDefault="00CB68A7" w:rsidP="00CB68A7"/>
    <w:p w:rsidR="00CB68A7" w:rsidRPr="00E312E8" w:rsidRDefault="00CB68A7" w:rsidP="00CB68A7">
      <w:r w:rsidRPr="00E312E8">
        <w:t xml:space="preserve">The Ministry of Health </w:t>
      </w:r>
      <w:r>
        <w:t xml:space="preserve">(the Ministry) </w:t>
      </w:r>
      <w:r w:rsidRPr="00E312E8">
        <w:t xml:space="preserve">is responsible for developing the strategy at three-yearly intervals and for implementing it. The Crown recovers the cost of developing and implementing the strategy, using a </w:t>
      </w:r>
      <w:r w:rsidR="00EC3578">
        <w:t>‘</w:t>
      </w:r>
      <w:r w:rsidRPr="00E312E8">
        <w:t>problem gambling levy</w:t>
      </w:r>
      <w:r w:rsidR="00EC3578">
        <w:t>’</w:t>
      </w:r>
      <w:r w:rsidRPr="00E312E8">
        <w:t xml:space="preserve"> set by regulation at a different rate for each of the main gambling sectors. The Act specifies consultation requirements for the development of the strategy and the levy rates.</w:t>
      </w:r>
    </w:p>
    <w:p w:rsidR="00CB68A7" w:rsidRDefault="00CB68A7" w:rsidP="00CB68A7"/>
    <w:p w:rsidR="00CB68A7" w:rsidRPr="00E312E8" w:rsidRDefault="00CB68A7" w:rsidP="00CB68A7">
      <w:r w:rsidRPr="00E312E8">
        <w:t>Consistent with these requirements, the Ministry is now seeking comment, through a consultation process, on its draft Strategy to Prevent and Minimise Gambling Harm for 2019/2020 to 2021/2022 and draft levy rates.</w:t>
      </w:r>
    </w:p>
    <w:p w:rsidR="00CB68A7" w:rsidRDefault="00CB68A7" w:rsidP="00CB68A7"/>
    <w:p w:rsidR="00CB68A7" w:rsidRPr="00E312E8" w:rsidRDefault="00CB68A7" w:rsidP="00CB68A7">
      <w:r w:rsidRPr="00E312E8">
        <w:t xml:space="preserve">After considering feedback and making any necessary revisions, the Ministry will submit its proposed </w:t>
      </w:r>
      <w:r>
        <w:t>s</w:t>
      </w:r>
      <w:r w:rsidRPr="00E312E8">
        <w:t>trategy and levy rates to the Gambling Commission</w:t>
      </w:r>
      <w:r>
        <w:t xml:space="preserve"> New Zealand (the Gambling Commission)</w:t>
      </w:r>
      <w:r w:rsidRPr="00E312E8">
        <w:t>. The Gambling Commission will undertake an analysis, convene a consultation meeting and provide its own advice to the Associate Minister of Health with responsibility for Problem Gambling and the Minister of Internal Affairs.</w:t>
      </w:r>
    </w:p>
    <w:p w:rsidR="00CB68A7" w:rsidRDefault="00CB68A7" w:rsidP="00CB68A7"/>
    <w:p w:rsidR="00CB68A7" w:rsidRPr="00E312E8" w:rsidRDefault="00CB68A7" w:rsidP="00CB68A7">
      <w:r w:rsidRPr="00E312E8">
        <w:t xml:space="preserve">Cabinet will subsequently make decisions on the shape of the </w:t>
      </w:r>
      <w:r>
        <w:t>s</w:t>
      </w:r>
      <w:r w:rsidRPr="00E312E8">
        <w:t>trategy and the levy.</w:t>
      </w:r>
    </w:p>
    <w:p w:rsidR="00CB68A7" w:rsidRDefault="00CB68A7" w:rsidP="00CB68A7"/>
    <w:p w:rsidR="00CB68A7" w:rsidRPr="00E312E8" w:rsidRDefault="00CB68A7" w:rsidP="00CB68A7">
      <w:r w:rsidRPr="00E312E8">
        <w:t>The Ministry encourages you to have your say to ensure an inclusive and comprehensive approach to preventing and minimising gambling harm for the three-year period from 1 July 2019 to 30 June 2022 and beyond.</w:t>
      </w:r>
    </w:p>
    <w:p w:rsidR="00CB68A7" w:rsidRDefault="00CB68A7" w:rsidP="00CB68A7"/>
    <w:p w:rsidR="00CB68A7" w:rsidRPr="00E312E8" w:rsidRDefault="00CB68A7" w:rsidP="00CB68A7">
      <w:r>
        <w:t>Dr Ashley Bloomfield</w:t>
      </w:r>
    </w:p>
    <w:p w:rsidR="00CB68A7" w:rsidRPr="00E312E8" w:rsidRDefault="00CB68A7" w:rsidP="00CB68A7">
      <w:r w:rsidRPr="00E312E8">
        <w:t>Director</w:t>
      </w:r>
      <w:r>
        <w:t>-</w:t>
      </w:r>
      <w:r w:rsidRPr="00E312E8">
        <w:t>General of Health</w:t>
      </w:r>
    </w:p>
    <w:p w:rsidR="00032C0A" w:rsidRDefault="00032C0A" w:rsidP="00CB68A7"/>
    <w:p w:rsidR="00EC1A59" w:rsidRDefault="00EC1A59" w:rsidP="00CB68A7">
      <w:pPr>
        <w:sectPr w:rsidR="00EC1A59" w:rsidSect="009D5125">
          <w:headerReference w:type="even" r:id="rId17"/>
          <w:headerReference w:type="default" r:id="rId18"/>
          <w:footerReference w:type="even" r:id="rId19"/>
          <w:footerReference w:type="default" r:id="rId20"/>
          <w:headerReference w:type="first" r:id="rId21"/>
          <w:pgSz w:w="11907" w:h="16840" w:code="9"/>
          <w:pgMar w:top="851" w:right="1134" w:bottom="1134" w:left="1134" w:header="284" w:footer="567" w:gutter="284"/>
          <w:pgNumType w:fmt="lowerRoman"/>
          <w:cols w:space="720"/>
        </w:sectPr>
      </w:pPr>
    </w:p>
    <w:p w:rsidR="00EC1A59" w:rsidRDefault="00EC1A59" w:rsidP="00CB68A7"/>
    <w:p w:rsidR="00EC1A59" w:rsidRDefault="00EC1A59" w:rsidP="00CB68A7">
      <w:pPr>
        <w:sectPr w:rsidR="00EC1A59" w:rsidSect="009D5125">
          <w:headerReference w:type="even" r:id="rId22"/>
          <w:headerReference w:type="default" r:id="rId23"/>
          <w:footerReference w:type="even" r:id="rId24"/>
          <w:headerReference w:type="first" r:id="rId25"/>
          <w:pgSz w:w="11907" w:h="16840" w:code="9"/>
          <w:pgMar w:top="851" w:right="1134" w:bottom="1134" w:left="1134" w:header="284" w:footer="567" w:gutter="284"/>
          <w:pgNumType w:fmt="lowerRoman"/>
          <w:cols w:space="720"/>
        </w:sectPr>
      </w:pPr>
    </w:p>
    <w:p w:rsidR="00C86248" w:rsidRDefault="00C86248" w:rsidP="00025A6F">
      <w:pPr>
        <w:pStyle w:val="IntroHead"/>
      </w:pPr>
      <w:r>
        <w:lastRenderedPageBreak/>
        <w:t>Contents</w:t>
      </w:r>
      <w:bookmarkEnd w:id="1"/>
      <w:bookmarkEnd w:id="2"/>
    </w:p>
    <w:p w:rsidR="00EC0D76"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EC0D76">
        <w:rPr>
          <w:noProof/>
        </w:rPr>
        <w:t>Foreword</w:t>
      </w:r>
      <w:r w:rsidR="00EC0D76">
        <w:rPr>
          <w:noProof/>
        </w:rPr>
        <w:tab/>
      </w:r>
      <w:r w:rsidR="00EC0D76">
        <w:rPr>
          <w:noProof/>
        </w:rPr>
        <w:fldChar w:fldCharType="begin"/>
      </w:r>
      <w:r w:rsidR="00EC0D76">
        <w:rPr>
          <w:noProof/>
        </w:rPr>
        <w:instrText xml:space="preserve"> PAGEREF _Toc522089381 \h </w:instrText>
      </w:r>
      <w:r w:rsidR="00EC0D76">
        <w:rPr>
          <w:noProof/>
        </w:rPr>
      </w:r>
      <w:r w:rsidR="00EC0D76">
        <w:rPr>
          <w:noProof/>
        </w:rPr>
        <w:fldChar w:fldCharType="separate"/>
      </w:r>
      <w:r w:rsidR="0012663D">
        <w:rPr>
          <w:noProof/>
        </w:rPr>
        <w:t>iii</w:t>
      </w:r>
      <w:r w:rsidR="00EC0D76">
        <w:rPr>
          <w:noProof/>
        </w:rPr>
        <w:fldChar w:fldCharType="end"/>
      </w:r>
    </w:p>
    <w:p w:rsidR="00EC0D76" w:rsidRDefault="00EC0D76">
      <w:pPr>
        <w:pStyle w:val="TOC1"/>
        <w:rPr>
          <w:rFonts w:asciiTheme="minorHAnsi" w:eastAsiaTheme="minorEastAsia" w:hAnsiTheme="minorHAnsi" w:cstheme="minorBidi"/>
          <w:b w:val="0"/>
          <w:noProof/>
          <w:szCs w:val="22"/>
          <w:lang w:eastAsia="en-NZ"/>
        </w:rPr>
      </w:pPr>
      <w:r>
        <w:rPr>
          <w:noProof/>
        </w:rPr>
        <w:t>Executive summary</w:t>
      </w:r>
      <w:r>
        <w:rPr>
          <w:noProof/>
        </w:rPr>
        <w:tab/>
      </w:r>
      <w:r>
        <w:rPr>
          <w:noProof/>
        </w:rPr>
        <w:fldChar w:fldCharType="begin"/>
      </w:r>
      <w:r>
        <w:rPr>
          <w:noProof/>
        </w:rPr>
        <w:instrText xml:space="preserve"> PAGEREF _Toc522089382 \h </w:instrText>
      </w:r>
      <w:r>
        <w:rPr>
          <w:noProof/>
        </w:rPr>
      </w:r>
      <w:r>
        <w:rPr>
          <w:noProof/>
        </w:rPr>
        <w:fldChar w:fldCharType="separate"/>
      </w:r>
      <w:r w:rsidR="0012663D">
        <w:rPr>
          <w:noProof/>
        </w:rPr>
        <w:t>ix</w:t>
      </w:r>
      <w:r>
        <w:rPr>
          <w:noProof/>
        </w:rPr>
        <w:fldChar w:fldCharType="end"/>
      </w:r>
    </w:p>
    <w:p w:rsidR="00EC0D76" w:rsidRDefault="00EC0D76" w:rsidP="00EC0D76">
      <w:pPr>
        <w:pStyle w:val="TOC1"/>
        <w:ind w:left="0" w:firstLine="0"/>
        <w:rPr>
          <w:rFonts w:asciiTheme="minorHAnsi" w:eastAsiaTheme="minorEastAsia" w:hAnsiTheme="minorHAnsi" w:cstheme="minorBidi"/>
          <w:b w:val="0"/>
          <w:noProof/>
          <w:szCs w:val="22"/>
          <w:lang w:eastAsia="en-NZ"/>
        </w:rPr>
      </w:pPr>
      <w:r>
        <w:rPr>
          <w:noProof/>
        </w:rPr>
        <w:t>Consulting on the proposed Strategy to Prevent and Minimise Gambling Harm 2019/20 to 2021/22</w:t>
      </w:r>
      <w:r>
        <w:rPr>
          <w:noProof/>
        </w:rPr>
        <w:tab/>
      </w:r>
      <w:r>
        <w:rPr>
          <w:noProof/>
        </w:rPr>
        <w:fldChar w:fldCharType="begin"/>
      </w:r>
      <w:r>
        <w:rPr>
          <w:noProof/>
        </w:rPr>
        <w:instrText xml:space="preserve"> PAGEREF _Toc522089383 \h </w:instrText>
      </w:r>
      <w:r>
        <w:rPr>
          <w:noProof/>
        </w:rPr>
      </w:r>
      <w:r>
        <w:rPr>
          <w:noProof/>
        </w:rPr>
        <w:fldChar w:fldCharType="separate"/>
      </w:r>
      <w:r w:rsidR="0012663D">
        <w:rPr>
          <w:noProof/>
        </w:rPr>
        <w:t>1</w:t>
      </w:r>
      <w:r>
        <w:rPr>
          <w:noProof/>
        </w:rPr>
        <w:fldChar w:fldCharType="end"/>
      </w:r>
    </w:p>
    <w:p w:rsidR="00EC0D76" w:rsidRDefault="00EC0D76">
      <w:pPr>
        <w:pStyle w:val="TOC2"/>
        <w:rPr>
          <w:rFonts w:asciiTheme="minorHAnsi" w:eastAsiaTheme="minorEastAsia" w:hAnsiTheme="minorHAnsi" w:cstheme="minorBidi"/>
          <w:noProof/>
          <w:szCs w:val="22"/>
          <w:lang w:eastAsia="en-NZ"/>
        </w:rPr>
      </w:pPr>
      <w:r>
        <w:rPr>
          <w:noProof/>
        </w:rPr>
        <w:t>Inquiry into Mental Health and Addictions</w:t>
      </w:r>
      <w:r>
        <w:rPr>
          <w:noProof/>
        </w:rPr>
        <w:tab/>
      </w:r>
      <w:r>
        <w:rPr>
          <w:noProof/>
        </w:rPr>
        <w:fldChar w:fldCharType="begin"/>
      </w:r>
      <w:r>
        <w:rPr>
          <w:noProof/>
        </w:rPr>
        <w:instrText xml:space="preserve"> PAGEREF _Toc522089384 \h </w:instrText>
      </w:r>
      <w:r>
        <w:rPr>
          <w:noProof/>
        </w:rPr>
      </w:r>
      <w:r>
        <w:rPr>
          <w:noProof/>
        </w:rPr>
        <w:fldChar w:fldCharType="separate"/>
      </w:r>
      <w:r w:rsidR="0012663D">
        <w:rPr>
          <w:noProof/>
        </w:rPr>
        <w:t>2</w:t>
      </w:r>
      <w:r>
        <w:rPr>
          <w:noProof/>
        </w:rPr>
        <w:fldChar w:fldCharType="end"/>
      </w:r>
    </w:p>
    <w:p w:rsidR="00EC0D76" w:rsidRDefault="00EC0D76">
      <w:pPr>
        <w:pStyle w:val="TOC2"/>
        <w:rPr>
          <w:rFonts w:asciiTheme="minorHAnsi" w:eastAsiaTheme="minorEastAsia" w:hAnsiTheme="minorHAnsi" w:cstheme="minorBidi"/>
          <w:noProof/>
          <w:szCs w:val="22"/>
          <w:lang w:eastAsia="en-NZ"/>
        </w:rPr>
      </w:pPr>
      <w:r>
        <w:rPr>
          <w:noProof/>
        </w:rPr>
        <w:t>Have your say</w:t>
      </w:r>
      <w:r>
        <w:rPr>
          <w:noProof/>
        </w:rPr>
        <w:tab/>
      </w:r>
      <w:r>
        <w:rPr>
          <w:noProof/>
        </w:rPr>
        <w:fldChar w:fldCharType="begin"/>
      </w:r>
      <w:r>
        <w:rPr>
          <w:noProof/>
        </w:rPr>
        <w:instrText xml:space="preserve"> PAGEREF _Toc522089385 \h </w:instrText>
      </w:r>
      <w:r>
        <w:rPr>
          <w:noProof/>
        </w:rPr>
      </w:r>
      <w:r>
        <w:rPr>
          <w:noProof/>
        </w:rPr>
        <w:fldChar w:fldCharType="separate"/>
      </w:r>
      <w:r w:rsidR="0012663D">
        <w:rPr>
          <w:noProof/>
        </w:rPr>
        <w:t>2</w:t>
      </w:r>
      <w:r>
        <w:rPr>
          <w:noProof/>
        </w:rPr>
        <w:fldChar w:fldCharType="end"/>
      </w:r>
    </w:p>
    <w:p w:rsidR="00EC0D76" w:rsidRDefault="00EC0D76">
      <w:pPr>
        <w:pStyle w:val="TOC1"/>
        <w:rPr>
          <w:rFonts w:asciiTheme="minorHAnsi" w:eastAsiaTheme="minorEastAsia" w:hAnsiTheme="minorHAnsi" w:cstheme="minorBidi"/>
          <w:b w:val="0"/>
          <w:noProof/>
          <w:szCs w:val="22"/>
          <w:lang w:eastAsia="en-NZ"/>
        </w:rPr>
      </w:pPr>
      <w:r>
        <w:rPr>
          <w:noProof/>
        </w:rPr>
        <w:t>1</w:t>
      </w:r>
      <w:r>
        <w:rPr>
          <w:rFonts w:asciiTheme="minorHAnsi" w:eastAsiaTheme="minorEastAsia" w:hAnsiTheme="minorHAnsi" w:cstheme="minorBidi"/>
          <w:b w:val="0"/>
          <w:noProof/>
          <w:szCs w:val="22"/>
          <w:lang w:eastAsia="en-NZ"/>
        </w:rPr>
        <w:tab/>
      </w:r>
      <w:r>
        <w:rPr>
          <w:noProof/>
        </w:rPr>
        <w:t>Introduction</w:t>
      </w:r>
      <w:r>
        <w:rPr>
          <w:noProof/>
        </w:rPr>
        <w:tab/>
      </w:r>
      <w:r>
        <w:rPr>
          <w:noProof/>
        </w:rPr>
        <w:fldChar w:fldCharType="begin"/>
      </w:r>
      <w:r>
        <w:rPr>
          <w:noProof/>
        </w:rPr>
        <w:instrText xml:space="preserve"> PAGEREF _Toc522089386 \h </w:instrText>
      </w:r>
      <w:r>
        <w:rPr>
          <w:noProof/>
        </w:rPr>
      </w:r>
      <w:r>
        <w:rPr>
          <w:noProof/>
        </w:rPr>
        <w:fldChar w:fldCharType="separate"/>
      </w:r>
      <w:r w:rsidR="0012663D">
        <w:rPr>
          <w:noProof/>
        </w:rPr>
        <w:t>3</w:t>
      </w:r>
      <w:r>
        <w:rPr>
          <w:noProof/>
        </w:rPr>
        <w:fldChar w:fldCharType="end"/>
      </w:r>
    </w:p>
    <w:p w:rsidR="00EC0D76" w:rsidRDefault="00EC0D76">
      <w:pPr>
        <w:pStyle w:val="TOC2"/>
        <w:tabs>
          <w:tab w:val="left" w:pos="1134"/>
        </w:tabs>
        <w:rPr>
          <w:rFonts w:asciiTheme="minorHAnsi" w:eastAsiaTheme="minorEastAsia" w:hAnsiTheme="minorHAnsi" w:cstheme="minorBidi"/>
          <w:noProof/>
          <w:szCs w:val="22"/>
          <w:lang w:eastAsia="en-NZ"/>
        </w:rPr>
      </w:pPr>
      <w:r>
        <w:rPr>
          <w:noProof/>
        </w:rPr>
        <w:t>1.1</w:t>
      </w:r>
      <w:r>
        <w:rPr>
          <w:rFonts w:asciiTheme="minorHAnsi" w:eastAsiaTheme="minorEastAsia" w:hAnsiTheme="minorHAnsi" w:cstheme="minorBidi"/>
          <w:noProof/>
          <w:szCs w:val="22"/>
          <w:lang w:eastAsia="en-NZ"/>
        </w:rPr>
        <w:tab/>
      </w:r>
      <w:r>
        <w:rPr>
          <w:noProof/>
        </w:rPr>
        <w:t>The role of the Ministry of Health</w:t>
      </w:r>
      <w:r>
        <w:rPr>
          <w:noProof/>
        </w:rPr>
        <w:tab/>
      </w:r>
      <w:r>
        <w:rPr>
          <w:noProof/>
        </w:rPr>
        <w:fldChar w:fldCharType="begin"/>
      </w:r>
      <w:r>
        <w:rPr>
          <w:noProof/>
        </w:rPr>
        <w:instrText xml:space="preserve"> PAGEREF _Toc522089387 \h </w:instrText>
      </w:r>
      <w:r>
        <w:rPr>
          <w:noProof/>
        </w:rPr>
      </w:r>
      <w:r>
        <w:rPr>
          <w:noProof/>
        </w:rPr>
        <w:fldChar w:fldCharType="separate"/>
      </w:r>
      <w:r w:rsidR="0012663D">
        <w:rPr>
          <w:noProof/>
        </w:rPr>
        <w:t>3</w:t>
      </w:r>
      <w:r>
        <w:rPr>
          <w:noProof/>
        </w:rPr>
        <w:fldChar w:fldCharType="end"/>
      </w:r>
    </w:p>
    <w:p w:rsidR="00EC0D76" w:rsidRDefault="00EC0D76">
      <w:pPr>
        <w:pStyle w:val="TOC2"/>
        <w:tabs>
          <w:tab w:val="left" w:pos="1134"/>
        </w:tabs>
        <w:rPr>
          <w:rFonts w:asciiTheme="minorHAnsi" w:eastAsiaTheme="minorEastAsia" w:hAnsiTheme="minorHAnsi" w:cstheme="minorBidi"/>
          <w:noProof/>
          <w:szCs w:val="22"/>
          <w:lang w:eastAsia="en-NZ"/>
        </w:rPr>
      </w:pPr>
      <w:r>
        <w:rPr>
          <w:noProof/>
        </w:rPr>
        <w:t>1.2</w:t>
      </w:r>
      <w:r>
        <w:rPr>
          <w:rFonts w:asciiTheme="minorHAnsi" w:eastAsiaTheme="minorEastAsia" w:hAnsiTheme="minorHAnsi" w:cstheme="minorBidi"/>
          <w:noProof/>
          <w:szCs w:val="22"/>
          <w:lang w:eastAsia="en-NZ"/>
        </w:rPr>
        <w:tab/>
      </w:r>
      <w:r>
        <w:rPr>
          <w:noProof/>
        </w:rPr>
        <w:t>Role of the Department of Internal Affairs</w:t>
      </w:r>
      <w:r>
        <w:rPr>
          <w:noProof/>
        </w:rPr>
        <w:tab/>
      </w:r>
      <w:r>
        <w:rPr>
          <w:noProof/>
        </w:rPr>
        <w:fldChar w:fldCharType="begin"/>
      </w:r>
      <w:r>
        <w:rPr>
          <w:noProof/>
        </w:rPr>
        <w:instrText xml:space="preserve"> PAGEREF _Toc522089388 \h </w:instrText>
      </w:r>
      <w:r>
        <w:rPr>
          <w:noProof/>
        </w:rPr>
      </w:r>
      <w:r>
        <w:rPr>
          <w:noProof/>
        </w:rPr>
        <w:fldChar w:fldCharType="separate"/>
      </w:r>
      <w:r w:rsidR="0012663D">
        <w:rPr>
          <w:noProof/>
        </w:rPr>
        <w:t>4</w:t>
      </w:r>
      <w:r>
        <w:rPr>
          <w:noProof/>
        </w:rPr>
        <w:fldChar w:fldCharType="end"/>
      </w:r>
    </w:p>
    <w:p w:rsidR="00EC0D76" w:rsidRDefault="00EC0D76">
      <w:pPr>
        <w:pStyle w:val="TOC2"/>
        <w:tabs>
          <w:tab w:val="left" w:pos="1134"/>
        </w:tabs>
        <w:rPr>
          <w:rFonts w:asciiTheme="minorHAnsi" w:eastAsiaTheme="minorEastAsia" w:hAnsiTheme="minorHAnsi" w:cstheme="minorBidi"/>
          <w:noProof/>
          <w:szCs w:val="22"/>
          <w:lang w:eastAsia="en-NZ"/>
        </w:rPr>
      </w:pPr>
      <w:r>
        <w:rPr>
          <w:noProof/>
        </w:rPr>
        <w:t>1.3</w:t>
      </w:r>
      <w:r>
        <w:rPr>
          <w:rFonts w:asciiTheme="minorHAnsi" w:eastAsiaTheme="minorEastAsia" w:hAnsiTheme="minorHAnsi" w:cstheme="minorBidi"/>
          <w:noProof/>
          <w:szCs w:val="22"/>
          <w:lang w:eastAsia="en-NZ"/>
        </w:rPr>
        <w:tab/>
      </w:r>
      <w:r>
        <w:rPr>
          <w:noProof/>
        </w:rPr>
        <w:t>Key principles underpinning the strategy</w:t>
      </w:r>
      <w:r>
        <w:rPr>
          <w:noProof/>
        </w:rPr>
        <w:tab/>
      </w:r>
      <w:r>
        <w:rPr>
          <w:noProof/>
        </w:rPr>
        <w:fldChar w:fldCharType="begin"/>
      </w:r>
      <w:r>
        <w:rPr>
          <w:noProof/>
        </w:rPr>
        <w:instrText xml:space="preserve"> PAGEREF _Toc522089389 \h </w:instrText>
      </w:r>
      <w:r>
        <w:rPr>
          <w:noProof/>
        </w:rPr>
      </w:r>
      <w:r>
        <w:rPr>
          <w:noProof/>
        </w:rPr>
        <w:fldChar w:fldCharType="separate"/>
      </w:r>
      <w:r w:rsidR="0012663D">
        <w:rPr>
          <w:noProof/>
        </w:rPr>
        <w:t>4</w:t>
      </w:r>
      <w:r>
        <w:rPr>
          <w:noProof/>
        </w:rPr>
        <w:fldChar w:fldCharType="end"/>
      </w:r>
    </w:p>
    <w:p w:rsidR="00EC0D76" w:rsidRDefault="00EC0D76">
      <w:pPr>
        <w:pStyle w:val="TOC2"/>
        <w:tabs>
          <w:tab w:val="left" w:pos="1134"/>
        </w:tabs>
        <w:rPr>
          <w:rFonts w:asciiTheme="minorHAnsi" w:eastAsiaTheme="minorEastAsia" w:hAnsiTheme="minorHAnsi" w:cstheme="minorBidi"/>
          <w:noProof/>
          <w:szCs w:val="22"/>
          <w:lang w:eastAsia="en-NZ"/>
        </w:rPr>
      </w:pPr>
      <w:r>
        <w:rPr>
          <w:noProof/>
        </w:rPr>
        <w:t>1.4</w:t>
      </w:r>
      <w:r>
        <w:rPr>
          <w:rFonts w:asciiTheme="minorHAnsi" w:eastAsiaTheme="minorEastAsia" w:hAnsiTheme="minorHAnsi" w:cstheme="minorBidi"/>
          <w:noProof/>
          <w:szCs w:val="22"/>
          <w:lang w:eastAsia="en-NZ"/>
        </w:rPr>
        <w:tab/>
      </w:r>
      <w:r>
        <w:rPr>
          <w:noProof/>
        </w:rPr>
        <w:t>Functions of the strategy</w:t>
      </w:r>
      <w:r>
        <w:rPr>
          <w:noProof/>
        </w:rPr>
        <w:tab/>
      </w:r>
      <w:r>
        <w:rPr>
          <w:noProof/>
        </w:rPr>
        <w:fldChar w:fldCharType="begin"/>
      </w:r>
      <w:r>
        <w:rPr>
          <w:noProof/>
        </w:rPr>
        <w:instrText xml:space="preserve"> PAGEREF _Toc522089390 \h </w:instrText>
      </w:r>
      <w:r>
        <w:rPr>
          <w:noProof/>
        </w:rPr>
      </w:r>
      <w:r>
        <w:rPr>
          <w:noProof/>
        </w:rPr>
        <w:fldChar w:fldCharType="separate"/>
      </w:r>
      <w:r w:rsidR="0012663D">
        <w:rPr>
          <w:noProof/>
        </w:rPr>
        <w:t>5</w:t>
      </w:r>
      <w:r>
        <w:rPr>
          <w:noProof/>
        </w:rPr>
        <w:fldChar w:fldCharType="end"/>
      </w:r>
    </w:p>
    <w:p w:rsidR="00EC0D76" w:rsidRDefault="00EC0D76">
      <w:pPr>
        <w:pStyle w:val="TOC2"/>
        <w:tabs>
          <w:tab w:val="left" w:pos="1134"/>
        </w:tabs>
        <w:rPr>
          <w:rFonts w:asciiTheme="minorHAnsi" w:eastAsiaTheme="minorEastAsia" w:hAnsiTheme="minorHAnsi" w:cstheme="minorBidi"/>
          <w:noProof/>
          <w:szCs w:val="22"/>
          <w:lang w:eastAsia="en-NZ"/>
        </w:rPr>
      </w:pPr>
      <w:r>
        <w:rPr>
          <w:noProof/>
        </w:rPr>
        <w:t>1.5</w:t>
      </w:r>
      <w:r>
        <w:rPr>
          <w:rFonts w:asciiTheme="minorHAnsi" w:eastAsiaTheme="minorEastAsia" w:hAnsiTheme="minorHAnsi" w:cstheme="minorBidi"/>
          <w:noProof/>
          <w:szCs w:val="22"/>
          <w:lang w:eastAsia="en-NZ"/>
        </w:rPr>
        <w:tab/>
      </w:r>
      <w:r>
        <w:rPr>
          <w:noProof/>
        </w:rPr>
        <w:t>Gambling harm needs assessment</w:t>
      </w:r>
      <w:r>
        <w:rPr>
          <w:noProof/>
        </w:rPr>
        <w:tab/>
      </w:r>
      <w:r>
        <w:rPr>
          <w:noProof/>
        </w:rPr>
        <w:fldChar w:fldCharType="begin"/>
      </w:r>
      <w:r>
        <w:rPr>
          <w:noProof/>
        </w:rPr>
        <w:instrText xml:space="preserve"> PAGEREF _Toc522089391 \h </w:instrText>
      </w:r>
      <w:r>
        <w:rPr>
          <w:noProof/>
        </w:rPr>
      </w:r>
      <w:r>
        <w:rPr>
          <w:noProof/>
        </w:rPr>
        <w:fldChar w:fldCharType="separate"/>
      </w:r>
      <w:r w:rsidR="0012663D">
        <w:rPr>
          <w:noProof/>
        </w:rPr>
        <w:t>5</w:t>
      </w:r>
      <w:r>
        <w:rPr>
          <w:noProof/>
        </w:rPr>
        <w:fldChar w:fldCharType="end"/>
      </w:r>
    </w:p>
    <w:p w:rsidR="00EC0D76" w:rsidRDefault="00EC0D76">
      <w:pPr>
        <w:pStyle w:val="TOC2"/>
        <w:tabs>
          <w:tab w:val="left" w:pos="1134"/>
        </w:tabs>
        <w:rPr>
          <w:rFonts w:asciiTheme="minorHAnsi" w:eastAsiaTheme="minorEastAsia" w:hAnsiTheme="minorHAnsi" w:cstheme="minorBidi"/>
          <w:noProof/>
          <w:szCs w:val="22"/>
          <w:lang w:eastAsia="en-NZ"/>
        </w:rPr>
      </w:pPr>
      <w:r>
        <w:rPr>
          <w:noProof/>
        </w:rPr>
        <w:t>1.6</w:t>
      </w:r>
      <w:r>
        <w:rPr>
          <w:rFonts w:asciiTheme="minorHAnsi" w:eastAsiaTheme="minorEastAsia" w:hAnsiTheme="minorHAnsi" w:cstheme="minorBidi"/>
          <w:noProof/>
          <w:szCs w:val="22"/>
          <w:lang w:eastAsia="en-NZ"/>
        </w:rPr>
        <w:tab/>
      </w:r>
      <w:r>
        <w:rPr>
          <w:noProof/>
        </w:rPr>
        <w:t>Opportunities to learn</w:t>
      </w:r>
      <w:r>
        <w:rPr>
          <w:noProof/>
        </w:rPr>
        <w:tab/>
      </w:r>
      <w:r>
        <w:rPr>
          <w:noProof/>
        </w:rPr>
        <w:fldChar w:fldCharType="begin"/>
      </w:r>
      <w:r>
        <w:rPr>
          <w:noProof/>
        </w:rPr>
        <w:instrText xml:space="preserve"> PAGEREF _Toc522089392 \h </w:instrText>
      </w:r>
      <w:r>
        <w:rPr>
          <w:noProof/>
        </w:rPr>
      </w:r>
      <w:r>
        <w:rPr>
          <w:noProof/>
        </w:rPr>
        <w:fldChar w:fldCharType="separate"/>
      </w:r>
      <w:r w:rsidR="0012663D">
        <w:rPr>
          <w:noProof/>
        </w:rPr>
        <w:t>6</w:t>
      </w:r>
      <w:r>
        <w:rPr>
          <w:noProof/>
        </w:rPr>
        <w:fldChar w:fldCharType="end"/>
      </w:r>
    </w:p>
    <w:p w:rsidR="00EC0D76" w:rsidRDefault="00EC0D76">
      <w:pPr>
        <w:pStyle w:val="TOC2"/>
        <w:tabs>
          <w:tab w:val="left" w:pos="1134"/>
        </w:tabs>
        <w:rPr>
          <w:rFonts w:asciiTheme="minorHAnsi" w:eastAsiaTheme="minorEastAsia" w:hAnsiTheme="minorHAnsi" w:cstheme="minorBidi"/>
          <w:noProof/>
          <w:szCs w:val="22"/>
          <w:lang w:eastAsia="en-NZ"/>
        </w:rPr>
      </w:pPr>
      <w:r>
        <w:rPr>
          <w:noProof/>
        </w:rPr>
        <w:t>1.7</w:t>
      </w:r>
      <w:r>
        <w:rPr>
          <w:rFonts w:asciiTheme="minorHAnsi" w:eastAsiaTheme="minorEastAsia" w:hAnsiTheme="minorHAnsi" w:cstheme="minorBidi"/>
          <w:noProof/>
          <w:szCs w:val="22"/>
          <w:lang w:eastAsia="en-NZ"/>
        </w:rPr>
        <w:tab/>
      </w:r>
      <w:r>
        <w:rPr>
          <w:noProof/>
        </w:rPr>
        <w:t>Outcomes monitoring</w:t>
      </w:r>
      <w:r>
        <w:rPr>
          <w:noProof/>
        </w:rPr>
        <w:tab/>
      </w:r>
      <w:r>
        <w:rPr>
          <w:noProof/>
        </w:rPr>
        <w:fldChar w:fldCharType="begin"/>
      </w:r>
      <w:r>
        <w:rPr>
          <w:noProof/>
        </w:rPr>
        <w:instrText xml:space="preserve"> PAGEREF _Toc522089393 \h </w:instrText>
      </w:r>
      <w:r>
        <w:rPr>
          <w:noProof/>
        </w:rPr>
      </w:r>
      <w:r>
        <w:rPr>
          <w:noProof/>
        </w:rPr>
        <w:fldChar w:fldCharType="separate"/>
      </w:r>
      <w:r w:rsidR="0012663D">
        <w:rPr>
          <w:noProof/>
        </w:rPr>
        <w:t>6</w:t>
      </w:r>
      <w:r>
        <w:rPr>
          <w:noProof/>
        </w:rPr>
        <w:fldChar w:fldCharType="end"/>
      </w:r>
    </w:p>
    <w:p w:rsidR="00EC0D76" w:rsidRDefault="00EC0D76">
      <w:pPr>
        <w:pStyle w:val="TOC2"/>
        <w:tabs>
          <w:tab w:val="left" w:pos="1134"/>
        </w:tabs>
        <w:rPr>
          <w:rFonts w:asciiTheme="minorHAnsi" w:eastAsiaTheme="minorEastAsia" w:hAnsiTheme="minorHAnsi" w:cstheme="minorBidi"/>
          <w:noProof/>
          <w:szCs w:val="22"/>
          <w:lang w:eastAsia="en-NZ"/>
        </w:rPr>
      </w:pPr>
      <w:r>
        <w:rPr>
          <w:noProof/>
        </w:rPr>
        <w:t>1.8</w:t>
      </w:r>
      <w:r>
        <w:rPr>
          <w:rFonts w:asciiTheme="minorHAnsi" w:eastAsiaTheme="minorEastAsia" w:hAnsiTheme="minorHAnsi" w:cstheme="minorBidi"/>
          <w:noProof/>
          <w:szCs w:val="22"/>
          <w:lang w:eastAsia="en-NZ"/>
        </w:rPr>
        <w:tab/>
      </w:r>
      <w:r>
        <w:rPr>
          <w:noProof/>
        </w:rPr>
        <w:t>A population-based public health approach</w:t>
      </w:r>
      <w:r>
        <w:rPr>
          <w:noProof/>
        </w:rPr>
        <w:tab/>
      </w:r>
      <w:r>
        <w:rPr>
          <w:noProof/>
        </w:rPr>
        <w:fldChar w:fldCharType="begin"/>
      </w:r>
      <w:r>
        <w:rPr>
          <w:noProof/>
        </w:rPr>
        <w:instrText xml:space="preserve"> PAGEREF _Toc522089394 \h </w:instrText>
      </w:r>
      <w:r>
        <w:rPr>
          <w:noProof/>
        </w:rPr>
      </w:r>
      <w:r>
        <w:rPr>
          <w:noProof/>
        </w:rPr>
        <w:fldChar w:fldCharType="separate"/>
      </w:r>
      <w:r w:rsidR="0012663D">
        <w:rPr>
          <w:noProof/>
        </w:rPr>
        <w:t>7</w:t>
      </w:r>
      <w:r>
        <w:rPr>
          <w:noProof/>
        </w:rPr>
        <w:fldChar w:fldCharType="end"/>
      </w:r>
    </w:p>
    <w:p w:rsidR="00EC0D76" w:rsidRDefault="00EC0D76">
      <w:pPr>
        <w:pStyle w:val="TOC2"/>
        <w:tabs>
          <w:tab w:val="left" w:pos="1134"/>
        </w:tabs>
        <w:rPr>
          <w:rFonts w:asciiTheme="minorHAnsi" w:eastAsiaTheme="minorEastAsia" w:hAnsiTheme="minorHAnsi" w:cstheme="minorBidi"/>
          <w:noProof/>
          <w:szCs w:val="22"/>
          <w:lang w:eastAsia="en-NZ"/>
        </w:rPr>
      </w:pPr>
      <w:r>
        <w:rPr>
          <w:noProof/>
        </w:rPr>
        <w:t>1.9</w:t>
      </w:r>
      <w:r>
        <w:rPr>
          <w:rFonts w:asciiTheme="minorHAnsi" w:eastAsiaTheme="minorEastAsia" w:hAnsiTheme="minorHAnsi" w:cstheme="minorBidi"/>
          <w:noProof/>
          <w:szCs w:val="22"/>
          <w:lang w:eastAsia="en-NZ"/>
        </w:rPr>
        <w:tab/>
      </w:r>
      <w:r>
        <w:rPr>
          <w:noProof/>
        </w:rPr>
        <w:t>Gambling harm inequality and inequity</w:t>
      </w:r>
      <w:r>
        <w:rPr>
          <w:noProof/>
        </w:rPr>
        <w:tab/>
      </w:r>
      <w:r>
        <w:rPr>
          <w:noProof/>
        </w:rPr>
        <w:fldChar w:fldCharType="begin"/>
      </w:r>
      <w:r>
        <w:rPr>
          <w:noProof/>
        </w:rPr>
        <w:instrText xml:space="preserve"> PAGEREF _Toc522089395 \h </w:instrText>
      </w:r>
      <w:r>
        <w:rPr>
          <w:noProof/>
        </w:rPr>
      </w:r>
      <w:r>
        <w:rPr>
          <w:noProof/>
        </w:rPr>
        <w:fldChar w:fldCharType="separate"/>
      </w:r>
      <w:r w:rsidR="0012663D">
        <w:rPr>
          <w:noProof/>
        </w:rPr>
        <w:t>10</w:t>
      </w:r>
      <w:r>
        <w:rPr>
          <w:noProof/>
        </w:rPr>
        <w:fldChar w:fldCharType="end"/>
      </w:r>
    </w:p>
    <w:p w:rsidR="00EC0D76" w:rsidRDefault="00EC0D76">
      <w:pPr>
        <w:pStyle w:val="TOC1"/>
        <w:rPr>
          <w:rFonts w:asciiTheme="minorHAnsi" w:eastAsiaTheme="minorEastAsia" w:hAnsiTheme="minorHAnsi" w:cstheme="minorBidi"/>
          <w:b w:val="0"/>
          <w:noProof/>
          <w:szCs w:val="22"/>
          <w:lang w:eastAsia="en-NZ"/>
        </w:rPr>
      </w:pPr>
      <w:r>
        <w:rPr>
          <w:noProof/>
        </w:rPr>
        <w:t>2</w:t>
      </w:r>
      <w:r>
        <w:rPr>
          <w:rFonts w:asciiTheme="minorHAnsi" w:eastAsiaTheme="minorEastAsia" w:hAnsiTheme="minorHAnsi" w:cstheme="minorBidi"/>
          <w:b w:val="0"/>
          <w:noProof/>
          <w:szCs w:val="22"/>
          <w:lang w:eastAsia="en-NZ"/>
        </w:rPr>
        <w:tab/>
      </w:r>
      <w:r>
        <w:rPr>
          <w:noProof/>
        </w:rPr>
        <w:t>Draft six-year strategic framework 2019/20 to 2024/25</w:t>
      </w:r>
      <w:r>
        <w:rPr>
          <w:noProof/>
        </w:rPr>
        <w:tab/>
      </w:r>
      <w:r>
        <w:rPr>
          <w:noProof/>
        </w:rPr>
        <w:fldChar w:fldCharType="begin"/>
      </w:r>
      <w:r>
        <w:rPr>
          <w:noProof/>
        </w:rPr>
        <w:instrText xml:space="preserve"> PAGEREF _Toc522089396 \h </w:instrText>
      </w:r>
      <w:r>
        <w:rPr>
          <w:noProof/>
        </w:rPr>
      </w:r>
      <w:r>
        <w:rPr>
          <w:noProof/>
        </w:rPr>
        <w:fldChar w:fldCharType="separate"/>
      </w:r>
      <w:r w:rsidR="0012663D">
        <w:rPr>
          <w:noProof/>
        </w:rPr>
        <w:t>12</w:t>
      </w:r>
      <w:r>
        <w:rPr>
          <w:noProof/>
        </w:rPr>
        <w:fldChar w:fldCharType="end"/>
      </w:r>
    </w:p>
    <w:p w:rsidR="00EC0D76" w:rsidRDefault="00EC0D76">
      <w:pPr>
        <w:pStyle w:val="TOC2"/>
        <w:tabs>
          <w:tab w:val="left" w:pos="1134"/>
        </w:tabs>
        <w:rPr>
          <w:rFonts w:asciiTheme="minorHAnsi" w:eastAsiaTheme="minorEastAsia" w:hAnsiTheme="minorHAnsi" w:cstheme="minorBidi"/>
          <w:noProof/>
          <w:szCs w:val="22"/>
          <w:lang w:eastAsia="en-NZ"/>
        </w:rPr>
      </w:pPr>
      <w:r>
        <w:rPr>
          <w:noProof/>
        </w:rPr>
        <w:t>2.1</w:t>
      </w:r>
      <w:r>
        <w:rPr>
          <w:rFonts w:asciiTheme="minorHAnsi" w:eastAsiaTheme="minorEastAsia" w:hAnsiTheme="minorHAnsi" w:cstheme="minorBidi"/>
          <w:noProof/>
          <w:szCs w:val="22"/>
          <w:lang w:eastAsia="en-NZ"/>
        </w:rPr>
        <w:tab/>
      </w:r>
      <w:r>
        <w:rPr>
          <w:noProof/>
        </w:rPr>
        <w:t>Overall goal of the strategic plan</w:t>
      </w:r>
      <w:r>
        <w:rPr>
          <w:noProof/>
        </w:rPr>
        <w:tab/>
      </w:r>
      <w:r>
        <w:rPr>
          <w:noProof/>
        </w:rPr>
        <w:fldChar w:fldCharType="begin"/>
      </w:r>
      <w:r>
        <w:rPr>
          <w:noProof/>
        </w:rPr>
        <w:instrText xml:space="preserve"> PAGEREF _Toc522089397 \h </w:instrText>
      </w:r>
      <w:r>
        <w:rPr>
          <w:noProof/>
        </w:rPr>
      </w:r>
      <w:r>
        <w:rPr>
          <w:noProof/>
        </w:rPr>
        <w:fldChar w:fldCharType="separate"/>
      </w:r>
      <w:r w:rsidR="0012663D">
        <w:rPr>
          <w:noProof/>
        </w:rPr>
        <w:t>12</w:t>
      </w:r>
      <w:r>
        <w:rPr>
          <w:noProof/>
        </w:rPr>
        <w:fldChar w:fldCharType="end"/>
      </w:r>
    </w:p>
    <w:p w:rsidR="00EC0D76" w:rsidRDefault="00EC0D76">
      <w:pPr>
        <w:pStyle w:val="TOC2"/>
        <w:tabs>
          <w:tab w:val="left" w:pos="1134"/>
        </w:tabs>
        <w:rPr>
          <w:rFonts w:asciiTheme="minorHAnsi" w:eastAsiaTheme="minorEastAsia" w:hAnsiTheme="minorHAnsi" w:cstheme="minorBidi"/>
          <w:noProof/>
          <w:szCs w:val="22"/>
          <w:lang w:eastAsia="en-NZ"/>
        </w:rPr>
      </w:pPr>
      <w:r>
        <w:rPr>
          <w:noProof/>
        </w:rPr>
        <w:t>2.2</w:t>
      </w:r>
      <w:r>
        <w:rPr>
          <w:rFonts w:asciiTheme="minorHAnsi" w:eastAsiaTheme="minorEastAsia" w:hAnsiTheme="minorHAnsi" w:cstheme="minorBidi"/>
          <w:noProof/>
          <w:szCs w:val="22"/>
          <w:lang w:eastAsia="en-NZ"/>
        </w:rPr>
        <w:tab/>
      </w:r>
      <w:r>
        <w:rPr>
          <w:noProof/>
        </w:rPr>
        <w:t>Eleven strategic objectives</w:t>
      </w:r>
      <w:r>
        <w:rPr>
          <w:noProof/>
        </w:rPr>
        <w:tab/>
      </w:r>
      <w:r>
        <w:rPr>
          <w:noProof/>
        </w:rPr>
        <w:fldChar w:fldCharType="begin"/>
      </w:r>
      <w:r>
        <w:rPr>
          <w:noProof/>
        </w:rPr>
        <w:instrText xml:space="preserve"> PAGEREF _Toc522089398 \h </w:instrText>
      </w:r>
      <w:r>
        <w:rPr>
          <w:noProof/>
        </w:rPr>
      </w:r>
      <w:r>
        <w:rPr>
          <w:noProof/>
        </w:rPr>
        <w:fldChar w:fldCharType="separate"/>
      </w:r>
      <w:r w:rsidR="0012663D">
        <w:rPr>
          <w:noProof/>
        </w:rPr>
        <w:t>12</w:t>
      </w:r>
      <w:r>
        <w:rPr>
          <w:noProof/>
        </w:rPr>
        <w:fldChar w:fldCharType="end"/>
      </w:r>
    </w:p>
    <w:p w:rsidR="00EC0D76" w:rsidRDefault="00EC0D76">
      <w:pPr>
        <w:pStyle w:val="TOC2"/>
        <w:tabs>
          <w:tab w:val="left" w:pos="1134"/>
        </w:tabs>
        <w:rPr>
          <w:rFonts w:asciiTheme="minorHAnsi" w:eastAsiaTheme="minorEastAsia" w:hAnsiTheme="minorHAnsi" w:cstheme="minorBidi"/>
          <w:noProof/>
          <w:szCs w:val="22"/>
          <w:lang w:eastAsia="en-NZ"/>
        </w:rPr>
      </w:pPr>
      <w:r>
        <w:rPr>
          <w:noProof/>
        </w:rPr>
        <w:t>2.3</w:t>
      </w:r>
      <w:r>
        <w:rPr>
          <w:rFonts w:asciiTheme="minorHAnsi" w:eastAsiaTheme="minorEastAsia" w:hAnsiTheme="minorHAnsi" w:cstheme="minorBidi"/>
          <w:noProof/>
          <w:szCs w:val="22"/>
          <w:lang w:eastAsia="en-NZ"/>
        </w:rPr>
        <w:tab/>
      </w:r>
      <w:r>
        <w:rPr>
          <w:noProof/>
        </w:rPr>
        <w:t>Outline of each of the strategic objectives</w:t>
      </w:r>
      <w:r>
        <w:rPr>
          <w:noProof/>
        </w:rPr>
        <w:tab/>
      </w:r>
      <w:r>
        <w:rPr>
          <w:noProof/>
        </w:rPr>
        <w:fldChar w:fldCharType="begin"/>
      </w:r>
      <w:r>
        <w:rPr>
          <w:noProof/>
        </w:rPr>
        <w:instrText xml:space="preserve"> PAGEREF _Toc522089399 \h </w:instrText>
      </w:r>
      <w:r>
        <w:rPr>
          <w:noProof/>
        </w:rPr>
      </w:r>
      <w:r>
        <w:rPr>
          <w:noProof/>
        </w:rPr>
        <w:fldChar w:fldCharType="separate"/>
      </w:r>
      <w:r w:rsidR="0012663D">
        <w:rPr>
          <w:noProof/>
        </w:rPr>
        <w:t>14</w:t>
      </w:r>
      <w:r>
        <w:rPr>
          <w:noProof/>
        </w:rPr>
        <w:fldChar w:fldCharType="end"/>
      </w:r>
    </w:p>
    <w:p w:rsidR="00EC0D76" w:rsidRDefault="00EC0D76">
      <w:pPr>
        <w:pStyle w:val="TOC2"/>
        <w:tabs>
          <w:tab w:val="left" w:pos="1134"/>
        </w:tabs>
        <w:rPr>
          <w:rFonts w:asciiTheme="minorHAnsi" w:eastAsiaTheme="minorEastAsia" w:hAnsiTheme="minorHAnsi" w:cstheme="minorBidi"/>
          <w:noProof/>
          <w:szCs w:val="22"/>
          <w:lang w:eastAsia="en-NZ"/>
        </w:rPr>
      </w:pPr>
      <w:r>
        <w:rPr>
          <w:noProof/>
        </w:rPr>
        <w:t>2.4</w:t>
      </w:r>
      <w:r>
        <w:rPr>
          <w:rFonts w:asciiTheme="minorHAnsi" w:eastAsiaTheme="minorEastAsia" w:hAnsiTheme="minorHAnsi" w:cstheme="minorBidi"/>
          <w:noProof/>
          <w:szCs w:val="22"/>
          <w:lang w:eastAsia="en-NZ"/>
        </w:rPr>
        <w:tab/>
      </w:r>
      <w:r>
        <w:rPr>
          <w:noProof/>
        </w:rPr>
        <w:t>Aligning the strategy with He Korowai Oranga</w:t>
      </w:r>
      <w:r>
        <w:rPr>
          <w:noProof/>
        </w:rPr>
        <w:tab/>
      </w:r>
      <w:r>
        <w:rPr>
          <w:noProof/>
        </w:rPr>
        <w:fldChar w:fldCharType="begin"/>
      </w:r>
      <w:r>
        <w:rPr>
          <w:noProof/>
        </w:rPr>
        <w:instrText xml:space="preserve"> PAGEREF _Toc522089400 \h </w:instrText>
      </w:r>
      <w:r>
        <w:rPr>
          <w:noProof/>
        </w:rPr>
      </w:r>
      <w:r>
        <w:rPr>
          <w:noProof/>
        </w:rPr>
        <w:fldChar w:fldCharType="separate"/>
      </w:r>
      <w:r w:rsidR="0012663D">
        <w:rPr>
          <w:noProof/>
        </w:rPr>
        <w:t>25</w:t>
      </w:r>
      <w:r>
        <w:rPr>
          <w:noProof/>
        </w:rPr>
        <w:fldChar w:fldCharType="end"/>
      </w:r>
    </w:p>
    <w:p w:rsidR="00EC0D76" w:rsidRDefault="00EC0D76">
      <w:pPr>
        <w:pStyle w:val="TOC2"/>
        <w:tabs>
          <w:tab w:val="left" w:pos="1134"/>
        </w:tabs>
        <w:rPr>
          <w:rFonts w:asciiTheme="minorHAnsi" w:eastAsiaTheme="minorEastAsia" w:hAnsiTheme="minorHAnsi" w:cstheme="minorBidi"/>
          <w:noProof/>
          <w:szCs w:val="22"/>
          <w:lang w:eastAsia="en-NZ"/>
        </w:rPr>
      </w:pPr>
      <w:r>
        <w:rPr>
          <w:noProof/>
        </w:rPr>
        <w:t>2.5</w:t>
      </w:r>
      <w:r>
        <w:rPr>
          <w:rFonts w:asciiTheme="minorHAnsi" w:eastAsiaTheme="minorEastAsia" w:hAnsiTheme="minorHAnsi" w:cstheme="minorBidi"/>
          <w:noProof/>
          <w:szCs w:val="22"/>
          <w:lang w:eastAsia="en-NZ"/>
        </w:rPr>
        <w:tab/>
      </w:r>
      <w:r>
        <w:rPr>
          <w:noProof/>
        </w:rPr>
        <w:t xml:space="preserve">Aligning the strategy with </w:t>
      </w:r>
      <w:r w:rsidRPr="00BB5AB0">
        <w:rPr>
          <w:i/>
          <w:noProof/>
        </w:rPr>
        <w:t>’Ala Mo’ui: Pathways to Pacific Health and Wellbeing 2014–2018</w:t>
      </w:r>
      <w:r>
        <w:rPr>
          <w:noProof/>
        </w:rPr>
        <w:tab/>
      </w:r>
      <w:r>
        <w:rPr>
          <w:noProof/>
        </w:rPr>
        <w:fldChar w:fldCharType="begin"/>
      </w:r>
      <w:r>
        <w:rPr>
          <w:noProof/>
        </w:rPr>
        <w:instrText xml:space="preserve"> PAGEREF _Toc522089401 \h </w:instrText>
      </w:r>
      <w:r>
        <w:rPr>
          <w:noProof/>
        </w:rPr>
      </w:r>
      <w:r>
        <w:rPr>
          <w:noProof/>
        </w:rPr>
        <w:fldChar w:fldCharType="separate"/>
      </w:r>
      <w:r w:rsidR="0012663D">
        <w:rPr>
          <w:noProof/>
        </w:rPr>
        <w:t>29</w:t>
      </w:r>
      <w:r>
        <w:rPr>
          <w:noProof/>
        </w:rPr>
        <w:fldChar w:fldCharType="end"/>
      </w:r>
    </w:p>
    <w:p w:rsidR="00EC0D76" w:rsidRDefault="00EC0D76">
      <w:pPr>
        <w:pStyle w:val="TOC1"/>
        <w:rPr>
          <w:rFonts w:asciiTheme="minorHAnsi" w:eastAsiaTheme="minorEastAsia" w:hAnsiTheme="minorHAnsi" w:cstheme="minorBidi"/>
          <w:b w:val="0"/>
          <w:noProof/>
          <w:szCs w:val="22"/>
          <w:lang w:eastAsia="en-NZ"/>
        </w:rPr>
      </w:pPr>
      <w:r>
        <w:rPr>
          <w:noProof/>
        </w:rPr>
        <w:t>3</w:t>
      </w:r>
      <w:r>
        <w:rPr>
          <w:rFonts w:asciiTheme="minorHAnsi" w:eastAsiaTheme="minorEastAsia" w:hAnsiTheme="minorHAnsi" w:cstheme="minorBidi"/>
          <w:b w:val="0"/>
          <w:noProof/>
          <w:szCs w:val="22"/>
          <w:lang w:eastAsia="en-NZ"/>
        </w:rPr>
        <w:tab/>
      </w:r>
      <w:r>
        <w:rPr>
          <w:noProof/>
        </w:rPr>
        <w:t>Draft three-year service plan 2019/20 to 2021/22</w:t>
      </w:r>
      <w:r>
        <w:rPr>
          <w:noProof/>
        </w:rPr>
        <w:tab/>
      </w:r>
      <w:r>
        <w:rPr>
          <w:noProof/>
        </w:rPr>
        <w:fldChar w:fldCharType="begin"/>
      </w:r>
      <w:r>
        <w:rPr>
          <w:noProof/>
        </w:rPr>
        <w:instrText xml:space="preserve"> PAGEREF _Toc522089402 \h </w:instrText>
      </w:r>
      <w:r>
        <w:rPr>
          <w:noProof/>
        </w:rPr>
      </w:r>
      <w:r>
        <w:rPr>
          <w:noProof/>
        </w:rPr>
        <w:fldChar w:fldCharType="separate"/>
      </w:r>
      <w:r w:rsidR="0012663D">
        <w:rPr>
          <w:noProof/>
        </w:rPr>
        <w:t>32</w:t>
      </w:r>
      <w:r>
        <w:rPr>
          <w:noProof/>
        </w:rPr>
        <w:fldChar w:fldCharType="end"/>
      </w:r>
    </w:p>
    <w:p w:rsidR="00EC0D76" w:rsidRDefault="00EC0D76">
      <w:pPr>
        <w:pStyle w:val="TOC2"/>
        <w:tabs>
          <w:tab w:val="left" w:pos="1134"/>
        </w:tabs>
        <w:rPr>
          <w:rFonts w:asciiTheme="minorHAnsi" w:eastAsiaTheme="minorEastAsia" w:hAnsiTheme="minorHAnsi" w:cstheme="minorBidi"/>
          <w:noProof/>
          <w:szCs w:val="22"/>
          <w:lang w:eastAsia="en-NZ"/>
        </w:rPr>
      </w:pPr>
      <w:r>
        <w:rPr>
          <w:noProof/>
        </w:rPr>
        <w:t>3.1</w:t>
      </w:r>
      <w:r>
        <w:rPr>
          <w:rFonts w:asciiTheme="minorHAnsi" w:eastAsiaTheme="minorEastAsia" w:hAnsiTheme="minorHAnsi" w:cstheme="minorBidi"/>
          <w:noProof/>
          <w:szCs w:val="22"/>
          <w:lang w:eastAsia="en-NZ"/>
        </w:rPr>
        <w:tab/>
      </w:r>
      <w:r>
        <w:rPr>
          <w:noProof/>
        </w:rPr>
        <w:t>Developments in the service environment 2016/17 to 2018/19</w:t>
      </w:r>
      <w:r>
        <w:rPr>
          <w:noProof/>
        </w:rPr>
        <w:tab/>
      </w:r>
      <w:r>
        <w:rPr>
          <w:noProof/>
        </w:rPr>
        <w:fldChar w:fldCharType="begin"/>
      </w:r>
      <w:r>
        <w:rPr>
          <w:noProof/>
        </w:rPr>
        <w:instrText xml:space="preserve"> PAGEREF _Toc522089403 \h </w:instrText>
      </w:r>
      <w:r>
        <w:rPr>
          <w:noProof/>
        </w:rPr>
      </w:r>
      <w:r>
        <w:rPr>
          <w:noProof/>
        </w:rPr>
        <w:fldChar w:fldCharType="separate"/>
      </w:r>
      <w:r w:rsidR="0012663D">
        <w:rPr>
          <w:noProof/>
        </w:rPr>
        <w:t>32</w:t>
      </w:r>
      <w:r>
        <w:rPr>
          <w:noProof/>
        </w:rPr>
        <w:fldChar w:fldCharType="end"/>
      </w:r>
    </w:p>
    <w:p w:rsidR="00EC0D76" w:rsidRDefault="00EC0D76">
      <w:pPr>
        <w:pStyle w:val="TOC2"/>
        <w:tabs>
          <w:tab w:val="left" w:pos="1134"/>
        </w:tabs>
        <w:rPr>
          <w:rFonts w:asciiTheme="minorHAnsi" w:eastAsiaTheme="minorEastAsia" w:hAnsiTheme="minorHAnsi" w:cstheme="minorBidi"/>
          <w:noProof/>
          <w:szCs w:val="22"/>
          <w:lang w:eastAsia="en-NZ"/>
        </w:rPr>
      </w:pPr>
      <w:r>
        <w:rPr>
          <w:noProof/>
        </w:rPr>
        <w:t>3.2</w:t>
      </w:r>
      <w:r>
        <w:rPr>
          <w:rFonts w:asciiTheme="minorHAnsi" w:eastAsiaTheme="minorEastAsia" w:hAnsiTheme="minorHAnsi" w:cstheme="minorBidi"/>
          <w:noProof/>
          <w:szCs w:val="22"/>
          <w:lang w:eastAsia="en-NZ"/>
        </w:rPr>
        <w:tab/>
      </w:r>
      <w:r>
        <w:rPr>
          <w:noProof/>
        </w:rPr>
        <w:t>Service delivery in 2016/17 to 2018/19</w:t>
      </w:r>
      <w:r>
        <w:rPr>
          <w:noProof/>
        </w:rPr>
        <w:tab/>
      </w:r>
      <w:r>
        <w:rPr>
          <w:noProof/>
        </w:rPr>
        <w:fldChar w:fldCharType="begin"/>
      </w:r>
      <w:r>
        <w:rPr>
          <w:noProof/>
        </w:rPr>
        <w:instrText xml:space="preserve"> PAGEREF _Toc522089404 \h </w:instrText>
      </w:r>
      <w:r>
        <w:rPr>
          <w:noProof/>
        </w:rPr>
      </w:r>
      <w:r>
        <w:rPr>
          <w:noProof/>
        </w:rPr>
        <w:fldChar w:fldCharType="separate"/>
      </w:r>
      <w:r w:rsidR="0012663D">
        <w:rPr>
          <w:noProof/>
        </w:rPr>
        <w:t>33</w:t>
      </w:r>
      <w:r>
        <w:rPr>
          <w:noProof/>
        </w:rPr>
        <w:fldChar w:fldCharType="end"/>
      </w:r>
    </w:p>
    <w:p w:rsidR="00EC0D76" w:rsidRDefault="00EC0D76">
      <w:pPr>
        <w:pStyle w:val="TOC2"/>
        <w:tabs>
          <w:tab w:val="left" w:pos="1134"/>
        </w:tabs>
        <w:rPr>
          <w:rFonts w:asciiTheme="minorHAnsi" w:eastAsiaTheme="minorEastAsia" w:hAnsiTheme="minorHAnsi" w:cstheme="minorBidi"/>
          <w:noProof/>
          <w:szCs w:val="22"/>
          <w:lang w:eastAsia="en-NZ"/>
        </w:rPr>
      </w:pPr>
      <w:r>
        <w:rPr>
          <w:noProof/>
        </w:rPr>
        <w:t>3.3</w:t>
      </w:r>
      <w:r>
        <w:rPr>
          <w:rFonts w:asciiTheme="minorHAnsi" w:eastAsiaTheme="minorEastAsia" w:hAnsiTheme="minorHAnsi" w:cstheme="minorBidi"/>
          <w:noProof/>
          <w:szCs w:val="22"/>
          <w:lang w:eastAsia="en-NZ"/>
        </w:rPr>
        <w:tab/>
      </w:r>
      <w:r>
        <w:rPr>
          <w:noProof/>
        </w:rPr>
        <w:t>Factors considered for 2019/20 to 2021/22</w:t>
      </w:r>
      <w:r>
        <w:rPr>
          <w:noProof/>
        </w:rPr>
        <w:tab/>
      </w:r>
      <w:r>
        <w:rPr>
          <w:noProof/>
        </w:rPr>
        <w:fldChar w:fldCharType="begin"/>
      </w:r>
      <w:r>
        <w:rPr>
          <w:noProof/>
        </w:rPr>
        <w:instrText xml:space="preserve"> PAGEREF _Toc522089405 \h </w:instrText>
      </w:r>
      <w:r>
        <w:rPr>
          <w:noProof/>
        </w:rPr>
      </w:r>
      <w:r>
        <w:rPr>
          <w:noProof/>
        </w:rPr>
        <w:fldChar w:fldCharType="separate"/>
      </w:r>
      <w:r w:rsidR="0012663D">
        <w:rPr>
          <w:noProof/>
        </w:rPr>
        <w:t>35</w:t>
      </w:r>
      <w:r>
        <w:rPr>
          <w:noProof/>
        </w:rPr>
        <w:fldChar w:fldCharType="end"/>
      </w:r>
    </w:p>
    <w:p w:rsidR="00EC0D76" w:rsidRDefault="00EC0D76">
      <w:pPr>
        <w:pStyle w:val="TOC2"/>
        <w:tabs>
          <w:tab w:val="left" w:pos="1134"/>
        </w:tabs>
        <w:rPr>
          <w:rFonts w:asciiTheme="minorHAnsi" w:eastAsiaTheme="minorEastAsia" w:hAnsiTheme="minorHAnsi" w:cstheme="minorBidi"/>
          <w:noProof/>
          <w:szCs w:val="22"/>
          <w:lang w:eastAsia="en-NZ"/>
        </w:rPr>
      </w:pPr>
      <w:r>
        <w:rPr>
          <w:noProof/>
        </w:rPr>
        <w:t>3.4</w:t>
      </w:r>
      <w:r>
        <w:rPr>
          <w:rFonts w:asciiTheme="minorHAnsi" w:eastAsiaTheme="minorEastAsia" w:hAnsiTheme="minorHAnsi" w:cstheme="minorBidi"/>
          <w:noProof/>
          <w:szCs w:val="22"/>
          <w:lang w:eastAsia="en-NZ"/>
        </w:rPr>
        <w:tab/>
      </w:r>
      <w:r>
        <w:rPr>
          <w:noProof/>
        </w:rPr>
        <w:t>Proposed service plan and funding for 2019/20 to 2021/22</w:t>
      </w:r>
      <w:r>
        <w:rPr>
          <w:noProof/>
        </w:rPr>
        <w:tab/>
      </w:r>
      <w:r>
        <w:rPr>
          <w:noProof/>
        </w:rPr>
        <w:fldChar w:fldCharType="begin"/>
      </w:r>
      <w:r>
        <w:rPr>
          <w:noProof/>
        </w:rPr>
        <w:instrText xml:space="preserve"> PAGEREF _Toc522089406 \h </w:instrText>
      </w:r>
      <w:r>
        <w:rPr>
          <w:noProof/>
        </w:rPr>
      </w:r>
      <w:r>
        <w:rPr>
          <w:noProof/>
        </w:rPr>
        <w:fldChar w:fldCharType="separate"/>
      </w:r>
      <w:r w:rsidR="0012663D">
        <w:rPr>
          <w:noProof/>
        </w:rPr>
        <w:t>38</w:t>
      </w:r>
      <w:r>
        <w:rPr>
          <w:noProof/>
        </w:rPr>
        <w:fldChar w:fldCharType="end"/>
      </w:r>
    </w:p>
    <w:p w:rsidR="00EC0D76" w:rsidRDefault="00EC0D76">
      <w:pPr>
        <w:pStyle w:val="TOC2"/>
        <w:tabs>
          <w:tab w:val="left" w:pos="1134"/>
        </w:tabs>
        <w:rPr>
          <w:rFonts w:asciiTheme="minorHAnsi" w:eastAsiaTheme="minorEastAsia" w:hAnsiTheme="minorHAnsi" w:cstheme="minorBidi"/>
          <w:noProof/>
          <w:szCs w:val="22"/>
          <w:lang w:eastAsia="en-NZ"/>
        </w:rPr>
      </w:pPr>
      <w:r>
        <w:rPr>
          <w:noProof/>
        </w:rPr>
        <w:t>3.5</w:t>
      </w:r>
      <w:r>
        <w:rPr>
          <w:rFonts w:asciiTheme="minorHAnsi" w:eastAsiaTheme="minorEastAsia" w:hAnsiTheme="minorHAnsi" w:cstheme="minorBidi"/>
          <w:noProof/>
          <w:szCs w:val="22"/>
          <w:lang w:eastAsia="en-NZ"/>
        </w:rPr>
        <w:tab/>
      </w:r>
      <w:r>
        <w:rPr>
          <w:noProof/>
        </w:rPr>
        <w:t>Public health services</w:t>
      </w:r>
      <w:r>
        <w:rPr>
          <w:noProof/>
        </w:rPr>
        <w:tab/>
      </w:r>
      <w:r>
        <w:rPr>
          <w:noProof/>
        </w:rPr>
        <w:fldChar w:fldCharType="begin"/>
      </w:r>
      <w:r>
        <w:rPr>
          <w:noProof/>
        </w:rPr>
        <w:instrText xml:space="preserve"> PAGEREF _Toc522089407 \h </w:instrText>
      </w:r>
      <w:r>
        <w:rPr>
          <w:noProof/>
        </w:rPr>
      </w:r>
      <w:r>
        <w:rPr>
          <w:noProof/>
        </w:rPr>
        <w:fldChar w:fldCharType="separate"/>
      </w:r>
      <w:r w:rsidR="0012663D">
        <w:rPr>
          <w:noProof/>
        </w:rPr>
        <w:t>39</w:t>
      </w:r>
      <w:r>
        <w:rPr>
          <w:noProof/>
        </w:rPr>
        <w:fldChar w:fldCharType="end"/>
      </w:r>
    </w:p>
    <w:p w:rsidR="00EC0D76" w:rsidRDefault="00EC0D76">
      <w:pPr>
        <w:pStyle w:val="TOC2"/>
        <w:tabs>
          <w:tab w:val="left" w:pos="1134"/>
        </w:tabs>
        <w:rPr>
          <w:rFonts w:asciiTheme="minorHAnsi" w:eastAsiaTheme="minorEastAsia" w:hAnsiTheme="minorHAnsi" w:cstheme="minorBidi"/>
          <w:noProof/>
          <w:szCs w:val="22"/>
          <w:lang w:eastAsia="en-NZ"/>
        </w:rPr>
      </w:pPr>
      <w:r>
        <w:rPr>
          <w:noProof/>
        </w:rPr>
        <w:t>3.6</w:t>
      </w:r>
      <w:r>
        <w:rPr>
          <w:rFonts w:asciiTheme="minorHAnsi" w:eastAsiaTheme="minorEastAsia" w:hAnsiTheme="minorHAnsi" w:cstheme="minorBidi"/>
          <w:noProof/>
          <w:szCs w:val="22"/>
          <w:lang w:eastAsia="en-NZ"/>
        </w:rPr>
        <w:tab/>
      </w:r>
      <w:r>
        <w:rPr>
          <w:noProof/>
        </w:rPr>
        <w:t>Intervention services</w:t>
      </w:r>
      <w:r>
        <w:rPr>
          <w:noProof/>
        </w:rPr>
        <w:tab/>
      </w:r>
      <w:r>
        <w:rPr>
          <w:noProof/>
        </w:rPr>
        <w:fldChar w:fldCharType="begin"/>
      </w:r>
      <w:r>
        <w:rPr>
          <w:noProof/>
        </w:rPr>
        <w:instrText xml:space="preserve"> PAGEREF _Toc522089408 \h </w:instrText>
      </w:r>
      <w:r>
        <w:rPr>
          <w:noProof/>
        </w:rPr>
      </w:r>
      <w:r>
        <w:rPr>
          <w:noProof/>
        </w:rPr>
        <w:fldChar w:fldCharType="separate"/>
      </w:r>
      <w:r w:rsidR="0012663D">
        <w:rPr>
          <w:noProof/>
        </w:rPr>
        <w:t>43</w:t>
      </w:r>
      <w:r>
        <w:rPr>
          <w:noProof/>
        </w:rPr>
        <w:fldChar w:fldCharType="end"/>
      </w:r>
    </w:p>
    <w:p w:rsidR="00EC0D76" w:rsidRDefault="00EC0D76">
      <w:pPr>
        <w:pStyle w:val="TOC2"/>
        <w:tabs>
          <w:tab w:val="left" w:pos="1134"/>
        </w:tabs>
        <w:rPr>
          <w:rFonts w:asciiTheme="minorHAnsi" w:eastAsiaTheme="minorEastAsia" w:hAnsiTheme="minorHAnsi" w:cstheme="minorBidi"/>
          <w:noProof/>
          <w:szCs w:val="22"/>
          <w:lang w:eastAsia="en-NZ"/>
        </w:rPr>
      </w:pPr>
      <w:r>
        <w:rPr>
          <w:noProof/>
        </w:rPr>
        <w:t>3.7</w:t>
      </w:r>
      <w:r>
        <w:rPr>
          <w:rFonts w:asciiTheme="minorHAnsi" w:eastAsiaTheme="minorEastAsia" w:hAnsiTheme="minorHAnsi" w:cstheme="minorBidi"/>
          <w:noProof/>
          <w:szCs w:val="22"/>
          <w:lang w:eastAsia="en-NZ"/>
        </w:rPr>
        <w:tab/>
      </w:r>
      <w:r>
        <w:rPr>
          <w:noProof/>
        </w:rPr>
        <w:t>Research and evaluation</w:t>
      </w:r>
      <w:r>
        <w:rPr>
          <w:noProof/>
        </w:rPr>
        <w:tab/>
      </w:r>
      <w:r>
        <w:rPr>
          <w:noProof/>
        </w:rPr>
        <w:fldChar w:fldCharType="begin"/>
      </w:r>
      <w:r>
        <w:rPr>
          <w:noProof/>
        </w:rPr>
        <w:instrText xml:space="preserve"> PAGEREF _Toc522089409 \h </w:instrText>
      </w:r>
      <w:r>
        <w:rPr>
          <w:noProof/>
        </w:rPr>
      </w:r>
      <w:r>
        <w:rPr>
          <w:noProof/>
        </w:rPr>
        <w:fldChar w:fldCharType="separate"/>
      </w:r>
      <w:r w:rsidR="0012663D">
        <w:rPr>
          <w:noProof/>
        </w:rPr>
        <w:t>45</w:t>
      </w:r>
      <w:r>
        <w:rPr>
          <w:noProof/>
        </w:rPr>
        <w:fldChar w:fldCharType="end"/>
      </w:r>
    </w:p>
    <w:p w:rsidR="00EC0D76" w:rsidRDefault="00EC0D76">
      <w:pPr>
        <w:pStyle w:val="TOC2"/>
        <w:tabs>
          <w:tab w:val="left" w:pos="1134"/>
        </w:tabs>
        <w:rPr>
          <w:rFonts w:asciiTheme="minorHAnsi" w:eastAsiaTheme="minorEastAsia" w:hAnsiTheme="minorHAnsi" w:cstheme="minorBidi"/>
          <w:noProof/>
          <w:szCs w:val="22"/>
          <w:lang w:eastAsia="en-NZ"/>
        </w:rPr>
      </w:pPr>
      <w:r>
        <w:rPr>
          <w:noProof/>
        </w:rPr>
        <w:t>3.8</w:t>
      </w:r>
      <w:r>
        <w:rPr>
          <w:rFonts w:asciiTheme="minorHAnsi" w:eastAsiaTheme="minorEastAsia" w:hAnsiTheme="minorHAnsi" w:cstheme="minorBidi"/>
          <w:noProof/>
          <w:szCs w:val="22"/>
          <w:lang w:eastAsia="en-NZ"/>
        </w:rPr>
        <w:tab/>
      </w:r>
      <w:r>
        <w:rPr>
          <w:noProof/>
        </w:rPr>
        <w:t>Ministry of Health operating costs</w:t>
      </w:r>
      <w:r>
        <w:rPr>
          <w:noProof/>
        </w:rPr>
        <w:tab/>
      </w:r>
      <w:r>
        <w:rPr>
          <w:noProof/>
        </w:rPr>
        <w:fldChar w:fldCharType="begin"/>
      </w:r>
      <w:r>
        <w:rPr>
          <w:noProof/>
        </w:rPr>
        <w:instrText xml:space="preserve"> PAGEREF _Toc522089410 \h </w:instrText>
      </w:r>
      <w:r>
        <w:rPr>
          <w:noProof/>
        </w:rPr>
      </w:r>
      <w:r>
        <w:rPr>
          <w:noProof/>
        </w:rPr>
        <w:fldChar w:fldCharType="separate"/>
      </w:r>
      <w:r w:rsidR="0012663D">
        <w:rPr>
          <w:noProof/>
        </w:rPr>
        <w:t>47</w:t>
      </w:r>
      <w:r>
        <w:rPr>
          <w:noProof/>
        </w:rPr>
        <w:fldChar w:fldCharType="end"/>
      </w:r>
    </w:p>
    <w:p w:rsidR="00EC0D76" w:rsidRDefault="00EC0D76" w:rsidP="00EC0D76">
      <w:pPr>
        <w:pStyle w:val="TOC1"/>
        <w:keepNext/>
        <w:rPr>
          <w:rFonts w:asciiTheme="minorHAnsi" w:eastAsiaTheme="minorEastAsia" w:hAnsiTheme="minorHAnsi" w:cstheme="minorBidi"/>
          <w:b w:val="0"/>
          <w:noProof/>
          <w:szCs w:val="22"/>
          <w:lang w:eastAsia="en-NZ"/>
        </w:rPr>
      </w:pPr>
      <w:r>
        <w:rPr>
          <w:noProof/>
        </w:rPr>
        <w:lastRenderedPageBreak/>
        <w:t>4</w:t>
      </w:r>
      <w:r>
        <w:rPr>
          <w:rFonts w:asciiTheme="minorHAnsi" w:eastAsiaTheme="minorEastAsia" w:hAnsiTheme="minorHAnsi" w:cstheme="minorBidi"/>
          <w:b w:val="0"/>
          <w:noProof/>
          <w:szCs w:val="22"/>
          <w:lang w:eastAsia="en-NZ"/>
        </w:rPr>
        <w:tab/>
      </w:r>
      <w:r>
        <w:rPr>
          <w:noProof/>
        </w:rPr>
        <w:t>Draft levy rates for 2019/20 to 2021/22</w:t>
      </w:r>
      <w:r>
        <w:rPr>
          <w:noProof/>
        </w:rPr>
        <w:tab/>
      </w:r>
      <w:r>
        <w:rPr>
          <w:noProof/>
        </w:rPr>
        <w:fldChar w:fldCharType="begin"/>
      </w:r>
      <w:r>
        <w:rPr>
          <w:noProof/>
        </w:rPr>
        <w:instrText xml:space="preserve"> PAGEREF _Toc522089411 \h </w:instrText>
      </w:r>
      <w:r>
        <w:rPr>
          <w:noProof/>
        </w:rPr>
      </w:r>
      <w:r>
        <w:rPr>
          <w:noProof/>
        </w:rPr>
        <w:fldChar w:fldCharType="separate"/>
      </w:r>
      <w:r w:rsidR="0012663D">
        <w:rPr>
          <w:noProof/>
        </w:rPr>
        <w:t>48</w:t>
      </w:r>
      <w:r>
        <w:rPr>
          <w:noProof/>
        </w:rPr>
        <w:fldChar w:fldCharType="end"/>
      </w:r>
    </w:p>
    <w:p w:rsidR="00EC0D76" w:rsidRDefault="00EC0D76" w:rsidP="00EC0D76">
      <w:pPr>
        <w:pStyle w:val="TOC2"/>
        <w:keepNext/>
        <w:tabs>
          <w:tab w:val="left" w:pos="1134"/>
        </w:tabs>
        <w:rPr>
          <w:rFonts w:asciiTheme="minorHAnsi" w:eastAsiaTheme="minorEastAsia" w:hAnsiTheme="minorHAnsi" w:cstheme="minorBidi"/>
          <w:noProof/>
          <w:szCs w:val="22"/>
          <w:lang w:eastAsia="en-NZ"/>
        </w:rPr>
      </w:pPr>
      <w:r>
        <w:rPr>
          <w:noProof/>
        </w:rPr>
        <w:t>4.1</w:t>
      </w:r>
      <w:r>
        <w:rPr>
          <w:rFonts w:asciiTheme="minorHAnsi" w:eastAsiaTheme="minorEastAsia" w:hAnsiTheme="minorHAnsi" w:cstheme="minorBidi"/>
          <w:noProof/>
          <w:szCs w:val="22"/>
          <w:lang w:eastAsia="en-NZ"/>
        </w:rPr>
        <w:tab/>
      </w:r>
      <w:r>
        <w:rPr>
          <w:noProof/>
        </w:rPr>
        <w:t>Background</w:t>
      </w:r>
      <w:r>
        <w:rPr>
          <w:noProof/>
        </w:rPr>
        <w:tab/>
      </w:r>
      <w:r>
        <w:rPr>
          <w:noProof/>
        </w:rPr>
        <w:fldChar w:fldCharType="begin"/>
      </w:r>
      <w:r>
        <w:rPr>
          <w:noProof/>
        </w:rPr>
        <w:instrText xml:space="preserve"> PAGEREF _Toc522089412 \h </w:instrText>
      </w:r>
      <w:r>
        <w:rPr>
          <w:noProof/>
        </w:rPr>
      </w:r>
      <w:r>
        <w:rPr>
          <w:noProof/>
        </w:rPr>
        <w:fldChar w:fldCharType="separate"/>
      </w:r>
      <w:r w:rsidR="0012663D">
        <w:rPr>
          <w:noProof/>
        </w:rPr>
        <w:t>48</w:t>
      </w:r>
      <w:r>
        <w:rPr>
          <w:noProof/>
        </w:rPr>
        <w:fldChar w:fldCharType="end"/>
      </w:r>
    </w:p>
    <w:p w:rsidR="00EC0D76" w:rsidRDefault="00EC0D76" w:rsidP="00EC0D76">
      <w:pPr>
        <w:pStyle w:val="TOC2"/>
        <w:keepNext/>
        <w:tabs>
          <w:tab w:val="left" w:pos="1134"/>
        </w:tabs>
        <w:rPr>
          <w:rFonts w:asciiTheme="minorHAnsi" w:eastAsiaTheme="minorEastAsia" w:hAnsiTheme="minorHAnsi" w:cstheme="minorBidi"/>
          <w:noProof/>
          <w:szCs w:val="22"/>
          <w:lang w:eastAsia="en-NZ"/>
        </w:rPr>
      </w:pPr>
      <w:r>
        <w:rPr>
          <w:noProof/>
        </w:rPr>
        <w:t>4.2</w:t>
      </w:r>
      <w:r>
        <w:rPr>
          <w:rFonts w:asciiTheme="minorHAnsi" w:eastAsiaTheme="minorEastAsia" w:hAnsiTheme="minorHAnsi" w:cstheme="minorBidi"/>
          <w:noProof/>
          <w:szCs w:val="22"/>
          <w:lang w:eastAsia="en-NZ"/>
        </w:rPr>
        <w:tab/>
      </w:r>
      <w:r>
        <w:rPr>
          <w:noProof/>
        </w:rPr>
        <w:t>The levy-paying sectors</w:t>
      </w:r>
      <w:r>
        <w:rPr>
          <w:noProof/>
        </w:rPr>
        <w:tab/>
      </w:r>
      <w:r>
        <w:rPr>
          <w:noProof/>
        </w:rPr>
        <w:fldChar w:fldCharType="begin"/>
      </w:r>
      <w:r>
        <w:rPr>
          <w:noProof/>
        </w:rPr>
        <w:instrText xml:space="preserve"> PAGEREF _Toc522089413 \h </w:instrText>
      </w:r>
      <w:r>
        <w:rPr>
          <w:noProof/>
        </w:rPr>
      </w:r>
      <w:r>
        <w:rPr>
          <w:noProof/>
        </w:rPr>
        <w:fldChar w:fldCharType="separate"/>
      </w:r>
      <w:r w:rsidR="0012663D">
        <w:rPr>
          <w:noProof/>
        </w:rPr>
        <w:t>48</w:t>
      </w:r>
      <w:r>
        <w:rPr>
          <w:noProof/>
        </w:rPr>
        <w:fldChar w:fldCharType="end"/>
      </w:r>
    </w:p>
    <w:p w:rsidR="00EC0D76" w:rsidRDefault="00EC0D76" w:rsidP="00EC0D76">
      <w:pPr>
        <w:pStyle w:val="TOC2"/>
        <w:keepNext/>
        <w:tabs>
          <w:tab w:val="left" w:pos="1134"/>
        </w:tabs>
        <w:rPr>
          <w:rFonts w:asciiTheme="minorHAnsi" w:eastAsiaTheme="minorEastAsia" w:hAnsiTheme="minorHAnsi" w:cstheme="minorBidi"/>
          <w:noProof/>
          <w:szCs w:val="22"/>
          <w:lang w:eastAsia="en-NZ"/>
        </w:rPr>
      </w:pPr>
      <w:r>
        <w:rPr>
          <w:noProof/>
        </w:rPr>
        <w:t>4.3</w:t>
      </w:r>
      <w:r>
        <w:rPr>
          <w:rFonts w:asciiTheme="minorHAnsi" w:eastAsiaTheme="minorEastAsia" w:hAnsiTheme="minorHAnsi" w:cstheme="minorBidi"/>
          <w:noProof/>
          <w:szCs w:val="22"/>
          <w:lang w:eastAsia="en-NZ"/>
        </w:rPr>
        <w:tab/>
      </w:r>
      <w:r>
        <w:rPr>
          <w:noProof/>
        </w:rPr>
        <w:t>Process for setting the levy rates</w:t>
      </w:r>
      <w:r>
        <w:rPr>
          <w:noProof/>
        </w:rPr>
        <w:tab/>
      </w:r>
      <w:r>
        <w:rPr>
          <w:noProof/>
        </w:rPr>
        <w:fldChar w:fldCharType="begin"/>
      </w:r>
      <w:r>
        <w:rPr>
          <w:noProof/>
        </w:rPr>
        <w:instrText xml:space="preserve"> PAGEREF _Toc522089414 \h </w:instrText>
      </w:r>
      <w:r>
        <w:rPr>
          <w:noProof/>
        </w:rPr>
      </w:r>
      <w:r>
        <w:rPr>
          <w:noProof/>
        </w:rPr>
        <w:fldChar w:fldCharType="separate"/>
      </w:r>
      <w:r w:rsidR="0012663D">
        <w:rPr>
          <w:noProof/>
        </w:rPr>
        <w:t>48</w:t>
      </w:r>
      <w:r>
        <w:rPr>
          <w:noProof/>
        </w:rPr>
        <w:fldChar w:fldCharType="end"/>
      </w:r>
    </w:p>
    <w:p w:rsidR="00EC0D76" w:rsidRDefault="00EC0D76">
      <w:pPr>
        <w:pStyle w:val="TOC2"/>
        <w:tabs>
          <w:tab w:val="left" w:pos="1134"/>
        </w:tabs>
        <w:rPr>
          <w:rFonts w:asciiTheme="minorHAnsi" w:eastAsiaTheme="minorEastAsia" w:hAnsiTheme="minorHAnsi" w:cstheme="minorBidi"/>
          <w:noProof/>
          <w:szCs w:val="22"/>
          <w:lang w:eastAsia="en-NZ"/>
        </w:rPr>
      </w:pPr>
      <w:r>
        <w:rPr>
          <w:noProof/>
        </w:rPr>
        <w:t>4.4</w:t>
      </w:r>
      <w:r>
        <w:rPr>
          <w:rFonts w:asciiTheme="minorHAnsi" w:eastAsiaTheme="minorEastAsia" w:hAnsiTheme="minorHAnsi" w:cstheme="minorBidi"/>
          <w:noProof/>
          <w:szCs w:val="22"/>
          <w:lang w:eastAsia="en-NZ"/>
        </w:rPr>
        <w:tab/>
      </w:r>
      <w:r>
        <w:rPr>
          <w:noProof/>
        </w:rPr>
        <w:t>The levy formula</w:t>
      </w:r>
      <w:r>
        <w:rPr>
          <w:noProof/>
        </w:rPr>
        <w:tab/>
      </w:r>
      <w:r>
        <w:rPr>
          <w:noProof/>
        </w:rPr>
        <w:fldChar w:fldCharType="begin"/>
      </w:r>
      <w:r>
        <w:rPr>
          <w:noProof/>
        </w:rPr>
        <w:instrText xml:space="preserve"> PAGEREF _Toc522089415 \h </w:instrText>
      </w:r>
      <w:r>
        <w:rPr>
          <w:noProof/>
        </w:rPr>
      </w:r>
      <w:r>
        <w:rPr>
          <w:noProof/>
        </w:rPr>
        <w:fldChar w:fldCharType="separate"/>
      </w:r>
      <w:r w:rsidR="0012663D">
        <w:rPr>
          <w:noProof/>
        </w:rPr>
        <w:t>49</w:t>
      </w:r>
      <w:r>
        <w:rPr>
          <w:noProof/>
        </w:rPr>
        <w:fldChar w:fldCharType="end"/>
      </w:r>
    </w:p>
    <w:p w:rsidR="00EC0D76" w:rsidRDefault="00EC0D76">
      <w:pPr>
        <w:pStyle w:val="TOC2"/>
        <w:tabs>
          <w:tab w:val="left" w:pos="1134"/>
        </w:tabs>
        <w:rPr>
          <w:rFonts w:asciiTheme="minorHAnsi" w:eastAsiaTheme="minorEastAsia" w:hAnsiTheme="minorHAnsi" w:cstheme="minorBidi"/>
          <w:noProof/>
          <w:szCs w:val="22"/>
          <w:lang w:eastAsia="en-NZ"/>
        </w:rPr>
      </w:pPr>
      <w:r>
        <w:rPr>
          <w:noProof/>
        </w:rPr>
        <w:t>4.5</w:t>
      </w:r>
      <w:r>
        <w:rPr>
          <w:rFonts w:asciiTheme="minorHAnsi" w:eastAsiaTheme="minorEastAsia" w:hAnsiTheme="minorHAnsi" w:cstheme="minorBidi"/>
          <w:noProof/>
          <w:szCs w:val="22"/>
          <w:lang w:eastAsia="en-NZ"/>
        </w:rPr>
        <w:tab/>
      </w:r>
      <w:r>
        <w:rPr>
          <w:noProof/>
        </w:rPr>
        <w:t>Levy calculations</w:t>
      </w:r>
      <w:r>
        <w:rPr>
          <w:noProof/>
        </w:rPr>
        <w:tab/>
      </w:r>
      <w:r>
        <w:rPr>
          <w:noProof/>
        </w:rPr>
        <w:fldChar w:fldCharType="begin"/>
      </w:r>
      <w:r>
        <w:rPr>
          <w:noProof/>
        </w:rPr>
        <w:instrText xml:space="preserve"> PAGEREF _Toc522089416 \h </w:instrText>
      </w:r>
      <w:r>
        <w:rPr>
          <w:noProof/>
        </w:rPr>
      </w:r>
      <w:r>
        <w:rPr>
          <w:noProof/>
        </w:rPr>
        <w:fldChar w:fldCharType="separate"/>
      </w:r>
      <w:r w:rsidR="0012663D">
        <w:rPr>
          <w:noProof/>
        </w:rPr>
        <w:t>59</w:t>
      </w:r>
      <w:r>
        <w:rPr>
          <w:noProof/>
        </w:rPr>
        <w:fldChar w:fldCharType="end"/>
      </w:r>
    </w:p>
    <w:p w:rsidR="00EC0D76" w:rsidRDefault="00EC0D76">
      <w:pPr>
        <w:pStyle w:val="TOC2"/>
        <w:tabs>
          <w:tab w:val="left" w:pos="1134"/>
        </w:tabs>
        <w:rPr>
          <w:rFonts w:asciiTheme="minorHAnsi" w:eastAsiaTheme="minorEastAsia" w:hAnsiTheme="minorHAnsi" w:cstheme="minorBidi"/>
          <w:noProof/>
          <w:szCs w:val="22"/>
          <w:lang w:eastAsia="en-NZ"/>
        </w:rPr>
      </w:pPr>
      <w:r>
        <w:rPr>
          <w:noProof/>
        </w:rPr>
        <w:t>4.6</w:t>
      </w:r>
      <w:r>
        <w:rPr>
          <w:rFonts w:asciiTheme="minorHAnsi" w:eastAsiaTheme="minorEastAsia" w:hAnsiTheme="minorHAnsi" w:cstheme="minorBidi"/>
          <w:noProof/>
          <w:szCs w:val="22"/>
          <w:lang w:eastAsia="en-NZ"/>
        </w:rPr>
        <w:tab/>
      </w:r>
      <w:r>
        <w:rPr>
          <w:noProof/>
        </w:rPr>
        <w:t>Comment on weighting options</w:t>
      </w:r>
      <w:r>
        <w:rPr>
          <w:noProof/>
        </w:rPr>
        <w:tab/>
      </w:r>
      <w:r>
        <w:rPr>
          <w:noProof/>
        </w:rPr>
        <w:fldChar w:fldCharType="begin"/>
      </w:r>
      <w:r>
        <w:rPr>
          <w:noProof/>
        </w:rPr>
        <w:instrText xml:space="preserve"> PAGEREF _Toc522089417 \h </w:instrText>
      </w:r>
      <w:r>
        <w:rPr>
          <w:noProof/>
        </w:rPr>
      </w:r>
      <w:r>
        <w:rPr>
          <w:noProof/>
        </w:rPr>
        <w:fldChar w:fldCharType="separate"/>
      </w:r>
      <w:r w:rsidR="0012663D">
        <w:rPr>
          <w:noProof/>
        </w:rPr>
        <w:t>60</w:t>
      </w:r>
      <w:r>
        <w:rPr>
          <w:noProof/>
        </w:rPr>
        <w:fldChar w:fldCharType="end"/>
      </w:r>
    </w:p>
    <w:p w:rsidR="00EC0D76" w:rsidRDefault="00EC0D76">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_Toc522089418 \h </w:instrText>
      </w:r>
      <w:r>
        <w:rPr>
          <w:noProof/>
        </w:rPr>
      </w:r>
      <w:r>
        <w:rPr>
          <w:noProof/>
        </w:rPr>
        <w:fldChar w:fldCharType="separate"/>
      </w:r>
      <w:r w:rsidR="0012663D">
        <w:rPr>
          <w:noProof/>
        </w:rPr>
        <w:t>62</w:t>
      </w:r>
      <w:r>
        <w:rPr>
          <w:noProof/>
        </w:rPr>
        <w:fldChar w:fldCharType="end"/>
      </w:r>
    </w:p>
    <w:p w:rsidR="00EC0D76" w:rsidRDefault="00EC0D76">
      <w:pPr>
        <w:pStyle w:val="TOC1"/>
        <w:rPr>
          <w:rFonts w:asciiTheme="minorHAnsi" w:eastAsiaTheme="minorEastAsia" w:hAnsiTheme="minorHAnsi" w:cstheme="minorBidi"/>
          <w:b w:val="0"/>
          <w:noProof/>
          <w:szCs w:val="22"/>
          <w:lang w:eastAsia="en-NZ"/>
        </w:rPr>
      </w:pPr>
      <w:r>
        <w:rPr>
          <w:noProof/>
        </w:rPr>
        <w:t>Glossary</w:t>
      </w:r>
      <w:r>
        <w:rPr>
          <w:noProof/>
        </w:rPr>
        <w:tab/>
      </w:r>
      <w:r>
        <w:rPr>
          <w:noProof/>
        </w:rPr>
        <w:fldChar w:fldCharType="begin"/>
      </w:r>
      <w:r>
        <w:rPr>
          <w:noProof/>
        </w:rPr>
        <w:instrText xml:space="preserve"> PAGEREF _Toc522089419 \h </w:instrText>
      </w:r>
      <w:r>
        <w:rPr>
          <w:noProof/>
        </w:rPr>
      </w:r>
      <w:r>
        <w:rPr>
          <w:noProof/>
        </w:rPr>
        <w:fldChar w:fldCharType="separate"/>
      </w:r>
      <w:r w:rsidR="0012663D">
        <w:rPr>
          <w:noProof/>
        </w:rPr>
        <w:t>64</w:t>
      </w:r>
      <w:r>
        <w:rPr>
          <w:noProof/>
        </w:rPr>
        <w:fldChar w:fldCharType="end"/>
      </w:r>
    </w:p>
    <w:p w:rsidR="00EC0D76" w:rsidRDefault="00EC0D76">
      <w:pPr>
        <w:pStyle w:val="TOC1"/>
        <w:rPr>
          <w:rFonts w:asciiTheme="minorHAnsi" w:eastAsiaTheme="minorEastAsia" w:hAnsiTheme="minorHAnsi" w:cstheme="minorBidi"/>
          <w:b w:val="0"/>
          <w:noProof/>
          <w:szCs w:val="22"/>
          <w:lang w:eastAsia="en-NZ"/>
        </w:rPr>
      </w:pPr>
      <w:r w:rsidRPr="00BB5AB0">
        <w:rPr>
          <w:noProof/>
          <w:spacing w:val="-4"/>
        </w:rPr>
        <w:t>Appendix 1: Potential research and evaluation activities for 2019/20 to 2021/22</w:t>
      </w:r>
      <w:r>
        <w:rPr>
          <w:noProof/>
        </w:rPr>
        <w:tab/>
      </w:r>
      <w:r>
        <w:rPr>
          <w:noProof/>
        </w:rPr>
        <w:fldChar w:fldCharType="begin"/>
      </w:r>
      <w:r>
        <w:rPr>
          <w:noProof/>
        </w:rPr>
        <w:instrText xml:space="preserve"> PAGEREF _Toc522089420 \h </w:instrText>
      </w:r>
      <w:r>
        <w:rPr>
          <w:noProof/>
        </w:rPr>
      </w:r>
      <w:r>
        <w:rPr>
          <w:noProof/>
        </w:rPr>
        <w:fldChar w:fldCharType="separate"/>
      </w:r>
      <w:r w:rsidR="0012663D">
        <w:rPr>
          <w:noProof/>
        </w:rPr>
        <w:t>65</w:t>
      </w:r>
      <w:r>
        <w:rPr>
          <w:noProof/>
        </w:rPr>
        <w:fldChar w:fldCharType="end"/>
      </w:r>
    </w:p>
    <w:p w:rsidR="00EC0D76" w:rsidRDefault="00EC0D76">
      <w:pPr>
        <w:pStyle w:val="TOC1"/>
        <w:rPr>
          <w:rFonts w:asciiTheme="minorHAnsi" w:eastAsiaTheme="minorEastAsia" w:hAnsiTheme="minorHAnsi" w:cstheme="minorBidi"/>
          <w:b w:val="0"/>
          <w:noProof/>
          <w:szCs w:val="22"/>
          <w:lang w:eastAsia="en-NZ"/>
        </w:rPr>
      </w:pPr>
      <w:r>
        <w:rPr>
          <w:noProof/>
        </w:rPr>
        <w:t>Making a submission</w:t>
      </w:r>
      <w:r>
        <w:rPr>
          <w:noProof/>
        </w:rPr>
        <w:tab/>
      </w:r>
      <w:r>
        <w:rPr>
          <w:noProof/>
        </w:rPr>
        <w:fldChar w:fldCharType="begin"/>
      </w:r>
      <w:r>
        <w:rPr>
          <w:noProof/>
        </w:rPr>
        <w:instrText xml:space="preserve"> PAGEREF _Toc522089421 \h </w:instrText>
      </w:r>
      <w:r>
        <w:rPr>
          <w:noProof/>
        </w:rPr>
      </w:r>
      <w:r>
        <w:rPr>
          <w:noProof/>
        </w:rPr>
        <w:fldChar w:fldCharType="separate"/>
      </w:r>
      <w:r w:rsidR="0012663D">
        <w:rPr>
          <w:noProof/>
        </w:rPr>
        <w:t>69</w:t>
      </w:r>
      <w:r>
        <w:rPr>
          <w:noProof/>
        </w:rPr>
        <w:fldChar w:fldCharType="end"/>
      </w:r>
    </w:p>
    <w:p w:rsidR="00C86248" w:rsidRDefault="00C86248">
      <w:r>
        <w:rPr>
          <w:b/>
        </w:rPr>
        <w:fldChar w:fldCharType="end"/>
      </w:r>
    </w:p>
    <w:p w:rsidR="00BB5C45" w:rsidRDefault="00BB5C45" w:rsidP="00BB5C45">
      <w:pPr>
        <w:pStyle w:val="TOC1"/>
      </w:pPr>
      <w:r>
        <w:t>List of Figures</w:t>
      </w:r>
    </w:p>
    <w:p w:rsidR="00EC0D76" w:rsidRDefault="00BB5C45">
      <w:pPr>
        <w:pStyle w:val="TOC3"/>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EC0D76">
        <w:rPr>
          <w:noProof/>
        </w:rPr>
        <w:t>Figure 1:</w:t>
      </w:r>
      <w:r w:rsidR="00EC0D76">
        <w:rPr>
          <w:noProof/>
        </w:rPr>
        <w:tab/>
        <w:t>Gambling behaviour and harm: the continuum of prevention and harm reduction</w:t>
      </w:r>
      <w:r w:rsidR="00EC0D76">
        <w:rPr>
          <w:noProof/>
        </w:rPr>
        <w:tab/>
      </w:r>
      <w:r w:rsidR="00EC0D76">
        <w:rPr>
          <w:noProof/>
        </w:rPr>
        <w:fldChar w:fldCharType="begin"/>
      </w:r>
      <w:r w:rsidR="00EC0D76">
        <w:rPr>
          <w:noProof/>
        </w:rPr>
        <w:instrText xml:space="preserve"> PAGEREF _Toc522089422 \h </w:instrText>
      </w:r>
      <w:r w:rsidR="00EC0D76">
        <w:rPr>
          <w:noProof/>
        </w:rPr>
      </w:r>
      <w:r w:rsidR="00EC0D76">
        <w:rPr>
          <w:noProof/>
        </w:rPr>
        <w:fldChar w:fldCharType="separate"/>
      </w:r>
      <w:r w:rsidR="0012663D">
        <w:rPr>
          <w:noProof/>
        </w:rPr>
        <w:t>9</w:t>
      </w:r>
      <w:r w:rsidR="00EC0D76">
        <w:rPr>
          <w:noProof/>
        </w:rPr>
        <w:fldChar w:fldCharType="end"/>
      </w:r>
    </w:p>
    <w:p w:rsidR="00EC0D76" w:rsidRDefault="00EC0D76">
      <w:pPr>
        <w:pStyle w:val="TOC3"/>
        <w:rPr>
          <w:rFonts w:asciiTheme="minorHAnsi" w:eastAsiaTheme="minorEastAsia" w:hAnsiTheme="minorHAnsi" w:cstheme="minorBidi"/>
          <w:noProof/>
          <w:szCs w:val="22"/>
          <w:lang w:eastAsia="en-NZ"/>
        </w:rPr>
      </w:pPr>
      <w:r>
        <w:rPr>
          <w:noProof/>
        </w:rPr>
        <w:t>Figure 2:</w:t>
      </w:r>
      <w:r>
        <w:rPr>
          <w:noProof/>
        </w:rPr>
        <w:tab/>
        <w:t>Distribution of class 4 NCGMs by low, mid and high deprivation areas</w:t>
      </w:r>
      <w:r>
        <w:rPr>
          <w:noProof/>
        </w:rPr>
        <w:tab/>
      </w:r>
      <w:r>
        <w:rPr>
          <w:noProof/>
        </w:rPr>
        <w:fldChar w:fldCharType="begin"/>
      </w:r>
      <w:r>
        <w:rPr>
          <w:noProof/>
        </w:rPr>
        <w:instrText xml:space="preserve"> PAGEREF _Toc522089423 \h </w:instrText>
      </w:r>
      <w:r>
        <w:rPr>
          <w:noProof/>
        </w:rPr>
      </w:r>
      <w:r>
        <w:rPr>
          <w:noProof/>
        </w:rPr>
        <w:fldChar w:fldCharType="separate"/>
      </w:r>
      <w:r w:rsidR="0012663D">
        <w:rPr>
          <w:noProof/>
        </w:rPr>
        <w:t>11</w:t>
      </w:r>
      <w:r>
        <w:rPr>
          <w:noProof/>
        </w:rPr>
        <w:fldChar w:fldCharType="end"/>
      </w:r>
    </w:p>
    <w:p w:rsidR="00EC0D76" w:rsidRDefault="00EC0D76">
      <w:pPr>
        <w:pStyle w:val="TOC3"/>
        <w:rPr>
          <w:rFonts w:asciiTheme="minorHAnsi" w:eastAsiaTheme="minorEastAsia" w:hAnsiTheme="minorHAnsi" w:cstheme="minorBidi"/>
          <w:noProof/>
          <w:szCs w:val="22"/>
          <w:lang w:eastAsia="en-NZ"/>
        </w:rPr>
      </w:pPr>
      <w:r>
        <w:rPr>
          <w:noProof/>
        </w:rPr>
        <w:t>Figure 3:</w:t>
      </w:r>
      <w:r>
        <w:rPr>
          <w:noProof/>
        </w:rPr>
        <w:tab/>
        <w:t>Framework for organising the strategic objectives</w:t>
      </w:r>
      <w:r>
        <w:rPr>
          <w:noProof/>
        </w:rPr>
        <w:tab/>
      </w:r>
      <w:r>
        <w:rPr>
          <w:noProof/>
        </w:rPr>
        <w:fldChar w:fldCharType="begin"/>
      </w:r>
      <w:r>
        <w:rPr>
          <w:noProof/>
        </w:rPr>
        <w:instrText xml:space="preserve"> PAGEREF _Toc522089424 \h </w:instrText>
      </w:r>
      <w:r>
        <w:rPr>
          <w:noProof/>
        </w:rPr>
      </w:r>
      <w:r>
        <w:rPr>
          <w:noProof/>
        </w:rPr>
        <w:fldChar w:fldCharType="separate"/>
      </w:r>
      <w:r w:rsidR="0012663D">
        <w:rPr>
          <w:noProof/>
        </w:rPr>
        <w:t>13</w:t>
      </w:r>
      <w:r>
        <w:rPr>
          <w:noProof/>
        </w:rPr>
        <w:fldChar w:fldCharType="end"/>
      </w:r>
    </w:p>
    <w:p w:rsidR="00EC0D76" w:rsidRDefault="00EC0D76">
      <w:pPr>
        <w:pStyle w:val="TOC3"/>
        <w:rPr>
          <w:rFonts w:asciiTheme="minorHAnsi" w:eastAsiaTheme="minorEastAsia" w:hAnsiTheme="minorHAnsi" w:cstheme="minorBidi"/>
          <w:noProof/>
          <w:szCs w:val="22"/>
          <w:lang w:eastAsia="en-NZ"/>
        </w:rPr>
      </w:pPr>
      <w:r>
        <w:rPr>
          <w:noProof/>
        </w:rPr>
        <w:t>Figure 4:</w:t>
      </w:r>
      <w:r>
        <w:rPr>
          <w:noProof/>
        </w:rPr>
        <w:tab/>
        <w:t>He Korowai Oranga: ‘the cloak of wellness’</w:t>
      </w:r>
      <w:r>
        <w:rPr>
          <w:noProof/>
        </w:rPr>
        <w:tab/>
      </w:r>
      <w:r>
        <w:rPr>
          <w:noProof/>
        </w:rPr>
        <w:fldChar w:fldCharType="begin"/>
      </w:r>
      <w:r>
        <w:rPr>
          <w:noProof/>
        </w:rPr>
        <w:instrText xml:space="preserve"> PAGEREF _Toc522089425 \h </w:instrText>
      </w:r>
      <w:r>
        <w:rPr>
          <w:noProof/>
        </w:rPr>
      </w:r>
      <w:r>
        <w:rPr>
          <w:noProof/>
        </w:rPr>
        <w:fldChar w:fldCharType="separate"/>
      </w:r>
      <w:r w:rsidR="0012663D">
        <w:rPr>
          <w:noProof/>
        </w:rPr>
        <w:t>26</w:t>
      </w:r>
      <w:r>
        <w:rPr>
          <w:noProof/>
        </w:rPr>
        <w:fldChar w:fldCharType="end"/>
      </w:r>
    </w:p>
    <w:p w:rsidR="00EC0D76" w:rsidRDefault="00EC0D76">
      <w:pPr>
        <w:pStyle w:val="TOC3"/>
        <w:rPr>
          <w:rFonts w:asciiTheme="minorHAnsi" w:eastAsiaTheme="minorEastAsia" w:hAnsiTheme="minorHAnsi" w:cstheme="minorBidi"/>
          <w:noProof/>
          <w:szCs w:val="22"/>
          <w:lang w:eastAsia="en-NZ"/>
        </w:rPr>
      </w:pPr>
      <w:r>
        <w:rPr>
          <w:noProof/>
        </w:rPr>
        <w:t>Figure 5:</w:t>
      </w:r>
      <w:r>
        <w:rPr>
          <w:noProof/>
        </w:rPr>
        <w:tab/>
        <w:t>The components of ’Ala Mo’ui</w:t>
      </w:r>
      <w:r>
        <w:rPr>
          <w:noProof/>
        </w:rPr>
        <w:tab/>
      </w:r>
      <w:r>
        <w:rPr>
          <w:noProof/>
        </w:rPr>
        <w:fldChar w:fldCharType="begin"/>
      </w:r>
      <w:r>
        <w:rPr>
          <w:noProof/>
        </w:rPr>
        <w:instrText xml:space="preserve"> PAGEREF _Toc522089426 \h </w:instrText>
      </w:r>
      <w:r>
        <w:rPr>
          <w:noProof/>
        </w:rPr>
      </w:r>
      <w:r>
        <w:rPr>
          <w:noProof/>
        </w:rPr>
        <w:fldChar w:fldCharType="separate"/>
      </w:r>
      <w:r w:rsidR="0012663D">
        <w:rPr>
          <w:noProof/>
        </w:rPr>
        <w:t>29</w:t>
      </w:r>
      <w:r>
        <w:rPr>
          <w:noProof/>
        </w:rPr>
        <w:fldChar w:fldCharType="end"/>
      </w:r>
    </w:p>
    <w:p w:rsidR="00EC0D76" w:rsidRDefault="00EC0D76">
      <w:pPr>
        <w:pStyle w:val="TOC3"/>
        <w:rPr>
          <w:rFonts w:asciiTheme="minorHAnsi" w:eastAsiaTheme="minorEastAsia" w:hAnsiTheme="minorHAnsi" w:cstheme="minorBidi"/>
          <w:noProof/>
          <w:szCs w:val="22"/>
          <w:lang w:eastAsia="en-NZ"/>
        </w:rPr>
      </w:pPr>
      <w:r>
        <w:rPr>
          <w:noProof/>
        </w:rPr>
        <w:t>Figure 6:</w:t>
      </w:r>
      <w:r>
        <w:rPr>
          <w:noProof/>
        </w:rPr>
        <w:tab/>
        <w:t>Gambling expenditure by year from the four main sectors, 2009/10 to 2016/17</w:t>
      </w:r>
      <w:r>
        <w:rPr>
          <w:noProof/>
        </w:rPr>
        <w:tab/>
      </w:r>
      <w:r>
        <w:rPr>
          <w:noProof/>
        </w:rPr>
        <w:fldChar w:fldCharType="begin"/>
      </w:r>
      <w:r>
        <w:rPr>
          <w:noProof/>
        </w:rPr>
        <w:instrText xml:space="preserve"> PAGEREF _Toc522089427 \h </w:instrText>
      </w:r>
      <w:r>
        <w:rPr>
          <w:noProof/>
        </w:rPr>
      </w:r>
      <w:r>
        <w:rPr>
          <w:noProof/>
        </w:rPr>
        <w:fldChar w:fldCharType="separate"/>
      </w:r>
      <w:r w:rsidR="0012663D">
        <w:rPr>
          <w:noProof/>
        </w:rPr>
        <w:t>50</w:t>
      </w:r>
      <w:r>
        <w:rPr>
          <w:noProof/>
        </w:rPr>
        <w:fldChar w:fldCharType="end"/>
      </w:r>
    </w:p>
    <w:p w:rsidR="00EC0D76" w:rsidRDefault="00EC0D76">
      <w:pPr>
        <w:pStyle w:val="TOC3"/>
        <w:rPr>
          <w:rFonts w:asciiTheme="minorHAnsi" w:eastAsiaTheme="minorEastAsia" w:hAnsiTheme="minorHAnsi" w:cstheme="minorBidi"/>
          <w:noProof/>
          <w:szCs w:val="22"/>
          <w:lang w:eastAsia="en-NZ"/>
        </w:rPr>
      </w:pPr>
      <w:r>
        <w:rPr>
          <w:noProof/>
        </w:rPr>
        <w:t>Figure 7:</w:t>
      </w:r>
      <w:r>
        <w:rPr>
          <w:noProof/>
        </w:rPr>
        <w:tab/>
        <w:t>Presentations by year attributed to the four main sectors, 2004/05 to 2016/17</w:t>
      </w:r>
      <w:r>
        <w:rPr>
          <w:noProof/>
        </w:rPr>
        <w:tab/>
      </w:r>
      <w:r>
        <w:rPr>
          <w:noProof/>
        </w:rPr>
        <w:fldChar w:fldCharType="begin"/>
      </w:r>
      <w:r>
        <w:rPr>
          <w:noProof/>
        </w:rPr>
        <w:instrText xml:space="preserve"> PAGEREF _Toc522089428 \h </w:instrText>
      </w:r>
      <w:r>
        <w:rPr>
          <w:noProof/>
        </w:rPr>
      </w:r>
      <w:r>
        <w:rPr>
          <w:noProof/>
        </w:rPr>
        <w:fldChar w:fldCharType="separate"/>
      </w:r>
      <w:r w:rsidR="0012663D">
        <w:rPr>
          <w:noProof/>
        </w:rPr>
        <w:t>52</w:t>
      </w:r>
      <w:r>
        <w:rPr>
          <w:noProof/>
        </w:rPr>
        <w:fldChar w:fldCharType="end"/>
      </w:r>
    </w:p>
    <w:p w:rsidR="00EC0D76" w:rsidRDefault="00EC0D76">
      <w:pPr>
        <w:pStyle w:val="TOC3"/>
        <w:rPr>
          <w:rFonts w:asciiTheme="minorHAnsi" w:eastAsiaTheme="minorEastAsia" w:hAnsiTheme="minorHAnsi" w:cstheme="minorBidi"/>
          <w:noProof/>
          <w:szCs w:val="22"/>
          <w:lang w:eastAsia="en-NZ"/>
        </w:rPr>
      </w:pPr>
      <w:r>
        <w:rPr>
          <w:noProof/>
        </w:rPr>
        <w:t>Figure 8:</w:t>
      </w:r>
      <w:r>
        <w:rPr>
          <w:noProof/>
        </w:rPr>
        <w:tab/>
        <w:t>Share of presentations and expenditure by sector, for 2017</w:t>
      </w:r>
      <w:r>
        <w:rPr>
          <w:noProof/>
        </w:rPr>
        <w:tab/>
      </w:r>
      <w:r>
        <w:rPr>
          <w:noProof/>
        </w:rPr>
        <w:fldChar w:fldCharType="begin"/>
      </w:r>
      <w:r>
        <w:rPr>
          <w:noProof/>
        </w:rPr>
        <w:instrText xml:space="preserve"> PAGEREF _Toc522089429 \h </w:instrText>
      </w:r>
      <w:r>
        <w:rPr>
          <w:noProof/>
        </w:rPr>
      </w:r>
      <w:r>
        <w:rPr>
          <w:noProof/>
        </w:rPr>
        <w:fldChar w:fldCharType="separate"/>
      </w:r>
      <w:r w:rsidR="0012663D">
        <w:rPr>
          <w:noProof/>
        </w:rPr>
        <w:t>58</w:t>
      </w:r>
      <w:r>
        <w:rPr>
          <w:noProof/>
        </w:rPr>
        <w:fldChar w:fldCharType="end"/>
      </w:r>
    </w:p>
    <w:p w:rsidR="00BB5C45" w:rsidRDefault="00BB5C45" w:rsidP="00BB5C45">
      <w:r>
        <w:fldChar w:fldCharType="end"/>
      </w:r>
    </w:p>
    <w:p w:rsidR="00C86248" w:rsidRDefault="00C86248" w:rsidP="003B1D10">
      <w:pPr>
        <w:pStyle w:val="TOC1"/>
        <w:keepNext/>
      </w:pPr>
      <w:r>
        <w:lastRenderedPageBreak/>
        <w:t>List of Tables</w:t>
      </w:r>
    </w:p>
    <w:p w:rsidR="00EC0D76" w:rsidRDefault="00C86248" w:rsidP="00EC0D76">
      <w:pPr>
        <w:pStyle w:val="TOC3"/>
        <w:keepNext/>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sidR="00EC0D76">
        <w:rPr>
          <w:noProof/>
        </w:rPr>
        <w:t>Table 1:</w:t>
      </w:r>
      <w:r w:rsidR="00EC0D76">
        <w:rPr>
          <w:noProof/>
        </w:rPr>
        <w:tab/>
        <w:t>Objective 1 priorities for action</w:t>
      </w:r>
      <w:r w:rsidR="00EC0D76">
        <w:rPr>
          <w:noProof/>
        </w:rPr>
        <w:tab/>
      </w:r>
      <w:r w:rsidR="00EC0D76">
        <w:rPr>
          <w:noProof/>
        </w:rPr>
        <w:fldChar w:fldCharType="begin"/>
      </w:r>
      <w:r w:rsidR="00EC0D76">
        <w:rPr>
          <w:noProof/>
        </w:rPr>
        <w:instrText xml:space="preserve"> PAGEREF _Toc522089430 \h </w:instrText>
      </w:r>
      <w:r w:rsidR="00EC0D76">
        <w:rPr>
          <w:noProof/>
        </w:rPr>
      </w:r>
      <w:r w:rsidR="00EC0D76">
        <w:rPr>
          <w:noProof/>
        </w:rPr>
        <w:fldChar w:fldCharType="separate"/>
      </w:r>
      <w:r w:rsidR="0012663D">
        <w:rPr>
          <w:noProof/>
        </w:rPr>
        <w:t>14</w:t>
      </w:r>
      <w:r w:rsidR="00EC0D76">
        <w:rPr>
          <w:noProof/>
        </w:rPr>
        <w:fldChar w:fldCharType="end"/>
      </w:r>
    </w:p>
    <w:p w:rsidR="00EC0D76" w:rsidRDefault="00EC0D76" w:rsidP="00EC0D76">
      <w:pPr>
        <w:pStyle w:val="TOC3"/>
        <w:keepNext/>
        <w:rPr>
          <w:rFonts w:asciiTheme="minorHAnsi" w:eastAsiaTheme="minorEastAsia" w:hAnsiTheme="minorHAnsi" w:cstheme="minorBidi"/>
          <w:noProof/>
          <w:szCs w:val="22"/>
          <w:lang w:eastAsia="en-NZ"/>
        </w:rPr>
      </w:pPr>
      <w:r>
        <w:rPr>
          <w:noProof/>
        </w:rPr>
        <w:t>Table 2:</w:t>
      </w:r>
      <w:r>
        <w:rPr>
          <w:noProof/>
        </w:rPr>
        <w:tab/>
        <w:t>Objective 2 priorities for action</w:t>
      </w:r>
      <w:r>
        <w:rPr>
          <w:noProof/>
        </w:rPr>
        <w:tab/>
      </w:r>
      <w:r>
        <w:rPr>
          <w:noProof/>
        </w:rPr>
        <w:fldChar w:fldCharType="begin"/>
      </w:r>
      <w:r>
        <w:rPr>
          <w:noProof/>
        </w:rPr>
        <w:instrText xml:space="preserve"> PAGEREF _Toc522089431 \h </w:instrText>
      </w:r>
      <w:r>
        <w:rPr>
          <w:noProof/>
        </w:rPr>
      </w:r>
      <w:r>
        <w:rPr>
          <w:noProof/>
        </w:rPr>
        <w:fldChar w:fldCharType="separate"/>
      </w:r>
      <w:r w:rsidR="0012663D">
        <w:rPr>
          <w:noProof/>
        </w:rPr>
        <w:t>16</w:t>
      </w:r>
      <w:r>
        <w:rPr>
          <w:noProof/>
        </w:rPr>
        <w:fldChar w:fldCharType="end"/>
      </w:r>
    </w:p>
    <w:p w:rsidR="00EC0D76" w:rsidRDefault="00EC0D76" w:rsidP="00EC0D76">
      <w:pPr>
        <w:pStyle w:val="TOC3"/>
        <w:keepNext/>
        <w:rPr>
          <w:rFonts w:asciiTheme="minorHAnsi" w:eastAsiaTheme="minorEastAsia" w:hAnsiTheme="minorHAnsi" w:cstheme="minorBidi"/>
          <w:noProof/>
          <w:szCs w:val="22"/>
          <w:lang w:eastAsia="en-NZ"/>
        </w:rPr>
      </w:pPr>
      <w:r>
        <w:rPr>
          <w:noProof/>
        </w:rPr>
        <w:t>Table 3:</w:t>
      </w:r>
      <w:r>
        <w:rPr>
          <w:noProof/>
        </w:rPr>
        <w:tab/>
        <w:t>Objective 3 priorities for action</w:t>
      </w:r>
      <w:r>
        <w:rPr>
          <w:noProof/>
        </w:rPr>
        <w:tab/>
      </w:r>
      <w:r>
        <w:rPr>
          <w:noProof/>
        </w:rPr>
        <w:fldChar w:fldCharType="begin"/>
      </w:r>
      <w:r>
        <w:rPr>
          <w:noProof/>
        </w:rPr>
        <w:instrText xml:space="preserve"> PAGEREF _Toc522089432 \h </w:instrText>
      </w:r>
      <w:r>
        <w:rPr>
          <w:noProof/>
        </w:rPr>
      </w:r>
      <w:r>
        <w:rPr>
          <w:noProof/>
        </w:rPr>
        <w:fldChar w:fldCharType="separate"/>
      </w:r>
      <w:r w:rsidR="0012663D">
        <w:rPr>
          <w:noProof/>
        </w:rPr>
        <w:t>17</w:t>
      </w:r>
      <w:r>
        <w:rPr>
          <w:noProof/>
        </w:rPr>
        <w:fldChar w:fldCharType="end"/>
      </w:r>
    </w:p>
    <w:p w:rsidR="00EC0D76" w:rsidRDefault="00EC0D76" w:rsidP="00EC0D76">
      <w:pPr>
        <w:pStyle w:val="TOC3"/>
        <w:keepNext/>
        <w:rPr>
          <w:rFonts w:asciiTheme="minorHAnsi" w:eastAsiaTheme="minorEastAsia" w:hAnsiTheme="minorHAnsi" w:cstheme="minorBidi"/>
          <w:noProof/>
          <w:szCs w:val="22"/>
          <w:lang w:eastAsia="en-NZ"/>
        </w:rPr>
      </w:pPr>
      <w:r>
        <w:rPr>
          <w:noProof/>
        </w:rPr>
        <w:t>Table 4:</w:t>
      </w:r>
      <w:r>
        <w:rPr>
          <w:noProof/>
        </w:rPr>
        <w:tab/>
        <w:t>Objective 4 priorities for action</w:t>
      </w:r>
      <w:r>
        <w:rPr>
          <w:noProof/>
        </w:rPr>
        <w:tab/>
      </w:r>
      <w:r>
        <w:rPr>
          <w:noProof/>
        </w:rPr>
        <w:fldChar w:fldCharType="begin"/>
      </w:r>
      <w:r>
        <w:rPr>
          <w:noProof/>
        </w:rPr>
        <w:instrText xml:space="preserve"> PAGEREF _Toc522089433 \h </w:instrText>
      </w:r>
      <w:r>
        <w:rPr>
          <w:noProof/>
        </w:rPr>
      </w:r>
      <w:r>
        <w:rPr>
          <w:noProof/>
        </w:rPr>
        <w:fldChar w:fldCharType="separate"/>
      </w:r>
      <w:r w:rsidR="0012663D">
        <w:rPr>
          <w:noProof/>
        </w:rPr>
        <w:t>18</w:t>
      </w:r>
      <w:r>
        <w:rPr>
          <w:noProof/>
        </w:rPr>
        <w:fldChar w:fldCharType="end"/>
      </w:r>
    </w:p>
    <w:p w:rsidR="00EC0D76" w:rsidRDefault="00EC0D76" w:rsidP="00EC0D76">
      <w:pPr>
        <w:pStyle w:val="TOC3"/>
        <w:keepNext/>
        <w:rPr>
          <w:rFonts w:asciiTheme="minorHAnsi" w:eastAsiaTheme="minorEastAsia" w:hAnsiTheme="minorHAnsi" w:cstheme="minorBidi"/>
          <w:noProof/>
          <w:szCs w:val="22"/>
          <w:lang w:eastAsia="en-NZ"/>
        </w:rPr>
      </w:pPr>
      <w:r>
        <w:rPr>
          <w:noProof/>
        </w:rPr>
        <w:t>Table 5:</w:t>
      </w:r>
      <w:r>
        <w:rPr>
          <w:noProof/>
        </w:rPr>
        <w:tab/>
        <w:t>Objective5 priorities for action</w:t>
      </w:r>
      <w:r>
        <w:rPr>
          <w:noProof/>
        </w:rPr>
        <w:tab/>
      </w:r>
      <w:r>
        <w:rPr>
          <w:noProof/>
        </w:rPr>
        <w:fldChar w:fldCharType="begin"/>
      </w:r>
      <w:r>
        <w:rPr>
          <w:noProof/>
        </w:rPr>
        <w:instrText xml:space="preserve"> PAGEREF _Toc522089434 \h </w:instrText>
      </w:r>
      <w:r>
        <w:rPr>
          <w:noProof/>
        </w:rPr>
      </w:r>
      <w:r>
        <w:rPr>
          <w:noProof/>
        </w:rPr>
        <w:fldChar w:fldCharType="separate"/>
      </w:r>
      <w:r w:rsidR="0012663D">
        <w:rPr>
          <w:noProof/>
        </w:rPr>
        <w:t>19</w:t>
      </w:r>
      <w:r>
        <w:rPr>
          <w:noProof/>
        </w:rPr>
        <w:fldChar w:fldCharType="end"/>
      </w:r>
    </w:p>
    <w:p w:rsidR="00EC0D76" w:rsidRDefault="00EC0D76" w:rsidP="00EC0D76">
      <w:pPr>
        <w:pStyle w:val="TOC3"/>
        <w:keepNext/>
        <w:rPr>
          <w:rFonts w:asciiTheme="minorHAnsi" w:eastAsiaTheme="minorEastAsia" w:hAnsiTheme="minorHAnsi" w:cstheme="minorBidi"/>
          <w:noProof/>
          <w:szCs w:val="22"/>
          <w:lang w:eastAsia="en-NZ"/>
        </w:rPr>
      </w:pPr>
      <w:r>
        <w:rPr>
          <w:noProof/>
        </w:rPr>
        <w:t>Table 6:</w:t>
      </w:r>
      <w:r>
        <w:rPr>
          <w:noProof/>
        </w:rPr>
        <w:tab/>
        <w:t>Objective 6 priorities for action</w:t>
      </w:r>
      <w:r>
        <w:rPr>
          <w:noProof/>
        </w:rPr>
        <w:tab/>
      </w:r>
      <w:r>
        <w:rPr>
          <w:noProof/>
        </w:rPr>
        <w:fldChar w:fldCharType="begin"/>
      </w:r>
      <w:r>
        <w:rPr>
          <w:noProof/>
        </w:rPr>
        <w:instrText xml:space="preserve"> PAGEREF _Toc522089435 \h </w:instrText>
      </w:r>
      <w:r>
        <w:rPr>
          <w:noProof/>
        </w:rPr>
      </w:r>
      <w:r>
        <w:rPr>
          <w:noProof/>
        </w:rPr>
        <w:fldChar w:fldCharType="separate"/>
      </w:r>
      <w:r w:rsidR="0012663D">
        <w:rPr>
          <w:noProof/>
        </w:rPr>
        <w:t>20</w:t>
      </w:r>
      <w:r>
        <w:rPr>
          <w:noProof/>
        </w:rPr>
        <w:fldChar w:fldCharType="end"/>
      </w:r>
    </w:p>
    <w:p w:rsidR="00EC0D76" w:rsidRDefault="00EC0D76" w:rsidP="00EC0D76">
      <w:pPr>
        <w:pStyle w:val="TOC3"/>
        <w:keepNext/>
        <w:rPr>
          <w:rFonts w:asciiTheme="minorHAnsi" w:eastAsiaTheme="minorEastAsia" w:hAnsiTheme="minorHAnsi" w:cstheme="minorBidi"/>
          <w:noProof/>
          <w:szCs w:val="22"/>
          <w:lang w:eastAsia="en-NZ"/>
        </w:rPr>
      </w:pPr>
      <w:r>
        <w:rPr>
          <w:noProof/>
        </w:rPr>
        <w:t>Table 7:</w:t>
      </w:r>
      <w:r>
        <w:rPr>
          <w:noProof/>
        </w:rPr>
        <w:tab/>
        <w:t>Objective 7 priorities for action</w:t>
      </w:r>
      <w:r>
        <w:rPr>
          <w:noProof/>
        </w:rPr>
        <w:tab/>
      </w:r>
      <w:r>
        <w:rPr>
          <w:noProof/>
        </w:rPr>
        <w:fldChar w:fldCharType="begin"/>
      </w:r>
      <w:r>
        <w:rPr>
          <w:noProof/>
        </w:rPr>
        <w:instrText xml:space="preserve"> PAGEREF _Toc522089436 \h </w:instrText>
      </w:r>
      <w:r>
        <w:rPr>
          <w:noProof/>
        </w:rPr>
      </w:r>
      <w:r>
        <w:rPr>
          <w:noProof/>
        </w:rPr>
        <w:fldChar w:fldCharType="separate"/>
      </w:r>
      <w:r w:rsidR="0012663D">
        <w:rPr>
          <w:noProof/>
        </w:rPr>
        <w:t>21</w:t>
      </w:r>
      <w:r>
        <w:rPr>
          <w:noProof/>
        </w:rPr>
        <w:fldChar w:fldCharType="end"/>
      </w:r>
    </w:p>
    <w:p w:rsidR="00EC0D76" w:rsidRDefault="00EC0D76" w:rsidP="00EC0D76">
      <w:pPr>
        <w:pStyle w:val="TOC3"/>
        <w:keepNext/>
        <w:rPr>
          <w:rFonts w:asciiTheme="minorHAnsi" w:eastAsiaTheme="minorEastAsia" w:hAnsiTheme="minorHAnsi" w:cstheme="minorBidi"/>
          <w:noProof/>
          <w:szCs w:val="22"/>
          <w:lang w:eastAsia="en-NZ"/>
        </w:rPr>
      </w:pPr>
      <w:r>
        <w:rPr>
          <w:noProof/>
        </w:rPr>
        <w:t>Table 8:</w:t>
      </w:r>
      <w:r>
        <w:rPr>
          <w:noProof/>
        </w:rPr>
        <w:tab/>
        <w:t>Objective 8 priorities for action</w:t>
      </w:r>
      <w:r>
        <w:rPr>
          <w:noProof/>
        </w:rPr>
        <w:tab/>
      </w:r>
      <w:r>
        <w:rPr>
          <w:noProof/>
        </w:rPr>
        <w:fldChar w:fldCharType="begin"/>
      </w:r>
      <w:r>
        <w:rPr>
          <w:noProof/>
        </w:rPr>
        <w:instrText xml:space="preserve"> PAGEREF _Toc522089437 \h </w:instrText>
      </w:r>
      <w:r>
        <w:rPr>
          <w:noProof/>
        </w:rPr>
      </w:r>
      <w:r>
        <w:rPr>
          <w:noProof/>
        </w:rPr>
        <w:fldChar w:fldCharType="separate"/>
      </w:r>
      <w:r w:rsidR="0012663D">
        <w:rPr>
          <w:noProof/>
        </w:rPr>
        <w:t>22</w:t>
      </w:r>
      <w:r>
        <w:rPr>
          <w:noProof/>
        </w:rPr>
        <w:fldChar w:fldCharType="end"/>
      </w:r>
    </w:p>
    <w:p w:rsidR="00EC0D76" w:rsidRDefault="00EC0D76" w:rsidP="00EC0D76">
      <w:pPr>
        <w:pStyle w:val="TOC3"/>
        <w:keepNext/>
        <w:rPr>
          <w:rFonts w:asciiTheme="minorHAnsi" w:eastAsiaTheme="minorEastAsia" w:hAnsiTheme="minorHAnsi" w:cstheme="minorBidi"/>
          <w:noProof/>
          <w:szCs w:val="22"/>
          <w:lang w:eastAsia="en-NZ"/>
        </w:rPr>
      </w:pPr>
      <w:r>
        <w:rPr>
          <w:noProof/>
        </w:rPr>
        <w:t>Table 9:</w:t>
      </w:r>
      <w:r>
        <w:rPr>
          <w:noProof/>
        </w:rPr>
        <w:tab/>
        <w:t>Objective 9 priorities for action</w:t>
      </w:r>
      <w:r>
        <w:rPr>
          <w:noProof/>
        </w:rPr>
        <w:tab/>
      </w:r>
      <w:r>
        <w:rPr>
          <w:noProof/>
        </w:rPr>
        <w:fldChar w:fldCharType="begin"/>
      </w:r>
      <w:r>
        <w:rPr>
          <w:noProof/>
        </w:rPr>
        <w:instrText xml:space="preserve"> PAGEREF _Toc522089438 \h </w:instrText>
      </w:r>
      <w:r>
        <w:rPr>
          <w:noProof/>
        </w:rPr>
      </w:r>
      <w:r>
        <w:rPr>
          <w:noProof/>
        </w:rPr>
        <w:fldChar w:fldCharType="separate"/>
      </w:r>
      <w:r w:rsidR="0012663D">
        <w:rPr>
          <w:noProof/>
        </w:rPr>
        <w:t>23</w:t>
      </w:r>
      <w:r>
        <w:rPr>
          <w:noProof/>
        </w:rPr>
        <w:fldChar w:fldCharType="end"/>
      </w:r>
    </w:p>
    <w:p w:rsidR="00EC0D76" w:rsidRDefault="00EC0D76" w:rsidP="00EC0D76">
      <w:pPr>
        <w:pStyle w:val="TOC3"/>
        <w:keepNext/>
        <w:rPr>
          <w:rFonts w:asciiTheme="minorHAnsi" w:eastAsiaTheme="minorEastAsia" w:hAnsiTheme="minorHAnsi" w:cstheme="minorBidi"/>
          <w:noProof/>
          <w:szCs w:val="22"/>
          <w:lang w:eastAsia="en-NZ"/>
        </w:rPr>
      </w:pPr>
      <w:r>
        <w:rPr>
          <w:noProof/>
        </w:rPr>
        <w:t>Table 10:</w:t>
      </w:r>
      <w:r>
        <w:rPr>
          <w:noProof/>
        </w:rPr>
        <w:tab/>
        <w:t>Objective 10 priorities for action</w:t>
      </w:r>
      <w:r>
        <w:rPr>
          <w:noProof/>
        </w:rPr>
        <w:tab/>
      </w:r>
      <w:r>
        <w:rPr>
          <w:noProof/>
        </w:rPr>
        <w:fldChar w:fldCharType="begin"/>
      </w:r>
      <w:r>
        <w:rPr>
          <w:noProof/>
        </w:rPr>
        <w:instrText xml:space="preserve"> PAGEREF _Toc522089439 \h </w:instrText>
      </w:r>
      <w:r>
        <w:rPr>
          <w:noProof/>
        </w:rPr>
      </w:r>
      <w:r>
        <w:rPr>
          <w:noProof/>
        </w:rPr>
        <w:fldChar w:fldCharType="separate"/>
      </w:r>
      <w:r w:rsidR="0012663D">
        <w:rPr>
          <w:noProof/>
        </w:rPr>
        <w:t>24</w:t>
      </w:r>
      <w:r>
        <w:rPr>
          <w:noProof/>
        </w:rPr>
        <w:fldChar w:fldCharType="end"/>
      </w:r>
    </w:p>
    <w:p w:rsidR="00EC0D76" w:rsidRDefault="00EC0D76" w:rsidP="00EC0D76">
      <w:pPr>
        <w:pStyle w:val="TOC3"/>
        <w:keepNext/>
        <w:rPr>
          <w:rFonts w:asciiTheme="minorHAnsi" w:eastAsiaTheme="minorEastAsia" w:hAnsiTheme="minorHAnsi" w:cstheme="minorBidi"/>
          <w:noProof/>
          <w:szCs w:val="22"/>
          <w:lang w:eastAsia="en-NZ"/>
        </w:rPr>
      </w:pPr>
      <w:r>
        <w:rPr>
          <w:noProof/>
        </w:rPr>
        <w:t>Table 11:</w:t>
      </w:r>
      <w:r>
        <w:rPr>
          <w:noProof/>
        </w:rPr>
        <w:tab/>
        <w:t>Objective 11 priorities for action</w:t>
      </w:r>
      <w:r>
        <w:rPr>
          <w:noProof/>
        </w:rPr>
        <w:tab/>
      </w:r>
      <w:r>
        <w:rPr>
          <w:noProof/>
        </w:rPr>
        <w:fldChar w:fldCharType="begin"/>
      </w:r>
      <w:r>
        <w:rPr>
          <w:noProof/>
        </w:rPr>
        <w:instrText xml:space="preserve"> PAGEREF _Toc522089440 \h </w:instrText>
      </w:r>
      <w:r>
        <w:rPr>
          <w:noProof/>
        </w:rPr>
      </w:r>
      <w:r>
        <w:rPr>
          <w:noProof/>
        </w:rPr>
        <w:fldChar w:fldCharType="separate"/>
      </w:r>
      <w:r w:rsidR="0012663D">
        <w:rPr>
          <w:noProof/>
        </w:rPr>
        <w:t>25</w:t>
      </w:r>
      <w:r>
        <w:rPr>
          <w:noProof/>
        </w:rPr>
        <w:fldChar w:fldCharType="end"/>
      </w:r>
    </w:p>
    <w:p w:rsidR="00EC0D76" w:rsidRDefault="00EC0D76">
      <w:pPr>
        <w:pStyle w:val="TOC3"/>
        <w:rPr>
          <w:rFonts w:asciiTheme="minorHAnsi" w:eastAsiaTheme="minorEastAsia" w:hAnsiTheme="minorHAnsi" w:cstheme="minorBidi"/>
          <w:noProof/>
          <w:szCs w:val="22"/>
          <w:lang w:eastAsia="en-NZ"/>
        </w:rPr>
      </w:pPr>
      <w:r>
        <w:rPr>
          <w:noProof/>
        </w:rPr>
        <w:t>Table 12:</w:t>
      </w:r>
      <w:r>
        <w:rPr>
          <w:noProof/>
        </w:rPr>
        <w:tab/>
        <w:t>Aligning the Strategy with He Korowai Oranga</w:t>
      </w:r>
      <w:r>
        <w:rPr>
          <w:noProof/>
        </w:rPr>
        <w:tab/>
      </w:r>
      <w:r>
        <w:rPr>
          <w:noProof/>
        </w:rPr>
        <w:fldChar w:fldCharType="begin"/>
      </w:r>
      <w:r>
        <w:rPr>
          <w:noProof/>
        </w:rPr>
        <w:instrText xml:space="preserve"> PAGEREF _Toc522089441 \h </w:instrText>
      </w:r>
      <w:r>
        <w:rPr>
          <w:noProof/>
        </w:rPr>
      </w:r>
      <w:r>
        <w:rPr>
          <w:noProof/>
        </w:rPr>
        <w:fldChar w:fldCharType="separate"/>
      </w:r>
      <w:r w:rsidR="0012663D">
        <w:rPr>
          <w:noProof/>
        </w:rPr>
        <w:t>27</w:t>
      </w:r>
      <w:r>
        <w:rPr>
          <w:noProof/>
        </w:rPr>
        <w:fldChar w:fldCharType="end"/>
      </w:r>
    </w:p>
    <w:p w:rsidR="00EC0D76" w:rsidRDefault="00EC0D76">
      <w:pPr>
        <w:pStyle w:val="TOC3"/>
        <w:rPr>
          <w:rFonts w:asciiTheme="minorHAnsi" w:eastAsiaTheme="minorEastAsia" w:hAnsiTheme="minorHAnsi" w:cstheme="minorBidi"/>
          <w:noProof/>
          <w:szCs w:val="22"/>
          <w:lang w:eastAsia="en-NZ"/>
        </w:rPr>
      </w:pPr>
      <w:r>
        <w:rPr>
          <w:noProof/>
        </w:rPr>
        <w:t>Table 13:</w:t>
      </w:r>
      <w:r>
        <w:rPr>
          <w:noProof/>
        </w:rPr>
        <w:tab/>
        <w:t>Aligning the strategy with ’Ala Mo’ui</w:t>
      </w:r>
      <w:r>
        <w:rPr>
          <w:noProof/>
        </w:rPr>
        <w:tab/>
      </w:r>
      <w:r>
        <w:rPr>
          <w:noProof/>
        </w:rPr>
        <w:fldChar w:fldCharType="begin"/>
      </w:r>
      <w:r>
        <w:rPr>
          <w:noProof/>
        </w:rPr>
        <w:instrText xml:space="preserve"> PAGEREF _Toc522089442 \h </w:instrText>
      </w:r>
      <w:r>
        <w:rPr>
          <w:noProof/>
        </w:rPr>
      </w:r>
      <w:r>
        <w:rPr>
          <w:noProof/>
        </w:rPr>
        <w:fldChar w:fldCharType="separate"/>
      </w:r>
      <w:r w:rsidR="0012663D">
        <w:rPr>
          <w:noProof/>
        </w:rPr>
        <w:t>30</w:t>
      </w:r>
      <w:r>
        <w:rPr>
          <w:noProof/>
        </w:rPr>
        <w:fldChar w:fldCharType="end"/>
      </w:r>
    </w:p>
    <w:p w:rsidR="00EC0D76" w:rsidRDefault="00EC0D76">
      <w:pPr>
        <w:pStyle w:val="TOC3"/>
        <w:rPr>
          <w:rFonts w:asciiTheme="minorHAnsi" w:eastAsiaTheme="minorEastAsia" w:hAnsiTheme="minorHAnsi" w:cstheme="minorBidi"/>
          <w:noProof/>
          <w:szCs w:val="22"/>
          <w:lang w:eastAsia="en-NZ"/>
        </w:rPr>
      </w:pPr>
      <w:r>
        <w:rPr>
          <w:noProof/>
        </w:rPr>
        <w:t>Table 14:</w:t>
      </w:r>
      <w:r>
        <w:rPr>
          <w:noProof/>
        </w:rPr>
        <w:tab/>
        <w:t>Indicative budget to prevent and minimise gambling harm (GST exclusive), 2019/20–2021/22</w:t>
      </w:r>
      <w:r>
        <w:rPr>
          <w:noProof/>
        </w:rPr>
        <w:tab/>
      </w:r>
      <w:r>
        <w:rPr>
          <w:noProof/>
        </w:rPr>
        <w:fldChar w:fldCharType="begin"/>
      </w:r>
      <w:r>
        <w:rPr>
          <w:noProof/>
        </w:rPr>
        <w:instrText xml:space="preserve"> PAGEREF _Toc522089443 \h </w:instrText>
      </w:r>
      <w:r>
        <w:rPr>
          <w:noProof/>
        </w:rPr>
      </w:r>
      <w:r>
        <w:rPr>
          <w:noProof/>
        </w:rPr>
        <w:fldChar w:fldCharType="separate"/>
      </w:r>
      <w:r w:rsidR="0012663D">
        <w:rPr>
          <w:noProof/>
        </w:rPr>
        <w:t>39</w:t>
      </w:r>
      <w:r>
        <w:rPr>
          <w:noProof/>
        </w:rPr>
        <w:fldChar w:fldCharType="end"/>
      </w:r>
    </w:p>
    <w:p w:rsidR="00EC0D76" w:rsidRDefault="00EC0D76">
      <w:pPr>
        <w:pStyle w:val="TOC3"/>
        <w:rPr>
          <w:rFonts w:asciiTheme="minorHAnsi" w:eastAsiaTheme="minorEastAsia" w:hAnsiTheme="minorHAnsi" w:cstheme="minorBidi"/>
          <w:noProof/>
          <w:szCs w:val="22"/>
          <w:lang w:eastAsia="en-NZ"/>
        </w:rPr>
      </w:pPr>
      <w:r>
        <w:rPr>
          <w:noProof/>
        </w:rPr>
        <w:t>Table 15:</w:t>
      </w:r>
      <w:r>
        <w:rPr>
          <w:noProof/>
        </w:rPr>
        <w:tab/>
        <w:t>Indicative public health budget (GST exclusive), by service area, 2019/20 to 2021/22</w:t>
      </w:r>
      <w:r>
        <w:rPr>
          <w:noProof/>
        </w:rPr>
        <w:tab/>
      </w:r>
      <w:r>
        <w:rPr>
          <w:noProof/>
        </w:rPr>
        <w:fldChar w:fldCharType="begin"/>
      </w:r>
      <w:r>
        <w:rPr>
          <w:noProof/>
        </w:rPr>
        <w:instrText xml:space="preserve"> PAGEREF _Toc522089444 \h </w:instrText>
      </w:r>
      <w:r>
        <w:rPr>
          <w:noProof/>
        </w:rPr>
      </w:r>
      <w:r>
        <w:rPr>
          <w:noProof/>
        </w:rPr>
        <w:fldChar w:fldCharType="separate"/>
      </w:r>
      <w:r w:rsidR="0012663D">
        <w:rPr>
          <w:noProof/>
        </w:rPr>
        <w:t>40</w:t>
      </w:r>
      <w:r>
        <w:rPr>
          <w:noProof/>
        </w:rPr>
        <w:fldChar w:fldCharType="end"/>
      </w:r>
    </w:p>
    <w:p w:rsidR="00EC0D76" w:rsidRDefault="00EC0D76">
      <w:pPr>
        <w:pStyle w:val="TOC3"/>
        <w:rPr>
          <w:rFonts w:asciiTheme="minorHAnsi" w:eastAsiaTheme="minorEastAsia" w:hAnsiTheme="minorHAnsi" w:cstheme="minorBidi"/>
          <w:noProof/>
          <w:szCs w:val="22"/>
          <w:lang w:eastAsia="en-NZ"/>
        </w:rPr>
      </w:pPr>
      <w:r>
        <w:rPr>
          <w:noProof/>
        </w:rPr>
        <w:t>Table 16:</w:t>
      </w:r>
      <w:r>
        <w:rPr>
          <w:noProof/>
        </w:rPr>
        <w:tab/>
        <w:t>Indicative intervention budget (GST exclusive), by service area, 2019/20 to 2021/22</w:t>
      </w:r>
      <w:r>
        <w:rPr>
          <w:noProof/>
        </w:rPr>
        <w:tab/>
      </w:r>
      <w:r>
        <w:rPr>
          <w:noProof/>
        </w:rPr>
        <w:fldChar w:fldCharType="begin"/>
      </w:r>
      <w:r>
        <w:rPr>
          <w:noProof/>
        </w:rPr>
        <w:instrText xml:space="preserve"> PAGEREF _Toc522089445 \h </w:instrText>
      </w:r>
      <w:r>
        <w:rPr>
          <w:noProof/>
        </w:rPr>
      </w:r>
      <w:r>
        <w:rPr>
          <w:noProof/>
        </w:rPr>
        <w:fldChar w:fldCharType="separate"/>
      </w:r>
      <w:r w:rsidR="0012663D">
        <w:rPr>
          <w:noProof/>
        </w:rPr>
        <w:t>43</w:t>
      </w:r>
      <w:r>
        <w:rPr>
          <w:noProof/>
        </w:rPr>
        <w:fldChar w:fldCharType="end"/>
      </w:r>
    </w:p>
    <w:p w:rsidR="00EC0D76" w:rsidRDefault="00EC0D76">
      <w:pPr>
        <w:pStyle w:val="TOC3"/>
        <w:rPr>
          <w:rFonts w:asciiTheme="minorHAnsi" w:eastAsiaTheme="minorEastAsia" w:hAnsiTheme="minorHAnsi" w:cstheme="minorBidi"/>
          <w:noProof/>
          <w:szCs w:val="22"/>
          <w:lang w:eastAsia="en-NZ"/>
        </w:rPr>
      </w:pPr>
      <w:r>
        <w:rPr>
          <w:noProof/>
        </w:rPr>
        <w:t>Table 17:</w:t>
      </w:r>
      <w:r>
        <w:rPr>
          <w:noProof/>
        </w:rPr>
        <w:tab/>
        <w:t>Indicative research and evaluation budget (GST exclusive), 2019/20 to 2021/22</w:t>
      </w:r>
      <w:r>
        <w:rPr>
          <w:noProof/>
        </w:rPr>
        <w:tab/>
      </w:r>
      <w:r>
        <w:rPr>
          <w:noProof/>
        </w:rPr>
        <w:fldChar w:fldCharType="begin"/>
      </w:r>
      <w:r>
        <w:rPr>
          <w:noProof/>
        </w:rPr>
        <w:instrText xml:space="preserve"> PAGEREF _Toc522089446 \h </w:instrText>
      </w:r>
      <w:r>
        <w:rPr>
          <w:noProof/>
        </w:rPr>
      </w:r>
      <w:r>
        <w:rPr>
          <w:noProof/>
        </w:rPr>
        <w:fldChar w:fldCharType="separate"/>
      </w:r>
      <w:r w:rsidR="0012663D">
        <w:rPr>
          <w:noProof/>
        </w:rPr>
        <w:t>46</w:t>
      </w:r>
      <w:r>
        <w:rPr>
          <w:noProof/>
        </w:rPr>
        <w:fldChar w:fldCharType="end"/>
      </w:r>
    </w:p>
    <w:p w:rsidR="00EC0D76" w:rsidRDefault="00EC0D76">
      <w:pPr>
        <w:pStyle w:val="TOC3"/>
        <w:rPr>
          <w:rFonts w:asciiTheme="minorHAnsi" w:eastAsiaTheme="minorEastAsia" w:hAnsiTheme="minorHAnsi" w:cstheme="minorBidi"/>
          <w:noProof/>
          <w:szCs w:val="22"/>
          <w:lang w:eastAsia="en-NZ"/>
        </w:rPr>
      </w:pPr>
      <w:r>
        <w:rPr>
          <w:noProof/>
        </w:rPr>
        <w:t>Table 18:</w:t>
      </w:r>
      <w:r>
        <w:rPr>
          <w:noProof/>
        </w:rPr>
        <w:tab/>
        <w:t>Indicative budget for Ministry operating costs (GST exclusive), 2019/20 to 2021/22</w:t>
      </w:r>
      <w:r>
        <w:rPr>
          <w:noProof/>
        </w:rPr>
        <w:tab/>
      </w:r>
      <w:r>
        <w:rPr>
          <w:noProof/>
        </w:rPr>
        <w:fldChar w:fldCharType="begin"/>
      </w:r>
      <w:r>
        <w:rPr>
          <w:noProof/>
        </w:rPr>
        <w:instrText xml:space="preserve"> PAGEREF _Toc522089447 \h </w:instrText>
      </w:r>
      <w:r>
        <w:rPr>
          <w:noProof/>
        </w:rPr>
      </w:r>
      <w:r>
        <w:rPr>
          <w:noProof/>
        </w:rPr>
        <w:fldChar w:fldCharType="separate"/>
      </w:r>
      <w:r w:rsidR="0012663D">
        <w:rPr>
          <w:noProof/>
        </w:rPr>
        <w:t>47</w:t>
      </w:r>
      <w:r>
        <w:rPr>
          <w:noProof/>
        </w:rPr>
        <w:fldChar w:fldCharType="end"/>
      </w:r>
    </w:p>
    <w:p w:rsidR="00EC0D76" w:rsidRDefault="00EC0D76">
      <w:pPr>
        <w:pStyle w:val="TOC3"/>
        <w:rPr>
          <w:rFonts w:asciiTheme="minorHAnsi" w:eastAsiaTheme="minorEastAsia" w:hAnsiTheme="minorHAnsi" w:cstheme="minorBidi"/>
          <w:noProof/>
          <w:szCs w:val="22"/>
          <w:lang w:eastAsia="en-NZ"/>
        </w:rPr>
      </w:pPr>
      <w:r>
        <w:rPr>
          <w:noProof/>
        </w:rPr>
        <w:t>Table 19:</w:t>
      </w:r>
      <w:r>
        <w:rPr>
          <w:noProof/>
        </w:rPr>
        <w:tab/>
        <w:t>Gambling expenditure and proportions from the four main sectors, 2009/10 to 2016/17</w:t>
      </w:r>
      <w:r>
        <w:rPr>
          <w:noProof/>
        </w:rPr>
        <w:tab/>
      </w:r>
      <w:r>
        <w:rPr>
          <w:noProof/>
        </w:rPr>
        <w:fldChar w:fldCharType="begin"/>
      </w:r>
      <w:r>
        <w:rPr>
          <w:noProof/>
        </w:rPr>
        <w:instrText xml:space="preserve"> PAGEREF _Toc522089448 \h </w:instrText>
      </w:r>
      <w:r>
        <w:rPr>
          <w:noProof/>
        </w:rPr>
      </w:r>
      <w:r>
        <w:rPr>
          <w:noProof/>
        </w:rPr>
        <w:fldChar w:fldCharType="separate"/>
      </w:r>
      <w:r w:rsidR="0012663D">
        <w:rPr>
          <w:noProof/>
        </w:rPr>
        <w:t>50</w:t>
      </w:r>
      <w:r>
        <w:rPr>
          <w:noProof/>
        </w:rPr>
        <w:fldChar w:fldCharType="end"/>
      </w:r>
    </w:p>
    <w:p w:rsidR="00EC0D76" w:rsidRDefault="00EC0D76">
      <w:pPr>
        <w:pStyle w:val="TOC3"/>
        <w:rPr>
          <w:rFonts w:asciiTheme="minorHAnsi" w:eastAsiaTheme="minorEastAsia" w:hAnsiTheme="minorHAnsi" w:cstheme="minorBidi"/>
          <w:noProof/>
          <w:szCs w:val="22"/>
          <w:lang w:eastAsia="en-NZ"/>
        </w:rPr>
      </w:pPr>
      <w:r>
        <w:rPr>
          <w:noProof/>
        </w:rPr>
        <w:t>Table 20:</w:t>
      </w:r>
      <w:r>
        <w:rPr>
          <w:noProof/>
        </w:rPr>
        <w:tab/>
        <w:t>Presentations and proportions attributed to the four main sectors, 2004/05 to 2016/17</w:t>
      </w:r>
      <w:r>
        <w:rPr>
          <w:noProof/>
        </w:rPr>
        <w:tab/>
      </w:r>
      <w:r>
        <w:rPr>
          <w:noProof/>
        </w:rPr>
        <w:fldChar w:fldCharType="begin"/>
      </w:r>
      <w:r>
        <w:rPr>
          <w:noProof/>
        </w:rPr>
        <w:instrText xml:space="preserve"> PAGEREF _Toc522089449 \h </w:instrText>
      </w:r>
      <w:r>
        <w:rPr>
          <w:noProof/>
        </w:rPr>
      </w:r>
      <w:r>
        <w:rPr>
          <w:noProof/>
        </w:rPr>
        <w:fldChar w:fldCharType="separate"/>
      </w:r>
      <w:r w:rsidR="0012663D">
        <w:rPr>
          <w:noProof/>
        </w:rPr>
        <w:t>52</w:t>
      </w:r>
      <w:r>
        <w:rPr>
          <w:noProof/>
        </w:rPr>
        <w:fldChar w:fldCharType="end"/>
      </w:r>
    </w:p>
    <w:p w:rsidR="00EC0D76" w:rsidRDefault="00EC0D76">
      <w:pPr>
        <w:pStyle w:val="TOC3"/>
        <w:rPr>
          <w:rFonts w:asciiTheme="minorHAnsi" w:eastAsiaTheme="minorEastAsia" w:hAnsiTheme="minorHAnsi" w:cstheme="minorBidi"/>
          <w:noProof/>
          <w:szCs w:val="22"/>
          <w:lang w:eastAsia="en-NZ"/>
        </w:rPr>
      </w:pPr>
      <w:r>
        <w:rPr>
          <w:noProof/>
        </w:rPr>
        <w:t>Table 21:</w:t>
      </w:r>
      <w:r>
        <w:rPr>
          <w:noProof/>
        </w:rPr>
        <w:tab/>
        <w:t>Forecast expenditure by sector (GST inclusive), 2019/20 to 2021/22</w:t>
      </w:r>
      <w:r>
        <w:rPr>
          <w:noProof/>
        </w:rPr>
        <w:tab/>
      </w:r>
      <w:r>
        <w:rPr>
          <w:noProof/>
        </w:rPr>
        <w:fldChar w:fldCharType="begin"/>
      </w:r>
      <w:r>
        <w:rPr>
          <w:noProof/>
        </w:rPr>
        <w:instrText xml:space="preserve"> PAGEREF _Toc522089450 \h </w:instrText>
      </w:r>
      <w:r>
        <w:rPr>
          <w:noProof/>
        </w:rPr>
      </w:r>
      <w:r>
        <w:rPr>
          <w:noProof/>
        </w:rPr>
        <w:fldChar w:fldCharType="separate"/>
      </w:r>
      <w:r w:rsidR="0012663D">
        <w:rPr>
          <w:noProof/>
        </w:rPr>
        <w:t>55</w:t>
      </w:r>
      <w:r>
        <w:rPr>
          <w:noProof/>
        </w:rPr>
        <w:fldChar w:fldCharType="end"/>
      </w:r>
    </w:p>
    <w:p w:rsidR="00EC0D76" w:rsidRDefault="00EC0D76">
      <w:pPr>
        <w:pStyle w:val="TOC3"/>
        <w:rPr>
          <w:rFonts w:asciiTheme="minorHAnsi" w:eastAsiaTheme="minorEastAsia" w:hAnsiTheme="minorHAnsi" w:cstheme="minorBidi"/>
          <w:noProof/>
          <w:szCs w:val="22"/>
          <w:lang w:eastAsia="en-NZ"/>
        </w:rPr>
      </w:pPr>
      <w:r>
        <w:rPr>
          <w:noProof/>
        </w:rPr>
        <w:t>Table 22:</w:t>
      </w:r>
      <w:r>
        <w:rPr>
          <w:noProof/>
        </w:rPr>
        <w:tab/>
        <w:t>Estimated underpayment or overpayment of problem gambling levy, 2004/05 to 2018/19, by sector</w:t>
      </w:r>
      <w:r>
        <w:rPr>
          <w:noProof/>
        </w:rPr>
        <w:tab/>
      </w:r>
      <w:r>
        <w:rPr>
          <w:noProof/>
        </w:rPr>
        <w:fldChar w:fldCharType="begin"/>
      </w:r>
      <w:r>
        <w:rPr>
          <w:noProof/>
        </w:rPr>
        <w:instrText xml:space="preserve"> PAGEREF _Toc522089451 \h </w:instrText>
      </w:r>
      <w:r>
        <w:rPr>
          <w:noProof/>
        </w:rPr>
      </w:r>
      <w:r>
        <w:rPr>
          <w:noProof/>
        </w:rPr>
        <w:fldChar w:fldCharType="separate"/>
      </w:r>
      <w:r w:rsidR="0012663D">
        <w:rPr>
          <w:noProof/>
        </w:rPr>
        <w:t>56</w:t>
      </w:r>
      <w:r>
        <w:rPr>
          <w:noProof/>
        </w:rPr>
        <w:fldChar w:fldCharType="end"/>
      </w:r>
    </w:p>
    <w:p w:rsidR="00EC0D76" w:rsidRDefault="00EC0D76">
      <w:pPr>
        <w:pStyle w:val="TOC3"/>
        <w:rPr>
          <w:rFonts w:asciiTheme="minorHAnsi" w:eastAsiaTheme="minorEastAsia" w:hAnsiTheme="minorHAnsi" w:cstheme="minorBidi"/>
          <w:noProof/>
          <w:szCs w:val="22"/>
          <w:lang w:eastAsia="en-NZ"/>
        </w:rPr>
      </w:pPr>
      <w:r>
        <w:rPr>
          <w:noProof/>
        </w:rPr>
        <w:t>Table 23:</w:t>
      </w:r>
      <w:r>
        <w:rPr>
          <w:noProof/>
        </w:rPr>
        <w:tab/>
        <w:t>Share of presentations and expenditure by sector, for 2017</w:t>
      </w:r>
      <w:r>
        <w:rPr>
          <w:noProof/>
        </w:rPr>
        <w:tab/>
      </w:r>
      <w:r>
        <w:rPr>
          <w:noProof/>
        </w:rPr>
        <w:fldChar w:fldCharType="begin"/>
      </w:r>
      <w:r>
        <w:rPr>
          <w:noProof/>
        </w:rPr>
        <w:instrText xml:space="preserve"> PAGEREF _Toc522089452 \h </w:instrText>
      </w:r>
      <w:r>
        <w:rPr>
          <w:noProof/>
        </w:rPr>
      </w:r>
      <w:r>
        <w:rPr>
          <w:noProof/>
        </w:rPr>
        <w:fldChar w:fldCharType="separate"/>
      </w:r>
      <w:r w:rsidR="0012663D">
        <w:rPr>
          <w:noProof/>
        </w:rPr>
        <w:t>57</w:t>
      </w:r>
      <w:r>
        <w:rPr>
          <w:noProof/>
        </w:rPr>
        <w:fldChar w:fldCharType="end"/>
      </w:r>
    </w:p>
    <w:p w:rsidR="00EC0D76" w:rsidRDefault="00EC0D76">
      <w:pPr>
        <w:pStyle w:val="TOC3"/>
        <w:rPr>
          <w:rFonts w:asciiTheme="minorHAnsi" w:eastAsiaTheme="minorEastAsia" w:hAnsiTheme="minorHAnsi" w:cstheme="minorBidi"/>
          <w:noProof/>
          <w:szCs w:val="22"/>
          <w:lang w:eastAsia="en-NZ"/>
        </w:rPr>
      </w:pPr>
      <w:r>
        <w:rPr>
          <w:noProof/>
        </w:rPr>
        <w:t>Table 24:</w:t>
      </w:r>
      <w:r>
        <w:rPr>
          <w:noProof/>
        </w:rPr>
        <w:tab/>
        <w:t>Estimated levy rates and payments ($m) per sector: 5/95 weighting</w:t>
      </w:r>
      <w:r>
        <w:rPr>
          <w:noProof/>
        </w:rPr>
        <w:tab/>
      </w:r>
      <w:r>
        <w:rPr>
          <w:noProof/>
        </w:rPr>
        <w:fldChar w:fldCharType="begin"/>
      </w:r>
      <w:r>
        <w:rPr>
          <w:noProof/>
        </w:rPr>
        <w:instrText xml:space="preserve"> PAGEREF _Toc522089453 \h </w:instrText>
      </w:r>
      <w:r>
        <w:rPr>
          <w:noProof/>
        </w:rPr>
      </w:r>
      <w:r>
        <w:rPr>
          <w:noProof/>
        </w:rPr>
        <w:fldChar w:fldCharType="separate"/>
      </w:r>
      <w:r w:rsidR="0012663D">
        <w:rPr>
          <w:noProof/>
        </w:rPr>
        <w:t>59</w:t>
      </w:r>
      <w:r>
        <w:rPr>
          <w:noProof/>
        </w:rPr>
        <w:fldChar w:fldCharType="end"/>
      </w:r>
    </w:p>
    <w:p w:rsidR="00EC0D76" w:rsidRDefault="00EC0D76">
      <w:pPr>
        <w:pStyle w:val="TOC3"/>
        <w:rPr>
          <w:rFonts w:asciiTheme="minorHAnsi" w:eastAsiaTheme="minorEastAsia" w:hAnsiTheme="minorHAnsi" w:cstheme="minorBidi"/>
          <w:noProof/>
          <w:szCs w:val="22"/>
          <w:lang w:eastAsia="en-NZ"/>
        </w:rPr>
      </w:pPr>
      <w:r>
        <w:rPr>
          <w:noProof/>
        </w:rPr>
        <w:t>Table 25:</w:t>
      </w:r>
      <w:r>
        <w:rPr>
          <w:noProof/>
        </w:rPr>
        <w:tab/>
        <w:t>Estimated levy rates and payments ($m) per sector: 10/90 weighting</w:t>
      </w:r>
      <w:r>
        <w:rPr>
          <w:noProof/>
        </w:rPr>
        <w:tab/>
      </w:r>
      <w:r>
        <w:rPr>
          <w:noProof/>
        </w:rPr>
        <w:fldChar w:fldCharType="begin"/>
      </w:r>
      <w:r>
        <w:rPr>
          <w:noProof/>
        </w:rPr>
        <w:instrText xml:space="preserve"> PAGEREF _Toc522089454 \h </w:instrText>
      </w:r>
      <w:r>
        <w:rPr>
          <w:noProof/>
        </w:rPr>
      </w:r>
      <w:r>
        <w:rPr>
          <w:noProof/>
        </w:rPr>
        <w:fldChar w:fldCharType="separate"/>
      </w:r>
      <w:r w:rsidR="0012663D">
        <w:rPr>
          <w:noProof/>
        </w:rPr>
        <w:t>59</w:t>
      </w:r>
      <w:r>
        <w:rPr>
          <w:noProof/>
        </w:rPr>
        <w:fldChar w:fldCharType="end"/>
      </w:r>
    </w:p>
    <w:p w:rsidR="00EC0D76" w:rsidRDefault="00EC0D76">
      <w:pPr>
        <w:pStyle w:val="TOC3"/>
        <w:rPr>
          <w:rFonts w:asciiTheme="minorHAnsi" w:eastAsiaTheme="minorEastAsia" w:hAnsiTheme="minorHAnsi" w:cstheme="minorBidi"/>
          <w:noProof/>
          <w:szCs w:val="22"/>
          <w:lang w:eastAsia="en-NZ"/>
        </w:rPr>
      </w:pPr>
      <w:r>
        <w:rPr>
          <w:noProof/>
        </w:rPr>
        <w:t>Table 26:</w:t>
      </w:r>
      <w:r>
        <w:rPr>
          <w:noProof/>
        </w:rPr>
        <w:tab/>
        <w:t>Estimated levy rates and payments ($m) per sector: 20/80 weighting</w:t>
      </w:r>
      <w:r>
        <w:rPr>
          <w:noProof/>
        </w:rPr>
        <w:tab/>
      </w:r>
      <w:r>
        <w:rPr>
          <w:noProof/>
        </w:rPr>
        <w:fldChar w:fldCharType="begin"/>
      </w:r>
      <w:r>
        <w:rPr>
          <w:noProof/>
        </w:rPr>
        <w:instrText xml:space="preserve"> PAGEREF _Toc522089455 \h </w:instrText>
      </w:r>
      <w:r>
        <w:rPr>
          <w:noProof/>
        </w:rPr>
      </w:r>
      <w:r>
        <w:rPr>
          <w:noProof/>
        </w:rPr>
        <w:fldChar w:fldCharType="separate"/>
      </w:r>
      <w:r w:rsidR="0012663D">
        <w:rPr>
          <w:noProof/>
        </w:rPr>
        <w:t>60</w:t>
      </w:r>
      <w:r>
        <w:rPr>
          <w:noProof/>
        </w:rPr>
        <w:fldChar w:fldCharType="end"/>
      </w:r>
    </w:p>
    <w:p w:rsidR="00EC0D76" w:rsidRDefault="00EC0D76">
      <w:pPr>
        <w:pStyle w:val="TOC3"/>
        <w:rPr>
          <w:rFonts w:asciiTheme="minorHAnsi" w:eastAsiaTheme="minorEastAsia" w:hAnsiTheme="minorHAnsi" w:cstheme="minorBidi"/>
          <w:noProof/>
          <w:szCs w:val="22"/>
          <w:lang w:eastAsia="en-NZ"/>
        </w:rPr>
      </w:pPr>
      <w:r>
        <w:rPr>
          <w:noProof/>
        </w:rPr>
        <w:t>Table 27:</w:t>
      </w:r>
      <w:r>
        <w:rPr>
          <w:noProof/>
        </w:rPr>
        <w:tab/>
        <w:t>Estimated levy rates and payments ($m) per sector: 30/70 weighting</w:t>
      </w:r>
      <w:r>
        <w:rPr>
          <w:noProof/>
        </w:rPr>
        <w:tab/>
      </w:r>
      <w:r>
        <w:rPr>
          <w:noProof/>
        </w:rPr>
        <w:fldChar w:fldCharType="begin"/>
      </w:r>
      <w:r>
        <w:rPr>
          <w:noProof/>
        </w:rPr>
        <w:instrText xml:space="preserve"> PAGEREF _Toc522089456 \h </w:instrText>
      </w:r>
      <w:r>
        <w:rPr>
          <w:noProof/>
        </w:rPr>
      </w:r>
      <w:r>
        <w:rPr>
          <w:noProof/>
        </w:rPr>
        <w:fldChar w:fldCharType="separate"/>
      </w:r>
      <w:r w:rsidR="0012663D">
        <w:rPr>
          <w:noProof/>
        </w:rPr>
        <w:t>60</w:t>
      </w:r>
      <w:r>
        <w:rPr>
          <w:noProof/>
        </w:rPr>
        <w:fldChar w:fldCharType="end"/>
      </w:r>
    </w:p>
    <w:p w:rsidR="00C86248" w:rsidRDefault="00C86248" w:rsidP="0030382F">
      <w:r>
        <w:fldChar w:fldCharType="end"/>
      </w:r>
    </w:p>
    <w:p w:rsidR="005C1D13" w:rsidRDefault="005C1D13" w:rsidP="0030382F">
      <w:pPr>
        <w:sectPr w:rsidR="005C1D13" w:rsidSect="009D5125">
          <w:headerReference w:type="even" r:id="rId26"/>
          <w:headerReference w:type="default" r:id="rId27"/>
          <w:footerReference w:type="even" r:id="rId28"/>
          <w:footerReference w:type="default" r:id="rId29"/>
          <w:headerReference w:type="first" r:id="rId30"/>
          <w:pgSz w:w="11907" w:h="16840" w:code="9"/>
          <w:pgMar w:top="851" w:right="1134" w:bottom="1134" w:left="1134" w:header="284" w:footer="567" w:gutter="284"/>
          <w:pgNumType w:fmt="lowerRoman"/>
          <w:cols w:space="720"/>
        </w:sectPr>
      </w:pPr>
    </w:p>
    <w:p w:rsidR="005C1D13" w:rsidRDefault="005C1D13" w:rsidP="0030382F"/>
    <w:p w:rsidR="005C1D13" w:rsidRDefault="005C1D13" w:rsidP="0030382F">
      <w:pPr>
        <w:sectPr w:rsidR="005C1D13" w:rsidSect="009D5125">
          <w:footerReference w:type="even" r:id="rId31"/>
          <w:headerReference w:type="first" r:id="rId32"/>
          <w:pgSz w:w="11907" w:h="16840" w:code="9"/>
          <w:pgMar w:top="851" w:right="1134" w:bottom="1134" w:left="1134" w:header="284" w:footer="567" w:gutter="284"/>
          <w:pgNumType w:fmt="lowerRoman"/>
          <w:cols w:space="720"/>
        </w:sectPr>
      </w:pPr>
    </w:p>
    <w:p w:rsidR="00EA61F0" w:rsidRPr="00C93899" w:rsidRDefault="00EA61F0" w:rsidP="00EA61F0">
      <w:pPr>
        <w:pStyle w:val="Heading1"/>
        <w:numPr>
          <w:ilvl w:val="0"/>
          <w:numId w:val="0"/>
        </w:numPr>
        <w:spacing w:line="240" w:lineRule="auto"/>
      </w:pPr>
      <w:bookmarkStart w:id="3" w:name="_Toc522089382"/>
      <w:r w:rsidRPr="00C93899">
        <w:lastRenderedPageBreak/>
        <w:t xml:space="preserve">Executive </w:t>
      </w:r>
      <w:bookmarkStart w:id="4" w:name="ES"/>
      <w:bookmarkEnd w:id="4"/>
      <w:r>
        <w:t>s</w:t>
      </w:r>
      <w:r w:rsidRPr="00C93899">
        <w:t>ummary</w:t>
      </w:r>
      <w:bookmarkEnd w:id="3"/>
    </w:p>
    <w:p w:rsidR="00A60EDB" w:rsidRPr="008A4FAB" w:rsidRDefault="00A60EDB" w:rsidP="00A60EDB">
      <w:r w:rsidRPr="008A4FAB">
        <w:t>The Ministry of Health is seeking submissions by 21 September 2018 on its proposals to refresh of the Strategy to Prevent and Minimise Gambling Harm and the associated problem gambling levy</w:t>
      </w:r>
      <w:r w:rsidRPr="008A4FAB" w:rsidDel="00692487">
        <w:t xml:space="preserve"> </w:t>
      </w:r>
      <w:r w:rsidRPr="008A4FAB">
        <w:t>for 2019/20 to 2021/22</w:t>
      </w:r>
      <w:r>
        <w:t xml:space="preserve"> </w:t>
      </w:r>
    </w:p>
    <w:p w:rsidR="00A60EDB" w:rsidRDefault="00A60EDB" w:rsidP="00A60EDB">
      <w:pPr>
        <w:rPr>
          <w:b/>
        </w:rPr>
      </w:pPr>
    </w:p>
    <w:p w:rsidR="00A60EDB" w:rsidRPr="00C93899" w:rsidRDefault="00A60EDB" w:rsidP="00A60EDB">
      <w:r w:rsidRPr="00C93899">
        <w:t>The Gambling Act 2003 (the Act) recognises that gambling harm is a significant i</w:t>
      </w:r>
      <w:r>
        <w:t>ssue and requires the development and implementation</w:t>
      </w:r>
      <w:r w:rsidRPr="00C93899">
        <w:t xml:space="preserve"> of an ‘integrated problem gambling strategy focused on public health’</w:t>
      </w:r>
      <w:r>
        <w:t xml:space="preserve">. </w:t>
      </w:r>
      <w:r w:rsidRPr="00C93899">
        <w:t xml:space="preserve">The Act specifies components </w:t>
      </w:r>
      <w:r>
        <w:t xml:space="preserve">of the strategy that include </w:t>
      </w:r>
      <w:r w:rsidRPr="00C93899">
        <w:t>a needs assessment, measures to promote public health, services to treat and assist problem gamblers and their families</w:t>
      </w:r>
      <w:r>
        <w:t xml:space="preserve"> and </w:t>
      </w:r>
      <w:proofErr w:type="spellStart"/>
      <w:r w:rsidRPr="00C93899">
        <w:t>whānau</w:t>
      </w:r>
      <w:proofErr w:type="spellEnd"/>
      <w:r w:rsidRPr="00C93899">
        <w:t xml:space="preserve">, </w:t>
      </w:r>
      <w:r>
        <w:t xml:space="preserve">and </w:t>
      </w:r>
      <w:r w:rsidRPr="00C93899">
        <w:t>independent scientific research and evaluation.</w:t>
      </w:r>
    </w:p>
    <w:p w:rsidR="00A60EDB" w:rsidRDefault="00A60EDB" w:rsidP="00A60EDB"/>
    <w:p w:rsidR="00A60EDB" w:rsidRPr="00C93899" w:rsidRDefault="00A60EDB" w:rsidP="00A60EDB">
      <w:r w:rsidRPr="00C93899">
        <w:t>The Ministry of Health is responsible for the strategy</w:t>
      </w:r>
      <w:r>
        <w:t xml:space="preserve"> and it is refreshed every three years. </w:t>
      </w:r>
      <w:r w:rsidRPr="00C93899">
        <w:t xml:space="preserve">The Crown recovers the cost of developing and implementing the strategy using a ‘problem gambling levy’ set by regulation at a different rate for each of the main gambling sectors. </w:t>
      </w:r>
    </w:p>
    <w:p w:rsidR="00A60EDB" w:rsidRDefault="00A60EDB" w:rsidP="00A60EDB"/>
    <w:p w:rsidR="00A60EDB" w:rsidRPr="00277D83" w:rsidRDefault="00A60EDB" w:rsidP="00A60EDB">
      <w:pPr>
        <w:pStyle w:val="Heading2"/>
        <w:numPr>
          <w:ilvl w:val="0"/>
          <w:numId w:val="0"/>
        </w:numPr>
        <w:ind w:left="851" w:hanging="851"/>
      </w:pPr>
      <w:r>
        <w:t>Gambling harm n</w:t>
      </w:r>
      <w:r w:rsidRPr="00277D83">
        <w:t xml:space="preserve">eeds </w:t>
      </w:r>
      <w:r>
        <w:t>a</w:t>
      </w:r>
      <w:r w:rsidRPr="00277D83">
        <w:t>ssessment</w:t>
      </w:r>
    </w:p>
    <w:p w:rsidR="00A60EDB" w:rsidRPr="00C93899" w:rsidRDefault="00A60EDB" w:rsidP="00A60EDB">
      <w:r>
        <w:t xml:space="preserve">The Ministry conducted a needs assessment to help develop the draft strategy. Based on </w:t>
      </w:r>
      <w:r w:rsidRPr="00C93899">
        <w:t xml:space="preserve">interviews with key stakeholders, a service provider survey and literature review, </w:t>
      </w:r>
      <w:r>
        <w:t xml:space="preserve">the needs assessment </w:t>
      </w:r>
      <w:r w:rsidRPr="00C93899">
        <w:t xml:space="preserve">found that </w:t>
      </w:r>
      <w:r>
        <w:t xml:space="preserve">the number </w:t>
      </w:r>
      <w:r w:rsidRPr="00C93899">
        <w:t>of people affected by gambling harm has increased in line with population growth</w:t>
      </w:r>
      <w:r>
        <w:t xml:space="preserve">, </w:t>
      </w:r>
      <w:r w:rsidRPr="00C93899">
        <w:t>harm reduction impacts have plateaued over the past seven years</w:t>
      </w:r>
      <w:r>
        <w:t xml:space="preserve"> and that health </w:t>
      </w:r>
      <w:r w:rsidRPr="00C93899">
        <w:t>inequities persist for the most affected at</w:t>
      </w:r>
      <w:r>
        <w:t>-</w:t>
      </w:r>
      <w:r w:rsidRPr="00C93899">
        <w:t>risk population groups.</w:t>
      </w:r>
      <w:r w:rsidRPr="00732011">
        <w:t xml:space="preserve"> </w:t>
      </w:r>
      <w:r>
        <w:t xml:space="preserve">It concluded that changes are </w:t>
      </w:r>
      <w:r w:rsidRPr="00C93899">
        <w:t xml:space="preserve">necessary to make inroads to reducing gambling harm. </w:t>
      </w:r>
    </w:p>
    <w:p w:rsidR="00A60EDB" w:rsidRDefault="00A60EDB" w:rsidP="00A60EDB"/>
    <w:p w:rsidR="00A60EDB" w:rsidRDefault="00A60EDB" w:rsidP="00A60EDB">
      <w:r>
        <w:t xml:space="preserve">The </w:t>
      </w:r>
      <w:r w:rsidRPr="00C93899">
        <w:t>Ministry proposes t</w:t>
      </w:r>
      <w:r>
        <w:t xml:space="preserve">he new strategy for 2019/20 to 2021/22 </w:t>
      </w:r>
      <w:r w:rsidRPr="00C93899">
        <w:t>refocus and revitalise activities to achieve further gains in gambling harm reduction</w:t>
      </w:r>
      <w:r>
        <w:t>.</w:t>
      </w:r>
      <w:r w:rsidRPr="00C93899">
        <w:t xml:space="preserve"> </w:t>
      </w:r>
      <w:r>
        <w:t xml:space="preserve"> </w:t>
      </w:r>
    </w:p>
    <w:p w:rsidR="00A60EDB" w:rsidRDefault="00A60EDB" w:rsidP="00A60EDB"/>
    <w:p w:rsidR="00A60EDB" w:rsidRPr="001021BB" w:rsidRDefault="00A60EDB" w:rsidP="00A60EDB">
      <w:pPr>
        <w:pStyle w:val="Heading2"/>
        <w:numPr>
          <w:ilvl w:val="0"/>
          <w:numId w:val="0"/>
        </w:numPr>
        <w:ind w:left="851" w:hanging="851"/>
      </w:pPr>
      <w:r>
        <w:t xml:space="preserve">Section 2: </w:t>
      </w:r>
      <w:r w:rsidRPr="001021BB">
        <w:t>Strategic direction</w:t>
      </w:r>
    </w:p>
    <w:p w:rsidR="00A60EDB" w:rsidRPr="00857F29" w:rsidRDefault="00A60EDB" w:rsidP="00A60EDB">
      <w:r>
        <w:t xml:space="preserve">Section 2 sets out the strategic direction for 2019/20 to 2021/22. The </w:t>
      </w:r>
      <w:r w:rsidRPr="00857F29">
        <w:t>Ministry proposes minor changes to the</w:t>
      </w:r>
      <w:r>
        <w:t xml:space="preserve"> current </w:t>
      </w:r>
      <w:r w:rsidRPr="00857F29">
        <w:t xml:space="preserve">strategic framework </w:t>
      </w:r>
      <w:r>
        <w:t xml:space="preserve">and is </w:t>
      </w:r>
      <w:r w:rsidRPr="00857F29">
        <w:t xml:space="preserve">based on an outcomes framework agreed </w:t>
      </w:r>
      <w:r>
        <w:t xml:space="preserve">to </w:t>
      </w:r>
      <w:r w:rsidRPr="00857F29">
        <w:t xml:space="preserve">by both the gambling industry and gambling </w:t>
      </w:r>
      <w:r>
        <w:t>harm s</w:t>
      </w:r>
      <w:r w:rsidRPr="00857F29">
        <w:t>ervices</w:t>
      </w:r>
      <w:r>
        <w:t xml:space="preserve">. </w:t>
      </w:r>
    </w:p>
    <w:p w:rsidR="00A60EDB" w:rsidRDefault="00A60EDB" w:rsidP="00A60EDB"/>
    <w:p w:rsidR="00A60EDB" w:rsidRDefault="00A60EDB" w:rsidP="00A60EDB">
      <w:r>
        <w:t xml:space="preserve">Proposed changes include promoting safer gambling environments and host responsibilities, and to target research and evaluation to strengthen our knowledge about harm reduction and prevention. This will address health inequities prevalent in Māori, Pacific and Asian communities and people in areas of high social deprivation. </w:t>
      </w:r>
    </w:p>
    <w:p w:rsidR="00A60EDB" w:rsidRDefault="00A60EDB" w:rsidP="00A60EDB"/>
    <w:p w:rsidR="00A60EDB" w:rsidRPr="001021BB" w:rsidRDefault="00A60EDB" w:rsidP="00A60EDB">
      <w:pPr>
        <w:pStyle w:val="Heading2"/>
        <w:numPr>
          <w:ilvl w:val="0"/>
          <w:numId w:val="0"/>
        </w:numPr>
        <w:ind w:left="851" w:hanging="851"/>
      </w:pPr>
      <w:r>
        <w:t xml:space="preserve">Section 3: </w:t>
      </w:r>
      <w:r w:rsidRPr="001021BB">
        <w:t>Service plan</w:t>
      </w:r>
    </w:p>
    <w:p w:rsidR="00A60EDB" w:rsidRPr="00C93899" w:rsidRDefault="00A60EDB" w:rsidP="00A60EDB">
      <w:r>
        <w:t xml:space="preserve">Section 3 outlines the proposed services and indicative budgets for the next three years. </w:t>
      </w:r>
      <w:r w:rsidRPr="00C93899">
        <w:t xml:space="preserve">The Ministry proposes to </w:t>
      </w:r>
      <w:r>
        <w:t xml:space="preserve">increase the range of services by introducing residential care and peer support. The Ministry also intends to </w:t>
      </w:r>
      <w:r w:rsidRPr="00C93899">
        <w:t xml:space="preserve">pilot </w:t>
      </w:r>
      <w:r>
        <w:t xml:space="preserve">new </w:t>
      </w:r>
      <w:r w:rsidRPr="00C93899">
        <w:t>service models, covering public health and intervention services, co-designed with stakeholders and consumers</w:t>
      </w:r>
      <w:r>
        <w:t xml:space="preserve">. </w:t>
      </w:r>
      <w:r w:rsidRPr="00C93899">
        <w:t>The pilot</w:t>
      </w:r>
      <w:r>
        <w:t xml:space="preserve"> </w:t>
      </w:r>
      <w:r w:rsidRPr="00C93899">
        <w:t>w</w:t>
      </w:r>
      <w:r>
        <w:t>ill</w:t>
      </w:r>
      <w:r w:rsidRPr="00C93899">
        <w:t xml:space="preserve"> address service gaps and areas of systemic, persistent gambling harm, </w:t>
      </w:r>
      <w:r>
        <w:t xml:space="preserve">and </w:t>
      </w:r>
      <w:r w:rsidRPr="00C93899">
        <w:t>w</w:t>
      </w:r>
      <w:r>
        <w:t>ill</w:t>
      </w:r>
      <w:r w:rsidRPr="00C93899">
        <w:t xml:space="preserve"> be evaluated.</w:t>
      </w:r>
    </w:p>
    <w:p w:rsidR="00A60EDB" w:rsidRDefault="00A60EDB" w:rsidP="00A60EDB"/>
    <w:p w:rsidR="00A60EDB" w:rsidRDefault="00A60EDB" w:rsidP="00A60EDB">
      <w:r w:rsidRPr="00C93899">
        <w:lastRenderedPageBreak/>
        <w:t>The needs assessment also clearly shows that approximately 50</w:t>
      </w:r>
      <w:r>
        <w:t xml:space="preserve"> percent</w:t>
      </w:r>
      <w:r w:rsidRPr="00C93899">
        <w:t xml:space="preserve"> of all electronic gaming machines or ‘pokies’ are in the most socioeconomically deprived areas of the country. Th</w:t>
      </w:r>
      <w:r>
        <w:t xml:space="preserve">is consultation document seeks your views about </w:t>
      </w:r>
      <w:r w:rsidRPr="00C93899">
        <w:t>whether</w:t>
      </w:r>
      <w:r>
        <w:t xml:space="preserve"> gambling</w:t>
      </w:r>
      <w:r w:rsidRPr="00C93899">
        <w:t xml:space="preserve"> operators should be incentivised to move machines, and what barriers currently exist to doing so</w:t>
      </w:r>
      <w:r>
        <w:t>.</w:t>
      </w:r>
    </w:p>
    <w:p w:rsidR="00A60EDB" w:rsidRPr="00C93899" w:rsidRDefault="00A60EDB" w:rsidP="00A60EDB"/>
    <w:p w:rsidR="00A60EDB" w:rsidRDefault="00A60EDB" w:rsidP="00A60EDB">
      <w:r w:rsidRPr="00C93899">
        <w:t xml:space="preserve">The Ministry does not propose to increase the </w:t>
      </w:r>
      <w:r>
        <w:t xml:space="preserve">three year </w:t>
      </w:r>
      <w:r w:rsidRPr="00C93899">
        <w:t xml:space="preserve">appropriation </w:t>
      </w:r>
      <w:r>
        <w:t xml:space="preserve">of $55.339 million </w:t>
      </w:r>
      <w:r w:rsidRPr="00C93899">
        <w:t xml:space="preserve">to </w:t>
      </w:r>
      <w:r>
        <w:t xml:space="preserve">fund the proposed increased services, which </w:t>
      </w:r>
      <w:r w:rsidRPr="00C93899">
        <w:t xml:space="preserve">will </w:t>
      </w:r>
      <w:r>
        <w:t xml:space="preserve">be </w:t>
      </w:r>
      <w:r w:rsidRPr="00C93899">
        <w:t>fund</w:t>
      </w:r>
      <w:r>
        <w:t xml:space="preserve">ed from </w:t>
      </w:r>
      <w:r w:rsidRPr="00C93899">
        <w:t xml:space="preserve">accumulated </w:t>
      </w:r>
      <w:r>
        <w:t xml:space="preserve">underspent </w:t>
      </w:r>
      <w:r w:rsidRPr="006F5394">
        <w:t xml:space="preserve">funds </w:t>
      </w:r>
      <w:r>
        <w:t>of $5 million</w:t>
      </w:r>
      <w:r w:rsidRPr="00C93899">
        <w:t xml:space="preserve">.  </w:t>
      </w:r>
    </w:p>
    <w:p w:rsidR="00A60EDB" w:rsidRDefault="00A60EDB" w:rsidP="00A60EDB"/>
    <w:p w:rsidR="00A60EDB" w:rsidRPr="001021BB" w:rsidRDefault="00A60EDB" w:rsidP="00A60EDB">
      <w:pPr>
        <w:pStyle w:val="Heading2"/>
        <w:numPr>
          <w:ilvl w:val="0"/>
          <w:numId w:val="0"/>
        </w:numPr>
        <w:ind w:left="851" w:hanging="851"/>
      </w:pPr>
      <w:r>
        <w:t xml:space="preserve">Section 4: </w:t>
      </w:r>
      <w:r w:rsidRPr="001021BB">
        <w:t>Problem gambling levy</w:t>
      </w:r>
    </w:p>
    <w:p w:rsidR="00A60EDB" w:rsidRPr="00C93899" w:rsidRDefault="00A60EDB" w:rsidP="00A60EDB">
      <w:r>
        <w:t xml:space="preserve">Section 4 looks at the </w:t>
      </w:r>
      <w:r w:rsidRPr="00C93899">
        <w:t xml:space="preserve">problem gambling levy </w:t>
      </w:r>
      <w:r>
        <w:t xml:space="preserve">and the </w:t>
      </w:r>
      <w:r w:rsidRPr="00C93899">
        <w:t xml:space="preserve">proposed </w:t>
      </w:r>
      <w:r>
        <w:t xml:space="preserve">new levy </w:t>
      </w:r>
      <w:r w:rsidRPr="00C93899">
        <w:t xml:space="preserve">rates for each </w:t>
      </w:r>
      <w:r>
        <w:t xml:space="preserve">gambling </w:t>
      </w:r>
      <w:proofErr w:type="gramStart"/>
      <w:r w:rsidRPr="00C93899">
        <w:t>sector</w:t>
      </w:r>
      <w:proofErr w:type="gramEnd"/>
      <w:r>
        <w:t xml:space="preserve">. The proposed new rates will be lower for each sector </w:t>
      </w:r>
      <w:r w:rsidRPr="00C93899">
        <w:t xml:space="preserve">due to </w:t>
      </w:r>
      <w:r>
        <w:t xml:space="preserve">increases in each sector’s </w:t>
      </w:r>
      <w:r w:rsidRPr="00C93899">
        <w:t xml:space="preserve">gambling expenditure and </w:t>
      </w:r>
      <w:r>
        <w:t xml:space="preserve">levy </w:t>
      </w:r>
      <w:r w:rsidRPr="00C93899">
        <w:t xml:space="preserve">overpayments in the </w:t>
      </w:r>
      <w:r>
        <w:t>current</w:t>
      </w:r>
      <w:r w:rsidRPr="00C93899">
        <w:t xml:space="preserve"> levy period</w:t>
      </w:r>
      <w:r>
        <w:t xml:space="preserve">. The levy formula allows for these factors. </w:t>
      </w:r>
    </w:p>
    <w:p w:rsidR="00A60EDB" w:rsidRDefault="00A60EDB" w:rsidP="00A60EDB"/>
    <w:p w:rsidR="00A60EDB" w:rsidRPr="00C93899" w:rsidRDefault="00A60EDB" w:rsidP="00A60EDB">
      <w:r w:rsidRPr="00C93899">
        <w:t>While the strategy is funded through an appropriation, the levy is set for a three</w:t>
      </w:r>
      <w:r>
        <w:t>-</w:t>
      </w:r>
      <w:r w:rsidRPr="00C93899">
        <w:t>year period by regulation at different rates on each of the profits of the four main gambling sectors</w:t>
      </w:r>
      <w:r>
        <w:t xml:space="preserve"> </w:t>
      </w:r>
      <w:r w:rsidRPr="00C93899">
        <w:t xml:space="preserve">to reimburse the Crown </w:t>
      </w:r>
      <w:r>
        <w:t>the</w:t>
      </w:r>
      <w:r w:rsidRPr="00C93899">
        <w:t xml:space="preserve"> </w:t>
      </w:r>
      <w:r>
        <w:t xml:space="preserve">amount of the </w:t>
      </w:r>
      <w:r w:rsidRPr="00C93899">
        <w:t xml:space="preserve">appropriation. </w:t>
      </w:r>
      <w:r>
        <w:t>The</w:t>
      </w:r>
      <w:r w:rsidRPr="00C93899">
        <w:t xml:space="preserve"> Act specifies the formula used to </w:t>
      </w:r>
      <w:r>
        <w:t xml:space="preserve">apportion levy payments to each gambling sector and </w:t>
      </w:r>
      <w:r w:rsidRPr="00C93899">
        <w:t xml:space="preserve">calculate the levy rate </w:t>
      </w:r>
      <w:r>
        <w:t xml:space="preserve">that sector must pay. The formula </w:t>
      </w:r>
      <w:r w:rsidRPr="00C93899">
        <w:t xml:space="preserve">requires </w:t>
      </w:r>
      <w:r>
        <w:t>m</w:t>
      </w:r>
      <w:r w:rsidRPr="00C93899">
        <w:t>inisters to determine the weightings between sector spending and presentations, which generate</w:t>
      </w:r>
      <w:r>
        <w:t>s</w:t>
      </w:r>
      <w:r w:rsidRPr="00C93899">
        <w:t xml:space="preserve"> the levy </w:t>
      </w:r>
      <w:r>
        <w:t xml:space="preserve">rate and payments </w:t>
      </w:r>
      <w:r w:rsidRPr="00C93899">
        <w:t xml:space="preserve">for each sector. </w:t>
      </w:r>
    </w:p>
    <w:p w:rsidR="00A60EDB" w:rsidRDefault="00A60EDB" w:rsidP="00A60EDB"/>
    <w:p w:rsidR="00A60EDB" w:rsidRDefault="00A60EDB" w:rsidP="00A60EDB">
      <w:r w:rsidRPr="00C93899">
        <w:t xml:space="preserve">The </w:t>
      </w:r>
      <w:r>
        <w:t xml:space="preserve">new </w:t>
      </w:r>
      <w:r w:rsidRPr="00C93899">
        <w:t xml:space="preserve">levy rates </w:t>
      </w:r>
      <w:r>
        <w:t xml:space="preserve">proposed </w:t>
      </w:r>
      <w:r w:rsidRPr="00C93899">
        <w:t>in th</w:t>
      </w:r>
      <w:r>
        <w:t>is</w:t>
      </w:r>
      <w:r w:rsidRPr="00C93899">
        <w:t xml:space="preserve"> consultation document </w:t>
      </w:r>
      <w:r>
        <w:t xml:space="preserve">are </w:t>
      </w:r>
      <w:r w:rsidRPr="00C93899">
        <w:t xml:space="preserve">based on the formula </w:t>
      </w:r>
      <w:r>
        <w:t xml:space="preserve">currently </w:t>
      </w:r>
      <w:r w:rsidRPr="00C93899">
        <w:t xml:space="preserve">set out in the Act. However this consultation document </w:t>
      </w:r>
      <w:r>
        <w:t xml:space="preserve">recognises that </w:t>
      </w:r>
      <w:r w:rsidRPr="00C93899">
        <w:t xml:space="preserve">changes </w:t>
      </w:r>
      <w:r>
        <w:t xml:space="preserve">to the formula might be made in </w:t>
      </w:r>
      <w:r w:rsidRPr="00C93899">
        <w:t xml:space="preserve">the future and </w:t>
      </w:r>
      <w:r>
        <w:t xml:space="preserve">seeks your views about </w:t>
      </w:r>
      <w:r w:rsidRPr="00C93899">
        <w:t xml:space="preserve">what </w:t>
      </w:r>
      <w:r>
        <w:t xml:space="preserve">changes, if any, should be considered </w:t>
      </w:r>
      <w:r w:rsidRPr="00C93899">
        <w:t>when setting the levy in the future.</w:t>
      </w:r>
      <w:r>
        <w:t xml:space="preserve">  </w:t>
      </w:r>
    </w:p>
    <w:p w:rsidR="00A60EDB" w:rsidRDefault="00A60EDB" w:rsidP="00A60EDB"/>
    <w:p w:rsidR="00A60EDB" w:rsidRPr="001021BB" w:rsidRDefault="00A60EDB" w:rsidP="00A60EDB">
      <w:pPr>
        <w:pStyle w:val="Heading2"/>
        <w:numPr>
          <w:ilvl w:val="0"/>
          <w:numId w:val="0"/>
        </w:numPr>
        <w:ind w:left="851" w:hanging="851"/>
      </w:pPr>
      <w:r>
        <w:t>The c</w:t>
      </w:r>
      <w:r w:rsidRPr="001021BB">
        <w:t xml:space="preserve">onsultation </w:t>
      </w:r>
      <w:r>
        <w:t xml:space="preserve">process </w:t>
      </w:r>
    </w:p>
    <w:p w:rsidR="00A60EDB" w:rsidRDefault="00A60EDB" w:rsidP="00A60EDB">
      <w:r w:rsidRPr="00C93899">
        <w:t>The Act details a staged consultation process for the proposed strategy</w:t>
      </w:r>
      <w:r>
        <w:t xml:space="preserve"> and </w:t>
      </w:r>
      <w:r w:rsidRPr="00C93899">
        <w:t xml:space="preserve">levy rates. </w:t>
      </w:r>
      <w:r>
        <w:t xml:space="preserve"> </w:t>
      </w:r>
    </w:p>
    <w:p w:rsidR="00A60EDB" w:rsidRDefault="00A60EDB" w:rsidP="00A60EDB"/>
    <w:p w:rsidR="00A60EDB" w:rsidRDefault="00A60EDB" w:rsidP="00A60EDB">
      <w:r>
        <w:t xml:space="preserve">The Act requires the Ministry to </w:t>
      </w:r>
      <w:r w:rsidRPr="00C93899">
        <w:t xml:space="preserve">submit </w:t>
      </w:r>
      <w:r>
        <w:t>revised</w:t>
      </w:r>
      <w:r w:rsidRPr="00C93899">
        <w:t xml:space="preserve"> strategy and levy rate</w:t>
      </w:r>
      <w:r>
        <w:t xml:space="preserve"> proposals</w:t>
      </w:r>
      <w:r w:rsidRPr="00C93899">
        <w:t xml:space="preserve"> to the Gambling Commission</w:t>
      </w:r>
      <w:r>
        <w:t xml:space="preserve">, after taking into account feedback from the consultation. The Commission must hold </w:t>
      </w:r>
      <w:r w:rsidRPr="00C93899">
        <w:t xml:space="preserve">a consultation meeting and provide its own advice </w:t>
      </w:r>
      <w:r>
        <w:t xml:space="preserve">about the proposed levy rates </w:t>
      </w:r>
      <w:r w:rsidRPr="00C93899">
        <w:t>to the Associate Minister of Health with responsibility for Problem Gambling and the Minister of Internal Affairs.</w:t>
      </w:r>
      <w:r>
        <w:t xml:space="preserve"> </w:t>
      </w:r>
      <w:r w:rsidRPr="00C93899">
        <w:t xml:space="preserve">Cabinet will subsequently make </w:t>
      </w:r>
      <w:r>
        <w:t xml:space="preserve">final </w:t>
      </w:r>
      <w:bookmarkStart w:id="5" w:name="_GoBack"/>
      <w:bookmarkEnd w:id="5"/>
      <w:r w:rsidRPr="00C93899">
        <w:t xml:space="preserve">decisions on the shape of the strategy and the </w:t>
      </w:r>
      <w:r>
        <w:t xml:space="preserve">new </w:t>
      </w:r>
      <w:r w:rsidRPr="00C93899">
        <w:t>levy</w:t>
      </w:r>
      <w:r>
        <w:t xml:space="preserve"> rates early in 2019</w:t>
      </w:r>
      <w:r w:rsidRPr="00C93899">
        <w:t>.</w:t>
      </w:r>
      <w:r>
        <w:t xml:space="preserve">  The new rates will come into effect on 1 July 2019.</w:t>
      </w:r>
    </w:p>
    <w:p w:rsidR="000D5C87" w:rsidRPr="00C93899" w:rsidRDefault="000D5C87" w:rsidP="00A60EDB"/>
    <w:p w:rsidR="00A60EDB" w:rsidRPr="008A3A92" w:rsidRDefault="00A60EDB" w:rsidP="00A60EDB">
      <w:r w:rsidRPr="008A3A92">
        <w:t xml:space="preserve">Although gambling harm services are outside the scope of the Inquiry into </w:t>
      </w:r>
      <w:r>
        <w:t>M</w:t>
      </w:r>
      <w:r w:rsidRPr="008A3A92">
        <w:t xml:space="preserve">ental </w:t>
      </w:r>
      <w:r>
        <w:t>H</w:t>
      </w:r>
      <w:r w:rsidRPr="008A3A92">
        <w:t xml:space="preserve">ealth and </w:t>
      </w:r>
      <w:r>
        <w:t>A</w:t>
      </w:r>
      <w:r w:rsidRPr="008A3A92">
        <w:t xml:space="preserve">ddiction, the </w:t>
      </w:r>
      <w:r>
        <w:t>i</w:t>
      </w:r>
      <w:r w:rsidRPr="008A3A92">
        <w:t>nquiry panel</w:t>
      </w:r>
      <w:r>
        <w:t xml:space="preserve"> has indicated it</w:t>
      </w:r>
      <w:r w:rsidRPr="008A3A92">
        <w:t xml:space="preserve"> intends to explore </w:t>
      </w:r>
      <w:r>
        <w:t>gambling</w:t>
      </w:r>
      <w:r w:rsidRPr="008A3A92">
        <w:t xml:space="preserve"> harm as a risk factor for other mental health and addition issues. Any relevant findings from the </w:t>
      </w:r>
      <w:r>
        <w:t>i</w:t>
      </w:r>
      <w:r w:rsidRPr="008A3A92">
        <w:t xml:space="preserve">nquiry report, expected in October 2018, could be integrated into the </w:t>
      </w:r>
      <w:r>
        <w:t xml:space="preserve">final </w:t>
      </w:r>
      <w:r w:rsidRPr="008A3A92">
        <w:t>strategy</w:t>
      </w:r>
      <w:r>
        <w:t>.</w:t>
      </w:r>
    </w:p>
    <w:p w:rsidR="00A60EDB" w:rsidRDefault="00A60EDB" w:rsidP="00A60EDB">
      <w:pPr>
        <w:pStyle w:val="Heading3"/>
      </w:pPr>
      <w:r>
        <w:t>S</w:t>
      </w:r>
      <w:r w:rsidRPr="001021BB">
        <w:t>ubmissions</w:t>
      </w:r>
      <w:r w:rsidRPr="00167B23">
        <w:t xml:space="preserve"> </w:t>
      </w:r>
    </w:p>
    <w:p w:rsidR="00A60EDB" w:rsidRDefault="00A60EDB" w:rsidP="00A60EDB">
      <w:r w:rsidRPr="00167B23">
        <w:t xml:space="preserve">The Ministry encourages you to </w:t>
      </w:r>
      <w:r>
        <w:t>have your say and make a submission on these proposals.</w:t>
      </w:r>
    </w:p>
    <w:p w:rsidR="00A60EDB" w:rsidRDefault="00A60EDB" w:rsidP="00A60EDB">
      <w:r>
        <w:t xml:space="preserve">Submissions can be made online or by completing the submission form at the back of this document (also available online) and sending it to </w:t>
      </w:r>
      <w:hyperlink r:id="rId33" w:history="1">
        <w:r w:rsidRPr="00C462C7">
          <w:rPr>
            <w:rStyle w:val="Hyperlink"/>
          </w:rPr>
          <w:t>gamblingharm@moh.govt.nz</w:t>
        </w:r>
      </w:hyperlink>
      <w:r>
        <w:t>. Further information is available at www.health.govt.nz/consultgambling</w:t>
      </w:r>
    </w:p>
    <w:p w:rsidR="00A60EDB" w:rsidRDefault="00A60EDB" w:rsidP="00A60EDB"/>
    <w:p w:rsidR="00A60EDB" w:rsidRDefault="00A60EDB" w:rsidP="00A60EDB">
      <w:r>
        <w:t xml:space="preserve">Submissions must be received by </w:t>
      </w:r>
      <w:r w:rsidRPr="00052BB3">
        <w:rPr>
          <w:b/>
        </w:rPr>
        <w:t>21 September 2018</w:t>
      </w:r>
      <w:r>
        <w:t xml:space="preserve">.  </w:t>
      </w:r>
    </w:p>
    <w:p w:rsidR="00C86248" w:rsidRDefault="00C86248">
      <w:pPr>
        <w:sectPr w:rsidR="00C86248" w:rsidSect="009D5125">
          <w:footerReference w:type="even" r:id="rId34"/>
          <w:pgSz w:w="11907" w:h="16840" w:code="9"/>
          <w:pgMar w:top="851" w:right="1134" w:bottom="1134" w:left="1134" w:header="284" w:footer="567" w:gutter="284"/>
          <w:pgNumType w:fmt="lowerRoman"/>
          <w:cols w:space="720"/>
        </w:sectPr>
      </w:pPr>
    </w:p>
    <w:p w:rsidR="008C2973" w:rsidRDefault="00CB68A7" w:rsidP="00EC1A59">
      <w:pPr>
        <w:pStyle w:val="Heading1"/>
        <w:numPr>
          <w:ilvl w:val="0"/>
          <w:numId w:val="0"/>
        </w:numPr>
      </w:pPr>
      <w:bookmarkStart w:id="6" w:name="_Toc522089383"/>
      <w:r>
        <w:lastRenderedPageBreak/>
        <w:t>Consulting on the proposed Strategy to Prevent and Minimise Gambling Harm 2019/20 to 2021/22</w:t>
      </w:r>
      <w:bookmarkEnd w:id="6"/>
    </w:p>
    <w:p w:rsidR="00EC3578" w:rsidRDefault="00CB68A7" w:rsidP="00EC1A59">
      <w:r w:rsidRPr="00C10A99">
        <w:t>This document seeks your comment on the proposed future direction and content of the Ministry</w:t>
      </w:r>
      <w:r>
        <w:t xml:space="preserve"> of Health</w:t>
      </w:r>
      <w:r w:rsidR="00EC3578">
        <w:t>’</w:t>
      </w:r>
      <w:r w:rsidRPr="00C10A99">
        <w:t xml:space="preserve">s </w:t>
      </w:r>
      <w:r>
        <w:t>(the Ministry</w:t>
      </w:r>
      <w:r w:rsidR="00EC3578">
        <w:t>’</w:t>
      </w:r>
      <w:r>
        <w:t>s) S</w:t>
      </w:r>
      <w:r w:rsidRPr="00C10A99">
        <w:t xml:space="preserve">trategy to </w:t>
      </w:r>
      <w:r>
        <w:t>P</w:t>
      </w:r>
      <w:r w:rsidRPr="00C10A99">
        <w:t xml:space="preserve">revent and </w:t>
      </w:r>
      <w:r>
        <w:t>M</w:t>
      </w:r>
      <w:r w:rsidRPr="00C10A99">
        <w:t xml:space="preserve">inimise </w:t>
      </w:r>
      <w:r>
        <w:t>G</w:t>
      </w:r>
      <w:r w:rsidRPr="00C10A99">
        <w:t xml:space="preserve">ambling </w:t>
      </w:r>
      <w:r>
        <w:t>H</w:t>
      </w:r>
      <w:r w:rsidRPr="00C10A99">
        <w:t>arm</w:t>
      </w:r>
      <w:r w:rsidRPr="00C10A99">
        <w:rPr>
          <w:strike/>
        </w:rPr>
        <w:t xml:space="preserve"> </w:t>
      </w:r>
      <w:r w:rsidRPr="00C10A99">
        <w:t>2019/20</w:t>
      </w:r>
      <w:r>
        <w:t xml:space="preserve"> to </w:t>
      </w:r>
      <w:r w:rsidRPr="00C10A99">
        <w:t>2021/22</w:t>
      </w:r>
      <w:r>
        <w:t xml:space="preserve"> (the strategy)</w:t>
      </w:r>
      <w:r w:rsidRPr="00C10A99">
        <w:t>.</w:t>
      </w:r>
    </w:p>
    <w:p w:rsidR="00EC1A59" w:rsidRDefault="00EC1A59" w:rsidP="00EC1A59"/>
    <w:p w:rsidR="00EC3578" w:rsidRDefault="00CB68A7" w:rsidP="00EC1A59">
      <w:r w:rsidRPr="00C10A99">
        <w:t>Included in this consultation document are draft proposals for:</w:t>
      </w:r>
    </w:p>
    <w:p w:rsidR="00EC3578" w:rsidRDefault="00CB68A7" w:rsidP="00EC1A59">
      <w:pPr>
        <w:pStyle w:val="Bullet"/>
      </w:pPr>
      <w:r w:rsidRPr="00C10A99">
        <w:t xml:space="preserve">the </w:t>
      </w:r>
      <w:r>
        <w:t>s</w:t>
      </w:r>
      <w:r w:rsidRPr="00C10A99">
        <w:t>trategic plan</w:t>
      </w:r>
      <w:r>
        <w:t>,</w:t>
      </w:r>
      <w:r w:rsidRPr="00C10A99">
        <w:t xml:space="preserve"> which sets out the general strategic direction and priorities that provides a framework for the activities described below</w:t>
      </w:r>
    </w:p>
    <w:p w:rsidR="00CB68A7" w:rsidRPr="00C10A99" w:rsidRDefault="00CB68A7" w:rsidP="00EC1A59">
      <w:pPr>
        <w:pStyle w:val="Bullet"/>
      </w:pPr>
      <w:r w:rsidRPr="00C10A99">
        <w:t>the proposed funding levels for the Ministry, in relation to the gambling harm prevention and minimisation activities described in the strategy</w:t>
      </w:r>
    </w:p>
    <w:p w:rsidR="00CB68A7" w:rsidRPr="00C10A99" w:rsidRDefault="00CB68A7" w:rsidP="00EC1A59">
      <w:pPr>
        <w:pStyle w:val="Bullet"/>
      </w:pPr>
      <w:r w:rsidRPr="00C10A99">
        <w:t xml:space="preserve">the proposed </w:t>
      </w:r>
      <w:r>
        <w:t>s</w:t>
      </w:r>
      <w:r w:rsidRPr="00C10A99">
        <w:t>ervice plan, for the three years from 2019/20 to 2021/22</w:t>
      </w:r>
    </w:p>
    <w:p w:rsidR="00CB68A7" w:rsidRPr="00C10A99" w:rsidRDefault="00CB68A7" w:rsidP="00EC1A59">
      <w:pPr>
        <w:pStyle w:val="Bullet"/>
      </w:pPr>
      <w:proofErr w:type="gramStart"/>
      <w:r w:rsidRPr="00C10A99">
        <w:t>the</w:t>
      </w:r>
      <w:proofErr w:type="gramEnd"/>
      <w:r w:rsidRPr="00C10A99">
        <w:t xml:space="preserve"> proposed problem gambling levy rates and weighting options per gambling sector, for the next three years</w:t>
      </w:r>
      <w:r>
        <w:t>.</w:t>
      </w:r>
    </w:p>
    <w:p w:rsidR="00EC1A59" w:rsidRDefault="00EC1A59" w:rsidP="00EC1A59"/>
    <w:p w:rsidR="00EC3578" w:rsidRDefault="00CB68A7" w:rsidP="00EC1A59">
      <w:r w:rsidRPr="00C10A99">
        <w:t>The proposed strategy (this document) is informed by</w:t>
      </w:r>
      <w:r>
        <w:t>:</w:t>
      </w:r>
    </w:p>
    <w:p w:rsidR="00CB68A7" w:rsidRPr="00C10A99" w:rsidRDefault="00CB68A7" w:rsidP="00EC1A59">
      <w:pPr>
        <w:pStyle w:val="Bullet"/>
      </w:pPr>
      <w:proofErr w:type="gramStart"/>
      <w:r>
        <w:t>a</w:t>
      </w:r>
      <w:proofErr w:type="gramEnd"/>
      <w:r>
        <w:t xml:space="preserve"> needs assessment, as required under the Gambling Act 2003 (the Act). This includes an </w:t>
      </w:r>
      <w:r w:rsidRPr="00C10A99">
        <w:t xml:space="preserve">independent </w:t>
      </w:r>
      <w:r w:rsidR="00EC3578">
        <w:t>‘</w:t>
      </w:r>
      <w:r w:rsidRPr="00C10A99">
        <w:t>needs assessment</w:t>
      </w:r>
      <w:r w:rsidR="00EC3578">
        <w:t>’</w:t>
      </w:r>
      <w:r w:rsidRPr="00C10A99">
        <w:t xml:space="preserve"> review of gambling harm minimisation services and the sector generally</w:t>
      </w:r>
    </w:p>
    <w:p w:rsidR="00CB68A7" w:rsidRDefault="00CB68A7" w:rsidP="00EC1A59">
      <w:pPr>
        <w:pStyle w:val="Bullet"/>
      </w:pPr>
      <w:proofErr w:type="gramStart"/>
      <w:r>
        <w:t>a</w:t>
      </w:r>
      <w:proofErr w:type="gramEnd"/>
      <w:r>
        <w:t xml:space="preserve"> review of progress towards gambling harm reduction outcomes, to assess </w:t>
      </w:r>
      <w:r w:rsidRPr="00E312E8">
        <w:t xml:space="preserve">what has been achieved over time in gambling harm minimisation. </w:t>
      </w:r>
      <w:r>
        <w:t xml:space="preserve">This draws on key studies </w:t>
      </w:r>
      <w:r w:rsidRPr="00D01641">
        <w:t xml:space="preserve">such as the </w:t>
      </w:r>
      <w:r>
        <w:t xml:space="preserve">New Zealand </w:t>
      </w:r>
      <w:r w:rsidRPr="00D01641">
        <w:t>National Gambling Study (NGS) and Health and Lifestyles Survey (HLS).</w:t>
      </w:r>
    </w:p>
    <w:p w:rsidR="00EC1A59" w:rsidRDefault="00EC1A59" w:rsidP="00EC1A59"/>
    <w:p w:rsidR="00CB68A7" w:rsidRPr="00D01641" w:rsidRDefault="00CB68A7" w:rsidP="00EC1A59">
      <w:r w:rsidRPr="00C10A99">
        <w:t>This consultation document</w:t>
      </w:r>
      <w:r w:rsidRPr="00D01641">
        <w:t xml:space="preserve"> meets the consultation requirements specified in the Act to develop an integrated problem gambling strategy to prevent and minimise gambling</w:t>
      </w:r>
      <w:r>
        <w:t>-</w:t>
      </w:r>
      <w:r w:rsidRPr="00D01641">
        <w:t>related harm.</w:t>
      </w:r>
    </w:p>
    <w:p w:rsidR="00EC1A59" w:rsidRDefault="00EC1A59" w:rsidP="00EC1A59"/>
    <w:p w:rsidR="00CB68A7" w:rsidRPr="00C10A99" w:rsidRDefault="00CB68A7" w:rsidP="00EC1A59">
      <w:r w:rsidRPr="00C10A99">
        <w:t>More details about the consultation process, the needs assessment and the outcomes report can be found on the Ministry</w:t>
      </w:r>
      <w:r w:rsidR="00EC3578">
        <w:t>’</w:t>
      </w:r>
      <w:r w:rsidRPr="00C10A99">
        <w:t>s web</w:t>
      </w:r>
      <w:r>
        <w:t xml:space="preserve">site </w:t>
      </w:r>
      <w:hyperlink r:id="rId35" w:history="1">
        <w:r w:rsidRPr="009C5442">
          <w:rPr>
            <w:rStyle w:val="Hyperlink"/>
          </w:rPr>
          <w:t>www.health.govt.nz</w:t>
        </w:r>
      </w:hyperlink>
      <w:r w:rsidR="009C5442" w:rsidRPr="009C5442">
        <w:rPr>
          <w:rStyle w:val="Hyperlink"/>
        </w:rPr>
        <w:t>/consultgambling</w:t>
      </w:r>
      <w:r w:rsidRPr="009C5442">
        <w:t xml:space="preserve"> </w:t>
      </w:r>
    </w:p>
    <w:p w:rsidR="00EC1A59" w:rsidRDefault="00EC1A59" w:rsidP="00EC1A59"/>
    <w:p w:rsidR="00EC3578" w:rsidRDefault="00CB68A7" w:rsidP="00EC1A59">
      <w:r w:rsidRPr="00C10A99">
        <w:t>Following this consultation phase</w:t>
      </w:r>
      <w:r>
        <w:t>,</w:t>
      </w:r>
      <w:r w:rsidRPr="00C10A99">
        <w:t xml:space="preserve"> the proposed strategy and levy rate may be revised, taking into account feedback received from the public consultation process, </w:t>
      </w:r>
      <w:r>
        <w:t xml:space="preserve">before they are </w:t>
      </w:r>
      <w:r w:rsidRPr="00C10A99">
        <w:t xml:space="preserve">submitted to the </w:t>
      </w:r>
      <w:r>
        <w:t xml:space="preserve">New Zealand </w:t>
      </w:r>
      <w:r w:rsidRPr="00C10A99">
        <w:t xml:space="preserve">Gambling Commission </w:t>
      </w:r>
      <w:r>
        <w:t xml:space="preserve">(the Gambling Commission) </w:t>
      </w:r>
      <w:r w:rsidRPr="00C10A99">
        <w:t xml:space="preserve">to consider. The </w:t>
      </w:r>
      <w:r>
        <w:t xml:space="preserve">Gambling </w:t>
      </w:r>
      <w:r w:rsidRPr="00C10A99">
        <w:t>Commission consults with stakeholders and makes recommendations to responsible Ministers about the total amount of the levy and levy rates for each gambling sector</w:t>
      </w:r>
      <w:r>
        <w:t xml:space="preserve"> before the government finalises the strategy and the levy for the next three years.</w:t>
      </w:r>
    </w:p>
    <w:p w:rsidR="00287C6E" w:rsidRDefault="00287C6E" w:rsidP="005C1D13"/>
    <w:p w:rsidR="00287C6E" w:rsidRDefault="00287C6E" w:rsidP="005C1D13">
      <w:pPr>
        <w:pStyle w:val="Heading2"/>
        <w:numPr>
          <w:ilvl w:val="0"/>
          <w:numId w:val="0"/>
        </w:numPr>
      </w:pPr>
      <w:bookmarkStart w:id="7" w:name="_Toc522089384"/>
      <w:r w:rsidRPr="00BA12F1">
        <w:lastRenderedPageBreak/>
        <w:t>Inquiry into Mental Health and Addictions</w:t>
      </w:r>
      <w:bookmarkEnd w:id="7"/>
    </w:p>
    <w:p w:rsidR="00287C6E" w:rsidRPr="00CB41EF" w:rsidRDefault="00287C6E" w:rsidP="005C1D13">
      <w:r w:rsidRPr="00BA12F1">
        <w:t>Services to prevent and minimise gambling harm are not included in the scope of the Inquiry</w:t>
      </w:r>
      <w:r w:rsidR="00B25836" w:rsidRPr="00101A20">
        <w:t xml:space="preserve"> into mental health and addictions</w:t>
      </w:r>
      <w:r w:rsidRPr="00CB41EF">
        <w:t>, however the Inquiry panel has asked for gambling harm to be acknowledged and explored as a risk factor for other men</w:t>
      </w:r>
      <w:r w:rsidR="005C1D13">
        <w:t>tal health and addition issues.</w:t>
      </w:r>
    </w:p>
    <w:p w:rsidR="00BA12F1" w:rsidRDefault="00BA12F1" w:rsidP="005C1D13"/>
    <w:p w:rsidR="00287C6E" w:rsidRPr="00BA12F1" w:rsidRDefault="00B25836" w:rsidP="005C1D13">
      <w:r>
        <w:t>The Inquiry i</w:t>
      </w:r>
      <w:r w:rsidRPr="00D91CE8">
        <w:t>s due to report back in October 2018</w:t>
      </w:r>
      <w:r>
        <w:t xml:space="preserve">, so </w:t>
      </w:r>
      <w:r w:rsidR="00287C6E">
        <w:t>a</w:t>
      </w:r>
      <w:r w:rsidR="00287C6E" w:rsidRPr="00BA12F1">
        <w:t xml:space="preserve">ny relevant findings from the Inquiry report </w:t>
      </w:r>
      <w:r>
        <w:t xml:space="preserve">could </w:t>
      </w:r>
      <w:r w:rsidR="00287C6E" w:rsidRPr="00BA12F1">
        <w:t>be in</w:t>
      </w:r>
      <w:r>
        <w:t xml:space="preserve">corporated </w:t>
      </w:r>
      <w:r w:rsidR="00287C6E" w:rsidRPr="00BA12F1">
        <w:t>into the Strategy before the Strategy is finalised in early 2019.</w:t>
      </w:r>
    </w:p>
    <w:p w:rsidR="00287C6E" w:rsidRDefault="00287C6E" w:rsidP="005C1D13"/>
    <w:p w:rsidR="00EC3578" w:rsidRDefault="00CB68A7" w:rsidP="005C1D13">
      <w:pPr>
        <w:pStyle w:val="Heading2"/>
        <w:numPr>
          <w:ilvl w:val="0"/>
          <w:numId w:val="0"/>
        </w:numPr>
      </w:pPr>
      <w:bookmarkStart w:id="8" w:name="_Toc517090883"/>
      <w:bookmarkStart w:id="9" w:name="_Toc522089385"/>
      <w:r w:rsidRPr="00C10A99">
        <w:t>Have your say</w:t>
      </w:r>
      <w:bookmarkEnd w:id="8"/>
      <w:bookmarkEnd w:id="9"/>
    </w:p>
    <w:p w:rsidR="00EC3578" w:rsidRDefault="00CB68A7" w:rsidP="00EC1A59">
      <w:r w:rsidRPr="00E312E8">
        <w:t xml:space="preserve">Please take the time to make a submission about the proposals </w:t>
      </w:r>
      <w:r>
        <w:t xml:space="preserve">outlined </w:t>
      </w:r>
      <w:r w:rsidRPr="00E312E8">
        <w:t xml:space="preserve">in this </w:t>
      </w:r>
      <w:r>
        <w:t xml:space="preserve">consultation </w:t>
      </w:r>
      <w:r w:rsidRPr="00E312E8">
        <w:t>document.</w:t>
      </w:r>
    </w:p>
    <w:p w:rsidR="00EC1A59" w:rsidRDefault="00EC1A59" w:rsidP="00EC1A59"/>
    <w:p w:rsidR="009C5442" w:rsidRPr="00C9524D" w:rsidRDefault="009C5442" w:rsidP="009C5442">
      <w:r w:rsidRPr="00C9524D">
        <w:t>You can provide feedback by:</w:t>
      </w:r>
    </w:p>
    <w:p w:rsidR="009C5442" w:rsidRDefault="009C5442" w:rsidP="009C5442">
      <w:pPr>
        <w:pStyle w:val="Bullet"/>
      </w:pPr>
      <w:r>
        <w:t xml:space="preserve">making an online submission at </w:t>
      </w:r>
      <w:hyperlink r:id="rId36" w:history="1">
        <w:r w:rsidRPr="00374EF4">
          <w:rPr>
            <w:rStyle w:val="Hyperlink"/>
          </w:rPr>
          <w:t>https://consult.health.govt.nz</w:t>
        </w:r>
      </w:hyperlink>
    </w:p>
    <w:p w:rsidR="009C5442" w:rsidRDefault="009C5442" w:rsidP="009C5442">
      <w:pPr>
        <w:pStyle w:val="Bullet"/>
      </w:pPr>
      <w:r w:rsidRPr="00C9524D">
        <w:t xml:space="preserve">using the form </w:t>
      </w:r>
      <w:r>
        <w:t xml:space="preserve">at the end of this document and emailing it to </w:t>
      </w:r>
      <w:hyperlink r:id="rId37" w:history="1">
        <w:r w:rsidRPr="00C9524D">
          <w:t>gamblingharm@moh.govt.nz</w:t>
        </w:r>
      </w:hyperlink>
    </w:p>
    <w:p w:rsidR="009C5442" w:rsidRPr="00C9524D" w:rsidRDefault="009C5442" w:rsidP="009C5442">
      <w:pPr>
        <w:pStyle w:val="Bullet"/>
      </w:pPr>
      <w:r w:rsidRPr="00C9524D">
        <w:t>send</w:t>
      </w:r>
      <w:r>
        <w:t xml:space="preserve">ing </w:t>
      </w:r>
      <w:r w:rsidRPr="00C9524D">
        <w:t>a hard copy to:</w:t>
      </w:r>
    </w:p>
    <w:p w:rsidR="009C5442" w:rsidRPr="00C9524D" w:rsidRDefault="009C5442" w:rsidP="005C1D13">
      <w:pPr>
        <w:ind w:left="284" w:firstLine="284"/>
      </w:pPr>
      <w:r w:rsidRPr="00C9524D">
        <w:t>Strategy to Prevent and Minimise Gambling Harm Consultation</w:t>
      </w:r>
    </w:p>
    <w:p w:rsidR="009C5442" w:rsidRPr="00C9524D" w:rsidRDefault="009C5442" w:rsidP="005C1D13">
      <w:pPr>
        <w:ind w:left="284" w:firstLine="284"/>
      </w:pPr>
      <w:r w:rsidRPr="00C9524D">
        <w:t>Ministry of Health</w:t>
      </w:r>
    </w:p>
    <w:p w:rsidR="009C5442" w:rsidRPr="00C9524D" w:rsidRDefault="009C5442" w:rsidP="005C1D13">
      <w:pPr>
        <w:ind w:left="284" w:firstLine="284"/>
      </w:pPr>
      <w:r w:rsidRPr="00C9524D">
        <w:t>PO Box 5013</w:t>
      </w:r>
    </w:p>
    <w:p w:rsidR="009C5442" w:rsidRDefault="009C5442" w:rsidP="005C1D13">
      <w:pPr>
        <w:ind w:left="284" w:firstLine="284"/>
      </w:pPr>
      <w:r w:rsidRPr="00C9524D">
        <w:t>Wellington 6140</w:t>
      </w:r>
    </w:p>
    <w:p w:rsidR="009C5442" w:rsidRPr="00C9524D" w:rsidRDefault="009C5442" w:rsidP="009C5442">
      <w:pPr>
        <w:pStyle w:val="Bullet"/>
      </w:pPr>
      <w:proofErr w:type="gramStart"/>
      <w:r w:rsidRPr="00C9524D">
        <w:t>attending</w:t>
      </w:r>
      <w:proofErr w:type="gramEnd"/>
      <w:r w:rsidRPr="00C9524D">
        <w:t xml:space="preserve"> a discussion</w:t>
      </w:r>
      <w:r>
        <w:t xml:space="preserve"> and </w:t>
      </w:r>
      <w:r w:rsidRPr="00C9524D">
        <w:t xml:space="preserve">consultation meeting </w:t>
      </w:r>
      <w:r>
        <w:t>(m</w:t>
      </w:r>
      <w:r w:rsidRPr="00C9524D">
        <w:t>eeting details are available on our website</w:t>
      </w:r>
      <w:r>
        <w:t xml:space="preserve"> </w:t>
      </w:r>
      <w:r w:rsidRPr="00C9524D">
        <w:rPr>
          <w:rFonts w:cs="Arial Mäori"/>
          <w:color w:val="000000"/>
          <w:lang w:eastAsia="en-NZ"/>
        </w:rPr>
        <w:t>www.health.govt.nz/</w:t>
      </w:r>
      <w:r>
        <w:rPr>
          <w:rFonts w:cs="Arial Mäori"/>
          <w:color w:val="000000"/>
          <w:lang w:eastAsia="en-NZ"/>
        </w:rPr>
        <w:t>consultgambling).</w:t>
      </w:r>
    </w:p>
    <w:p w:rsidR="009C5442" w:rsidRDefault="009C5442" w:rsidP="009C5442"/>
    <w:p w:rsidR="00CB68A7" w:rsidRDefault="00CB68A7" w:rsidP="00EC1A59">
      <w:r w:rsidRPr="00C10A99">
        <w:t>Your feedback is important</w:t>
      </w:r>
      <w:r>
        <w:t>. I</w:t>
      </w:r>
      <w:r w:rsidRPr="00C10A99">
        <w:t>t will help shape the proposed Strategy to Prevent and Minimise Gambling Harm for 2019/20 to 2021/22 and the proposed levy rates that the Ministry submits to Ministers and the Gambling Commission for their consideration.</w:t>
      </w:r>
    </w:p>
    <w:p w:rsidR="00EC1A59" w:rsidRPr="00C10A99" w:rsidRDefault="00EC1A59" w:rsidP="00EC1A59"/>
    <w:p w:rsidR="00EC1A59" w:rsidRDefault="00CB68A7" w:rsidP="00EC1A59">
      <w:r w:rsidRPr="00C10A99">
        <w:t xml:space="preserve">Your submissions are due with the Ministry by </w:t>
      </w:r>
      <w:r w:rsidRPr="00C10A99">
        <w:rPr>
          <w:b/>
        </w:rPr>
        <w:t xml:space="preserve">5 pm Friday </w:t>
      </w:r>
      <w:r w:rsidR="00D453C4">
        <w:rPr>
          <w:b/>
        </w:rPr>
        <w:t>21</w:t>
      </w:r>
      <w:r w:rsidR="00287C6E">
        <w:rPr>
          <w:b/>
        </w:rPr>
        <w:t xml:space="preserve"> </w:t>
      </w:r>
      <w:r w:rsidR="00D453C4">
        <w:rPr>
          <w:b/>
        </w:rPr>
        <w:t>September</w:t>
      </w:r>
      <w:r w:rsidR="00D453C4" w:rsidRPr="00EC5C68">
        <w:rPr>
          <w:b/>
        </w:rPr>
        <w:t xml:space="preserve"> </w:t>
      </w:r>
      <w:r w:rsidRPr="00C10A99">
        <w:rPr>
          <w:b/>
          <w:bCs/>
        </w:rPr>
        <w:t>2018</w:t>
      </w:r>
      <w:r w:rsidRPr="00C10A99">
        <w:t>.</w:t>
      </w:r>
    </w:p>
    <w:p w:rsidR="00EC1A59" w:rsidRDefault="00EC1A59" w:rsidP="00EC1A59"/>
    <w:p w:rsidR="00CB68A7" w:rsidRPr="00C10A99" w:rsidRDefault="00CB68A7" w:rsidP="000E397F">
      <w:pPr>
        <w:pStyle w:val="Heading1"/>
      </w:pPr>
      <w:bookmarkStart w:id="10" w:name="_Toc423519511"/>
      <w:bookmarkStart w:id="11" w:name="_Toc517090884"/>
      <w:bookmarkStart w:id="12" w:name="_Toc522089386"/>
      <w:r w:rsidRPr="00C10A99">
        <w:lastRenderedPageBreak/>
        <w:t>Introduction</w:t>
      </w:r>
      <w:bookmarkEnd w:id="10"/>
      <w:bookmarkEnd w:id="11"/>
      <w:bookmarkEnd w:id="12"/>
    </w:p>
    <w:p w:rsidR="00CB68A7" w:rsidRPr="00E312E8" w:rsidRDefault="00CB68A7" w:rsidP="00EC1A59">
      <w:r w:rsidRPr="00E312E8">
        <w:t xml:space="preserve">This section provides </w:t>
      </w:r>
      <w:r>
        <w:t xml:space="preserve">the </w:t>
      </w:r>
      <w:r w:rsidRPr="00E312E8">
        <w:t>context and background that informs the strategy, strategic direction and service plan</w:t>
      </w:r>
      <w:r>
        <w:t xml:space="preserve"> of the strategy</w:t>
      </w:r>
      <w:r w:rsidRPr="00E312E8">
        <w:t>.</w:t>
      </w:r>
    </w:p>
    <w:p w:rsidR="00EC1A59" w:rsidRDefault="00EC1A59" w:rsidP="00EC1A59"/>
    <w:p w:rsidR="00EC3578" w:rsidRPr="00EC1A59" w:rsidRDefault="00CB68A7" w:rsidP="00EC1A59">
      <w:r w:rsidRPr="00E312E8">
        <w:t xml:space="preserve">Recent research notes </w:t>
      </w:r>
      <w:r>
        <w:t>that one</w:t>
      </w:r>
      <w:r w:rsidRPr="00E312E8">
        <w:t xml:space="preserve"> in </w:t>
      </w:r>
      <w:r>
        <w:t>five</w:t>
      </w:r>
      <w:r w:rsidRPr="00E312E8">
        <w:t xml:space="preserve"> New Zealand adults (22%) are affected some time in their lives by their own gambling or the gambling of others. Estimates suggest </w:t>
      </w:r>
      <w:r>
        <w:t>37,</w:t>
      </w:r>
      <w:r w:rsidRPr="00E312E8">
        <w:t xml:space="preserve">000 </w:t>
      </w:r>
      <w:r>
        <w:t>people</w:t>
      </w:r>
      <w:r w:rsidRPr="00E312E8">
        <w:t xml:space="preserve"> aged 1</w:t>
      </w:r>
      <w:r>
        <w:t>5 </w:t>
      </w:r>
      <w:r w:rsidRPr="00E312E8">
        <w:t>years or older are a</w:t>
      </w:r>
      <w:r>
        <w:t>t</w:t>
      </w:r>
      <w:r w:rsidRPr="00E312E8">
        <w:t xml:space="preserve"> high risk of harm </w:t>
      </w:r>
      <w:r>
        <w:t xml:space="preserve">from gambling </w:t>
      </w:r>
      <w:r w:rsidRPr="00E312E8">
        <w:t xml:space="preserve">or </w:t>
      </w:r>
      <w:r>
        <w:t xml:space="preserve">are </w:t>
      </w:r>
      <w:r w:rsidR="00EC3578">
        <w:t>‘</w:t>
      </w:r>
      <w:r w:rsidRPr="00E312E8">
        <w:t>problem gamblers</w:t>
      </w:r>
      <w:r w:rsidR="00EC3578">
        <w:t>’</w:t>
      </w:r>
      <w:r w:rsidRPr="00E312E8">
        <w:t xml:space="preserve">, about </w:t>
      </w:r>
      <w:r>
        <w:t>47</w:t>
      </w:r>
      <w:r w:rsidRPr="00E312E8">
        <w:t>,000 were at moderate-</w:t>
      </w:r>
      <w:r w:rsidRPr="00C10A99">
        <w:t>risk and a further 1</w:t>
      </w:r>
      <w:r>
        <w:t>06</w:t>
      </w:r>
      <w:r w:rsidRPr="00C10A99">
        <w:t>,000 were at low risk but would experience gambling</w:t>
      </w:r>
      <w:r>
        <w:t>-</w:t>
      </w:r>
      <w:r w:rsidRPr="00C10A99">
        <w:t>related harm during their lifetime.</w:t>
      </w:r>
      <w:r w:rsidRPr="00EC1A59">
        <w:rPr>
          <w:rStyle w:val="FootnoteReference"/>
        </w:rPr>
        <w:footnoteReference w:id="1"/>
      </w:r>
    </w:p>
    <w:p w:rsidR="00EC1A59" w:rsidRDefault="00EC1A59" w:rsidP="00EC1A59"/>
    <w:p w:rsidR="00EC3578" w:rsidRPr="00EC1A59" w:rsidRDefault="00CB68A7" w:rsidP="00EC1A59">
      <w:r w:rsidRPr="00E312E8">
        <w:t xml:space="preserve">Every year, some of these people seek help. For example, in </w:t>
      </w:r>
      <w:r>
        <w:t xml:space="preserve">the </w:t>
      </w:r>
      <w:r w:rsidRPr="00E312E8">
        <w:t>2016/17</w:t>
      </w:r>
      <w:r>
        <w:t xml:space="preserve"> year</w:t>
      </w:r>
      <w:r w:rsidRPr="00E312E8">
        <w:t xml:space="preserve">, over 6,200 people sought help from services </w:t>
      </w:r>
      <w:r>
        <w:t xml:space="preserve">funded by the Ministry of Health (the Ministry) </w:t>
      </w:r>
      <w:r w:rsidRPr="00E312E8">
        <w:t>for problem</w:t>
      </w:r>
      <w:r w:rsidRPr="00C10A99">
        <w:t>s due to their own or someone else</w:t>
      </w:r>
      <w:r w:rsidR="00EC3578">
        <w:t>’</w:t>
      </w:r>
      <w:r w:rsidRPr="00C10A99">
        <w:t>s gambling. Most of these people were in crisis. If brief interventions in non-clinical settings were included</w:t>
      </w:r>
      <w:r>
        <w:t xml:space="preserve"> in the analysis</w:t>
      </w:r>
      <w:r w:rsidRPr="00C10A99">
        <w:t>, the total increases to more than 11,600.</w:t>
      </w:r>
      <w:r w:rsidRPr="00EC1A59">
        <w:rPr>
          <w:rStyle w:val="FootnoteReference"/>
        </w:rPr>
        <w:footnoteReference w:id="2"/>
      </w:r>
    </w:p>
    <w:p w:rsidR="00EC1A59" w:rsidRPr="00E312E8" w:rsidRDefault="00EC1A59" w:rsidP="00EC1A59"/>
    <w:p w:rsidR="00CB68A7" w:rsidRPr="00EB1F02" w:rsidRDefault="00CB68A7" w:rsidP="00EC1A59">
      <w:pPr>
        <w:pStyle w:val="Heading2"/>
      </w:pPr>
      <w:bookmarkStart w:id="13" w:name="_Toc517090885"/>
      <w:bookmarkStart w:id="14" w:name="_Toc522089387"/>
      <w:r w:rsidRPr="00EB1F02">
        <w:t>The role of the Ministry of Health</w:t>
      </w:r>
      <w:bookmarkEnd w:id="13"/>
      <w:bookmarkEnd w:id="14"/>
    </w:p>
    <w:p w:rsidR="00CB68A7" w:rsidRPr="00C10A99" w:rsidRDefault="00CB68A7" w:rsidP="00EC1A59">
      <w:r w:rsidRPr="00C10A99">
        <w:t xml:space="preserve">Since 1 July 2004, the Ministry has been responsible for developing and implementing the </w:t>
      </w:r>
      <w:r w:rsidR="00EC3578">
        <w:t>‘</w:t>
      </w:r>
      <w:r w:rsidRPr="00C10A99">
        <w:t>integrated problem gambling strategy focused on public health</w:t>
      </w:r>
      <w:r w:rsidR="00EC3578">
        <w:t>’</w:t>
      </w:r>
      <w:r w:rsidRPr="00C10A99">
        <w:t xml:space="preserve"> that is described in section 317 of the Gambling Act 2003</w:t>
      </w:r>
      <w:r>
        <w:t xml:space="preserve"> (the Act)</w:t>
      </w:r>
      <w:r w:rsidRPr="00C10A99">
        <w:t>.</w:t>
      </w:r>
    </w:p>
    <w:p w:rsidR="00EC1A59" w:rsidRDefault="00EC1A59" w:rsidP="00EC1A59"/>
    <w:p w:rsidR="00CB68A7" w:rsidRPr="00C10A99" w:rsidRDefault="00CB68A7" w:rsidP="00EC1A59">
      <w:r w:rsidRPr="00C10A99">
        <w:t>The Act says that the strategy must include:</w:t>
      </w:r>
    </w:p>
    <w:p w:rsidR="00CB68A7" w:rsidRPr="00EB1F02" w:rsidRDefault="00CB68A7" w:rsidP="00EC1A59">
      <w:pPr>
        <w:pStyle w:val="Bullet"/>
      </w:pPr>
      <w:r w:rsidRPr="00EB1F02">
        <w:t>measures to promote public health by preventing and minimising the harm from gambling</w:t>
      </w:r>
    </w:p>
    <w:p w:rsidR="00CB68A7" w:rsidRPr="00EB1F02" w:rsidRDefault="00CB68A7" w:rsidP="00EC1A59">
      <w:pPr>
        <w:pStyle w:val="Bullet"/>
      </w:pPr>
      <w:r w:rsidRPr="00EB1F02">
        <w:t>services to treat and assist problem gamblers and their families/</w:t>
      </w:r>
      <w:proofErr w:type="spellStart"/>
      <w:r w:rsidRPr="00EB1F02">
        <w:t>whānau</w:t>
      </w:r>
      <w:proofErr w:type="spellEnd"/>
    </w:p>
    <w:p w:rsidR="00CB68A7" w:rsidRPr="00EB1F02" w:rsidRDefault="00CB68A7" w:rsidP="00EC1A59">
      <w:pPr>
        <w:pStyle w:val="Bullet"/>
      </w:pPr>
      <w:r w:rsidRPr="00EB1F02">
        <w:t>independent scientific research associated with gambling, including (for example) longitudinal research on the social and economic impacts of gambling, particularly the impacts of gambling on different cultural groups</w:t>
      </w:r>
    </w:p>
    <w:p w:rsidR="00CB68A7" w:rsidRDefault="00CB68A7" w:rsidP="00EC1A59">
      <w:pPr>
        <w:pStyle w:val="Bullet"/>
      </w:pPr>
      <w:proofErr w:type="gramStart"/>
      <w:r w:rsidRPr="00EB1F02">
        <w:t>evaluation</w:t>
      </w:r>
      <w:proofErr w:type="gramEnd"/>
      <w:r w:rsidRPr="00EB1F02">
        <w:t>.</w:t>
      </w:r>
    </w:p>
    <w:p w:rsidR="00CB68A7" w:rsidRPr="00EB1F02" w:rsidRDefault="00CB68A7" w:rsidP="00EC1A59"/>
    <w:p w:rsidR="00CB68A7" w:rsidRPr="00C10A99" w:rsidRDefault="00CB68A7" w:rsidP="00EC1A59">
      <w:r w:rsidRPr="00C10A99">
        <w:t xml:space="preserve">The Act defines a problem gambler as a person whose gambling causes harm or may cause harm, and </w:t>
      </w:r>
      <w:r w:rsidR="00EC3578">
        <w:t>‘</w:t>
      </w:r>
      <w:r w:rsidRPr="00C10A99">
        <w:t>harm</w:t>
      </w:r>
      <w:r w:rsidR="00EC3578">
        <w:t>’</w:t>
      </w:r>
      <w:r w:rsidRPr="00C10A99">
        <w:t xml:space="preserve"> is defined as:</w:t>
      </w:r>
    </w:p>
    <w:p w:rsidR="00CB68A7" w:rsidRPr="00EB1F02" w:rsidRDefault="00EC3578" w:rsidP="00EC1A59">
      <w:pPr>
        <w:pStyle w:val="Quote"/>
        <w:ind w:left="851" w:hanging="567"/>
      </w:pPr>
      <w:r>
        <w:t>‘</w:t>
      </w:r>
      <w:r w:rsidR="00CB68A7" w:rsidRPr="00C10A99">
        <w:t>(a)</w:t>
      </w:r>
      <w:r w:rsidR="00CB68A7" w:rsidRPr="00EB1F02">
        <w:tab/>
        <w:t>harm or distress of any kind arising from, or caused or exacerbated by, a person</w:t>
      </w:r>
      <w:r>
        <w:t>’</w:t>
      </w:r>
      <w:r w:rsidR="00CB68A7" w:rsidRPr="00EB1F02">
        <w:t>s gambling; and</w:t>
      </w:r>
    </w:p>
    <w:p w:rsidR="00CB68A7" w:rsidRPr="00C10A99" w:rsidRDefault="00CB68A7" w:rsidP="00EC1A59">
      <w:pPr>
        <w:pStyle w:val="Quote"/>
        <w:ind w:left="851" w:hanging="567"/>
      </w:pPr>
      <w:r w:rsidRPr="00EB1F02">
        <w:t>(b)</w:t>
      </w:r>
      <w:r w:rsidRPr="00EB1F02">
        <w:tab/>
      </w:r>
      <w:proofErr w:type="gramStart"/>
      <w:r w:rsidRPr="00EB1F02">
        <w:t>including</w:t>
      </w:r>
      <w:proofErr w:type="gramEnd"/>
      <w:r w:rsidRPr="00EB1F02">
        <w:t xml:space="preserve"> personal</w:t>
      </w:r>
      <w:r w:rsidRPr="00C10A99">
        <w:t>, social, or economic harm suffered –</w:t>
      </w:r>
    </w:p>
    <w:p w:rsidR="00CB68A7" w:rsidRPr="00EB1F02" w:rsidRDefault="00CB68A7" w:rsidP="00EC1A59">
      <w:pPr>
        <w:spacing w:before="60"/>
        <w:ind w:left="1418" w:right="567" w:hanging="567"/>
      </w:pPr>
      <w:r w:rsidRPr="00EB1F02">
        <w:t>(</w:t>
      </w:r>
      <w:proofErr w:type="spellStart"/>
      <w:r w:rsidRPr="00EB1F02">
        <w:t>i</w:t>
      </w:r>
      <w:proofErr w:type="spellEnd"/>
      <w:r w:rsidRPr="00EB1F02">
        <w:t>)</w:t>
      </w:r>
      <w:r w:rsidRPr="00EB1F02">
        <w:tab/>
      </w:r>
      <w:proofErr w:type="gramStart"/>
      <w:r w:rsidRPr="00EB1F02">
        <w:t>by</w:t>
      </w:r>
      <w:proofErr w:type="gramEnd"/>
      <w:r w:rsidRPr="00EB1F02">
        <w:t xml:space="preserve"> the person; or</w:t>
      </w:r>
    </w:p>
    <w:p w:rsidR="00CB68A7" w:rsidRPr="00EB1F02" w:rsidRDefault="00CB68A7" w:rsidP="00EC1A59">
      <w:pPr>
        <w:spacing w:before="60"/>
        <w:ind w:left="1418" w:right="567" w:hanging="567"/>
      </w:pPr>
      <w:r w:rsidRPr="00EB1F02">
        <w:t>(ii)</w:t>
      </w:r>
      <w:r w:rsidRPr="00EB1F02">
        <w:tab/>
      </w:r>
      <w:proofErr w:type="gramStart"/>
      <w:r w:rsidRPr="00EB1F02">
        <w:t>by</w:t>
      </w:r>
      <w:proofErr w:type="gramEnd"/>
      <w:r w:rsidRPr="00EB1F02">
        <w:t xml:space="preserve"> the person</w:t>
      </w:r>
      <w:r w:rsidR="00EC3578">
        <w:t>’</w:t>
      </w:r>
      <w:r w:rsidRPr="00EB1F02">
        <w:t xml:space="preserve">s spouse, civil union partner, de facto partner, family, </w:t>
      </w:r>
      <w:proofErr w:type="spellStart"/>
      <w:r w:rsidRPr="00EB1F02">
        <w:t>whānau</w:t>
      </w:r>
      <w:proofErr w:type="spellEnd"/>
      <w:r w:rsidRPr="00EB1F02">
        <w:t>, or wider community; or</w:t>
      </w:r>
    </w:p>
    <w:p w:rsidR="00CB68A7" w:rsidRPr="00EB1F02" w:rsidRDefault="00CB68A7" w:rsidP="00EC1A59">
      <w:pPr>
        <w:spacing w:before="60"/>
        <w:ind w:left="1418" w:right="567" w:hanging="567"/>
      </w:pPr>
      <w:r w:rsidRPr="00EB1F02">
        <w:t>(iii)</w:t>
      </w:r>
      <w:r w:rsidRPr="00EB1F02">
        <w:tab/>
      </w:r>
      <w:proofErr w:type="gramStart"/>
      <w:r w:rsidRPr="00EB1F02">
        <w:t>in</w:t>
      </w:r>
      <w:proofErr w:type="gramEnd"/>
      <w:r w:rsidRPr="00EB1F02">
        <w:t xml:space="preserve"> the workplace; or</w:t>
      </w:r>
    </w:p>
    <w:p w:rsidR="00CB68A7" w:rsidRPr="00C10A99" w:rsidRDefault="00CB68A7" w:rsidP="00EC1A59">
      <w:pPr>
        <w:spacing w:before="60"/>
        <w:ind w:left="1418" w:right="567" w:hanging="567"/>
      </w:pPr>
      <w:r w:rsidRPr="00EB1F02">
        <w:t>(iv)</w:t>
      </w:r>
      <w:r w:rsidRPr="00EB1F02">
        <w:tab/>
      </w:r>
      <w:proofErr w:type="gramStart"/>
      <w:r w:rsidRPr="00EB1F02">
        <w:t>by</w:t>
      </w:r>
      <w:proofErr w:type="gramEnd"/>
      <w:r w:rsidRPr="00EB1F02">
        <w:t xml:space="preserve"> society at large.</w:t>
      </w:r>
      <w:r w:rsidR="00EC3578">
        <w:t>’</w:t>
      </w:r>
    </w:p>
    <w:p w:rsidR="00CB68A7" w:rsidRDefault="00CB68A7" w:rsidP="00EC1A59"/>
    <w:p w:rsidR="00CB68A7" w:rsidRDefault="00CB68A7" w:rsidP="00EC1A59">
      <w:r w:rsidRPr="00E312E8">
        <w:lastRenderedPageBreak/>
        <w:t xml:space="preserve">The Ministry receives funding through Vote Health to develop and implement the strategy. The Crown then recovers the cost of this appropriation through a </w:t>
      </w:r>
      <w:r w:rsidR="00EC3578">
        <w:t>‘</w:t>
      </w:r>
      <w:r w:rsidRPr="00E312E8">
        <w:t>problem gambling levy</w:t>
      </w:r>
      <w:r w:rsidR="00EC3578">
        <w:t>’</w:t>
      </w:r>
      <w:r w:rsidRPr="00E312E8">
        <w:t xml:space="preserve"> paid by the main gambling operators.</w:t>
      </w:r>
    </w:p>
    <w:p w:rsidR="00CB68A7" w:rsidRPr="00E312E8" w:rsidRDefault="00CB68A7" w:rsidP="00EC1A59"/>
    <w:p w:rsidR="00CB68A7" w:rsidRPr="006E5968" w:rsidRDefault="00CB68A7" w:rsidP="00EC1A59">
      <w:pPr>
        <w:pStyle w:val="Heading2"/>
      </w:pPr>
      <w:bookmarkStart w:id="15" w:name="_Toc517090886"/>
      <w:bookmarkStart w:id="16" w:name="_Toc522089388"/>
      <w:r w:rsidRPr="006E5968">
        <w:t>Role of the Department of Internal Affairs</w:t>
      </w:r>
      <w:bookmarkEnd w:id="15"/>
      <w:bookmarkEnd w:id="16"/>
    </w:p>
    <w:p w:rsidR="00CB68A7" w:rsidRDefault="00CB68A7" w:rsidP="00EC1A59">
      <w:r w:rsidRPr="00C10A99">
        <w:t xml:space="preserve">The Department of Internal Affairs (DIA) is the main gambling regulator and policy advisor to the Government on gambling regulatory issues. </w:t>
      </w:r>
      <w:r>
        <w:t xml:space="preserve">The </w:t>
      </w:r>
      <w:r w:rsidRPr="00C10A99">
        <w:t>DIA administers the Act and its regulations, issues licences for gambling activities, ensures compliance with the legislation</w:t>
      </w:r>
      <w:r>
        <w:t>, works with the gambling sector to encourage best practice</w:t>
      </w:r>
      <w:r w:rsidRPr="00C10A99">
        <w:t xml:space="preserve"> and publishes statistical and other information concerning gambling. </w:t>
      </w:r>
      <w:r>
        <w:t>It is also responsible for limiting the opportunities for crime and dishonesty associated with gambling and ensuring gambling proceeds benefit the community.</w:t>
      </w:r>
    </w:p>
    <w:p w:rsidR="00EC1A59" w:rsidRDefault="00EC1A59" w:rsidP="00EC1A59"/>
    <w:p w:rsidR="00CB68A7" w:rsidRDefault="00CB68A7" w:rsidP="00EC1A59">
      <w:r>
        <w:t xml:space="preserve">The </w:t>
      </w:r>
      <w:r w:rsidRPr="00C10A99">
        <w:t>DIA</w:t>
      </w:r>
      <w:r w:rsidR="00EC3578">
        <w:t>’</w:t>
      </w:r>
      <w:r w:rsidRPr="00C10A99">
        <w:t>s role includes key regulatory aspects of gambling</w:t>
      </w:r>
      <w:r>
        <w:t>-</w:t>
      </w:r>
      <w:r w:rsidRPr="00C10A99">
        <w:t>harm prevention and minimisation.</w:t>
      </w:r>
      <w:r>
        <w:t xml:space="preserve"> It</w:t>
      </w:r>
      <w:r w:rsidRPr="00D859D8">
        <w:t xml:space="preserve"> works with a range of stakeholders, including the gambling industry and gambling</w:t>
      </w:r>
      <w:r>
        <w:t>-</w:t>
      </w:r>
      <w:r w:rsidRPr="00D859D8">
        <w:t xml:space="preserve">harm service providers, to encourage and support venues to provide a </w:t>
      </w:r>
      <w:r w:rsidR="00EC3578">
        <w:t>‘</w:t>
      </w:r>
      <w:r w:rsidRPr="00D859D8">
        <w:t>culture of care</w:t>
      </w:r>
      <w:r w:rsidR="00EC3578">
        <w:t>’</w:t>
      </w:r>
      <w:r w:rsidRPr="00D859D8">
        <w:t xml:space="preserve"> towards gamblers.</w:t>
      </w:r>
    </w:p>
    <w:p w:rsidR="00CB68A7" w:rsidRPr="00C10A99" w:rsidRDefault="00CB68A7" w:rsidP="00EC1A59"/>
    <w:p w:rsidR="00CB68A7" w:rsidRPr="006E5968" w:rsidRDefault="00CB68A7" w:rsidP="00EC1A59">
      <w:pPr>
        <w:pStyle w:val="Heading2"/>
      </w:pPr>
      <w:bookmarkStart w:id="17" w:name="_Toc517090887"/>
      <w:bookmarkStart w:id="18" w:name="_Toc522089389"/>
      <w:r w:rsidRPr="006E5968">
        <w:t>Key principles underpinning the strategy</w:t>
      </w:r>
      <w:bookmarkEnd w:id="17"/>
      <w:bookmarkEnd w:id="18"/>
    </w:p>
    <w:p w:rsidR="00CB68A7" w:rsidRPr="00E312E8" w:rsidRDefault="00CB68A7" w:rsidP="00EC1A59">
      <w:r w:rsidRPr="00E312E8">
        <w:t>A number of key principles have guided the development of both elements in the proposed strategy</w:t>
      </w:r>
      <w:r>
        <w:t>:</w:t>
      </w:r>
      <w:r w:rsidRPr="00E312E8">
        <w:t xml:space="preserve"> the </w:t>
      </w:r>
      <w:r>
        <w:t>s</w:t>
      </w:r>
      <w:r w:rsidRPr="00E312E8">
        <w:t xml:space="preserve">trategic </w:t>
      </w:r>
      <w:r>
        <w:t>p</w:t>
      </w:r>
      <w:r w:rsidRPr="00E312E8">
        <w:t xml:space="preserve">lan and the corresponding three-year </w:t>
      </w:r>
      <w:r>
        <w:t>s</w:t>
      </w:r>
      <w:r w:rsidRPr="00E312E8">
        <w:t xml:space="preserve">ervice </w:t>
      </w:r>
      <w:r>
        <w:t>p</w:t>
      </w:r>
      <w:r w:rsidRPr="00E312E8">
        <w:t>lan</w:t>
      </w:r>
      <w:r>
        <w:t>. These are</w:t>
      </w:r>
      <w:r w:rsidRPr="00E312E8">
        <w:t>:</w:t>
      </w:r>
    </w:p>
    <w:p w:rsidR="00CB68A7" w:rsidRPr="00641D4D" w:rsidRDefault="00CB68A7" w:rsidP="00EC1A59">
      <w:pPr>
        <w:pStyle w:val="Bullet"/>
      </w:pPr>
      <w:r w:rsidRPr="00293332">
        <w:t xml:space="preserve">to reflect the relationship between the Crown and Māori under </w:t>
      </w:r>
      <w:proofErr w:type="spellStart"/>
      <w:r w:rsidRPr="00293332">
        <w:t>Te</w:t>
      </w:r>
      <w:proofErr w:type="spellEnd"/>
      <w:r w:rsidRPr="00293332">
        <w:t xml:space="preserve"> </w:t>
      </w:r>
      <w:proofErr w:type="spellStart"/>
      <w:r w:rsidRPr="00293332">
        <w:t>Tiriti</w:t>
      </w:r>
      <w:proofErr w:type="spellEnd"/>
      <w:r w:rsidRPr="00293332">
        <w:t xml:space="preserve"> o Waitangi, and in particular to apply the principles of partnership, participation</w:t>
      </w:r>
      <w:r w:rsidRPr="00641D4D">
        <w:t xml:space="preserve"> and protection</w:t>
      </w:r>
    </w:p>
    <w:p w:rsidR="00CB68A7" w:rsidRPr="00641D4D" w:rsidRDefault="00CB68A7" w:rsidP="00EC1A59">
      <w:pPr>
        <w:pStyle w:val="Bullet"/>
      </w:pPr>
      <w:r w:rsidRPr="00644C56">
        <w:t>t</w:t>
      </w:r>
      <w:r w:rsidRPr="00293332">
        <w:t>o achieve health equity</w:t>
      </w:r>
      <w:r>
        <w:t>:</w:t>
      </w:r>
    </w:p>
    <w:p w:rsidR="00CB68A7" w:rsidRPr="00C10A99" w:rsidRDefault="00CB68A7" w:rsidP="00EC1A59">
      <w:pPr>
        <w:pStyle w:val="Dash"/>
      </w:pPr>
      <w:r w:rsidRPr="00C10A99">
        <w:t>to maintain a comprehensive range of public health services based on the World Health Organization</w:t>
      </w:r>
      <w:r w:rsidR="00EC3578">
        <w:t>’</w:t>
      </w:r>
      <w:r>
        <w:t>s</w:t>
      </w:r>
      <w:r w:rsidRPr="00C10A99">
        <w:t xml:space="preserve"> (WHO</w:t>
      </w:r>
      <w:r w:rsidR="00EC3578">
        <w:t>’</w:t>
      </w:r>
      <w:r>
        <w:t>s</w:t>
      </w:r>
      <w:r w:rsidRPr="00C10A99">
        <w:t xml:space="preserve">) Ottawa Charter for Health Promotion and New Zealand models of health (particularly Māori models, such as </w:t>
      </w:r>
      <w:proofErr w:type="spellStart"/>
      <w:r w:rsidRPr="00C10A99">
        <w:t>Pae</w:t>
      </w:r>
      <w:proofErr w:type="spellEnd"/>
      <w:r w:rsidRPr="00C10A99">
        <w:t xml:space="preserve"> </w:t>
      </w:r>
      <w:r>
        <w:t>O</w:t>
      </w:r>
      <w:r w:rsidRPr="00C10A99">
        <w:t>ra</w:t>
      </w:r>
      <w:r>
        <w:t xml:space="preserve"> – healthy futures</w:t>
      </w:r>
      <w:r w:rsidRPr="00C10A99">
        <w:t xml:space="preserve">, </w:t>
      </w:r>
      <w:proofErr w:type="spellStart"/>
      <w:r w:rsidRPr="00C10A99">
        <w:t>Te</w:t>
      </w:r>
      <w:proofErr w:type="spellEnd"/>
      <w:r w:rsidRPr="00C10A99">
        <w:t> </w:t>
      </w:r>
      <w:proofErr w:type="spellStart"/>
      <w:r w:rsidRPr="00C10A99">
        <w:t>Pae</w:t>
      </w:r>
      <w:proofErr w:type="spellEnd"/>
      <w:r w:rsidRPr="00C10A99">
        <w:t> </w:t>
      </w:r>
      <w:proofErr w:type="spellStart"/>
      <w:r w:rsidRPr="00C10A99">
        <w:t>Mahutonga</w:t>
      </w:r>
      <w:proofErr w:type="spellEnd"/>
      <w:r>
        <w:t xml:space="preserve">, </w:t>
      </w:r>
      <w:proofErr w:type="spellStart"/>
      <w:r>
        <w:t>Te</w:t>
      </w:r>
      <w:proofErr w:type="spellEnd"/>
      <w:r>
        <w:t xml:space="preserve"> </w:t>
      </w:r>
      <w:proofErr w:type="spellStart"/>
      <w:r>
        <w:t>Wheke</w:t>
      </w:r>
      <w:proofErr w:type="spellEnd"/>
      <w:r w:rsidR="00EC3578">
        <w:t xml:space="preserve"> </w:t>
      </w:r>
      <w:r w:rsidRPr="00C10A99">
        <w:t xml:space="preserve">and </w:t>
      </w:r>
      <w:proofErr w:type="spellStart"/>
      <w:r w:rsidRPr="00C10A99">
        <w:t>Te</w:t>
      </w:r>
      <w:proofErr w:type="spellEnd"/>
      <w:r w:rsidRPr="00C10A99">
        <w:t xml:space="preserve"> </w:t>
      </w:r>
      <w:proofErr w:type="spellStart"/>
      <w:r w:rsidRPr="00C10A99">
        <w:t>Whare</w:t>
      </w:r>
      <w:proofErr w:type="spellEnd"/>
      <w:r w:rsidRPr="00C10A99">
        <w:t> Tapa </w:t>
      </w:r>
      <w:proofErr w:type="spellStart"/>
      <w:r w:rsidRPr="00C10A99">
        <w:t>Whā</w:t>
      </w:r>
      <w:proofErr w:type="spellEnd"/>
      <w:r w:rsidRPr="00C10A99">
        <w:t>)</w:t>
      </w:r>
    </w:p>
    <w:p w:rsidR="00CB68A7" w:rsidRPr="00C10A99" w:rsidRDefault="00CB68A7" w:rsidP="00EC1A59">
      <w:pPr>
        <w:pStyle w:val="Dash"/>
      </w:pPr>
      <w:r w:rsidRPr="00C10A99">
        <w:t>to fund services that prevent and minimise gambling harm for priority populations</w:t>
      </w:r>
    </w:p>
    <w:p w:rsidR="00CB68A7" w:rsidRPr="00C10A99" w:rsidRDefault="00CB68A7" w:rsidP="00EC1A59">
      <w:pPr>
        <w:pStyle w:val="Dash"/>
      </w:pPr>
      <w:r w:rsidRPr="00C10A99">
        <w:t>to ensure culturally accessible and responsive services</w:t>
      </w:r>
    </w:p>
    <w:p w:rsidR="00CB68A7" w:rsidRPr="00C10A99" w:rsidRDefault="00CB68A7" w:rsidP="00EC1A59">
      <w:pPr>
        <w:pStyle w:val="Dash"/>
      </w:pPr>
      <w:r w:rsidRPr="00C10A99">
        <w:t>to ensure links between public health and intervention services</w:t>
      </w:r>
    </w:p>
    <w:p w:rsidR="00CB68A7" w:rsidRPr="00C10A99" w:rsidRDefault="00CB68A7" w:rsidP="00EC1A59">
      <w:pPr>
        <w:pStyle w:val="Dash"/>
      </w:pPr>
      <w:r w:rsidRPr="00C10A99">
        <w:t>to maintain a focus on healthy futures for Māori</w:t>
      </w:r>
    </w:p>
    <w:p w:rsidR="00CB68A7" w:rsidRPr="00C10A99" w:rsidRDefault="00CB68A7" w:rsidP="00EC1A59">
      <w:pPr>
        <w:pStyle w:val="Dash"/>
      </w:pPr>
      <w:r w:rsidRPr="00C10A99">
        <w:t>to maintain a focus on improving health outcomes for Pacific peoples</w:t>
      </w:r>
    </w:p>
    <w:p w:rsidR="00CB68A7" w:rsidRPr="00C10A99" w:rsidRDefault="00CB68A7" w:rsidP="00EC1A59">
      <w:pPr>
        <w:pStyle w:val="Dash"/>
      </w:pPr>
      <w:r w:rsidRPr="00C10A99">
        <w:t>to ensure services are evidence-based, effective and sustainable</w:t>
      </w:r>
    </w:p>
    <w:p w:rsidR="00CB68A7" w:rsidRPr="00C10A99" w:rsidRDefault="00CB68A7" w:rsidP="00EC1A59">
      <w:pPr>
        <w:pStyle w:val="Dash"/>
      </w:pPr>
      <w:r w:rsidRPr="00C10A99">
        <w:t>to develop the workforce</w:t>
      </w:r>
    </w:p>
    <w:p w:rsidR="00CB68A7" w:rsidRPr="00C10A99" w:rsidRDefault="00CB68A7" w:rsidP="00EC1A59">
      <w:pPr>
        <w:pStyle w:val="Dash"/>
      </w:pPr>
      <w:r w:rsidRPr="00C10A99">
        <w:t xml:space="preserve">to apply an </w:t>
      </w:r>
      <w:proofErr w:type="spellStart"/>
      <w:r w:rsidRPr="00C10A99">
        <w:t>intersectoral</w:t>
      </w:r>
      <w:proofErr w:type="spellEnd"/>
      <w:r w:rsidRPr="00C10A99">
        <w:t xml:space="preserve"> approach</w:t>
      </w:r>
    </w:p>
    <w:p w:rsidR="00CB68A7" w:rsidRDefault="00CB68A7" w:rsidP="00EC1A59">
      <w:pPr>
        <w:pStyle w:val="Dash"/>
      </w:pPr>
      <w:proofErr w:type="gramStart"/>
      <w:r w:rsidRPr="00C10A99">
        <w:t>to</w:t>
      </w:r>
      <w:proofErr w:type="gramEnd"/>
      <w:r w:rsidRPr="00C10A99">
        <w:t xml:space="preserve"> strengthen communities.</w:t>
      </w:r>
    </w:p>
    <w:p w:rsidR="00CB68A7" w:rsidRPr="00C10A99" w:rsidRDefault="00CB68A7" w:rsidP="00EC1A59"/>
    <w:p w:rsidR="00EC3578" w:rsidRDefault="00CB68A7" w:rsidP="00EC1A59">
      <w:pPr>
        <w:pStyle w:val="Heading2"/>
      </w:pPr>
      <w:bookmarkStart w:id="19" w:name="_Toc517090888"/>
      <w:bookmarkStart w:id="20" w:name="_Toc522089390"/>
      <w:r w:rsidRPr="006E5968">
        <w:t xml:space="preserve">Functions of the </w:t>
      </w:r>
      <w:r>
        <w:t>s</w:t>
      </w:r>
      <w:r w:rsidRPr="006E5968">
        <w:t>trategy</w:t>
      </w:r>
      <w:bookmarkEnd w:id="19"/>
      <w:bookmarkEnd w:id="20"/>
    </w:p>
    <w:p w:rsidR="00EC3578" w:rsidRDefault="00CB68A7" w:rsidP="005C1D13">
      <w:pPr>
        <w:keepNext/>
        <w:rPr>
          <w:rFonts w:cs="Garamond"/>
          <w:color w:val="000000"/>
        </w:rPr>
      </w:pPr>
      <w:r w:rsidRPr="00E312E8">
        <w:t>The strategy comprise</w:t>
      </w:r>
      <w:r>
        <w:t>s</w:t>
      </w:r>
      <w:r w:rsidRPr="00E312E8">
        <w:t xml:space="preserve"> a rolling six</w:t>
      </w:r>
      <w:r>
        <w:t>-</w:t>
      </w:r>
      <w:r w:rsidRPr="00E312E8">
        <w:t>year strategic plan and a three</w:t>
      </w:r>
      <w:r>
        <w:t>-</w:t>
      </w:r>
      <w:r w:rsidRPr="00E312E8">
        <w:t>year service plan and is refreshed every three years. Together</w:t>
      </w:r>
      <w:r>
        <w:t>,</w:t>
      </w:r>
      <w:r w:rsidRPr="00E312E8">
        <w:t xml:space="preserve"> the</w:t>
      </w:r>
      <w:r>
        <w:t xml:space="preserve"> strategic and service plans</w:t>
      </w:r>
      <w:r w:rsidRPr="00E312E8">
        <w:t xml:space="preserve"> </w:t>
      </w:r>
      <w:r w:rsidRPr="00E312E8">
        <w:rPr>
          <w:rFonts w:cs="Garamond"/>
          <w:color w:val="000000"/>
        </w:rPr>
        <w:t>set out the Ministry</w:t>
      </w:r>
      <w:r w:rsidR="00EC3578">
        <w:rPr>
          <w:rFonts w:cs="Garamond"/>
          <w:color w:val="000000"/>
        </w:rPr>
        <w:t>’</w:t>
      </w:r>
      <w:r w:rsidRPr="00E312E8">
        <w:rPr>
          <w:rFonts w:cs="Garamond"/>
          <w:color w:val="000000"/>
        </w:rPr>
        <w:t xml:space="preserve">s </w:t>
      </w:r>
      <w:r w:rsidRPr="00E312E8">
        <w:rPr>
          <w:rFonts w:cs="Garamond"/>
          <w:color w:val="000000"/>
        </w:rPr>
        <w:lastRenderedPageBreak/>
        <w:t xml:space="preserve">proposed </w:t>
      </w:r>
      <w:r w:rsidRPr="00B47FDC">
        <w:rPr>
          <w:rFonts w:cs="Garamond"/>
          <w:color w:val="000000"/>
        </w:rPr>
        <w:t xml:space="preserve">approach </w:t>
      </w:r>
      <w:r w:rsidRPr="00E728BA">
        <w:rPr>
          <w:rFonts w:cs="Garamond"/>
          <w:color w:val="000000"/>
        </w:rPr>
        <w:t>and the range of activities it plans to undertake</w:t>
      </w:r>
      <w:r w:rsidRPr="00C10A99">
        <w:rPr>
          <w:rFonts w:cs="Garamond"/>
          <w:color w:val="000000"/>
        </w:rPr>
        <w:t xml:space="preserve"> to minimise gambling harm from </w:t>
      </w:r>
      <w:r>
        <w:rPr>
          <w:rFonts w:cs="Garamond"/>
          <w:color w:val="000000"/>
        </w:rPr>
        <w:t>201</w:t>
      </w:r>
      <w:r w:rsidRPr="00C10A99">
        <w:rPr>
          <w:rFonts w:cs="Garamond"/>
          <w:color w:val="000000"/>
        </w:rPr>
        <w:t>9/20 to 2021/22.</w:t>
      </w:r>
    </w:p>
    <w:p w:rsidR="00EC1A59" w:rsidRDefault="00EC1A59" w:rsidP="005C1D13">
      <w:pPr>
        <w:keepNext/>
      </w:pPr>
    </w:p>
    <w:p w:rsidR="00EC3578" w:rsidRDefault="00CB68A7" w:rsidP="00EC1A59">
      <w:r w:rsidRPr="00C10A99">
        <w:t xml:space="preserve">The strategy </w:t>
      </w:r>
      <w:r>
        <w:t xml:space="preserve">sets out </w:t>
      </w:r>
      <w:r w:rsidRPr="00C10A99">
        <w:t>the statutory requirements for an integrated problem gambling strategy</w:t>
      </w:r>
      <w:r>
        <w:t xml:space="preserve"> and</w:t>
      </w:r>
      <w:r w:rsidRPr="00C10A99">
        <w:t xml:space="preserve"> the aim for gambling harm minimisation and </w:t>
      </w:r>
      <w:r>
        <w:t xml:space="preserve">specifies </w:t>
      </w:r>
      <w:r w:rsidRPr="00C10A99">
        <w:t>11 strategic objectives.</w:t>
      </w:r>
    </w:p>
    <w:p w:rsidR="00EC1A59" w:rsidRDefault="00EC1A59" w:rsidP="00EC1A59"/>
    <w:p w:rsidR="00CB68A7" w:rsidRPr="00C10A99" w:rsidRDefault="00CB68A7" w:rsidP="00EC1A59">
      <w:r>
        <w:t>It</w:t>
      </w:r>
      <w:r w:rsidRPr="00C10A99">
        <w:t xml:space="preserve"> reflects the Ministry</w:t>
      </w:r>
      <w:r w:rsidR="00EC3578">
        <w:t>’</w:t>
      </w:r>
      <w:r w:rsidRPr="00C10A99">
        <w:t xml:space="preserve">s responsibility for a public health approach to gambling harm minimisation and its relationship to the complementary responsibility of the </w:t>
      </w:r>
      <w:r>
        <w:t>DIA in</w:t>
      </w:r>
      <w:r w:rsidRPr="00C10A99">
        <w:t xml:space="preserve"> regulati</w:t>
      </w:r>
      <w:r>
        <w:t>ng</w:t>
      </w:r>
      <w:r w:rsidRPr="00C10A99">
        <w:t xml:space="preserve"> gambling activity. The strategy </w:t>
      </w:r>
      <w:r>
        <w:t xml:space="preserve">is informed by </w:t>
      </w:r>
      <w:r w:rsidRPr="00C10A99">
        <w:t>and aligned with other key Ministry strategic documents.</w:t>
      </w:r>
    </w:p>
    <w:p w:rsidR="00EC1A59" w:rsidRDefault="00EC1A59" w:rsidP="00EC1A59"/>
    <w:p w:rsidR="00CB68A7" w:rsidRPr="00C10A99" w:rsidRDefault="00CB68A7" w:rsidP="00EC1A59">
      <w:r w:rsidRPr="00C10A99">
        <w:t>The draft strategic plan provides the strategic context and direction for the draft three</w:t>
      </w:r>
      <w:r w:rsidRPr="00C10A99">
        <w:noBreakHyphen/>
        <w:t xml:space="preserve">year </w:t>
      </w:r>
      <w:r>
        <w:t>s</w:t>
      </w:r>
      <w:r w:rsidRPr="00C10A99">
        <w:t xml:space="preserve">ervice </w:t>
      </w:r>
      <w:r>
        <w:t>p</w:t>
      </w:r>
      <w:r w:rsidRPr="00C10A99">
        <w:t>lan.</w:t>
      </w:r>
    </w:p>
    <w:p w:rsidR="00EC1A59" w:rsidRDefault="00EC1A59" w:rsidP="00EC1A59"/>
    <w:p w:rsidR="00EC3578" w:rsidRDefault="00CB68A7" w:rsidP="00EC1A59">
      <w:r w:rsidRPr="00C10A99">
        <w:t>The Ministry proposes to make some alterations to the strategic plan to reflect changes in the minimising gambling harm and wider addiction and mental health sector landscape</w:t>
      </w:r>
      <w:r>
        <w:t>. M</w:t>
      </w:r>
      <w:r w:rsidRPr="00C10A99">
        <w:t xml:space="preserve">ore substantial changes </w:t>
      </w:r>
      <w:r>
        <w:t>are proposed for</w:t>
      </w:r>
      <w:r w:rsidRPr="00C10A99">
        <w:t xml:space="preserve"> the next three years</w:t>
      </w:r>
      <w:r w:rsidRPr="00C10A99" w:rsidDel="00641D4D">
        <w:t xml:space="preserve"> </w:t>
      </w:r>
      <w:r>
        <w:t>of the s</w:t>
      </w:r>
      <w:r w:rsidRPr="00C10A99">
        <w:t xml:space="preserve">ervice </w:t>
      </w:r>
      <w:r>
        <w:t>p</w:t>
      </w:r>
      <w:r w:rsidRPr="00C10A99">
        <w:t>lan</w:t>
      </w:r>
      <w:r>
        <w:t>,</w:t>
      </w:r>
      <w:r w:rsidRPr="00C10A99">
        <w:t xml:space="preserve"> to address areas highlighted by the needs assessment and </w:t>
      </w:r>
      <w:r>
        <w:t>outcomes monitoring</w:t>
      </w:r>
      <w:r w:rsidR="00EC3578">
        <w:t xml:space="preserve"> </w:t>
      </w:r>
      <w:r w:rsidRPr="00C10A99">
        <w:t xml:space="preserve">summarised </w:t>
      </w:r>
      <w:r>
        <w:t>below</w:t>
      </w:r>
      <w:r w:rsidRPr="00C10A99">
        <w:t>.</w:t>
      </w:r>
    </w:p>
    <w:p w:rsidR="00CB68A7" w:rsidRPr="00C10A99" w:rsidRDefault="00CB68A7" w:rsidP="00EC1A59"/>
    <w:p w:rsidR="00EC3578" w:rsidRDefault="00CB68A7" w:rsidP="00EC1A59">
      <w:pPr>
        <w:pStyle w:val="Heading2"/>
      </w:pPr>
      <w:bookmarkStart w:id="21" w:name="_Toc517090889"/>
      <w:bookmarkStart w:id="22" w:name="_Toc522089391"/>
      <w:r w:rsidRPr="006E5968">
        <w:t xml:space="preserve">Gambling harm needs </w:t>
      </w:r>
      <w:r>
        <w:t>a</w:t>
      </w:r>
      <w:r w:rsidRPr="006E5968">
        <w:t>ssessmen</w:t>
      </w:r>
      <w:r w:rsidRPr="00E0156C">
        <w:t>t</w:t>
      </w:r>
      <w:bookmarkEnd w:id="21"/>
      <w:bookmarkEnd w:id="22"/>
    </w:p>
    <w:p w:rsidR="00CB68A7" w:rsidRPr="00C10A99" w:rsidRDefault="00CB68A7" w:rsidP="00EC1A59">
      <w:r w:rsidRPr="00E312E8">
        <w:t xml:space="preserve">The Act requires the Ministry to undertake a needs assessment to inform the development of the strategy. The needs assessment looks at facts and figures about gambling related harm in New Zealand to </w:t>
      </w:r>
      <w:r w:rsidRPr="00B47FDC">
        <w:t>highlight</w:t>
      </w:r>
      <w:r w:rsidRPr="00C10A99">
        <w:t xml:space="preserve"> any gaps between the research evidence, population needs, service provision and the </w:t>
      </w:r>
      <w:r>
        <w:t>strategy</w:t>
      </w:r>
      <w:r w:rsidR="00EC3578">
        <w:t>’</w:t>
      </w:r>
      <w:r>
        <w:t xml:space="preserve">s </w:t>
      </w:r>
      <w:r w:rsidRPr="00C10A99">
        <w:t>goal. This helps to determine the most appropriate distribution of health services to promote better health outcomes for the population.</w:t>
      </w:r>
    </w:p>
    <w:p w:rsidR="00EC1A59" w:rsidRDefault="00EC1A59" w:rsidP="00EC1A59"/>
    <w:p w:rsidR="00EC3578" w:rsidRDefault="00CB68A7" w:rsidP="00EC1A59">
      <w:r w:rsidRPr="00C10A99">
        <w:t>To help prepare the 2018 needs assessment, the Ministry contracted an independent research organisation</w:t>
      </w:r>
      <w:r>
        <w:t>,</w:t>
      </w:r>
      <w:r w:rsidRPr="00C10A99">
        <w:t xml:space="preserve"> </w:t>
      </w:r>
      <w:proofErr w:type="spellStart"/>
      <w:r w:rsidRPr="00C10A99">
        <w:t>Sapere</w:t>
      </w:r>
      <w:proofErr w:type="spellEnd"/>
      <w:r w:rsidRPr="00C10A99">
        <w:t xml:space="preserve"> Research Group</w:t>
      </w:r>
      <w:r>
        <w:t xml:space="preserve"> (</w:t>
      </w:r>
      <w:proofErr w:type="spellStart"/>
      <w:r>
        <w:t>Sapere</w:t>
      </w:r>
      <w:proofErr w:type="spellEnd"/>
      <w:r>
        <w:t>)</w:t>
      </w:r>
      <w:r w:rsidRPr="00C10A99">
        <w:t xml:space="preserve">, to review needs in the sector. The </w:t>
      </w:r>
      <w:proofErr w:type="spellStart"/>
      <w:r w:rsidRPr="00C10A99">
        <w:t>Sapere</w:t>
      </w:r>
      <w:proofErr w:type="spellEnd"/>
      <w:r w:rsidRPr="00C10A99">
        <w:t xml:space="preserve"> needs assessment report is available on the Ministry</w:t>
      </w:r>
      <w:r w:rsidR="00EC3578">
        <w:t>’</w:t>
      </w:r>
      <w:r w:rsidRPr="00C10A99">
        <w:t xml:space="preserve">s website </w:t>
      </w:r>
      <w:hyperlink r:id="rId38" w:history="1">
        <w:r w:rsidRPr="00844C9C">
          <w:rPr>
            <w:rStyle w:val="Hyperlink"/>
          </w:rPr>
          <w:t>www.health.govt.nz</w:t>
        </w:r>
      </w:hyperlink>
      <w:r>
        <w:t xml:space="preserve"> </w:t>
      </w:r>
      <w:r w:rsidRPr="00C10A99">
        <w:t xml:space="preserve">together with a </w:t>
      </w:r>
      <w:r>
        <w:t>t</w:t>
      </w:r>
      <w:r w:rsidRPr="00C10A99">
        <w:t>able listing the report</w:t>
      </w:r>
      <w:r w:rsidR="00EC3578">
        <w:t>’</w:t>
      </w:r>
      <w:r w:rsidRPr="00C10A99">
        <w:t>s recommendations and the Ministry</w:t>
      </w:r>
      <w:r w:rsidR="00EC3578">
        <w:t>’</w:t>
      </w:r>
      <w:r w:rsidRPr="00C10A99">
        <w:t>s proposed response</w:t>
      </w:r>
      <w:r>
        <w:t xml:space="preserve"> to those recommendations.</w:t>
      </w:r>
      <w:r w:rsidR="00EC3578">
        <w:t xml:space="preserve"> </w:t>
      </w:r>
      <w:r w:rsidRPr="00C10A99">
        <w:t>Together</w:t>
      </w:r>
      <w:r>
        <w:t>,</w:t>
      </w:r>
      <w:r w:rsidRPr="00C10A99">
        <w:t xml:space="preserve"> these form the Ministry</w:t>
      </w:r>
      <w:r w:rsidR="00EC3578">
        <w:t>’</w:t>
      </w:r>
      <w:r w:rsidRPr="00C10A99">
        <w:t xml:space="preserve">s needs assessment that has informed </w:t>
      </w:r>
      <w:r>
        <w:t>the strategy</w:t>
      </w:r>
      <w:r w:rsidR="00EC3578">
        <w:t>’</w:t>
      </w:r>
      <w:r>
        <w:t xml:space="preserve">s </w:t>
      </w:r>
      <w:r w:rsidRPr="00C10A99">
        <w:t>development</w:t>
      </w:r>
      <w:r>
        <w:t>.</w:t>
      </w:r>
    </w:p>
    <w:p w:rsidR="00EC1A59" w:rsidRDefault="00EC1A59" w:rsidP="00EC1A59"/>
    <w:p w:rsidR="00CB68A7" w:rsidRDefault="00CB68A7" w:rsidP="00EC1A59">
      <w:r w:rsidRPr="00C10A99">
        <w:t>In summary</w:t>
      </w:r>
      <w:r>
        <w:t>,</w:t>
      </w:r>
      <w:r w:rsidRPr="00C10A99">
        <w:t xml:space="preserve"> the needs assessment identifies that the key needs are much the same as they were when the service plan for 2016/17 to 2018/19 was developed in 2015. There is provision for dedicated Māori, Pacific and Asian services and activities as these a</w:t>
      </w:r>
      <w:r>
        <w:t>r</w:t>
      </w:r>
      <w:r w:rsidRPr="00C10A99">
        <w:t>e the most vulnerable</w:t>
      </w:r>
      <w:r>
        <w:t xml:space="preserve"> populations</w:t>
      </w:r>
      <w:r w:rsidRPr="00C10A99">
        <w:t xml:space="preserve">. The needs assessment </w:t>
      </w:r>
      <w:r>
        <w:t xml:space="preserve">also </w:t>
      </w:r>
      <w:r w:rsidRPr="00C10A99">
        <w:t>suggests there is value in strengthening research and evaluation and in piloting new initiatives to address harm caused by persistent and relapsed moderate</w:t>
      </w:r>
      <w:r>
        <w:t>-</w:t>
      </w:r>
      <w:r w:rsidRPr="00C10A99">
        <w:t>to</w:t>
      </w:r>
      <w:r>
        <w:t>-</w:t>
      </w:r>
      <w:r w:rsidRPr="00C10A99">
        <w:t>high risk gambling. There are also concerns about the growth of internet</w:t>
      </w:r>
      <w:r>
        <w:t>-</w:t>
      </w:r>
      <w:r w:rsidRPr="00C10A99">
        <w:t xml:space="preserve">based gambling and the convergence between gambling and gaming, which the Ministry proposes </w:t>
      </w:r>
      <w:r>
        <w:t>as</w:t>
      </w:r>
      <w:r w:rsidRPr="00C10A99">
        <w:t xml:space="preserve"> a research priority</w:t>
      </w:r>
      <w:r>
        <w:t>.</w:t>
      </w:r>
    </w:p>
    <w:p w:rsidR="00CB68A7" w:rsidRDefault="00CB68A7" w:rsidP="00EC1A59"/>
    <w:p w:rsidR="00CB68A7" w:rsidRPr="006E5968" w:rsidRDefault="00CB68A7" w:rsidP="00EC1A59">
      <w:pPr>
        <w:pStyle w:val="Heading2"/>
      </w:pPr>
      <w:bookmarkStart w:id="23" w:name="_Toc517090890"/>
      <w:bookmarkStart w:id="24" w:name="_Toc522089392"/>
      <w:r>
        <w:t>O</w:t>
      </w:r>
      <w:r w:rsidRPr="006E5968">
        <w:t>pportunities to learn</w:t>
      </w:r>
      <w:bookmarkEnd w:id="23"/>
      <w:bookmarkEnd w:id="24"/>
    </w:p>
    <w:p w:rsidR="00CB68A7" w:rsidRPr="00E312E8" w:rsidRDefault="00CB68A7" w:rsidP="005C1D13">
      <w:pPr>
        <w:keepNext/>
      </w:pPr>
      <w:r w:rsidRPr="00E312E8">
        <w:t xml:space="preserve">Overall, </w:t>
      </w:r>
      <w:proofErr w:type="spellStart"/>
      <w:r w:rsidRPr="00E312E8">
        <w:t>Sapere</w:t>
      </w:r>
      <w:proofErr w:type="spellEnd"/>
      <w:r w:rsidRPr="00E312E8">
        <w:t xml:space="preserve"> found that:</w:t>
      </w:r>
    </w:p>
    <w:p w:rsidR="00CB68A7" w:rsidRPr="00E312E8" w:rsidRDefault="00EC3578" w:rsidP="005C1D13">
      <w:pPr>
        <w:pStyle w:val="Quote"/>
        <w:keepLines/>
      </w:pPr>
      <w:r>
        <w:t>‘</w:t>
      </w:r>
      <w:r w:rsidR="00CB68A7" w:rsidRPr="00E312E8">
        <w:t>There are many opportunities to learn from best practice within New Zealand and create pilot service models to address service gaps. Work is needed to improve inter-sectorial relationships and make best use of the skills available within the industry as a whole to support those harmed by gambling</w:t>
      </w:r>
      <w:r>
        <w:t>’</w:t>
      </w:r>
      <w:r w:rsidR="00CB68A7">
        <w:t xml:space="preserve"> (Rook and Rippon et al 2018).</w:t>
      </w:r>
    </w:p>
    <w:p w:rsidR="00EC1A59" w:rsidRDefault="00EC1A59" w:rsidP="00EC1A59"/>
    <w:p w:rsidR="00EC3578" w:rsidRDefault="00CB68A7" w:rsidP="00EC1A59">
      <w:r w:rsidRPr="00C10A99">
        <w:lastRenderedPageBreak/>
        <w:t xml:space="preserve">In response, the Ministry notes the strategic goal for gambling harm reduction is </w:t>
      </w:r>
      <w:r w:rsidR="00EC3578">
        <w:t>‘</w:t>
      </w:r>
      <w:r w:rsidRPr="00C10A99">
        <w:t>Government, the gambling sector,</w:t>
      </w:r>
      <w:r w:rsidRPr="00EC1A59">
        <w:rPr>
          <w:rStyle w:val="FootnoteReference"/>
        </w:rPr>
        <w:footnoteReference w:id="3"/>
      </w:r>
      <w:r w:rsidR="00EC1A59">
        <w:t xml:space="preserve"> </w:t>
      </w:r>
      <w:r w:rsidRPr="00C10A99">
        <w:t>communities and families/</w:t>
      </w:r>
      <w:proofErr w:type="spellStart"/>
      <w:r w:rsidRPr="00C10A99">
        <w:t>whānau</w:t>
      </w:r>
      <w:proofErr w:type="spellEnd"/>
      <w:r w:rsidRPr="00C10A99">
        <w:t xml:space="preserve"> working together to prevent and minimise gambling harm, and to reduce related health inequities</w:t>
      </w:r>
      <w:r w:rsidR="00EC3578">
        <w:t>’</w:t>
      </w:r>
      <w:r>
        <w:t xml:space="preserve"> (Ministry of Health 2016)</w:t>
      </w:r>
      <w:r w:rsidRPr="00C10A99">
        <w:t>. The Ministry</w:t>
      </w:r>
      <w:r w:rsidR="00EC3578">
        <w:t>’</w:t>
      </w:r>
      <w:r w:rsidRPr="00C10A99">
        <w:t>s statutory responsibility is to promote harm minimisation through an informed, research</w:t>
      </w:r>
      <w:r>
        <w:t>-</w:t>
      </w:r>
      <w:r w:rsidRPr="00C10A99">
        <w:t>based public health approach.</w:t>
      </w:r>
    </w:p>
    <w:p w:rsidR="008E205A" w:rsidRDefault="008E205A" w:rsidP="008E205A"/>
    <w:p w:rsidR="00EC3578" w:rsidRDefault="00CB68A7" w:rsidP="008E205A">
      <w:r w:rsidRPr="00C10A99">
        <w:t xml:space="preserve">In collaboration with </w:t>
      </w:r>
      <w:r>
        <w:t xml:space="preserve">the </w:t>
      </w:r>
      <w:r w:rsidRPr="00C10A99">
        <w:t>DIA, the Ministry aim</w:t>
      </w:r>
      <w:r>
        <w:t>s</w:t>
      </w:r>
      <w:r w:rsidRPr="00C10A99">
        <w:t xml:space="preserve"> to identify and use opportunities for diverse perspectives to </w:t>
      </w:r>
      <w:r>
        <w:t>clarify</w:t>
      </w:r>
      <w:r w:rsidRPr="00C10A99">
        <w:t xml:space="preserve"> what gambling harm minimisation means for different parts of the </w:t>
      </w:r>
      <w:r>
        <w:t xml:space="preserve">health </w:t>
      </w:r>
      <w:r w:rsidRPr="00C10A99">
        <w:t xml:space="preserve">sector and to work with the </w:t>
      </w:r>
      <w:r>
        <w:t xml:space="preserve">health </w:t>
      </w:r>
      <w:r w:rsidRPr="00C10A99">
        <w:t>sector to implement the strategy through the future service plan.</w:t>
      </w:r>
    </w:p>
    <w:p w:rsidR="008E205A" w:rsidRDefault="008E205A" w:rsidP="008E205A"/>
    <w:p w:rsidR="00CB68A7" w:rsidRDefault="00CB68A7" w:rsidP="008E205A">
      <w:r w:rsidRPr="00C10A99">
        <w:t>The proposed service plan provides more detail about the Ministry</w:t>
      </w:r>
      <w:r w:rsidR="00EC3578">
        <w:t>’</w:t>
      </w:r>
      <w:r w:rsidRPr="00C10A99">
        <w:t xml:space="preserve">s response to the recommendations identified in the </w:t>
      </w:r>
      <w:proofErr w:type="spellStart"/>
      <w:r w:rsidRPr="00C10A99">
        <w:t>Sapere</w:t>
      </w:r>
      <w:proofErr w:type="spellEnd"/>
      <w:r w:rsidRPr="00C10A99">
        <w:t xml:space="preserve"> needs assessment and continue promoting gambling harm minimisation.</w:t>
      </w:r>
    </w:p>
    <w:p w:rsidR="00CB68A7" w:rsidRPr="00C10A99" w:rsidRDefault="00CB68A7" w:rsidP="008E205A"/>
    <w:p w:rsidR="00EC3578" w:rsidRDefault="00CB68A7" w:rsidP="008E205A">
      <w:pPr>
        <w:pStyle w:val="Heading2"/>
      </w:pPr>
      <w:bookmarkStart w:id="25" w:name="_Toc517090891"/>
      <w:bookmarkStart w:id="26" w:name="_Toc522089393"/>
      <w:r w:rsidRPr="00C10A99">
        <w:t xml:space="preserve">Outcomes </w:t>
      </w:r>
      <w:r>
        <w:t>m</w:t>
      </w:r>
      <w:r w:rsidRPr="00C10A99">
        <w:t>onitoring</w:t>
      </w:r>
      <w:bookmarkEnd w:id="25"/>
      <w:bookmarkEnd w:id="26"/>
    </w:p>
    <w:p w:rsidR="00CB68A7" w:rsidRPr="00E312E8" w:rsidRDefault="00CB68A7" w:rsidP="008E205A">
      <w:r w:rsidRPr="00E312E8">
        <w:t xml:space="preserve">The Ministry has recently </w:t>
      </w:r>
      <w:r>
        <w:t xml:space="preserve">reviewed progress towards gambling harm reduction outcomes to assess </w:t>
      </w:r>
      <w:r w:rsidRPr="00E312E8">
        <w:t xml:space="preserve">what has been achieved over time in gambling harm minimisation. </w:t>
      </w:r>
      <w:r>
        <w:t xml:space="preserve">This review </w:t>
      </w:r>
      <w:r w:rsidRPr="00E312E8">
        <w:t xml:space="preserve">complements the needs assessment </w:t>
      </w:r>
      <w:r>
        <w:t xml:space="preserve">discussed above and </w:t>
      </w:r>
      <w:r w:rsidRPr="00E312E8">
        <w:t>provide</w:t>
      </w:r>
      <w:r>
        <w:t>s</w:t>
      </w:r>
      <w:r w:rsidRPr="00E312E8">
        <w:t xml:space="preserve"> information about </w:t>
      </w:r>
      <w:r>
        <w:t>the nature of gambling harm in New Zealand and changes over time.</w:t>
      </w:r>
    </w:p>
    <w:p w:rsidR="008E205A" w:rsidRDefault="008E205A" w:rsidP="008E205A"/>
    <w:p w:rsidR="00CC6A26" w:rsidRDefault="00CC6A26" w:rsidP="008E205A">
      <w:pPr>
        <w:rPr>
          <w:noProof/>
        </w:rPr>
      </w:pPr>
      <w:r>
        <w:t xml:space="preserve">Research </w:t>
      </w:r>
      <w:r w:rsidR="00CB68A7">
        <w:t>s</w:t>
      </w:r>
      <w:r w:rsidR="00CB68A7" w:rsidRPr="00C10A99">
        <w:t>how</w:t>
      </w:r>
      <w:r>
        <w:t>s</w:t>
      </w:r>
      <w:r w:rsidR="00CB68A7">
        <w:t xml:space="preserve"> that</w:t>
      </w:r>
      <w:r w:rsidR="00CB68A7" w:rsidRPr="00C10A99">
        <w:t xml:space="preserve"> while </w:t>
      </w:r>
      <w:r w:rsidR="00CB68A7">
        <w:t xml:space="preserve">the proportion of the population at risk of </w:t>
      </w:r>
      <w:r w:rsidR="00CB68A7" w:rsidRPr="00C10A99">
        <w:t>gambling harm</w:t>
      </w:r>
      <w:r w:rsidR="00CB68A7">
        <w:t xml:space="preserve">, </w:t>
      </w:r>
      <w:r w:rsidR="00CB68A7" w:rsidRPr="00C10A99">
        <w:t xml:space="preserve">as measured by the </w:t>
      </w:r>
      <w:r w:rsidR="00CB68A7">
        <w:t>P</w:t>
      </w:r>
      <w:r w:rsidR="00CB68A7" w:rsidRPr="00C10A99">
        <w:t xml:space="preserve">roblem </w:t>
      </w:r>
      <w:r w:rsidR="00CB68A7">
        <w:t>G</w:t>
      </w:r>
      <w:r w:rsidR="00CB68A7" w:rsidRPr="00C10A99">
        <w:t xml:space="preserve">ambling </w:t>
      </w:r>
      <w:r w:rsidR="00CB68A7">
        <w:t>S</w:t>
      </w:r>
      <w:r w:rsidR="00CB68A7" w:rsidRPr="00C10A99">
        <w:t xml:space="preserve">everity </w:t>
      </w:r>
      <w:r w:rsidR="00CB68A7">
        <w:t>I</w:t>
      </w:r>
      <w:r w:rsidR="00CB68A7" w:rsidRPr="00C10A99">
        <w:t>ndex (PGSI)</w:t>
      </w:r>
      <w:r w:rsidR="00CB68A7">
        <w:t xml:space="preserve">, is </w:t>
      </w:r>
      <w:r w:rsidR="00CB68A7" w:rsidRPr="00C10A99">
        <w:t>at the lowest levels seen for 25</w:t>
      </w:r>
      <w:r w:rsidR="005C1D13">
        <w:t> </w:t>
      </w:r>
      <w:r w:rsidR="00CB68A7" w:rsidRPr="00C10A99">
        <w:t xml:space="preserve">years, the level of harm in the </w:t>
      </w:r>
      <w:r w:rsidR="00CB68A7" w:rsidRPr="007D3757">
        <w:t>overall population has remained relatively stable for the last five to seven years (at about 5%)</w:t>
      </w:r>
      <w:r w:rsidRPr="007D3757">
        <w:t xml:space="preserve"> (Abbott et al 2018; </w:t>
      </w:r>
      <w:r w:rsidRPr="007D3757">
        <w:rPr>
          <w:noProof/>
        </w:rPr>
        <w:t xml:space="preserve">Thimasarn-Anwar et al 2017). </w:t>
      </w:r>
      <w:r w:rsidR="00CB68A7" w:rsidRPr="007D3757">
        <w:t>This plateau effect has also been observed overseas</w:t>
      </w:r>
      <w:r w:rsidRPr="007D3757">
        <w:t xml:space="preserve"> (Abbott 2017</w:t>
      </w:r>
      <w:r w:rsidRPr="007D3757">
        <w:rPr>
          <w:noProof/>
        </w:rPr>
        <w:t>).</w:t>
      </w:r>
    </w:p>
    <w:p w:rsidR="00CC6A26" w:rsidRDefault="00CC6A26" w:rsidP="008E205A">
      <w:pPr>
        <w:rPr>
          <w:noProof/>
        </w:rPr>
      </w:pPr>
    </w:p>
    <w:p w:rsidR="00EC3578" w:rsidRDefault="00CB68A7" w:rsidP="008E205A">
      <w:r>
        <w:t xml:space="preserve">Similarly, </w:t>
      </w:r>
      <w:r w:rsidRPr="00840E9E">
        <w:t xml:space="preserve">the number of people presenting for </w:t>
      </w:r>
      <w:r>
        <w:t xml:space="preserve">gambling </w:t>
      </w:r>
      <w:r w:rsidRPr="00840E9E">
        <w:t>support and treatment ha</w:t>
      </w:r>
      <w:r>
        <w:t>s</w:t>
      </w:r>
      <w:r w:rsidRPr="00840E9E">
        <w:t xml:space="preserve"> not increased in line with population growth</w:t>
      </w:r>
      <w:r>
        <w:t>. Yet, this figure represents only a small fraction of the estimated numbers affected by gambling harm. In</w:t>
      </w:r>
      <w:r w:rsidRPr="00840E9E">
        <w:t xml:space="preserve"> fact the overall number of </w:t>
      </w:r>
      <w:r w:rsidR="00EC3578">
        <w:t>‘</w:t>
      </w:r>
      <w:r w:rsidRPr="00840E9E">
        <w:t>at risk</w:t>
      </w:r>
      <w:r w:rsidR="00EC3578">
        <w:t>’</w:t>
      </w:r>
      <w:r w:rsidRPr="00840E9E">
        <w:t xml:space="preserve"> gamblers in the population ha</w:t>
      </w:r>
      <w:r>
        <w:t>s</w:t>
      </w:r>
      <w:r w:rsidRPr="00840E9E">
        <w:t xml:space="preserve"> increased in line with population growth</w:t>
      </w:r>
      <w:r>
        <w:t>.</w:t>
      </w:r>
    </w:p>
    <w:p w:rsidR="008E205A" w:rsidRDefault="008E205A" w:rsidP="008E205A"/>
    <w:p w:rsidR="00CB68A7" w:rsidRDefault="00CB68A7" w:rsidP="008E205A">
      <w:r>
        <w:t>Importantly, w</w:t>
      </w:r>
      <w:r w:rsidRPr="00C10A99">
        <w:t>hile inequalities between population groups by age, social deprivation, gender and ethnicity have reduced in absolute terms, in relative terms</w:t>
      </w:r>
      <w:r>
        <w:t>,</w:t>
      </w:r>
      <w:r w:rsidRPr="00C10A99">
        <w:t xml:space="preserve"> disparities in exposure to gambling and experience of gambling related harm </w:t>
      </w:r>
      <w:r>
        <w:t xml:space="preserve">persist </w:t>
      </w:r>
      <w:r w:rsidRPr="00E312E8">
        <w:t xml:space="preserve">and have been relatively static over the past </w:t>
      </w:r>
      <w:r>
        <w:t>five</w:t>
      </w:r>
      <w:r w:rsidRPr="00E312E8">
        <w:t xml:space="preserve"> years</w:t>
      </w:r>
      <w:r w:rsidRPr="00C10A99">
        <w:t>.</w:t>
      </w:r>
    </w:p>
    <w:p w:rsidR="008E205A" w:rsidRPr="00C10A99" w:rsidRDefault="008E205A" w:rsidP="00901F12"/>
    <w:p w:rsidR="00901F12" w:rsidRDefault="00901F12" w:rsidP="00901F12">
      <w:pPr>
        <w:pStyle w:val="Heading3"/>
      </w:pPr>
      <w:r>
        <w:t>A refocusing and revitalisation of activities is warranted</w:t>
      </w:r>
    </w:p>
    <w:p w:rsidR="00EC3578" w:rsidRDefault="00CB68A7" w:rsidP="00901F12">
      <w:pPr>
        <w:keepLines/>
      </w:pPr>
      <w:r>
        <w:t>As mentioned above, t</w:t>
      </w:r>
      <w:r w:rsidRPr="00C10A99">
        <w:t xml:space="preserve">he </w:t>
      </w:r>
      <w:r>
        <w:t>o</w:t>
      </w:r>
      <w:r w:rsidRPr="00C10A99">
        <w:t xml:space="preserve">utcomes </w:t>
      </w:r>
      <w:r>
        <w:t xml:space="preserve">review and the needs assessment together suggest while </w:t>
      </w:r>
      <w:r w:rsidRPr="00C10A99">
        <w:t>there has been some success in reducing gambling harm over time</w:t>
      </w:r>
      <w:r>
        <w:t xml:space="preserve"> since the first strategy in 2005, in the past few years, the number of people affected by gambling harm has been growing. G</w:t>
      </w:r>
      <w:r w:rsidRPr="00C10A99">
        <w:t xml:space="preserve">ambling harm activities </w:t>
      </w:r>
      <w:r>
        <w:t xml:space="preserve">need to be refocused and revitalised </w:t>
      </w:r>
      <w:r w:rsidRPr="00C10A99">
        <w:t>in future service plan</w:t>
      </w:r>
      <w:r>
        <w:t>s</w:t>
      </w:r>
      <w:r w:rsidRPr="00C10A99">
        <w:t xml:space="preserve"> if further gains are to be made in reduc</w:t>
      </w:r>
      <w:r>
        <w:t>ing</w:t>
      </w:r>
      <w:r w:rsidRPr="00C10A99">
        <w:t xml:space="preserve"> gambling harm and </w:t>
      </w:r>
      <w:r>
        <w:t xml:space="preserve">health </w:t>
      </w:r>
      <w:r w:rsidRPr="00C10A99">
        <w:t>inequalities and inequity in the experience of gambling harm by a range of population groups</w:t>
      </w:r>
      <w:r>
        <w:t>,</w:t>
      </w:r>
      <w:r w:rsidRPr="00EC3578">
        <w:t xml:space="preserve"> particularly Māori and Pacific peoples</w:t>
      </w:r>
      <w:r w:rsidRPr="00C10A99">
        <w:t>.</w:t>
      </w:r>
    </w:p>
    <w:p w:rsidR="00901F12" w:rsidRPr="007269AE" w:rsidRDefault="00901F12" w:rsidP="00901F12">
      <w:pPr>
        <w:pStyle w:val="BoxHeading"/>
      </w:pPr>
      <w:r w:rsidRPr="007269AE">
        <w:lastRenderedPageBreak/>
        <w:t xml:space="preserve">Inequalities and </w:t>
      </w:r>
      <w:r>
        <w:t>i</w:t>
      </w:r>
      <w:r w:rsidRPr="007269AE">
        <w:t xml:space="preserve">nequity in </w:t>
      </w:r>
      <w:r>
        <w:t>h</w:t>
      </w:r>
      <w:r w:rsidRPr="007269AE">
        <w:t>ealth</w:t>
      </w:r>
    </w:p>
    <w:p w:rsidR="00901F12" w:rsidRDefault="00901F12" w:rsidP="00901F12">
      <w:pPr>
        <w:pStyle w:val="Box"/>
        <w:rPr>
          <w:color w:val="000000"/>
        </w:rPr>
      </w:pPr>
      <w:r>
        <w:t>D</w:t>
      </w:r>
      <w:r w:rsidRPr="00C10A99">
        <w:t>ifferences in health experience occur</w:t>
      </w:r>
      <w:r>
        <w:t>ring</w:t>
      </w:r>
      <w:r w:rsidRPr="00C10A99">
        <w:t xml:space="preserve"> between </w:t>
      </w:r>
      <w:proofErr w:type="gramStart"/>
      <w:r w:rsidRPr="00C10A99">
        <w:t>population</w:t>
      </w:r>
      <w:proofErr w:type="gramEnd"/>
      <w:r w:rsidRPr="00C10A99">
        <w:t xml:space="preserve"> groups</w:t>
      </w:r>
      <w:r>
        <w:t xml:space="preserve"> </w:t>
      </w:r>
      <w:r w:rsidRPr="00C10A99">
        <w:t xml:space="preserve">are usually referred to as </w:t>
      </w:r>
      <w:r>
        <w:t>‘</w:t>
      </w:r>
      <w:r w:rsidRPr="00C10A99">
        <w:t>health inequalit</w:t>
      </w:r>
      <w:r>
        <w:t>ies’</w:t>
      </w:r>
      <w:r w:rsidRPr="00C10A99">
        <w:t xml:space="preserve">. A </w:t>
      </w:r>
      <w:r>
        <w:t>‘</w:t>
      </w:r>
      <w:r w:rsidRPr="00C10A99">
        <w:t xml:space="preserve">health </w:t>
      </w:r>
      <w:r w:rsidRPr="00C10A99">
        <w:rPr>
          <w:color w:val="000000"/>
        </w:rPr>
        <w:t>inequity</w:t>
      </w:r>
      <w:r>
        <w:rPr>
          <w:color w:val="000000"/>
        </w:rPr>
        <w:t>’</w:t>
      </w:r>
      <w:r w:rsidRPr="00C10A99">
        <w:rPr>
          <w:color w:val="000000"/>
        </w:rPr>
        <w:t xml:space="preserve"> is </w:t>
      </w:r>
      <w:r>
        <w:rPr>
          <w:color w:val="000000"/>
        </w:rPr>
        <w:t xml:space="preserve">an </w:t>
      </w:r>
      <w:r w:rsidRPr="00C10A99">
        <w:rPr>
          <w:color w:val="000000"/>
        </w:rPr>
        <w:t xml:space="preserve">inequality </w:t>
      </w:r>
      <w:r>
        <w:rPr>
          <w:color w:val="000000"/>
        </w:rPr>
        <w:t>that can be</w:t>
      </w:r>
      <w:r w:rsidRPr="00C10A99">
        <w:rPr>
          <w:color w:val="000000"/>
        </w:rPr>
        <w:t xml:space="preserve"> attributed to social, cultural and economic factors rather than biomedical ones.</w:t>
      </w:r>
    </w:p>
    <w:p w:rsidR="00901F12" w:rsidRDefault="00901F12" w:rsidP="00901F12">
      <w:pPr>
        <w:pStyle w:val="Box"/>
      </w:pPr>
      <w:r w:rsidRPr="00C10A99">
        <w:t>Well</w:t>
      </w:r>
      <w:r>
        <w:t>-</w:t>
      </w:r>
      <w:r w:rsidRPr="00C10A99">
        <w:t xml:space="preserve">recognised inequalities </w:t>
      </w:r>
      <w:r>
        <w:t xml:space="preserve">and inequity </w:t>
      </w:r>
      <w:r w:rsidRPr="00C10A99">
        <w:t>in health often occur between groups because of a range of socioeconomic, cultural and biological factors. The most common factors are sex, age, social deprivation, ethnicity and education.</w:t>
      </w:r>
    </w:p>
    <w:p w:rsidR="00901F12" w:rsidRDefault="00901F12" w:rsidP="00901F12"/>
    <w:p w:rsidR="00EC3578" w:rsidRPr="00EC3578" w:rsidRDefault="00CB68A7" w:rsidP="00901F12">
      <w:r w:rsidRPr="00C10A99">
        <w:t xml:space="preserve">Similarly, </w:t>
      </w:r>
      <w:r w:rsidRPr="00EC3578">
        <w:t>the components of the service plan for the next three years should focus on each service area (public health, intervention services and research and evaluation) to support the plan</w:t>
      </w:r>
      <w:r w:rsidR="00EC3578" w:rsidRPr="00EC3578">
        <w:t>’</w:t>
      </w:r>
      <w:r w:rsidRPr="00EC3578">
        <w:t>s key actions and priorities.</w:t>
      </w:r>
    </w:p>
    <w:p w:rsidR="00901F12" w:rsidRDefault="00901F12" w:rsidP="00901F12"/>
    <w:p w:rsidR="00EC3578" w:rsidRDefault="00CB68A7" w:rsidP="00901F12">
      <w:r w:rsidRPr="00C10A99">
        <w:t>In addition, given the long</w:t>
      </w:r>
      <w:r>
        <w:t>-</w:t>
      </w:r>
      <w:r w:rsidRPr="00C10A99">
        <w:t xml:space="preserve">term patterns in gambling participation and harm that have been reported through the HLS, the Ministry proposes that future </w:t>
      </w:r>
      <w:r>
        <w:t>o</w:t>
      </w:r>
      <w:r w:rsidRPr="00C10A99">
        <w:t xml:space="preserve">utcomes reporting on the </w:t>
      </w:r>
      <w:r>
        <w:t>s</w:t>
      </w:r>
      <w:r w:rsidRPr="00C10A99">
        <w:t>trategy should occur every three years</w:t>
      </w:r>
      <w:r>
        <w:t xml:space="preserve"> to better </w:t>
      </w:r>
      <w:r w:rsidRPr="00C10A99">
        <w:t>inform revision</w:t>
      </w:r>
      <w:r>
        <w:t>s to</w:t>
      </w:r>
      <w:r w:rsidRPr="00C10A99">
        <w:t xml:space="preserve"> the service plan.</w:t>
      </w:r>
    </w:p>
    <w:p w:rsidR="00CB68A7" w:rsidRPr="00C10A99" w:rsidRDefault="00CB68A7" w:rsidP="00901F12"/>
    <w:p w:rsidR="00CB68A7" w:rsidRPr="00C10A99" w:rsidRDefault="00CB68A7" w:rsidP="00901F12">
      <w:pPr>
        <w:pStyle w:val="Heading2"/>
      </w:pPr>
      <w:bookmarkStart w:id="27" w:name="_Toc517090892"/>
      <w:bookmarkStart w:id="28" w:name="_Toc522089394"/>
      <w:r w:rsidRPr="00C10A99">
        <w:t>A population</w:t>
      </w:r>
      <w:r>
        <w:t>-</w:t>
      </w:r>
      <w:r w:rsidRPr="00C10A99">
        <w:t>based public health approach</w:t>
      </w:r>
      <w:bookmarkEnd w:id="27"/>
      <w:bookmarkEnd w:id="28"/>
    </w:p>
    <w:p w:rsidR="00EC3578" w:rsidRDefault="00CB68A7" w:rsidP="00901F12">
      <w:r w:rsidRPr="00E312E8">
        <w:t xml:space="preserve">The Act recognises the importance of prevention and </w:t>
      </w:r>
      <w:r>
        <w:t xml:space="preserve">a </w:t>
      </w:r>
      <w:r w:rsidRPr="00E312E8">
        <w:t>public health focus in addressing gambling harm. The Ministry</w:t>
      </w:r>
      <w:r w:rsidRPr="00C10A99">
        <w:t xml:space="preserve"> proposes to continue using the continuum of harm approach that aligns a spectrum of gambling behaviour with a harm reduction framework</w:t>
      </w:r>
      <w:r>
        <w:t xml:space="preserve"> as was</w:t>
      </w:r>
      <w:r w:rsidRPr="00C10A99">
        <w:t xml:space="preserve"> first developed by </w:t>
      </w:r>
      <w:proofErr w:type="spellStart"/>
      <w:r w:rsidRPr="00C10A99">
        <w:t>Korn</w:t>
      </w:r>
      <w:proofErr w:type="spellEnd"/>
      <w:r w:rsidRPr="00C10A99">
        <w:t xml:space="preserve"> and Shaffer in 1999</w:t>
      </w:r>
      <w:r w:rsidR="00EC3578">
        <w:t xml:space="preserve"> </w:t>
      </w:r>
      <w:r>
        <w:t>(</w:t>
      </w:r>
      <w:proofErr w:type="spellStart"/>
      <w:r w:rsidRPr="00C10A99">
        <w:t>Korn</w:t>
      </w:r>
      <w:proofErr w:type="spellEnd"/>
      <w:r w:rsidRPr="00C10A99">
        <w:t xml:space="preserve"> and Shaff</w:t>
      </w:r>
      <w:r>
        <w:t>er 1999).</w:t>
      </w:r>
    </w:p>
    <w:p w:rsidR="00901F12" w:rsidRDefault="00901F12" w:rsidP="00901F12"/>
    <w:p w:rsidR="00EC3578" w:rsidRDefault="00CB68A7" w:rsidP="00901F12">
      <w:r w:rsidRPr="00C10A99">
        <w:t xml:space="preserve">This approach recognises that people experience varying levels of harm from gambling. The framework, represented in </w:t>
      </w:r>
      <w:r w:rsidRPr="009847A0">
        <w:t>Figure 1</w:t>
      </w:r>
      <w:r w:rsidRPr="00C10A99">
        <w:rPr>
          <w:b/>
        </w:rPr>
        <w:t xml:space="preserve"> </w:t>
      </w:r>
      <w:r w:rsidRPr="00C10A99">
        <w:t>below bring</w:t>
      </w:r>
      <w:r>
        <w:t>s</w:t>
      </w:r>
      <w:r w:rsidRPr="00C10A99">
        <w:t xml:space="preserve"> together the ideas of different levels of individual gambling behaviour</w:t>
      </w:r>
      <w:r>
        <w:t>,</w:t>
      </w:r>
      <w:r w:rsidRPr="00C10A99">
        <w:t xml:space="preserve"> associated levels of harm and types of health intervention.</w:t>
      </w:r>
    </w:p>
    <w:p w:rsidR="00901F12" w:rsidRDefault="00901F12" w:rsidP="00901F12"/>
    <w:p w:rsidR="00EC3578" w:rsidRDefault="00CB68A7" w:rsidP="00901F12">
      <w:r>
        <w:t>The levels of g</w:t>
      </w:r>
      <w:r w:rsidRPr="00C10A99">
        <w:t xml:space="preserve">ambling behaviour and associated harm </w:t>
      </w:r>
      <w:r>
        <w:t xml:space="preserve">are </w:t>
      </w:r>
      <w:r w:rsidRPr="00C10A99">
        <w:t xml:space="preserve">described </w:t>
      </w:r>
      <w:r>
        <w:t>as non-problem</w:t>
      </w:r>
      <w:r w:rsidRPr="00C10A99">
        <w:t xml:space="preserve"> </w:t>
      </w:r>
      <w:r>
        <w:t>(</w:t>
      </w:r>
      <w:r w:rsidRPr="00C10A99">
        <w:t>none</w:t>
      </w:r>
      <w:r>
        <w:t>)</w:t>
      </w:r>
      <w:r w:rsidRPr="00C10A99">
        <w:t>, mild</w:t>
      </w:r>
      <w:r>
        <w:t xml:space="preserve"> and</w:t>
      </w:r>
      <w:r w:rsidRPr="00C10A99">
        <w:t xml:space="preserve"> moderate </w:t>
      </w:r>
      <w:r>
        <w:t>through to</w:t>
      </w:r>
      <w:r w:rsidRPr="00C10A99">
        <w:t xml:space="preserve"> severe (problem) gambling. </w:t>
      </w:r>
      <w:r>
        <w:t xml:space="preserve">These categories can be overlaid with </w:t>
      </w:r>
      <w:r w:rsidRPr="00C10A99">
        <w:t>the three broad categories of population public health intervention</w:t>
      </w:r>
      <w:r>
        <w:t>s,</w:t>
      </w:r>
      <w:r w:rsidRPr="00C10A99">
        <w:t xml:space="preserve"> comprising </w:t>
      </w:r>
      <w:r w:rsidR="00EC3578">
        <w:t>‘</w:t>
      </w:r>
      <w:r w:rsidRPr="00C10A99">
        <w:t>primary</w:t>
      </w:r>
      <w:r w:rsidR="00EC3578">
        <w:t>’</w:t>
      </w:r>
      <w:r w:rsidRPr="00C10A99">
        <w:t xml:space="preserve">, </w:t>
      </w:r>
      <w:r w:rsidR="00EC3578">
        <w:t>‘</w:t>
      </w:r>
      <w:r w:rsidRPr="00C10A99">
        <w:t>secondary</w:t>
      </w:r>
      <w:r w:rsidR="00EC3578">
        <w:t>’</w:t>
      </w:r>
      <w:r w:rsidRPr="00C10A99">
        <w:t xml:space="preserve"> and </w:t>
      </w:r>
      <w:r w:rsidR="00EC3578">
        <w:t>‘</w:t>
      </w:r>
      <w:r w:rsidRPr="00C10A99">
        <w:t>tertiary</w:t>
      </w:r>
      <w:r w:rsidR="00EC3578">
        <w:t>’</w:t>
      </w:r>
      <w:r w:rsidRPr="00C10A99">
        <w:t xml:space="preserve"> interventions. </w:t>
      </w:r>
      <w:r>
        <w:t>Figure 1 also shows e</w:t>
      </w:r>
      <w:r w:rsidRPr="00C10A99">
        <w:t xml:space="preserve">xamples of </w:t>
      </w:r>
      <w:r>
        <w:t>the related</w:t>
      </w:r>
      <w:r w:rsidRPr="00C10A99">
        <w:t xml:space="preserve"> type</w:t>
      </w:r>
      <w:r>
        <w:t>s</w:t>
      </w:r>
      <w:r w:rsidRPr="00C10A99">
        <w:t xml:space="preserve"> of activity </w:t>
      </w:r>
      <w:r>
        <w:t>that have</w:t>
      </w:r>
      <w:r w:rsidRPr="00C10A99">
        <w:t xml:space="preserve"> been delivered through </w:t>
      </w:r>
      <w:r>
        <w:t>each</w:t>
      </w:r>
      <w:r w:rsidRPr="00C10A99">
        <w:t xml:space="preserve"> current </w:t>
      </w:r>
      <w:r>
        <w:t>s</w:t>
      </w:r>
      <w:r w:rsidRPr="00C10A99">
        <w:t xml:space="preserve">ervice </w:t>
      </w:r>
      <w:r>
        <w:t>p</w:t>
      </w:r>
      <w:r w:rsidRPr="00C10A99">
        <w:t>lan.</w:t>
      </w:r>
    </w:p>
    <w:p w:rsidR="00901F12" w:rsidRDefault="00901F12" w:rsidP="00901F12"/>
    <w:p w:rsidR="00EC3578" w:rsidRDefault="00CB68A7" w:rsidP="00901F12">
      <w:pPr>
        <w:keepLines/>
      </w:pPr>
      <w:r>
        <w:t>The c</w:t>
      </w:r>
      <w:r w:rsidRPr="00C10A99">
        <w:t>ategories of behaviour and harm have been aligned with the PGSI. Based on international research</w:t>
      </w:r>
      <w:r>
        <w:t>,</w:t>
      </w:r>
      <w:r w:rsidRPr="00C10A99">
        <w:t xml:space="preserve"> the PGSI measures a person</w:t>
      </w:r>
      <w:r w:rsidR="00EC3578">
        <w:t>’</w:t>
      </w:r>
      <w:r w:rsidRPr="00C10A99">
        <w:t xml:space="preserve">s risky gambling behaviour and harm, based on </w:t>
      </w:r>
      <w:r>
        <w:t xml:space="preserve">a </w:t>
      </w:r>
      <w:r w:rsidRPr="00C10A99">
        <w:t>clinical diagnosis. The Ministry uses the PGSI to monitor the level of harmful gambling behaviour occurring in the New Zealand population.</w:t>
      </w:r>
      <w:r w:rsidRPr="00901F12">
        <w:rPr>
          <w:rStyle w:val="FootnoteReference"/>
        </w:rPr>
        <w:footnoteReference w:id="4"/>
      </w:r>
      <w:r w:rsidRPr="00C10A99">
        <w:t xml:space="preserve"> Figure 1</w:t>
      </w:r>
      <w:r>
        <w:t xml:space="preserve"> includes the </w:t>
      </w:r>
      <w:r w:rsidRPr="00C10A99">
        <w:t xml:space="preserve">most </w:t>
      </w:r>
      <w:r>
        <w:t>robust</w:t>
      </w:r>
      <w:r w:rsidRPr="00C10A99">
        <w:t xml:space="preserve"> estimates of the harm occurring </w:t>
      </w:r>
      <w:r>
        <w:t>for each category. The estimates are from a statistical meta-analysis of the pooled responses to the PGSI questions in the 2012, 2014, 2016 HLS.</w:t>
      </w:r>
      <w:r w:rsidRPr="00C10A99">
        <w:t xml:space="preserve"> It is important to note that the PGSI measures the level of reported harm that is associated with the individual gambler and their immediately affected </w:t>
      </w:r>
      <w:r w:rsidR="00EC3578">
        <w:t>‘</w:t>
      </w:r>
      <w:r w:rsidRPr="00C10A99">
        <w:t>others</w:t>
      </w:r>
      <w:r w:rsidR="00EC3578">
        <w:t>’</w:t>
      </w:r>
      <w:r w:rsidRPr="00C10A99">
        <w:t xml:space="preserve"> (family/</w:t>
      </w:r>
      <w:proofErr w:type="spellStart"/>
      <w:r w:rsidRPr="00C10A99">
        <w:t>whānau</w:t>
      </w:r>
      <w:proofErr w:type="spellEnd"/>
      <w:r w:rsidRPr="00C10A99">
        <w:t xml:space="preserve"> and affected others such as an employer or a community group).</w:t>
      </w:r>
    </w:p>
    <w:p w:rsidR="00CB68A7" w:rsidRDefault="00CB68A7" w:rsidP="00901F12"/>
    <w:p w:rsidR="00EC3578" w:rsidRDefault="00CB68A7" w:rsidP="005C1D13">
      <w:r w:rsidRPr="00C10A99">
        <w:t>The PGSI differentiates between different types of harm and frequency of harm occurring as reported by the survey respondent.</w:t>
      </w:r>
    </w:p>
    <w:p w:rsidR="00CB68A7" w:rsidRPr="00C10A99" w:rsidRDefault="00CB68A7" w:rsidP="00901F12"/>
    <w:p w:rsidR="00CB68A7" w:rsidRPr="00C10A99" w:rsidRDefault="00CB68A7" w:rsidP="00901F12">
      <w:r w:rsidRPr="00C10A99">
        <w:t>While it is necessary to address the needs of those who have already developed a serious gambling problem and who need specialist help, early prevention interventions can help individuals and their family/</w:t>
      </w:r>
      <w:proofErr w:type="spellStart"/>
      <w:r w:rsidRPr="00C10A99">
        <w:t>wh</w:t>
      </w:r>
      <w:r>
        <w:t>ā</w:t>
      </w:r>
      <w:r w:rsidRPr="00C10A99">
        <w:t>nau</w:t>
      </w:r>
      <w:proofErr w:type="spellEnd"/>
      <w:r w:rsidRPr="00C10A99">
        <w:t xml:space="preserve"> and communities avoid </w:t>
      </w:r>
      <w:r>
        <w:t>developing more risky gambling behaviours and associated</w:t>
      </w:r>
      <w:r w:rsidRPr="00C10A99">
        <w:t xml:space="preserve"> harm.</w:t>
      </w:r>
    </w:p>
    <w:p w:rsidR="00CB68A7" w:rsidRPr="00C10A99" w:rsidRDefault="00CB68A7" w:rsidP="00901F12"/>
    <w:p w:rsidR="00EC3578" w:rsidRDefault="00CB68A7" w:rsidP="00901F12">
      <w:r>
        <w:t xml:space="preserve">This approach aligns closely with other public health programmes in the mental health and addictions areas of alcohol, tobacco and drug use, and </w:t>
      </w:r>
      <w:r w:rsidRPr="00252C71">
        <w:t>family</w:t>
      </w:r>
      <w:r>
        <w:t xml:space="preserve"> </w:t>
      </w:r>
      <w:r w:rsidRPr="00252C71">
        <w:t>/</w:t>
      </w:r>
      <w:r w:rsidRPr="00750871">
        <w:t xml:space="preserve"> </w:t>
      </w:r>
      <w:proofErr w:type="spellStart"/>
      <w:r w:rsidRPr="00C10A99">
        <w:t>wh</w:t>
      </w:r>
      <w:r>
        <w:t>ā</w:t>
      </w:r>
      <w:r w:rsidRPr="00C10A99">
        <w:t>nau</w:t>
      </w:r>
      <w:proofErr w:type="spellEnd"/>
      <w:r>
        <w:t xml:space="preserve"> and </w:t>
      </w:r>
      <w:r w:rsidRPr="00252C71">
        <w:t>partner violence</w:t>
      </w:r>
      <w:r>
        <w:t xml:space="preserve"> prevention</w:t>
      </w:r>
      <w:r w:rsidRPr="00252C71">
        <w:t>.</w:t>
      </w:r>
    </w:p>
    <w:p w:rsidR="00CB68A7" w:rsidRPr="009B745A" w:rsidRDefault="00CB68A7" w:rsidP="00901F12">
      <w:pPr>
        <w:rPr>
          <w:lang w:eastAsia="en-NZ"/>
        </w:rPr>
      </w:pPr>
    </w:p>
    <w:p w:rsidR="00EC3578" w:rsidRDefault="00CB68A7" w:rsidP="00901F12">
      <w:r>
        <w:t xml:space="preserve">Similarly, harmful gambling behaviour may impact significantly on women and children. There is a </w:t>
      </w:r>
      <w:r w:rsidRPr="00252C71">
        <w:t>strong correlation between gambling and family/</w:t>
      </w:r>
      <w:r w:rsidRPr="00750871">
        <w:t xml:space="preserve"> </w:t>
      </w:r>
      <w:proofErr w:type="spellStart"/>
      <w:r w:rsidRPr="00C10A99">
        <w:t>wh</w:t>
      </w:r>
      <w:r>
        <w:t>ā</w:t>
      </w:r>
      <w:r w:rsidRPr="00C10A99">
        <w:t>nau</w:t>
      </w:r>
      <w:proofErr w:type="spellEnd"/>
      <w:r>
        <w:t xml:space="preserve"> or </w:t>
      </w:r>
      <w:r w:rsidRPr="00252C71">
        <w:t>partner violence</w:t>
      </w:r>
      <w:r>
        <w:t>,</w:t>
      </w:r>
      <w:r w:rsidRPr="00252C71">
        <w:t xml:space="preserve"> with 50</w:t>
      </w:r>
      <w:r w:rsidR="00901F12">
        <w:t> </w:t>
      </w:r>
      <w:r>
        <w:t>percent</w:t>
      </w:r>
      <w:r w:rsidRPr="00252C71">
        <w:t xml:space="preserve"> of problem gamblers also experiencing family</w:t>
      </w:r>
      <w:r>
        <w:t>/</w:t>
      </w:r>
      <w:proofErr w:type="spellStart"/>
      <w:r w:rsidRPr="00C10A99">
        <w:t>wh</w:t>
      </w:r>
      <w:r>
        <w:t>ā</w:t>
      </w:r>
      <w:r w:rsidRPr="00C10A99">
        <w:t>nau</w:t>
      </w:r>
      <w:proofErr w:type="spellEnd"/>
      <w:r w:rsidRPr="00252C71">
        <w:t xml:space="preserve"> violence.</w:t>
      </w:r>
      <w:r w:rsidR="00EC3578">
        <w:t xml:space="preserve"> </w:t>
      </w:r>
      <w:r>
        <w:t>W</w:t>
      </w:r>
      <w:r w:rsidRPr="00252C71">
        <w:t>omen</w:t>
      </w:r>
      <w:r>
        <w:t>, as the most common</w:t>
      </w:r>
      <w:r w:rsidRPr="00252C71">
        <w:t xml:space="preserve"> primary caregivers</w:t>
      </w:r>
      <w:r>
        <w:t xml:space="preserve"> in the family/</w:t>
      </w:r>
      <w:proofErr w:type="spellStart"/>
      <w:r w:rsidRPr="00C10A99">
        <w:t>wh</w:t>
      </w:r>
      <w:r>
        <w:t>ā</w:t>
      </w:r>
      <w:r w:rsidRPr="00C10A99">
        <w:t>nau</w:t>
      </w:r>
      <w:proofErr w:type="spellEnd"/>
      <w:r w:rsidRPr="00252C71">
        <w:t xml:space="preserve"> are </w:t>
      </w:r>
      <w:r>
        <w:t xml:space="preserve">also </w:t>
      </w:r>
      <w:r w:rsidRPr="00252C71">
        <w:t>particularly vulnerable to the economic strain caused by problem gambling.</w:t>
      </w:r>
    </w:p>
    <w:p w:rsidR="00CB68A7" w:rsidRPr="00C10A99" w:rsidRDefault="00CB68A7" w:rsidP="00901F12"/>
    <w:p w:rsidR="00901F12" w:rsidRDefault="00901F12" w:rsidP="00901F12">
      <w:pPr>
        <w:pStyle w:val="Figure"/>
        <w:sectPr w:rsidR="00901F12" w:rsidSect="009D5125">
          <w:headerReference w:type="even" r:id="rId39"/>
          <w:headerReference w:type="default" r:id="rId40"/>
          <w:footerReference w:type="even" r:id="rId41"/>
          <w:footerReference w:type="default" r:id="rId42"/>
          <w:headerReference w:type="first" r:id="rId43"/>
          <w:pgSz w:w="11907" w:h="16834" w:code="9"/>
          <w:pgMar w:top="851" w:right="1134" w:bottom="1134" w:left="1134" w:header="284" w:footer="567" w:gutter="284"/>
          <w:pgNumType w:start="1"/>
          <w:cols w:space="720"/>
        </w:sectPr>
      </w:pPr>
      <w:bookmarkStart w:id="29" w:name="_Toc516836142"/>
      <w:bookmarkStart w:id="30" w:name="_Toc514139884"/>
      <w:bookmarkStart w:id="31" w:name="_Toc514839132"/>
    </w:p>
    <w:p w:rsidR="00CB68A7" w:rsidRPr="00823D9A" w:rsidRDefault="00CB68A7" w:rsidP="00901F12">
      <w:pPr>
        <w:pStyle w:val="Figure"/>
      </w:pPr>
      <w:bookmarkStart w:id="32" w:name="_Toc522089422"/>
      <w:r w:rsidRPr="00227DDB">
        <w:lastRenderedPageBreak/>
        <w:t xml:space="preserve">Figure </w:t>
      </w:r>
      <w:r w:rsidR="00E319C0">
        <w:rPr>
          <w:noProof/>
        </w:rPr>
        <w:fldChar w:fldCharType="begin"/>
      </w:r>
      <w:r w:rsidR="00E319C0">
        <w:rPr>
          <w:noProof/>
        </w:rPr>
        <w:instrText xml:space="preserve"> SEQ Figure \* ARABIC </w:instrText>
      </w:r>
      <w:r w:rsidR="00E319C0">
        <w:rPr>
          <w:noProof/>
        </w:rPr>
        <w:fldChar w:fldCharType="separate"/>
      </w:r>
      <w:r w:rsidR="0012663D">
        <w:rPr>
          <w:noProof/>
        </w:rPr>
        <w:t>1</w:t>
      </w:r>
      <w:r w:rsidR="00E319C0">
        <w:rPr>
          <w:noProof/>
        </w:rPr>
        <w:fldChar w:fldCharType="end"/>
      </w:r>
      <w:r w:rsidRPr="00BC3003">
        <w:t xml:space="preserve">: </w:t>
      </w:r>
      <w:r w:rsidRPr="00823D9A">
        <w:t>Gambling behaviour and harm: the continuum of prevention and harm reduction</w:t>
      </w:r>
      <w:bookmarkEnd w:id="29"/>
      <w:bookmarkEnd w:id="32"/>
    </w:p>
    <w:p w:rsidR="00CB68A7" w:rsidRPr="00BC3003" w:rsidRDefault="00CB68A7" w:rsidP="00901F12">
      <w:bookmarkStart w:id="33" w:name="_Toc516835895"/>
      <w:bookmarkStart w:id="34" w:name="_Toc516836143"/>
      <w:r>
        <w:rPr>
          <w:noProof/>
          <w:lang w:eastAsia="en-NZ"/>
        </w:rPr>
        <w:drawing>
          <wp:inline distT="0" distB="0" distL="0" distR="0" wp14:anchorId="48647D20" wp14:editId="52211EDF">
            <wp:extent cx="9196151" cy="5311832"/>
            <wp:effectExtent l="0" t="0" r="5080" b="3175"/>
            <wp:docPr id="13" name="Picture 13" title="Figure 1: Gambling behaviour and harm: the continuum of prevention and harm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apted Korn Shaffer diagram (JW v 14062018).gif"/>
                    <pic:cNvPicPr/>
                  </pic:nvPicPr>
                  <pic:blipFill>
                    <a:blip r:embed="rId44" cstate="print">
                      <a:grayscl/>
                      <a:extLst>
                        <a:ext uri="{28A0092B-C50C-407E-A947-70E740481C1C}">
                          <a14:useLocalDpi xmlns:a14="http://schemas.microsoft.com/office/drawing/2010/main" val="0"/>
                        </a:ext>
                      </a:extLst>
                    </a:blip>
                    <a:stretch>
                      <a:fillRect/>
                    </a:stretch>
                  </pic:blipFill>
                  <pic:spPr>
                    <a:xfrm>
                      <a:off x="0" y="0"/>
                      <a:ext cx="9195195" cy="5311280"/>
                    </a:xfrm>
                    <a:prstGeom prst="rect">
                      <a:avLst/>
                    </a:prstGeom>
                  </pic:spPr>
                </pic:pic>
              </a:graphicData>
            </a:graphic>
          </wp:inline>
        </w:drawing>
      </w:r>
      <w:bookmarkEnd w:id="30"/>
      <w:bookmarkEnd w:id="31"/>
      <w:bookmarkEnd w:id="33"/>
      <w:bookmarkEnd w:id="34"/>
    </w:p>
    <w:p w:rsidR="00901F12" w:rsidRDefault="00901F12" w:rsidP="00901F12">
      <w:pPr>
        <w:rPr>
          <w:rStyle w:val="Heading4Char"/>
          <w:b w:val="0"/>
          <w:szCs w:val="32"/>
        </w:rPr>
      </w:pPr>
      <w:bookmarkStart w:id="35" w:name="_Toc517090893"/>
    </w:p>
    <w:p w:rsidR="00901F12" w:rsidRDefault="00901F12" w:rsidP="00901F12">
      <w:pPr>
        <w:rPr>
          <w:rStyle w:val="Heading4Char"/>
          <w:b w:val="0"/>
          <w:szCs w:val="32"/>
        </w:rPr>
        <w:sectPr w:rsidR="00901F12" w:rsidSect="00901F12">
          <w:headerReference w:type="even" r:id="rId45"/>
          <w:headerReference w:type="default" r:id="rId46"/>
          <w:footerReference w:type="default" r:id="rId47"/>
          <w:headerReference w:type="first" r:id="rId48"/>
          <w:pgSz w:w="16834" w:h="11907" w:orient="landscape" w:code="9"/>
          <w:pgMar w:top="1134" w:right="1134" w:bottom="1134" w:left="1134" w:header="284" w:footer="567" w:gutter="0"/>
          <w:cols w:space="720"/>
        </w:sectPr>
      </w:pPr>
    </w:p>
    <w:p w:rsidR="00901F12" w:rsidRDefault="00901F12" w:rsidP="00901F12">
      <w:pPr>
        <w:pStyle w:val="Heading2"/>
      </w:pPr>
      <w:bookmarkStart w:id="36" w:name="_Toc522089395"/>
      <w:bookmarkEnd w:id="35"/>
      <w:r>
        <w:lastRenderedPageBreak/>
        <w:t>Gambling harm inequality and inequity</w:t>
      </w:r>
      <w:bookmarkEnd w:id="36"/>
    </w:p>
    <w:p w:rsidR="00CB68A7" w:rsidRPr="00C10A99" w:rsidRDefault="00CB68A7" w:rsidP="00901F12">
      <w:r w:rsidRPr="00C10A99">
        <w:t>Improved health and equity for all New Zealand population groups is a government priority.</w:t>
      </w:r>
    </w:p>
    <w:p w:rsidR="00901F12" w:rsidRDefault="00901F12" w:rsidP="00901F12"/>
    <w:p w:rsidR="00EC3578" w:rsidRDefault="00CB68A7" w:rsidP="00901F12">
      <w:r w:rsidRPr="00C10A99">
        <w:t xml:space="preserve">To focus and prioritise gambling harm reduction activities </w:t>
      </w:r>
      <w:r>
        <w:t>in the next strategy period, the</w:t>
      </w:r>
      <w:r w:rsidRPr="00C10A99">
        <w:t xml:space="preserve"> Ministry </w:t>
      </w:r>
      <w:r>
        <w:t xml:space="preserve">proposes to </w:t>
      </w:r>
      <w:r w:rsidRPr="00C10A99">
        <w:t xml:space="preserve">continue </w:t>
      </w:r>
      <w:r>
        <w:t xml:space="preserve">using </w:t>
      </w:r>
      <w:r w:rsidRPr="00C10A99">
        <w:t xml:space="preserve">a health inequality and </w:t>
      </w:r>
      <w:r>
        <w:t>in</w:t>
      </w:r>
      <w:r w:rsidRPr="00C10A99">
        <w:t xml:space="preserve">equity lens, </w:t>
      </w:r>
      <w:r>
        <w:t xml:space="preserve">which </w:t>
      </w:r>
      <w:r w:rsidRPr="00C10A99">
        <w:t>complements the public health approach by identifying areas where there are large differences in gambling harm experience between population groups.</w:t>
      </w:r>
    </w:p>
    <w:p w:rsidR="00CB68A7" w:rsidRPr="00C10A99" w:rsidRDefault="00CB68A7" w:rsidP="00901F12"/>
    <w:p w:rsidR="00CB68A7" w:rsidRPr="00840E9E" w:rsidRDefault="00CB68A7" w:rsidP="00901F12">
      <w:pPr>
        <w:pStyle w:val="Heading3"/>
      </w:pPr>
      <w:r w:rsidRPr="00840E9E">
        <w:t>What the research tells us</w:t>
      </w:r>
    </w:p>
    <w:p w:rsidR="00EC3578" w:rsidRDefault="00CB68A7" w:rsidP="00901F12">
      <w:r w:rsidRPr="00C10A99">
        <w:t xml:space="preserve">Gambling research </w:t>
      </w:r>
      <w:r>
        <w:t xml:space="preserve">has shown </w:t>
      </w:r>
      <w:r w:rsidRPr="00C10A99">
        <w:t xml:space="preserve">the presence of inequalities and inequities </w:t>
      </w:r>
      <w:r>
        <w:t xml:space="preserve">attributable to </w:t>
      </w:r>
      <w:r w:rsidRPr="00C10A99">
        <w:t xml:space="preserve">gambling harm both in the New Zealand population and internationally </w:t>
      </w:r>
      <w:r w:rsidRPr="00E312E8">
        <w:fldChar w:fldCharType="begin">
          <w:fldData xml:space="preserve">PEVuZE5vdGU+PENpdGU+PEF1dGhvcj5DYW5hbGU8L0F1dGhvcj48WWVhcj4yMDE3PC9ZZWFyPjxS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=
</w:fldData>
        </w:fldChar>
      </w:r>
      <w:r w:rsidRPr="00C10A99">
        <w:instrText xml:space="preserve"> ADDIN EN.CITE </w:instrText>
      </w:r>
      <w:r w:rsidRPr="008400D7">
        <w:fldChar w:fldCharType="begin">
          <w:fldData xml:space="preserve">PEVuZE5vdGU+PENpdGU+PEF1dGhvcj5DYW5hbGU8L0F1dGhvcj48WWVhcj4yMDE3PC9ZZWFyPjxS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=
</w:fldData>
        </w:fldChar>
      </w:r>
      <w:r w:rsidRPr="00C10A99">
        <w:instrText xml:space="preserve"> ADDIN EN.CITE.DATA </w:instrText>
      </w:r>
      <w:r w:rsidRPr="008400D7">
        <w:fldChar w:fldCharType="end"/>
      </w:r>
      <w:r w:rsidRPr="00E312E8">
        <w:fldChar w:fldCharType="separate"/>
      </w:r>
      <w:r w:rsidRPr="00E312E8">
        <w:rPr>
          <w:noProof/>
        </w:rPr>
        <w:t>(</w:t>
      </w:r>
      <w:hyperlink w:anchor="_ENREF_5" w:tooltip="Canale, 2017 #88" w:history="1">
        <w:r w:rsidRPr="00E312E8">
          <w:rPr>
            <w:noProof/>
          </w:rPr>
          <w:t>Canale et al 2017</w:t>
        </w:r>
      </w:hyperlink>
      <w:r w:rsidRPr="00E312E8">
        <w:rPr>
          <w:noProof/>
        </w:rPr>
        <w:t xml:space="preserve">; </w:t>
      </w:r>
      <w:hyperlink w:anchor="_ENREF_9" w:tooltip="Kolandai-Matchett, 2017 #57" w:history="1">
        <w:r w:rsidRPr="00E312E8">
          <w:rPr>
            <w:noProof/>
          </w:rPr>
          <w:t>Kolandai-Matchett et al 2017</w:t>
        </w:r>
      </w:hyperlink>
      <w:r w:rsidRPr="00E312E8">
        <w:rPr>
          <w:noProof/>
        </w:rPr>
        <w:t xml:space="preserve">; </w:t>
      </w:r>
      <w:hyperlink w:anchor="_ENREF_11" w:tooltip="Rintoul, 2013 #84" w:history="1">
        <w:r w:rsidRPr="00E312E8">
          <w:rPr>
            <w:noProof/>
          </w:rPr>
          <w:t>Rintoul et al 2013</w:t>
        </w:r>
      </w:hyperlink>
      <w:r w:rsidRPr="00E312E8">
        <w:rPr>
          <w:noProof/>
        </w:rPr>
        <w:t xml:space="preserve">; </w:t>
      </w:r>
      <w:hyperlink w:anchor="_ENREF_12" w:tooltip="Tu, 2014 #83" w:history="1">
        <w:r w:rsidRPr="00E312E8">
          <w:rPr>
            <w:noProof/>
          </w:rPr>
          <w:t>Tu et al 2014</w:t>
        </w:r>
      </w:hyperlink>
      <w:r w:rsidRPr="00E312E8">
        <w:rPr>
          <w:noProof/>
        </w:rPr>
        <w:t xml:space="preserve">; </w:t>
      </w:r>
      <w:hyperlink w:anchor="_ENREF_13" w:tooltip="van der Maas, 2016 #85" w:history="1">
        <w:r w:rsidRPr="00E312E8">
          <w:rPr>
            <w:noProof/>
          </w:rPr>
          <w:t>van der Maas 2016</w:t>
        </w:r>
      </w:hyperlink>
      <w:r w:rsidRPr="00E312E8">
        <w:rPr>
          <w:noProof/>
        </w:rPr>
        <w:t>)</w:t>
      </w:r>
      <w:r w:rsidRPr="00E312E8">
        <w:fldChar w:fldCharType="end"/>
      </w:r>
      <w:r w:rsidRPr="00E312E8">
        <w:t>.</w:t>
      </w:r>
    </w:p>
    <w:p w:rsidR="00901F12" w:rsidRDefault="00901F12" w:rsidP="00901F12"/>
    <w:p w:rsidR="00EC3578" w:rsidRDefault="00CB68A7" w:rsidP="00901F12">
      <w:r w:rsidRPr="00C10A99">
        <w:t>An analysis of the responses to the 2016 HLS by a range of gambling predictors and population groups of interest (</w:t>
      </w:r>
      <w:proofErr w:type="spellStart"/>
      <w:r w:rsidRPr="00C10A99">
        <w:t>eg</w:t>
      </w:r>
      <w:proofErr w:type="spellEnd"/>
      <w:r>
        <w:t>,</w:t>
      </w:r>
      <w:r w:rsidRPr="00C10A99">
        <w:t xml:space="preserve"> </w:t>
      </w:r>
      <w:r>
        <w:t>e</w:t>
      </w:r>
      <w:r w:rsidRPr="00C10A99">
        <w:t xml:space="preserve">thnicity, </w:t>
      </w:r>
      <w:r>
        <w:t>g</w:t>
      </w:r>
      <w:r w:rsidRPr="00C10A99">
        <w:t xml:space="preserve">ender, </w:t>
      </w:r>
      <w:r>
        <w:t>s</w:t>
      </w:r>
      <w:r w:rsidRPr="00C10A99">
        <w:t xml:space="preserve">ocial </w:t>
      </w:r>
      <w:r>
        <w:t>d</w:t>
      </w:r>
      <w:r w:rsidRPr="00C10A99">
        <w:t>eprivation</w:t>
      </w:r>
      <w:r>
        <w:t>)</w:t>
      </w:r>
      <w:r w:rsidRPr="00C10A99">
        <w:t xml:space="preserve"> shows that </w:t>
      </w:r>
      <w:r>
        <w:t xml:space="preserve">inequalities and </w:t>
      </w:r>
      <w:r w:rsidRPr="00C10A99">
        <w:t xml:space="preserve">inequities have persisted for some time </w:t>
      </w:r>
      <w:r w:rsidRPr="00E312E8">
        <w:fldChar w:fldCharType="begin"/>
      </w:r>
      <w:r w:rsidRPr="00C10A99">
        <w:instrText xml:space="preserve"> ADDIN EN.CITE &lt;EndNote&gt;&lt;Cite&gt;&lt;Author&gt;Thimasarn-Anwar&lt;/Author&gt;&lt;Year&gt;2017&lt;/Year&gt;&lt;RecNum&gt;89&lt;/RecNum&gt;&lt;DisplayText&gt;(Thimasarn-Anwar et al 2017)&lt;/DisplayText&gt;&lt;record&gt;&lt;rec-number&gt;89&lt;/rec-number&gt;&lt;foreign-keys&gt;&lt;key app="EN" db-id="220aw2sr9pxzepet5wvvpvtitppepwfzds2s"&gt;89&lt;/key&gt;&lt;/foreign-keys&gt;&lt;ref-type name="Report"&gt;27&lt;/ref-type&gt;&lt;contributors&gt;&lt;authors&gt;&lt;author&gt;Thimasarn-Anwar, T.&lt;/author&gt;&lt;author&gt;Squire, H.&lt;/author&gt;&lt;author&gt;Trowland, H. &lt;/author&gt;&lt;author&gt;Martin, G. (2017). Wellington: &lt;/author&gt;&lt;/authors&gt;&lt;tertiary-authors&gt;&lt;author&gt;Health Promotion Agency Research and Evaluation Unit.&lt;/author&gt;&lt;/tertiary-authors&gt;&lt;/contributors&gt;&lt;titles&gt;&lt;title&gt;Gambling report: Results from the 2016 Health and Lifestyles Survey&lt;/title&gt;&lt;/titles&gt;&lt;dates&gt;&lt;year&gt;2017&lt;/year&gt;&lt;pub-dates&gt;&lt;date&gt;February, 2018&lt;/date&gt;&lt;/pub-dates&gt;&lt;/dates&gt;&lt;pub-location&gt;Wellington&lt;/pub-location&gt;&lt;publisher&gt;Health Promotion Agency Research and Evaluation Unit.&lt;/publisher&gt;&lt;urls&gt;&lt;/urls&gt;&lt;/record&gt;&lt;/Cite&gt;&lt;/EndNote&gt;</w:instrText>
      </w:r>
      <w:r w:rsidRPr="00E312E8">
        <w:fldChar w:fldCharType="separate"/>
      </w:r>
      <w:r w:rsidRPr="00E312E8">
        <w:rPr>
          <w:noProof/>
        </w:rPr>
        <w:t>(</w:t>
      </w:r>
      <w:hyperlink w:anchor="_ENREF_39" w:tooltip="Thimasarn-Anwar, 2017 #89" w:history="1">
        <w:r w:rsidRPr="00E312E8">
          <w:rPr>
            <w:noProof/>
          </w:rPr>
          <w:t>Thimasarn-Anwar et al 2017</w:t>
        </w:r>
      </w:hyperlink>
      <w:r w:rsidRPr="00E312E8">
        <w:rPr>
          <w:noProof/>
        </w:rPr>
        <w:t>)</w:t>
      </w:r>
      <w:r w:rsidRPr="00E312E8">
        <w:fldChar w:fldCharType="end"/>
      </w:r>
      <w:r w:rsidRPr="00E312E8">
        <w:t xml:space="preserve">. </w:t>
      </w:r>
      <w:r>
        <w:t>The HLS results for the period 2010–2016 also show that while the</w:t>
      </w:r>
      <w:r w:rsidRPr="00E312E8">
        <w:t xml:space="preserve"> absolute levels of health inequ</w:t>
      </w:r>
      <w:r>
        <w:t>al</w:t>
      </w:r>
      <w:r w:rsidRPr="00E312E8">
        <w:t>ity and inequity have reduced in population groups over</w:t>
      </w:r>
      <w:r>
        <w:t xml:space="preserve"> </w:t>
      </w:r>
      <w:r w:rsidRPr="00E312E8">
        <w:t xml:space="preserve">time, </w:t>
      </w:r>
      <w:r w:rsidRPr="00C10A99">
        <w:t xml:space="preserve">relative levels of inequality and inequity between </w:t>
      </w:r>
      <w:r>
        <w:t>ethnic</w:t>
      </w:r>
      <w:r w:rsidRPr="00C10A99">
        <w:t xml:space="preserve"> groups remain</w:t>
      </w:r>
      <w:r>
        <w:t>.</w:t>
      </w:r>
    </w:p>
    <w:p w:rsidR="00901F12" w:rsidRDefault="00901F12" w:rsidP="00901F12"/>
    <w:p w:rsidR="00EC3578" w:rsidRDefault="00CB68A7" w:rsidP="00901F12">
      <w:r w:rsidRPr="00C10A99">
        <w:t>In terms of overall gambling service u</w:t>
      </w:r>
      <w:r>
        <w:t>se</w:t>
      </w:r>
      <w:r w:rsidRPr="00C10A99">
        <w:t>, analysis indicates that there is substantive underu</w:t>
      </w:r>
      <w:r>
        <w:t>se</w:t>
      </w:r>
      <w:r w:rsidRPr="00C10A99">
        <w:t xml:space="preserve"> of services by the Pacific and Asian groups. Similarly</w:t>
      </w:r>
      <w:r>
        <w:t>,</w:t>
      </w:r>
      <w:r w:rsidRPr="00C10A99">
        <w:t xml:space="preserve"> an analysis </w:t>
      </w:r>
      <w:r>
        <w:t>using</w:t>
      </w:r>
      <w:r w:rsidRPr="00C10A99">
        <w:t xml:space="preserve"> the social deprivation index shows significant inequality, disparity and inequity between New Zealand populations groups by socioeconomic status.</w:t>
      </w:r>
    </w:p>
    <w:p w:rsidR="00901F12" w:rsidRDefault="00901F12" w:rsidP="00901F12"/>
    <w:p w:rsidR="00CB68A7" w:rsidRDefault="00CB68A7" w:rsidP="00901F12">
      <w:r>
        <w:t>Research also shows</w:t>
      </w:r>
      <w:r w:rsidRPr="00C10A99">
        <w:t xml:space="preserve"> higher concentrations of </w:t>
      </w:r>
      <w:r>
        <w:t>c</w:t>
      </w:r>
      <w:r w:rsidRPr="00C10A99">
        <w:t xml:space="preserve">lass 4 </w:t>
      </w:r>
      <w:r>
        <w:t>e</w:t>
      </w:r>
      <w:r w:rsidRPr="00C10A99">
        <w:t xml:space="preserve">lectronic </w:t>
      </w:r>
      <w:r>
        <w:t>g</w:t>
      </w:r>
      <w:r w:rsidRPr="00C10A99">
        <w:t xml:space="preserve">aming </w:t>
      </w:r>
      <w:r>
        <w:t>m</w:t>
      </w:r>
      <w:r w:rsidRPr="00C10A99">
        <w:t>achines (</w:t>
      </w:r>
      <w:r>
        <w:t>NCGM</w:t>
      </w:r>
      <w:r w:rsidRPr="00C10A99">
        <w:t>s) (</w:t>
      </w:r>
      <w:proofErr w:type="spellStart"/>
      <w:r w:rsidRPr="00C10A99">
        <w:t>ie</w:t>
      </w:r>
      <w:proofErr w:type="spellEnd"/>
      <w:r>
        <w:t>,</w:t>
      </w:r>
      <w:r w:rsidRPr="00C10A99">
        <w:t xml:space="preserve"> pokies) located in lower socioeconomic areas. </w:t>
      </w:r>
      <w:r>
        <w:t>The following figure shows that a</w:t>
      </w:r>
      <w:r w:rsidRPr="00C10A99">
        <w:t>pproximately 50</w:t>
      </w:r>
      <w:r w:rsidR="00901F12">
        <w:t> </w:t>
      </w:r>
      <w:r>
        <w:t>percent</w:t>
      </w:r>
      <w:r w:rsidRPr="00C10A99">
        <w:t xml:space="preserve"> of all </w:t>
      </w:r>
      <w:r>
        <w:t>NCGM</w:t>
      </w:r>
      <w:r w:rsidRPr="00C10A99">
        <w:t>s (which is the source of the highest risk of harmful gambling activity) are located in the most socioeconomically deprived areas (</w:t>
      </w:r>
      <w:proofErr w:type="spellStart"/>
      <w:r w:rsidRPr="00C10A99">
        <w:t>ie</w:t>
      </w:r>
      <w:proofErr w:type="spellEnd"/>
      <w:r>
        <w:t>, the</w:t>
      </w:r>
      <w:r w:rsidRPr="00C10A99">
        <w:t xml:space="preserve"> poorest areas of the country).</w:t>
      </w:r>
      <w:r w:rsidRPr="00972532">
        <w:t xml:space="preserve"> </w:t>
      </w:r>
      <w:r w:rsidRPr="00C10A99">
        <w:t>Economically, these are the groups who least can afford the financial losses from gambling</w:t>
      </w:r>
      <w:r>
        <w:t>.</w:t>
      </w:r>
    </w:p>
    <w:p w:rsidR="0051304C" w:rsidRDefault="0051304C" w:rsidP="00901F12"/>
    <w:p w:rsidR="0051304C" w:rsidRPr="00D453C4" w:rsidRDefault="0051304C" w:rsidP="00BA12F1">
      <w:pPr>
        <w:pStyle w:val="Box"/>
        <w:rPr>
          <w:b/>
          <w:sz w:val="24"/>
          <w:szCs w:val="24"/>
        </w:rPr>
      </w:pPr>
      <w:r w:rsidRPr="00D453C4">
        <w:rPr>
          <w:b/>
          <w:sz w:val="24"/>
          <w:szCs w:val="24"/>
        </w:rPr>
        <w:t xml:space="preserve">Consultation </w:t>
      </w:r>
      <w:r w:rsidR="00544BE0">
        <w:rPr>
          <w:b/>
          <w:sz w:val="24"/>
          <w:szCs w:val="24"/>
        </w:rPr>
        <w:t>q</w:t>
      </w:r>
      <w:r w:rsidRPr="00D453C4">
        <w:rPr>
          <w:b/>
          <w:sz w:val="24"/>
          <w:szCs w:val="24"/>
        </w:rPr>
        <w:t>uestions – Concentration of class 4 NCGMs in low</w:t>
      </w:r>
      <w:r>
        <w:rPr>
          <w:b/>
          <w:sz w:val="24"/>
          <w:szCs w:val="24"/>
        </w:rPr>
        <w:t>er</w:t>
      </w:r>
      <w:r w:rsidRPr="00D453C4">
        <w:rPr>
          <w:b/>
          <w:sz w:val="24"/>
          <w:szCs w:val="24"/>
        </w:rPr>
        <w:t xml:space="preserve"> socioeconomic areas</w:t>
      </w:r>
      <w:r w:rsidR="005C1D13">
        <w:rPr>
          <w:b/>
          <w:sz w:val="24"/>
          <w:szCs w:val="24"/>
        </w:rPr>
        <w:t xml:space="preserve"> (section 1.9)</w:t>
      </w:r>
    </w:p>
    <w:p w:rsidR="006243D9" w:rsidRDefault="00544BE0" w:rsidP="006243D9">
      <w:pPr>
        <w:pStyle w:val="Box"/>
        <w:ind w:left="851" w:hanging="567"/>
      </w:pPr>
      <w:r>
        <w:t>A</w:t>
      </w:r>
      <w:r w:rsidR="0051304C">
        <w:t>.</w:t>
      </w:r>
      <w:r w:rsidR="0051304C">
        <w:tab/>
      </w:r>
      <w:r w:rsidR="006243D9">
        <w:t>Do you think operators of class 4 venues should be incentivised to move from lower socioeconomic areas to higher socioeconomic areas?</w:t>
      </w:r>
    </w:p>
    <w:p w:rsidR="00544BE0" w:rsidRDefault="00544BE0" w:rsidP="006243D9">
      <w:pPr>
        <w:pStyle w:val="Box"/>
        <w:ind w:left="851" w:hanging="567"/>
      </w:pPr>
      <w:r>
        <w:t>B</w:t>
      </w:r>
      <w:r w:rsidR="006243D9">
        <w:t>.</w:t>
      </w:r>
      <w:r w:rsidR="006243D9">
        <w:tab/>
        <w:t>What barriers</w:t>
      </w:r>
      <w:r w:rsidR="00D453C4">
        <w:t>, if any, do</w:t>
      </w:r>
      <w:r w:rsidR="006243D9">
        <w:t xml:space="preserve"> you think currently exist to moving class 4 gambling venues out of lower socioeconomic areas? </w:t>
      </w:r>
    </w:p>
    <w:p w:rsidR="006243D9" w:rsidRDefault="00544BE0" w:rsidP="006243D9">
      <w:pPr>
        <w:pStyle w:val="Box"/>
        <w:ind w:left="851" w:hanging="567"/>
      </w:pPr>
      <w:r>
        <w:t>C.</w:t>
      </w:r>
      <w:r>
        <w:tab/>
      </w:r>
      <w:r w:rsidR="006243D9">
        <w:t>If barriers do exist, how do you think venues can be incentivised to move?</w:t>
      </w:r>
    </w:p>
    <w:p w:rsidR="005C1D13" w:rsidRDefault="005C1D13" w:rsidP="005C1D13"/>
    <w:p w:rsidR="00CB68A7" w:rsidRPr="00DF1F14" w:rsidRDefault="00CB68A7" w:rsidP="00901F12">
      <w:pPr>
        <w:pStyle w:val="Figure"/>
      </w:pPr>
      <w:bookmarkStart w:id="37" w:name="_Toc516836144"/>
      <w:bookmarkStart w:id="38" w:name="_Toc522089423"/>
      <w:r>
        <w:lastRenderedPageBreak/>
        <w:t xml:space="preserve">Figure </w:t>
      </w:r>
      <w:r w:rsidR="00E319C0">
        <w:rPr>
          <w:noProof/>
        </w:rPr>
        <w:fldChar w:fldCharType="begin"/>
      </w:r>
      <w:r w:rsidR="00E319C0">
        <w:rPr>
          <w:noProof/>
        </w:rPr>
        <w:instrText xml:space="preserve"> SEQ Figure \* ARABIC </w:instrText>
      </w:r>
      <w:r w:rsidR="00E319C0">
        <w:rPr>
          <w:noProof/>
        </w:rPr>
        <w:fldChar w:fldCharType="separate"/>
      </w:r>
      <w:r w:rsidR="0012663D">
        <w:rPr>
          <w:noProof/>
        </w:rPr>
        <w:t>2</w:t>
      </w:r>
      <w:r w:rsidR="00E319C0">
        <w:rPr>
          <w:noProof/>
        </w:rPr>
        <w:fldChar w:fldCharType="end"/>
      </w:r>
      <w:r>
        <w:t>: Distribution of class 4 NCGMs by low, mid and high deprivation areas</w:t>
      </w:r>
      <w:bookmarkEnd w:id="37"/>
      <w:bookmarkEnd w:id="38"/>
    </w:p>
    <w:p w:rsidR="00CB68A7" w:rsidRDefault="003824E9" w:rsidP="00901F12">
      <w:r>
        <w:rPr>
          <w:noProof/>
          <w:lang w:eastAsia="en-NZ"/>
        </w:rPr>
        <w:drawing>
          <wp:inline distT="0" distB="0" distL="0" distR="0" wp14:anchorId="5BAA4094" wp14:editId="2D7C595D">
            <wp:extent cx="5519650" cy="3602411"/>
            <wp:effectExtent l="0" t="0" r="5080" b="0"/>
            <wp:docPr id="5" name="Picture 5" title="Figure 2: Distribution of class 4 NCGMs by low, mid and high deprivatio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28128" cy="3607944"/>
                    </a:xfrm>
                    <a:prstGeom prst="rect">
                      <a:avLst/>
                    </a:prstGeom>
                    <a:noFill/>
                  </pic:spPr>
                </pic:pic>
              </a:graphicData>
            </a:graphic>
          </wp:inline>
        </w:drawing>
      </w:r>
    </w:p>
    <w:p w:rsidR="00CB68A7" w:rsidRPr="00DF1F14" w:rsidRDefault="00CB68A7" w:rsidP="00901F12">
      <w:pPr>
        <w:pStyle w:val="Source"/>
      </w:pPr>
      <w:r w:rsidRPr="00DF1F14">
        <w:t xml:space="preserve">Source: Department of Internal </w:t>
      </w:r>
      <w:r w:rsidRPr="00972532">
        <w:t>Affairs</w:t>
      </w:r>
    </w:p>
    <w:p w:rsidR="00EC3578" w:rsidRDefault="00EC3578" w:rsidP="00901F12"/>
    <w:p w:rsidR="00901F12" w:rsidRPr="00840E9E" w:rsidRDefault="00901F12" w:rsidP="00901F12">
      <w:pPr>
        <w:pStyle w:val="BoxHeading"/>
      </w:pPr>
      <w:r w:rsidRPr="00840E9E">
        <w:t>How do inequities come about?</w:t>
      </w:r>
    </w:p>
    <w:p w:rsidR="00901F12" w:rsidRPr="00C10A99" w:rsidRDefault="00901F12" w:rsidP="00901F12">
      <w:pPr>
        <w:pStyle w:val="Box"/>
      </w:pPr>
      <w:r w:rsidRPr="00C10A99">
        <w:t>Inequities are not random</w:t>
      </w:r>
      <w:r>
        <w:t>;</w:t>
      </w:r>
      <w:r w:rsidRPr="00C10A99">
        <w:t xml:space="preserve"> they are typically due to structural factors present in the society and local community that cannot be explained by biomedical differences between population groups. This means their causes are often complex and multifaceted and are outside the scope of the health system to address on its own. For example</w:t>
      </w:r>
      <w:r>
        <w:t>,</w:t>
      </w:r>
      <w:r w:rsidRPr="00C10A99">
        <w:t xml:space="preserve"> income inequality (poverty) has been shown to be strongly associated with differences in health outcomes</w:t>
      </w:r>
      <w:r>
        <w:t>,</w:t>
      </w:r>
      <w:r w:rsidRPr="00C10A99">
        <w:t xml:space="preserve"> including gambling </w:t>
      </w:r>
      <w:r w:rsidRPr="004A1981">
        <w:fldChar w:fldCharType="begin">
          <w:fldData xml:space="preserve">PEVuZE5vdGU+PENpdGU+PEF1dGhvcj5DYW5hbGU8L0F1dGhvcj48WWVhcj4yMDE3PC9ZZWFyPjxS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=
</w:fldData>
        </w:fldChar>
      </w:r>
      <w:r w:rsidRPr="00C10A99">
        <w:instrText xml:space="preserve"> ADDIN EN.CITE </w:instrText>
      </w:r>
      <w:r w:rsidRPr="008400D7">
        <w:fldChar w:fldCharType="begin">
          <w:fldData xml:space="preserve">PEVuZE5vdGU+PENpdGU+PEF1dGhvcj5DYW5hbGU8L0F1dGhvcj48WWVhcj4yMDE3PC9ZZWFyPjxS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=
</w:fldData>
        </w:fldChar>
      </w:r>
      <w:r w:rsidRPr="00C10A99">
        <w:instrText xml:space="preserve"> ADDIN EN.CITE.DATA </w:instrText>
      </w:r>
      <w:r w:rsidRPr="008400D7">
        <w:fldChar w:fldCharType="end"/>
      </w:r>
      <w:r w:rsidRPr="004A1981">
        <w:fldChar w:fldCharType="separate"/>
      </w:r>
      <w:r w:rsidRPr="00C10A99">
        <w:rPr>
          <w:noProof/>
        </w:rPr>
        <w:t>(</w:t>
      </w:r>
      <w:hyperlink w:anchor="_ENREF_5" w:tooltip="Canale, 2017 #88" w:history="1">
        <w:r w:rsidRPr="00C10A99">
          <w:rPr>
            <w:noProof/>
          </w:rPr>
          <w:t>Canale et al 2017</w:t>
        </w:r>
      </w:hyperlink>
      <w:r w:rsidRPr="00C10A99">
        <w:rPr>
          <w:noProof/>
        </w:rPr>
        <w:t xml:space="preserve">; </w:t>
      </w:r>
      <w:hyperlink w:anchor="_ENREF_9" w:tooltip="Kolandai-Matchett, 2017 #57" w:history="1">
        <w:r w:rsidRPr="00C10A99">
          <w:rPr>
            <w:noProof/>
          </w:rPr>
          <w:t>Kolandai-Matchett et al 2017</w:t>
        </w:r>
      </w:hyperlink>
      <w:r w:rsidRPr="00C10A99">
        <w:rPr>
          <w:noProof/>
        </w:rPr>
        <w:t xml:space="preserve">; </w:t>
      </w:r>
      <w:hyperlink w:anchor="_ENREF_11" w:tooltip="Rintoul, 2013 #84" w:history="1">
        <w:r w:rsidRPr="00C10A99">
          <w:rPr>
            <w:noProof/>
          </w:rPr>
          <w:t>Rintoul et</w:t>
        </w:r>
        <w:r>
          <w:rPr>
            <w:noProof/>
          </w:rPr>
          <w:t> </w:t>
        </w:r>
        <w:r w:rsidRPr="00C10A99">
          <w:rPr>
            <w:noProof/>
          </w:rPr>
          <w:t>al 2013</w:t>
        </w:r>
      </w:hyperlink>
      <w:r w:rsidRPr="00C10A99">
        <w:rPr>
          <w:noProof/>
        </w:rPr>
        <w:t xml:space="preserve">; </w:t>
      </w:r>
      <w:hyperlink w:anchor="_ENREF_12" w:tooltip="Tu, 2014 #83" w:history="1">
        <w:r w:rsidRPr="00C10A99">
          <w:rPr>
            <w:noProof/>
          </w:rPr>
          <w:t>Tu et al 2014</w:t>
        </w:r>
      </w:hyperlink>
      <w:r w:rsidRPr="00C10A99">
        <w:rPr>
          <w:noProof/>
        </w:rPr>
        <w:t xml:space="preserve">; </w:t>
      </w:r>
      <w:hyperlink w:anchor="_ENREF_13" w:tooltip="van der Maas, 2016 #85" w:history="1">
        <w:r w:rsidRPr="00C10A99">
          <w:rPr>
            <w:noProof/>
          </w:rPr>
          <w:t>van der Maas 2016</w:t>
        </w:r>
      </w:hyperlink>
      <w:r w:rsidRPr="00C10A99">
        <w:rPr>
          <w:noProof/>
        </w:rPr>
        <w:t>)</w:t>
      </w:r>
      <w:r w:rsidRPr="004A1981">
        <w:fldChar w:fldCharType="end"/>
      </w:r>
      <w:r w:rsidRPr="00C10A99">
        <w:t>. This means that achieving gambling harm minimisation equity requires a strong evidence base and a strategic, integrated approach from the health sector and other sectors.</w:t>
      </w:r>
    </w:p>
    <w:p w:rsidR="00901F12" w:rsidRDefault="00901F12" w:rsidP="00901F12">
      <w:pPr>
        <w:rPr>
          <w:color w:val="000000"/>
        </w:rPr>
      </w:pPr>
    </w:p>
    <w:p w:rsidR="00EC3578" w:rsidRDefault="00CB68A7" w:rsidP="00901F12">
      <w:r>
        <w:t>The Ministry will use</w:t>
      </w:r>
      <w:r w:rsidRPr="00C10A99">
        <w:t xml:space="preserve"> strategies and frameworks </w:t>
      </w:r>
      <w:r>
        <w:t>such as</w:t>
      </w:r>
      <w:r w:rsidRPr="00C10A99">
        <w:t xml:space="preserve"> </w:t>
      </w:r>
      <w:r w:rsidRPr="00DF1F14">
        <w:t xml:space="preserve">He Korowai </w:t>
      </w:r>
      <w:proofErr w:type="spellStart"/>
      <w:r w:rsidRPr="00DF1F14">
        <w:t>Oranga</w:t>
      </w:r>
      <w:proofErr w:type="spellEnd"/>
      <w:r>
        <w:rPr>
          <w:i/>
        </w:rPr>
        <w:t xml:space="preserve"> </w:t>
      </w:r>
      <w:r>
        <w:t>(Ministry of Health 2014c)</w:t>
      </w:r>
      <w:r w:rsidRPr="00C10A99">
        <w:t xml:space="preserve">; </w:t>
      </w:r>
      <w:r w:rsidRPr="00C10A99">
        <w:rPr>
          <w:i/>
        </w:rPr>
        <w:t>Equity of Health Care for Māori: A framework</w:t>
      </w:r>
      <w:r>
        <w:t xml:space="preserve"> (Ministry of Health 2014b)</w:t>
      </w:r>
      <w:r w:rsidRPr="00C10A99">
        <w:t>;</w:t>
      </w:r>
      <w:r w:rsidRPr="00C10A99">
        <w:rPr>
          <w:i/>
        </w:rPr>
        <w:t xml:space="preserve"> </w:t>
      </w:r>
      <w:r w:rsidR="00901F12">
        <w:rPr>
          <w:i/>
        </w:rPr>
        <w:t>’A</w:t>
      </w:r>
      <w:r w:rsidRPr="00C10A99">
        <w:rPr>
          <w:i/>
        </w:rPr>
        <w:t xml:space="preserve">la </w:t>
      </w:r>
      <w:proofErr w:type="spellStart"/>
      <w:r w:rsidRPr="00C10A99">
        <w:rPr>
          <w:i/>
        </w:rPr>
        <w:t>Mo</w:t>
      </w:r>
      <w:r w:rsidR="00EC3578">
        <w:rPr>
          <w:i/>
        </w:rPr>
        <w:t>’</w:t>
      </w:r>
      <w:r w:rsidRPr="00C10A99">
        <w:rPr>
          <w:i/>
        </w:rPr>
        <w:t>ui</w:t>
      </w:r>
      <w:proofErr w:type="spellEnd"/>
      <w:r w:rsidRPr="00C10A99">
        <w:rPr>
          <w:i/>
        </w:rPr>
        <w:t>: Pathways to Pacific Health and Wellbeing 2014–2018</w:t>
      </w:r>
      <w:r w:rsidRPr="00C10A99">
        <w:t xml:space="preserve"> </w:t>
      </w:r>
      <w:r>
        <w:t xml:space="preserve">(Ministry of Health 2014a) </w:t>
      </w:r>
      <w:r w:rsidRPr="00C10A99">
        <w:t>and the New Zealand Health Strategy</w:t>
      </w:r>
      <w:r>
        <w:t xml:space="preserve"> (Minister of Health 2016) to focus on minimising gambling harm related inequities. This focus by the Ministry will be supported through health literacy activities.</w:t>
      </w:r>
    </w:p>
    <w:p w:rsidR="00D63EC6" w:rsidRDefault="00D63EC6" w:rsidP="00D63EC6"/>
    <w:p w:rsidR="00EC3578" w:rsidRDefault="00CB68A7" w:rsidP="00D63EC6">
      <w:r w:rsidRPr="00E312E8">
        <w:t>The Ministry</w:t>
      </w:r>
      <w:r w:rsidR="00EC3578">
        <w:t>’</w:t>
      </w:r>
      <w:r w:rsidRPr="00E312E8">
        <w:t xml:space="preserve">s </w:t>
      </w:r>
      <w:r>
        <w:t>h</w:t>
      </w:r>
      <w:r w:rsidRPr="00E312E8">
        <w:t xml:space="preserve">ealth </w:t>
      </w:r>
      <w:r>
        <w:t>l</w:t>
      </w:r>
      <w:r w:rsidRPr="00E312E8">
        <w:t xml:space="preserve">iteracy </w:t>
      </w:r>
      <w:r>
        <w:t>f</w:t>
      </w:r>
      <w:r w:rsidRPr="00E312E8">
        <w:t xml:space="preserve">ramework and guide </w:t>
      </w:r>
      <w:r>
        <w:t>aim</w:t>
      </w:r>
      <w:r w:rsidRPr="00E312E8">
        <w:t xml:space="preserve"> to improve the quality of services delivered to individuals, families/</w:t>
      </w:r>
      <w:proofErr w:type="spellStart"/>
      <w:r w:rsidRPr="00E312E8">
        <w:t>whānau</w:t>
      </w:r>
      <w:proofErr w:type="spellEnd"/>
      <w:r w:rsidRPr="00E312E8">
        <w:t xml:space="preserve"> and communities </w:t>
      </w:r>
      <w:r>
        <w:t>by raising awareness of issues such as the importance of screening and the presence of inequities and harm in service use (Ministry of Health 2015)</w:t>
      </w:r>
      <w:r w:rsidRPr="00E312E8">
        <w:t xml:space="preserve">. </w:t>
      </w:r>
      <w:r>
        <w:t>The approach has been applied to</w:t>
      </w:r>
      <w:r w:rsidRPr="00E312E8">
        <w:t xml:space="preserve"> gambling harm minimisation services</w:t>
      </w:r>
      <w:r>
        <w:t>, more broadly</w:t>
      </w:r>
      <w:r w:rsidRPr="00E312E8">
        <w:t xml:space="preserve"> </w:t>
      </w:r>
      <w:r w:rsidRPr="00C10A99">
        <w:t xml:space="preserve">to </w:t>
      </w:r>
      <w:r>
        <w:t>promote</w:t>
      </w:r>
      <w:r w:rsidRPr="00C10A99">
        <w:t xml:space="preserve"> screening in drug, alcohol and mental health services</w:t>
      </w:r>
      <w:r>
        <w:t>,</w:t>
      </w:r>
      <w:r w:rsidRPr="00C10A99">
        <w:t xml:space="preserve"> and </w:t>
      </w:r>
      <w:r>
        <w:t xml:space="preserve">in </w:t>
      </w:r>
      <w:r w:rsidRPr="00C10A99">
        <w:t xml:space="preserve">the </w:t>
      </w:r>
      <w:r w:rsidR="00EC3578">
        <w:t>‘</w:t>
      </w:r>
      <w:r w:rsidRPr="00C10A99">
        <w:t>navigator</w:t>
      </w:r>
      <w:r w:rsidR="00EC3578">
        <w:t>’</w:t>
      </w:r>
      <w:r w:rsidRPr="00C10A99">
        <w:t xml:space="preserve"> approach to accessing </w:t>
      </w:r>
      <w:r>
        <w:t xml:space="preserve">health </w:t>
      </w:r>
      <w:r w:rsidRPr="00C10A99">
        <w:t>services.</w:t>
      </w:r>
    </w:p>
    <w:p w:rsidR="00D63EC6" w:rsidRDefault="00D63EC6" w:rsidP="00D63EC6"/>
    <w:p w:rsidR="00CB68A7" w:rsidRDefault="00CB68A7" w:rsidP="00D63EC6">
      <w:r>
        <w:t>Any</w:t>
      </w:r>
      <w:r w:rsidRPr="00C10A99">
        <w:t xml:space="preserve"> Ministry </w:t>
      </w:r>
      <w:r>
        <w:t>publication</w:t>
      </w:r>
      <w:r w:rsidRPr="00C10A99">
        <w:t xml:space="preserve"> </w:t>
      </w:r>
      <w:r>
        <w:t>that outlines</w:t>
      </w:r>
      <w:r w:rsidRPr="00C10A99">
        <w:t xml:space="preserve"> the concepts and evidence from research to inform </w:t>
      </w:r>
      <w:r>
        <w:t>the</w:t>
      </w:r>
      <w:r w:rsidRPr="00C10A99">
        <w:t xml:space="preserve"> approach to</w:t>
      </w:r>
      <w:r>
        <w:t xml:space="preserve"> reducing</w:t>
      </w:r>
      <w:r w:rsidRPr="00C10A99">
        <w:t xml:space="preserve"> gambling harm will help raise awareness </w:t>
      </w:r>
      <w:r>
        <w:t xml:space="preserve">in the </w:t>
      </w:r>
      <w:r w:rsidRPr="00C10A99">
        <w:t xml:space="preserve">gambling sector of </w:t>
      </w:r>
      <w:r>
        <w:t>the knowledge base that informs the strategy.</w:t>
      </w:r>
    </w:p>
    <w:p w:rsidR="00CB68A7" w:rsidRPr="00C10A99" w:rsidRDefault="00CB68A7" w:rsidP="00D63EC6">
      <w:pPr>
        <w:pStyle w:val="Heading1"/>
      </w:pPr>
      <w:bookmarkStart w:id="39" w:name="_Toc421026461"/>
      <w:bookmarkStart w:id="40" w:name="_Toc517090894"/>
      <w:bookmarkStart w:id="41" w:name="_Toc522089396"/>
      <w:bookmarkStart w:id="42" w:name="_Toc329860053"/>
      <w:r w:rsidRPr="00C10A99">
        <w:lastRenderedPageBreak/>
        <w:t xml:space="preserve">Draft six-year </w:t>
      </w:r>
      <w:r>
        <w:t>s</w:t>
      </w:r>
      <w:r w:rsidRPr="00C10A99">
        <w:t xml:space="preserve">trategic </w:t>
      </w:r>
      <w:r>
        <w:t>f</w:t>
      </w:r>
      <w:r w:rsidRPr="00C10A99">
        <w:t>ramework 2019/20 to 2024/25</w:t>
      </w:r>
      <w:bookmarkEnd w:id="39"/>
      <w:bookmarkEnd w:id="40"/>
      <w:bookmarkEnd w:id="41"/>
    </w:p>
    <w:p w:rsidR="00CB68A7" w:rsidRDefault="00CB68A7" w:rsidP="00D63EC6">
      <w:r>
        <w:t>The Ministry proposes relatively minor changes to the strategic plan/framework that was published in 2016/17, to better target reductions in health inequities. The strategic framework is based on an outcomes framework agreed by both the gambling industry and gambling harm services.</w:t>
      </w:r>
    </w:p>
    <w:p w:rsidR="00CB68A7" w:rsidRDefault="00CB68A7" w:rsidP="00D63EC6"/>
    <w:p w:rsidR="00CB68A7" w:rsidRPr="00E0156C" w:rsidRDefault="00CB68A7" w:rsidP="00D63EC6">
      <w:pPr>
        <w:pStyle w:val="Heading2"/>
      </w:pPr>
      <w:bookmarkStart w:id="43" w:name="_Toc517090895"/>
      <w:bookmarkStart w:id="44" w:name="_Toc522089397"/>
      <w:r w:rsidRPr="00C10A99">
        <w:t>Overall goal of the strategic plan</w:t>
      </w:r>
      <w:bookmarkEnd w:id="43"/>
      <w:bookmarkEnd w:id="44"/>
    </w:p>
    <w:p w:rsidR="00CB68A7" w:rsidRPr="00E312E8" w:rsidRDefault="00CB68A7" w:rsidP="00D63EC6">
      <w:r w:rsidRPr="00E312E8">
        <w:t>The Ministry is committed to a long-term approach that has not significantly changed from the approach outlined in its first six-year strategic plan in 2005. The overall goal is:</w:t>
      </w:r>
    </w:p>
    <w:p w:rsidR="00CB68A7" w:rsidRDefault="00EC3578" w:rsidP="00D63EC6">
      <w:pPr>
        <w:pStyle w:val="Quote"/>
      </w:pPr>
      <w:r>
        <w:t>‘</w:t>
      </w:r>
      <w:r w:rsidR="00CB68A7" w:rsidRPr="00785C98">
        <w:t>Government, the gambling sector, communities and families/</w:t>
      </w:r>
      <w:proofErr w:type="spellStart"/>
      <w:r w:rsidR="00CB68A7" w:rsidRPr="00785C98">
        <w:t>whānau</w:t>
      </w:r>
      <w:proofErr w:type="spellEnd"/>
      <w:r w:rsidR="00CB68A7" w:rsidRPr="00785C98">
        <w:t xml:space="preserve"> working together to prevent and minimise gambling harm, and to reduce related health inequities.</w:t>
      </w:r>
      <w:r>
        <w:t>’</w:t>
      </w:r>
    </w:p>
    <w:p w:rsidR="00CB68A7" w:rsidRPr="00785C98" w:rsidRDefault="00CB68A7" w:rsidP="00D63EC6"/>
    <w:p w:rsidR="00CB68A7" w:rsidRPr="005E3D21" w:rsidRDefault="00CB68A7" w:rsidP="00D63EC6">
      <w:pPr>
        <w:pStyle w:val="Heading2"/>
      </w:pPr>
      <w:bookmarkStart w:id="45" w:name="_Toc517090896"/>
      <w:bookmarkStart w:id="46" w:name="_Toc522089398"/>
      <w:r w:rsidRPr="005E3D21">
        <w:t xml:space="preserve">Eleven </w:t>
      </w:r>
      <w:r>
        <w:t>s</w:t>
      </w:r>
      <w:r w:rsidRPr="005E3D21">
        <w:t>trategic objectives</w:t>
      </w:r>
      <w:bookmarkEnd w:id="45"/>
      <w:bookmarkEnd w:id="46"/>
    </w:p>
    <w:p w:rsidR="00CB68A7" w:rsidRPr="00E312E8" w:rsidRDefault="00CB68A7" w:rsidP="00D63EC6">
      <w:r>
        <w:t xml:space="preserve">The following 11 </w:t>
      </w:r>
      <w:r w:rsidRPr="00E312E8">
        <w:t xml:space="preserve">strategic objectives </w:t>
      </w:r>
      <w:r>
        <w:t xml:space="preserve">guide the </w:t>
      </w:r>
      <w:r w:rsidRPr="00E312E8">
        <w:t xml:space="preserve">strategic direction for the </w:t>
      </w:r>
      <w:r>
        <w:t xml:space="preserve">actions in the </w:t>
      </w:r>
      <w:r w:rsidRPr="00E312E8">
        <w:t>service plan</w:t>
      </w:r>
      <w:r>
        <w:t>.</w:t>
      </w:r>
    </w:p>
    <w:p w:rsidR="00CB68A7" w:rsidRPr="00C10A99" w:rsidRDefault="00CB68A7" w:rsidP="00D63EC6">
      <w:pPr>
        <w:spacing w:before="120"/>
        <w:ind w:left="567"/>
      </w:pPr>
      <w:r w:rsidRPr="00C10A99">
        <w:rPr>
          <w:b/>
          <w:bCs/>
        </w:rPr>
        <w:t>Objective 1:</w:t>
      </w:r>
      <w:r w:rsidRPr="00C10A99">
        <w:t xml:space="preserve"> There is a reduction in gambling-harm-related inequities </w:t>
      </w:r>
      <w:r>
        <w:t xml:space="preserve">between population groups </w:t>
      </w:r>
      <w:r w:rsidRPr="00C10A99">
        <w:t>(particularly Māori and Pacific peoples, as the populations that are most vulnerable to gambling harm).</w:t>
      </w:r>
    </w:p>
    <w:p w:rsidR="00CB68A7" w:rsidRPr="00C10A99" w:rsidRDefault="00CB68A7" w:rsidP="00D63EC6">
      <w:pPr>
        <w:spacing w:before="120"/>
        <w:ind w:left="567"/>
        <w:rPr>
          <w:szCs w:val="24"/>
        </w:rPr>
      </w:pPr>
      <w:r w:rsidRPr="00C10A99">
        <w:rPr>
          <w:b/>
          <w:szCs w:val="24"/>
        </w:rPr>
        <w:t xml:space="preserve">Objective 2: </w:t>
      </w:r>
      <w:r w:rsidRPr="00C10A99">
        <w:rPr>
          <w:szCs w:val="24"/>
        </w:rPr>
        <w:t>Māori have healthier futures, through the prevention and minimisation of gambling harm.</w:t>
      </w:r>
    </w:p>
    <w:p w:rsidR="00CB68A7" w:rsidRPr="00C10A99" w:rsidRDefault="00CB68A7" w:rsidP="00D63EC6">
      <w:pPr>
        <w:spacing w:before="120"/>
        <w:ind w:left="567"/>
      </w:pPr>
      <w:r w:rsidRPr="00C10A99">
        <w:rPr>
          <w:b/>
          <w:bCs/>
        </w:rPr>
        <w:t>Objective 3:</w:t>
      </w:r>
      <w:r w:rsidRPr="00C10A99">
        <w:t xml:space="preserve"> People participate in decision-making about activities in their communities that prevent and minimise gambling harm.</w:t>
      </w:r>
    </w:p>
    <w:p w:rsidR="00CB68A7" w:rsidRPr="00C10A99" w:rsidRDefault="00CB68A7" w:rsidP="00D63EC6">
      <w:pPr>
        <w:spacing w:before="120"/>
        <w:ind w:left="567"/>
      </w:pPr>
      <w:r w:rsidRPr="00C10A99">
        <w:rPr>
          <w:b/>
          <w:bCs/>
        </w:rPr>
        <w:t xml:space="preserve">Objective 4: </w:t>
      </w:r>
      <w:r w:rsidRPr="00C10A99">
        <w:t>Healthy policy at the national, regional and local level prevents and minimises gambling harm.</w:t>
      </w:r>
    </w:p>
    <w:p w:rsidR="00926839" w:rsidRPr="00C10A99" w:rsidRDefault="00926839" w:rsidP="00926839">
      <w:pPr>
        <w:spacing w:before="120"/>
        <w:ind w:left="567"/>
      </w:pPr>
      <w:r w:rsidRPr="00C10A99">
        <w:rPr>
          <w:b/>
          <w:bCs/>
        </w:rPr>
        <w:t xml:space="preserve">Objective </w:t>
      </w:r>
      <w:r>
        <w:rPr>
          <w:b/>
          <w:bCs/>
        </w:rPr>
        <w:t>5</w:t>
      </w:r>
      <w:r w:rsidRPr="00C10A99">
        <w:rPr>
          <w:b/>
          <w:bCs/>
        </w:rPr>
        <w:t>:</w:t>
      </w:r>
      <w:r w:rsidRPr="00C10A99">
        <w:t xml:space="preserve"> </w:t>
      </w:r>
      <w:r>
        <w:t>People</w:t>
      </w:r>
      <w:r w:rsidRPr="00C10A99">
        <w:t xml:space="preserve"> understand and acknowledge the range of gambling harms that affect individuals, families/</w:t>
      </w:r>
      <w:proofErr w:type="spellStart"/>
      <w:r w:rsidRPr="00C10A99">
        <w:t>whānau</w:t>
      </w:r>
      <w:proofErr w:type="spellEnd"/>
      <w:r w:rsidRPr="00C10A99">
        <w:t xml:space="preserve"> and communities.</w:t>
      </w:r>
    </w:p>
    <w:p w:rsidR="00CB68A7" w:rsidRPr="00C10A99" w:rsidRDefault="00CB68A7" w:rsidP="00D63EC6">
      <w:pPr>
        <w:spacing w:before="120"/>
        <w:ind w:left="567"/>
      </w:pPr>
      <w:r w:rsidRPr="00C10A99">
        <w:rPr>
          <w:b/>
          <w:bCs/>
        </w:rPr>
        <w:t>Objective 6:</w:t>
      </w:r>
      <w:r w:rsidRPr="00C10A99">
        <w:t xml:space="preserve"> A skilled workforce is developed to deliver effective services to prevent and minimise gambling harm.</w:t>
      </w:r>
    </w:p>
    <w:p w:rsidR="00926839" w:rsidRPr="00C10A99" w:rsidRDefault="00926839" w:rsidP="00926839">
      <w:pPr>
        <w:spacing w:before="120"/>
        <w:ind w:left="567"/>
      </w:pPr>
      <w:r w:rsidRPr="00C10A99">
        <w:rPr>
          <w:b/>
          <w:bCs/>
        </w:rPr>
        <w:t xml:space="preserve">Objective </w:t>
      </w:r>
      <w:r>
        <w:rPr>
          <w:b/>
          <w:bCs/>
        </w:rPr>
        <w:t>7</w:t>
      </w:r>
      <w:r w:rsidRPr="00C10A99">
        <w:rPr>
          <w:b/>
          <w:bCs/>
        </w:rPr>
        <w:t>:</w:t>
      </w:r>
      <w:r w:rsidRPr="00C10A99">
        <w:t xml:space="preserve"> </w:t>
      </w:r>
      <w:r>
        <w:t>Services enhance people’s mana and build life skills and resiliency to improve healthy choices</w:t>
      </w:r>
      <w:r w:rsidRPr="009C1F48">
        <w:t xml:space="preserve"> </w:t>
      </w:r>
      <w:r w:rsidRPr="00C10A99">
        <w:t>that prevent and minimise gambling harm.</w:t>
      </w:r>
    </w:p>
    <w:p w:rsidR="00CB68A7" w:rsidRPr="00C10A99" w:rsidRDefault="00CB68A7" w:rsidP="00D63EC6">
      <w:pPr>
        <w:spacing w:before="120"/>
        <w:ind w:left="567"/>
      </w:pPr>
      <w:r w:rsidRPr="00C10A99">
        <w:rPr>
          <w:b/>
          <w:bCs/>
        </w:rPr>
        <w:t>Objective 8</w:t>
      </w:r>
      <w:r w:rsidRPr="00C10A99">
        <w:t>: Gambling environments are designed to prevent and minimise gambling harm.</w:t>
      </w:r>
    </w:p>
    <w:p w:rsidR="00CB68A7" w:rsidRDefault="00CB68A7" w:rsidP="005C1D13">
      <w:pPr>
        <w:keepNext/>
        <w:spacing w:before="120"/>
        <w:ind w:left="567"/>
      </w:pPr>
      <w:r w:rsidRPr="00C10A99">
        <w:rPr>
          <w:b/>
          <w:bCs/>
        </w:rPr>
        <w:lastRenderedPageBreak/>
        <w:t>Objective 9:</w:t>
      </w:r>
      <w:r w:rsidRPr="00C10A99">
        <w:t xml:space="preserve"> Services raise awareness about the range of gambling harms that affect individuals, families/</w:t>
      </w:r>
      <w:proofErr w:type="spellStart"/>
      <w:r w:rsidRPr="00C10A99">
        <w:t>whānau</w:t>
      </w:r>
      <w:proofErr w:type="spellEnd"/>
      <w:r w:rsidRPr="00C10A99">
        <w:t xml:space="preserve"> and communities.</w:t>
      </w:r>
    </w:p>
    <w:p w:rsidR="0012663D" w:rsidRPr="00C10A99" w:rsidRDefault="0012663D" w:rsidP="005C1D13">
      <w:pPr>
        <w:keepNext/>
        <w:spacing w:before="120"/>
        <w:ind w:left="567"/>
      </w:pPr>
      <w:r w:rsidRPr="0012663D">
        <w:rPr>
          <w:b/>
        </w:rPr>
        <w:t>Objective 10:</w:t>
      </w:r>
      <w:r w:rsidRPr="0012663D">
        <w:t xml:space="preserve"> People access effective treatment and support services at the right time and place</w:t>
      </w:r>
      <w:r>
        <w:t>.</w:t>
      </w:r>
    </w:p>
    <w:p w:rsidR="00CB68A7" w:rsidRDefault="00CB68A7" w:rsidP="00D63EC6">
      <w:pPr>
        <w:spacing w:before="120"/>
        <w:ind w:left="567"/>
      </w:pPr>
      <w:r w:rsidRPr="00C10A99">
        <w:rPr>
          <w:b/>
          <w:bCs/>
        </w:rPr>
        <w:t>Objective 11:</w:t>
      </w:r>
      <w:r w:rsidRPr="00C10A99">
        <w:t xml:space="preserve"> A programme of research and evaluation establishes an evidence base that underpins all activities to prevent and minimise</w:t>
      </w:r>
      <w:r>
        <w:t>s</w:t>
      </w:r>
      <w:r w:rsidRPr="00C10A99">
        <w:t xml:space="preserve"> gambling harm.</w:t>
      </w:r>
    </w:p>
    <w:p w:rsidR="00CB68A7" w:rsidRDefault="00CB68A7" w:rsidP="00D63EC6"/>
    <w:p w:rsidR="00EC3578" w:rsidRDefault="00CB68A7" w:rsidP="00D63EC6">
      <w:r w:rsidRPr="00785C98">
        <w:t xml:space="preserve">Figure </w:t>
      </w:r>
      <w:r>
        <w:t>3</w:t>
      </w:r>
      <w:r w:rsidRPr="009C1F48">
        <w:t xml:space="preserve"> </w:t>
      </w:r>
      <w:r>
        <w:t>shows how the strategic objectives described above contribute to the strategy</w:t>
      </w:r>
      <w:r w:rsidR="00EC3578">
        <w:t>’</w:t>
      </w:r>
      <w:r>
        <w:t>s key outcomes and goal.</w:t>
      </w:r>
    </w:p>
    <w:p w:rsidR="003824E9" w:rsidRDefault="003824E9" w:rsidP="00D63EC6"/>
    <w:p w:rsidR="00CB68A7" w:rsidRDefault="00CB68A7" w:rsidP="00D63EC6">
      <w:pPr>
        <w:pStyle w:val="Figure"/>
      </w:pPr>
      <w:bookmarkStart w:id="47" w:name="_Toc516836145"/>
      <w:bookmarkStart w:id="48" w:name="_Toc522089424"/>
      <w:r w:rsidRPr="00227DDB">
        <w:t xml:space="preserve">Figure </w:t>
      </w:r>
      <w:r>
        <w:t>3</w:t>
      </w:r>
      <w:r w:rsidR="00D35FB5">
        <w:t>:</w:t>
      </w:r>
      <w:r w:rsidRPr="00227DDB">
        <w:t xml:space="preserve"> </w:t>
      </w:r>
      <w:r>
        <w:t>Framework for organising the s</w:t>
      </w:r>
      <w:r w:rsidRPr="00227DDB">
        <w:t xml:space="preserve">trategic </w:t>
      </w:r>
      <w:r>
        <w:t>objectives</w:t>
      </w:r>
      <w:bookmarkEnd w:id="47"/>
      <w:bookmarkEnd w:id="48"/>
    </w:p>
    <w:p w:rsidR="00035286" w:rsidRDefault="00035286" w:rsidP="00D63EC6">
      <w:r>
        <w:rPr>
          <w:noProof/>
          <w:lang w:eastAsia="en-NZ"/>
        </w:rPr>
        <w:drawing>
          <wp:inline distT="0" distB="0" distL="0" distR="0" wp14:anchorId="167D1855" wp14:editId="581B3CA9">
            <wp:extent cx="6012293" cy="4106487"/>
            <wp:effectExtent l="0" t="0" r="7620" b="889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0" cstate="print">
                      <a:grayscl/>
                      <a:extLst>
                        <a:ext uri="{28A0092B-C50C-407E-A947-70E740481C1C}">
                          <a14:useLocalDpi xmlns:a14="http://schemas.microsoft.com/office/drawing/2010/main" val="0"/>
                        </a:ext>
                      </a:extLst>
                    </a:blip>
                    <a:stretch>
                      <a:fillRect/>
                    </a:stretch>
                  </pic:blipFill>
                  <pic:spPr>
                    <a:xfrm>
                      <a:off x="0" y="0"/>
                      <a:ext cx="6008569" cy="4103943"/>
                    </a:xfrm>
                    <a:prstGeom prst="rect">
                      <a:avLst/>
                    </a:prstGeom>
                  </pic:spPr>
                </pic:pic>
              </a:graphicData>
            </a:graphic>
          </wp:inline>
        </w:drawing>
      </w:r>
    </w:p>
    <w:p w:rsidR="00035286" w:rsidRDefault="00035286" w:rsidP="00D63EC6"/>
    <w:p w:rsidR="00CB68A7" w:rsidRPr="00840803" w:rsidRDefault="00CB68A7" w:rsidP="00D63EC6">
      <w:pPr>
        <w:pStyle w:val="Heading3"/>
      </w:pPr>
      <w:r w:rsidRPr="00252C71">
        <w:t xml:space="preserve">No substantive change proposed to the </w:t>
      </w:r>
      <w:r>
        <w:t>11</w:t>
      </w:r>
      <w:r w:rsidRPr="00252C71">
        <w:t xml:space="preserve"> strategic objectives</w:t>
      </w:r>
    </w:p>
    <w:p w:rsidR="00CB68A7" w:rsidRDefault="00CB68A7" w:rsidP="00D63EC6">
      <w:r>
        <w:t>There are n</w:t>
      </w:r>
      <w:r w:rsidRPr="00E312E8">
        <w:t xml:space="preserve">o substantive changes proposed to the 11 strategic objectives. </w:t>
      </w:r>
      <w:r>
        <w:t>However, b</w:t>
      </w:r>
      <w:r w:rsidRPr="00E312E8">
        <w:t xml:space="preserve">ased on </w:t>
      </w:r>
      <w:r>
        <w:t>insights from the 2016 HLS, it is</w:t>
      </w:r>
      <w:r w:rsidRPr="00E312E8">
        <w:t xml:space="preserve"> proposed to include a focus on reducing inequalities and inequities in Objectives 9 and 10.</w:t>
      </w:r>
    </w:p>
    <w:p w:rsidR="00D63EC6" w:rsidRDefault="00D63EC6" w:rsidP="00D63EC6"/>
    <w:p w:rsidR="00CB68A7" w:rsidRPr="00C10A99" w:rsidRDefault="00CB68A7" w:rsidP="00D63EC6">
      <w:pPr>
        <w:pStyle w:val="Heading3"/>
      </w:pPr>
      <w:r w:rsidRPr="00C10A99">
        <w:t>Alignment with other strategic documents</w:t>
      </w:r>
    </w:p>
    <w:p w:rsidR="00CB68A7" w:rsidRPr="00C10A99" w:rsidRDefault="00CB68A7" w:rsidP="00D63EC6">
      <w:r w:rsidRPr="00C10A99">
        <w:t xml:space="preserve">The proposed </w:t>
      </w:r>
      <w:r>
        <w:t>s</w:t>
      </w:r>
      <w:r w:rsidRPr="00C10A99">
        <w:t xml:space="preserve">trategic </w:t>
      </w:r>
      <w:r>
        <w:t>p</w:t>
      </w:r>
      <w:r w:rsidRPr="00C10A99">
        <w:t>lan continues to align with and complement a range of other strategic documents, including:</w:t>
      </w:r>
    </w:p>
    <w:p w:rsidR="00CB68A7" w:rsidRPr="00C10A99" w:rsidRDefault="00CB68A7" w:rsidP="00D63EC6">
      <w:pPr>
        <w:pStyle w:val="Bullet"/>
      </w:pPr>
      <w:r w:rsidRPr="00785C98">
        <w:t>New Zealand Health Strategy</w:t>
      </w:r>
      <w:r w:rsidRPr="00C10A99">
        <w:rPr>
          <w:i/>
        </w:rPr>
        <w:t xml:space="preserve"> </w:t>
      </w:r>
      <w:r w:rsidRPr="00C10A99">
        <w:t>(</w:t>
      </w:r>
      <w:r>
        <w:t>Ministry of Health 2016</w:t>
      </w:r>
      <w:r w:rsidRPr="00C10A99">
        <w:t>)</w:t>
      </w:r>
    </w:p>
    <w:p w:rsidR="00CB68A7" w:rsidRPr="00C10A99" w:rsidRDefault="000D5C87" w:rsidP="00D63EC6">
      <w:pPr>
        <w:pStyle w:val="Bullet"/>
      </w:pPr>
      <w:hyperlink r:id="rId51" w:history="1">
        <w:r w:rsidR="00CB68A7" w:rsidRPr="00785C98">
          <w:rPr>
            <w:rStyle w:val="Hyperlink"/>
            <w:rFonts w:cs="Arial"/>
            <w:bCs/>
          </w:rPr>
          <w:t xml:space="preserve">He Korowai </w:t>
        </w:r>
        <w:proofErr w:type="spellStart"/>
        <w:r w:rsidR="00CB68A7" w:rsidRPr="00785C98">
          <w:rPr>
            <w:rStyle w:val="Hyperlink"/>
            <w:rFonts w:cs="Arial"/>
            <w:bCs/>
          </w:rPr>
          <w:t>Oranga</w:t>
        </w:r>
        <w:proofErr w:type="spellEnd"/>
      </w:hyperlink>
      <w:r w:rsidR="00CB68A7" w:rsidRPr="000B2E75">
        <w:t xml:space="preserve"> </w:t>
      </w:r>
      <w:r w:rsidR="00CB68A7" w:rsidRPr="00C10A99">
        <w:t>(refreshed in 2014</w:t>
      </w:r>
      <w:r w:rsidR="00CB68A7">
        <w:t>; Ministry of Health 2014c</w:t>
      </w:r>
      <w:r w:rsidR="00CB68A7" w:rsidRPr="00C10A99">
        <w:t>)</w:t>
      </w:r>
    </w:p>
    <w:p w:rsidR="00CB68A7" w:rsidRPr="00D63EC6" w:rsidRDefault="000D5C87" w:rsidP="00D63EC6">
      <w:pPr>
        <w:pStyle w:val="Bullet"/>
        <w:rPr>
          <w:rFonts w:eastAsiaTheme="majorEastAsia"/>
        </w:rPr>
      </w:pPr>
      <w:hyperlink r:id="rId52" w:history="1">
        <w:r w:rsidR="00901F12">
          <w:rPr>
            <w:rStyle w:val="Hyperlink"/>
            <w:rFonts w:cs="Arial"/>
            <w:bCs/>
            <w:i/>
          </w:rPr>
          <w:t>’A</w:t>
        </w:r>
        <w:r w:rsidR="00CB68A7" w:rsidRPr="000B2E75">
          <w:rPr>
            <w:rStyle w:val="Hyperlink"/>
            <w:rFonts w:cs="Arial"/>
            <w:bCs/>
            <w:i/>
          </w:rPr>
          <w:t xml:space="preserve">la </w:t>
        </w:r>
        <w:proofErr w:type="spellStart"/>
        <w:r w:rsidR="00CB68A7" w:rsidRPr="000B2E75">
          <w:rPr>
            <w:rStyle w:val="Hyperlink"/>
            <w:rFonts w:cs="Arial"/>
            <w:bCs/>
            <w:i/>
          </w:rPr>
          <w:t>Mo</w:t>
        </w:r>
        <w:r w:rsidR="00EC3578">
          <w:rPr>
            <w:rStyle w:val="Hyperlink"/>
            <w:rFonts w:cs="Arial"/>
            <w:bCs/>
            <w:i/>
          </w:rPr>
          <w:t>’</w:t>
        </w:r>
        <w:r w:rsidR="00CB68A7" w:rsidRPr="000B2E75">
          <w:rPr>
            <w:rStyle w:val="Hyperlink"/>
            <w:rFonts w:cs="Arial"/>
            <w:bCs/>
            <w:i/>
          </w:rPr>
          <w:t>ui</w:t>
        </w:r>
        <w:proofErr w:type="spellEnd"/>
        <w:r w:rsidR="00CB68A7" w:rsidRPr="000B2E75">
          <w:rPr>
            <w:rStyle w:val="Hyperlink"/>
            <w:rFonts w:cs="Arial"/>
            <w:bCs/>
            <w:i/>
          </w:rPr>
          <w:t>: Pathways to Pacific Health and Wellbeing 2014–2018</w:t>
        </w:r>
      </w:hyperlink>
      <w:r w:rsidR="00CB68A7">
        <w:rPr>
          <w:rStyle w:val="Hyperlink"/>
          <w:rFonts w:cs="Arial"/>
          <w:bCs/>
          <w:i/>
        </w:rPr>
        <w:t xml:space="preserve"> </w:t>
      </w:r>
      <w:r w:rsidR="00CB68A7">
        <w:rPr>
          <w:rStyle w:val="Hyperlink"/>
          <w:rFonts w:cs="Arial"/>
          <w:bCs/>
        </w:rPr>
        <w:t>(Ministry of Health 2014a).</w:t>
      </w:r>
    </w:p>
    <w:p w:rsidR="00CB68A7" w:rsidRDefault="00CB68A7" w:rsidP="00D63EC6"/>
    <w:p w:rsidR="00CB68A7" w:rsidRPr="00C10A99" w:rsidRDefault="00CB68A7" w:rsidP="00D63EC6">
      <w:pPr>
        <w:pStyle w:val="Heading2"/>
      </w:pPr>
      <w:bookmarkStart w:id="49" w:name="_Toc517090897"/>
      <w:bookmarkStart w:id="50" w:name="_Toc522089399"/>
      <w:r w:rsidRPr="00C10A99">
        <w:t>Outline of each of the strategic objectives</w:t>
      </w:r>
      <w:bookmarkEnd w:id="49"/>
      <w:bookmarkEnd w:id="50"/>
    </w:p>
    <w:p w:rsidR="00CB68A7" w:rsidRPr="00E312E8" w:rsidRDefault="00CB68A7" w:rsidP="00D63EC6">
      <w:pPr>
        <w:keepNext/>
      </w:pPr>
      <w:r w:rsidRPr="00E312E8">
        <w:t>A more detailed description of the strategic objectives and the priority actions follows.</w:t>
      </w:r>
    </w:p>
    <w:p w:rsidR="00D63EC6" w:rsidRDefault="00D63EC6" w:rsidP="00D63EC6">
      <w:pPr>
        <w:keepNext/>
      </w:pPr>
    </w:p>
    <w:p w:rsidR="00CB68A7" w:rsidRPr="00C10A99" w:rsidRDefault="00CB68A7" w:rsidP="00D63EC6">
      <w:pPr>
        <w:keepNext/>
      </w:pPr>
      <w:r w:rsidRPr="00C10A99">
        <w:t>The short</w:t>
      </w:r>
      <w:r>
        <w:t>-</w:t>
      </w:r>
      <w:r w:rsidRPr="00C10A99">
        <w:t>, medium</w:t>
      </w:r>
      <w:r>
        <w:t>-</w:t>
      </w:r>
      <w:r w:rsidRPr="00C10A99">
        <w:t xml:space="preserve"> and long-term </w:t>
      </w:r>
      <w:r>
        <w:t>p</w:t>
      </w:r>
      <w:r w:rsidRPr="00C10A99">
        <w:t xml:space="preserve">riorities for </w:t>
      </w:r>
      <w:r>
        <w:t>a</w:t>
      </w:r>
      <w:r w:rsidRPr="00C10A99">
        <w:t>ction have been altered, in particular</w:t>
      </w:r>
      <w:r>
        <w:t>:</w:t>
      </w:r>
    </w:p>
    <w:p w:rsidR="00CB68A7" w:rsidRPr="00C10A99" w:rsidRDefault="00BA12F1" w:rsidP="00D63EC6">
      <w:pPr>
        <w:pStyle w:val="Bullet"/>
      </w:pPr>
      <w:r>
        <w:t xml:space="preserve">DIA activities that align with the strategic objectives </w:t>
      </w:r>
      <w:r w:rsidR="00CB68A7" w:rsidRPr="00C10A99">
        <w:t xml:space="preserve"> are included, demonstrating </w:t>
      </w:r>
      <w:r>
        <w:t>DIA</w:t>
      </w:r>
      <w:r w:rsidR="00CB68A7" w:rsidRPr="00C10A99">
        <w:t xml:space="preserve">s increased focus on harm </w:t>
      </w:r>
      <w:r w:rsidR="00CB68A7">
        <w:t xml:space="preserve">prevention and </w:t>
      </w:r>
      <w:r w:rsidR="00CB68A7" w:rsidRPr="00C10A99">
        <w:t>minimisation</w:t>
      </w:r>
    </w:p>
    <w:p w:rsidR="00EC3578" w:rsidRDefault="00CB68A7" w:rsidP="00D63EC6">
      <w:pPr>
        <w:pStyle w:val="Bullet"/>
      </w:pPr>
      <w:r w:rsidRPr="00C10A99">
        <w:t>the underlying principles supporting each strategic objective have been updated to reflect the key strategic themes of the New Zealand Health Strategy</w:t>
      </w:r>
      <w:r>
        <w:t xml:space="preserve"> (Ministry of Health 2016)</w:t>
      </w:r>
    </w:p>
    <w:p w:rsidR="00EC3578" w:rsidRDefault="00CB68A7" w:rsidP="00D63EC6">
      <w:pPr>
        <w:pStyle w:val="Bullet"/>
      </w:pPr>
      <w:r w:rsidRPr="00C10A99">
        <w:t>new priority actions have been included</w:t>
      </w:r>
    </w:p>
    <w:p w:rsidR="00CB68A7" w:rsidRPr="00C10A99" w:rsidRDefault="00CB68A7" w:rsidP="00D63EC6">
      <w:pPr>
        <w:pStyle w:val="Bullet"/>
      </w:pPr>
      <w:proofErr w:type="gramStart"/>
      <w:r w:rsidRPr="00C10A99">
        <w:t>some</w:t>
      </w:r>
      <w:proofErr w:type="gramEnd"/>
      <w:r w:rsidRPr="00C10A99">
        <w:t xml:space="preserve"> language has been updated from the previous </w:t>
      </w:r>
      <w:r>
        <w:t>s</w:t>
      </w:r>
      <w:r w:rsidRPr="00C10A99">
        <w:t xml:space="preserve">trategic </w:t>
      </w:r>
      <w:r>
        <w:t>p</w:t>
      </w:r>
      <w:r w:rsidRPr="00C10A99">
        <w:t>lan</w:t>
      </w:r>
      <w:r>
        <w:t>,</w:t>
      </w:r>
      <w:r w:rsidRPr="00C10A99">
        <w:t xml:space="preserve"> and in other cases</w:t>
      </w:r>
      <w:r>
        <w:t>,</w:t>
      </w:r>
      <w:r w:rsidRPr="00C10A99">
        <w:t xml:space="preserve"> some slight alterations have been made to the language</w:t>
      </w:r>
      <w:r>
        <w:t xml:space="preserve"> for consistency, clarity or to better reflect current practice</w:t>
      </w:r>
      <w:r w:rsidRPr="00C10A99">
        <w:t>.</w:t>
      </w:r>
    </w:p>
    <w:p w:rsidR="00D63EC6" w:rsidRDefault="00D63EC6" w:rsidP="00D63EC6">
      <w:pPr>
        <w:rPr>
          <w:rFonts w:cs="Arial"/>
          <w:bCs/>
        </w:rPr>
      </w:pPr>
    </w:p>
    <w:p w:rsidR="00CB68A7" w:rsidRPr="00C10A99" w:rsidRDefault="00CB68A7" w:rsidP="00D63EC6">
      <w:pPr>
        <w:rPr>
          <w:rFonts w:cs="Arial"/>
          <w:bCs/>
        </w:rPr>
      </w:pPr>
      <w:r>
        <w:rPr>
          <w:rFonts w:cs="Arial"/>
          <w:bCs/>
        </w:rPr>
        <w:t>S</w:t>
      </w:r>
      <w:r w:rsidRPr="00C10A99">
        <w:rPr>
          <w:rFonts w:cs="Arial"/>
          <w:bCs/>
        </w:rPr>
        <w:t>ection</w:t>
      </w:r>
      <w:r>
        <w:rPr>
          <w:rFonts w:cs="Arial"/>
          <w:bCs/>
        </w:rPr>
        <w:t>s 2.4 and 2.5 below compare this strategy</w:t>
      </w:r>
      <w:r w:rsidR="00EC3578">
        <w:rPr>
          <w:rFonts w:cs="Arial"/>
          <w:bCs/>
        </w:rPr>
        <w:t>’</w:t>
      </w:r>
      <w:r>
        <w:rPr>
          <w:rFonts w:cs="Arial"/>
          <w:bCs/>
        </w:rPr>
        <w:t xml:space="preserve">s </w:t>
      </w:r>
      <w:r w:rsidRPr="00C10A99">
        <w:rPr>
          <w:rFonts w:cs="Arial"/>
          <w:bCs/>
        </w:rPr>
        <w:t xml:space="preserve">alignment with </w:t>
      </w:r>
      <w:hyperlink r:id="rId53" w:history="1">
        <w:r w:rsidRPr="00785C98">
          <w:rPr>
            <w:rStyle w:val="Hyperlink"/>
            <w:rFonts w:cs="Arial"/>
            <w:bCs/>
          </w:rPr>
          <w:t xml:space="preserve">He Korowai </w:t>
        </w:r>
        <w:proofErr w:type="spellStart"/>
        <w:r w:rsidRPr="00785C98">
          <w:rPr>
            <w:rStyle w:val="Hyperlink"/>
            <w:rFonts w:cs="Arial"/>
            <w:bCs/>
          </w:rPr>
          <w:t>Oranga</w:t>
        </w:r>
        <w:proofErr w:type="spellEnd"/>
      </w:hyperlink>
      <w:r w:rsidRPr="00C10A99">
        <w:t xml:space="preserve"> and </w:t>
      </w:r>
      <w:hyperlink r:id="rId54" w:history="1">
        <w:r w:rsidR="00901F12">
          <w:rPr>
            <w:rStyle w:val="Hyperlink"/>
            <w:rFonts w:cs="Arial"/>
            <w:bCs/>
            <w:i/>
          </w:rPr>
          <w:t>’A</w:t>
        </w:r>
        <w:r w:rsidRPr="00C10A99">
          <w:rPr>
            <w:rStyle w:val="Hyperlink"/>
            <w:rFonts w:cs="Arial"/>
            <w:bCs/>
            <w:i/>
          </w:rPr>
          <w:t xml:space="preserve">la </w:t>
        </w:r>
        <w:proofErr w:type="spellStart"/>
        <w:r w:rsidRPr="00C10A99">
          <w:rPr>
            <w:rStyle w:val="Hyperlink"/>
            <w:rFonts w:cs="Arial"/>
            <w:bCs/>
            <w:i/>
          </w:rPr>
          <w:t>Mo</w:t>
        </w:r>
        <w:r w:rsidR="00EC3578">
          <w:rPr>
            <w:rStyle w:val="Hyperlink"/>
            <w:rFonts w:cs="Arial"/>
            <w:bCs/>
            <w:i/>
          </w:rPr>
          <w:t>’</w:t>
        </w:r>
        <w:r w:rsidRPr="00C10A99">
          <w:rPr>
            <w:rStyle w:val="Hyperlink"/>
            <w:rFonts w:cs="Arial"/>
            <w:bCs/>
            <w:i/>
          </w:rPr>
          <w:t>ui</w:t>
        </w:r>
        <w:proofErr w:type="spellEnd"/>
        <w:r w:rsidRPr="00C10A99">
          <w:rPr>
            <w:rStyle w:val="Hyperlink"/>
            <w:rFonts w:cs="Arial"/>
            <w:bCs/>
            <w:i/>
          </w:rPr>
          <w:t>: Pathways to Pacific Health and Wellbeing.</w:t>
        </w:r>
      </w:hyperlink>
    </w:p>
    <w:p w:rsidR="00CB68A7" w:rsidRPr="00C10A99" w:rsidRDefault="00CB68A7" w:rsidP="00D63EC6"/>
    <w:p w:rsidR="00CB68A7" w:rsidRPr="00EB1F02" w:rsidRDefault="00CB68A7" w:rsidP="00D63EC6">
      <w:pPr>
        <w:pStyle w:val="Heading3"/>
      </w:pPr>
      <w:r w:rsidRPr="00EB1F02">
        <w:t>Objective 1:</w:t>
      </w:r>
      <w:r w:rsidR="00D63EC6">
        <w:t xml:space="preserve"> </w:t>
      </w:r>
      <w:r w:rsidRPr="00EB1F02">
        <w:t>There is a reduction in gambling-harm-related inequities</w:t>
      </w:r>
      <w:r>
        <w:t xml:space="preserve"> between population groups</w:t>
      </w:r>
    </w:p>
    <w:p w:rsidR="00CB68A7" w:rsidRPr="00C10A99" w:rsidRDefault="00CB68A7" w:rsidP="00D63EC6">
      <w:r w:rsidRPr="00C10A99">
        <w:t>The Ministry will enhance its focus on reducing avoidable differences in levels of gambling harm, and the determinants of gambling harm, among different population groups. Its population health approach will continue to target at-risk populations, including Māori, Pacific peoples</w:t>
      </w:r>
      <w:r>
        <w:t>,</w:t>
      </w:r>
      <w:r w:rsidRPr="00C10A99">
        <w:t xml:space="preserve"> segments of the Asian population and those living in higher deprivation areas. The Ministry will also continue to monitor and address gambling-harm-related issues among other key groups, such as youth.</w:t>
      </w:r>
    </w:p>
    <w:p w:rsidR="00D63EC6" w:rsidRDefault="00D63EC6" w:rsidP="00D63EC6"/>
    <w:p w:rsidR="00CB68A7" w:rsidRDefault="00CB68A7" w:rsidP="00D63EC6">
      <w:r w:rsidRPr="00C10A99">
        <w:t xml:space="preserve">The Ministry will ensure that dedicated Māori, Pacific and Asian services are available where appropriate, and that all services are </w:t>
      </w:r>
      <w:r>
        <w:t xml:space="preserve">accessible, </w:t>
      </w:r>
      <w:r w:rsidRPr="00C10A99">
        <w:t>culturally competent, health literate, high quality and effective. It will also identify factors that contribute to gambling-harm-related inequities and develop, pilot, evaluate and implement one or more initiatives specifically focused on reducing these inequities.</w:t>
      </w:r>
    </w:p>
    <w:p w:rsidR="00CB68A7" w:rsidRPr="00C10A99" w:rsidRDefault="00CB68A7" w:rsidP="00D63EC6"/>
    <w:p w:rsidR="00CB68A7" w:rsidRPr="00D63EC6" w:rsidRDefault="00CB68A7" w:rsidP="00D63EC6">
      <w:pPr>
        <w:pStyle w:val="Table"/>
      </w:pPr>
      <w:bookmarkStart w:id="51" w:name="_Toc514838689"/>
      <w:bookmarkStart w:id="52" w:name="_Toc517091226"/>
      <w:bookmarkStart w:id="53" w:name="_Toc522089430"/>
      <w:r w:rsidRPr="00C10A99">
        <w:t xml:space="preserve">Table </w:t>
      </w:r>
      <w:r w:rsidRPr="004A1981">
        <w:fldChar w:fldCharType="begin"/>
      </w:r>
      <w:r w:rsidRPr="00C10A99">
        <w:instrText xml:space="preserve"> SEQ Table \* ARABIC </w:instrText>
      </w:r>
      <w:r w:rsidRPr="004A1981">
        <w:fldChar w:fldCharType="separate"/>
      </w:r>
      <w:r w:rsidR="0012663D">
        <w:rPr>
          <w:noProof/>
        </w:rPr>
        <w:t>1</w:t>
      </w:r>
      <w:r w:rsidRPr="004A1981">
        <w:fldChar w:fldCharType="end"/>
      </w:r>
      <w:r w:rsidRPr="00C10A99">
        <w:t>: Objective 1</w:t>
      </w:r>
      <w:r>
        <w:t xml:space="preserve"> p</w:t>
      </w:r>
      <w:r w:rsidRPr="00C10A99">
        <w:t>riorities for action</w:t>
      </w:r>
      <w:bookmarkEnd w:id="51"/>
      <w:bookmarkEnd w:id="52"/>
      <w:bookmarkEnd w:id="53"/>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621"/>
        <w:gridCol w:w="4622"/>
      </w:tblGrid>
      <w:tr w:rsidR="00CB68A7" w:rsidRPr="00D63EC6" w:rsidTr="00D63EC6">
        <w:trPr>
          <w:cantSplit/>
        </w:trPr>
        <w:tc>
          <w:tcPr>
            <w:tcW w:w="5000" w:type="pct"/>
            <w:gridSpan w:val="2"/>
            <w:tcBorders>
              <w:left w:val="nil"/>
              <w:bottom w:val="single" w:sz="4" w:space="0" w:color="auto"/>
              <w:right w:val="nil"/>
            </w:tcBorders>
            <w:shd w:val="clear" w:color="auto" w:fill="000000" w:themeFill="text1"/>
          </w:tcPr>
          <w:p w:rsidR="00CB68A7" w:rsidRPr="00D63EC6" w:rsidRDefault="00CB68A7" w:rsidP="00BA12F1">
            <w:pPr>
              <w:pStyle w:val="TableText"/>
              <w:rPr>
                <w:b/>
              </w:rPr>
            </w:pPr>
            <w:r w:rsidRPr="00D63EC6">
              <w:rPr>
                <w:b/>
              </w:rPr>
              <w:t xml:space="preserve">Objective 1: There is a reduction in gambling-harm-related inequities between population groups 1: </w:t>
            </w:r>
          </w:p>
        </w:tc>
      </w:tr>
      <w:tr w:rsidR="00CB68A7" w:rsidRPr="00D63EC6" w:rsidTr="00D63EC6">
        <w:trPr>
          <w:cantSplit/>
        </w:trPr>
        <w:tc>
          <w:tcPr>
            <w:tcW w:w="5000" w:type="pct"/>
            <w:gridSpan w:val="2"/>
            <w:tcBorders>
              <w:top w:val="single" w:sz="4" w:space="0" w:color="auto"/>
              <w:left w:val="nil"/>
              <w:bottom w:val="nil"/>
              <w:right w:val="nil"/>
            </w:tcBorders>
            <w:shd w:val="clear" w:color="auto" w:fill="D9D9D9" w:themeFill="background1" w:themeFillShade="D9"/>
          </w:tcPr>
          <w:p w:rsidR="00CB68A7" w:rsidRPr="00D63EC6" w:rsidRDefault="00CB68A7" w:rsidP="00D63EC6">
            <w:pPr>
              <w:pStyle w:val="TableText"/>
              <w:jc w:val="center"/>
              <w:rPr>
                <w:b/>
              </w:rPr>
            </w:pPr>
            <w:r w:rsidRPr="00D63EC6">
              <w:rPr>
                <w:b/>
              </w:rPr>
              <w:t>Priorities for action</w:t>
            </w:r>
          </w:p>
        </w:tc>
      </w:tr>
      <w:tr w:rsidR="00CB68A7" w:rsidRPr="00D63EC6" w:rsidTr="00D63EC6">
        <w:trPr>
          <w:cantSplit/>
        </w:trPr>
        <w:tc>
          <w:tcPr>
            <w:tcW w:w="2500" w:type="pct"/>
            <w:tcBorders>
              <w:top w:val="nil"/>
              <w:left w:val="nil"/>
              <w:bottom w:val="single" w:sz="4" w:space="0" w:color="auto"/>
              <w:right w:val="nil"/>
            </w:tcBorders>
            <w:shd w:val="clear" w:color="auto" w:fill="auto"/>
          </w:tcPr>
          <w:p w:rsidR="00CB68A7" w:rsidRPr="00D63EC6" w:rsidRDefault="00CB68A7" w:rsidP="00D63EC6">
            <w:pPr>
              <w:pStyle w:val="TableText"/>
              <w:jc w:val="center"/>
              <w:rPr>
                <w:b/>
              </w:rPr>
            </w:pPr>
            <w:r w:rsidRPr="00D63EC6">
              <w:rPr>
                <w:b/>
              </w:rPr>
              <w:t>Short- to medium-term priorities</w:t>
            </w:r>
          </w:p>
        </w:tc>
        <w:tc>
          <w:tcPr>
            <w:tcW w:w="2500" w:type="pct"/>
            <w:tcBorders>
              <w:top w:val="nil"/>
              <w:left w:val="nil"/>
              <w:bottom w:val="single" w:sz="4" w:space="0" w:color="auto"/>
              <w:right w:val="nil"/>
            </w:tcBorders>
            <w:shd w:val="clear" w:color="auto" w:fill="auto"/>
          </w:tcPr>
          <w:p w:rsidR="00CB68A7" w:rsidRPr="00D63EC6" w:rsidRDefault="00CB68A7" w:rsidP="00D63EC6">
            <w:pPr>
              <w:pStyle w:val="TableText"/>
              <w:jc w:val="center"/>
              <w:rPr>
                <w:b/>
              </w:rPr>
            </w:pPr>
            <w:r w:rsidRPr="00D63EC6">
              <w:rPr>
                <w:b/>
              </w:rPr>
              <w:t>Long-term priorities</w:t>
            </w:r>
          </w:p>
        </w:tc>
      </w:tr>
      <w:tr w:rsidR="00CB68A7" w:rsidRPr="008807D4" w:rsidTr="00D63EC6">
        <w:trPr>
          <w:cantSplit/>
        </w:trPr>
        <w:tc>
          <w:tcPr>
            <w:tcW w:w="5000" w:type="pct"/>
            <w:gridSpan w:val="2"/>
            <w:tcBorders>
              <w:top w:val="single" w:sz="4" w:space="0" w:color="auto"/>
              <w:left w:val="nil"/>
              <w:bottom w:val="single" w:sz="4" w:space="0" w:color="A6A6A6" w:themeColor="background1" w:themeShade="A6"/>
              <w:right w:val="nil"/>
            </w:tcBorders>
            <w:shd w:val="clear" w:color="auto" w:fill="auto"/>
          </w:tcPr>
          <w:p w:rsidR="00EC3578" w:rsidRDefault="00CB68A7" w:rsidP="00D63EC6">
            <w:pPr>
              <w:pStyle w:val="TableText"/>
            </w:pPr>
            <w:r w:rsidRPr="000B2E75">
              <w:t>Provide and monitor dedicated services for Māori, and Pacific and Asian peoples, where appropriate, including services for both gamblers and their families/</w:t>
            </w:r>
            <w:proofErr w:type="spellStart"/>
            <w:r w:rsidRPr="000B2E75">
              <w:t>whānau</w:t>
            </w:r>
            <w:proofErr w:type="spellEnd"/>
            <w:r w:rsidRPr="000B2E75">
              <w:t>.</w:t>
            </w:r>
          </w:p>
          <w:p w:rsidR="00CB68A7" w:rsidRPr="000B2E75" w:rsidRDefault="00CB68A7" w:rsidP="00D63EC6">
            <w:pPr>
              <w:pStyle w:val="TableText"/>
              <w:rPr>
                <w:highlight w:val="yellow"/>
              </w:rPr>
            </w:pPr>
            <w:r w:rsidRPr="000B2E75">
              <w:t>Ensure that all services provided to prevent and minimise gambling harm are culturally appropriate and all services are health literate, high quality and effective.</w:t>
            </w:r>
          </w:p>
        </w:tc>
      </w:tr>
      <w:tr w:rsidR="00CB68A7" w:rsidRPr="008807D4" w:rsidTr="00D63EC6">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CB68A7" w:rsidRPr="000B2E75" w:rsidRDefault="00CB68A7" w:rsidP="00D63EC6">
            <w:pPr>
              <w:pStyle w:val="TableText"/>
              <w:rPr>
                <w:highlight w:val="yellow"/>
              </w:rPr>
            </w:pPr>
            <w:r w:rsidRPr="000B2E75">
              <w:t>Continue monitoring gambling-harm-related inequities (</w:t>
            </w:r>
            <w:proofErr w:type="spellStart"/>
            <w:r w:rsidRPr="000B2E75">
              <w:t>eg</w:t>
            </w:r>
            <w:proofErr w:type="spellEnd"/>
            <w:r w:rsidRPr="000B2E75">
              <w:t>, the disproportionate prevalence of harm within some populations) and identify factors that contribute to these inequities (</w:t>
            </w:r>
            <w:proofErr w:type="spellStart"/>
            <w:r w:rsidRPr="000B2E75">
              <w:t>eg</w:t>
            </w:r>
            <w:proofErr w:type="spellEnd"/>
            <w:r w:rsidRPr="000B2E75">
              <w:t>, differences in the gambling environment by geographical area).</w:t>
            </w:r>
          </w:p>
        </w:tc>
      </w:tr>
      <w:tr w:rsidR="00CB68A7" w:rsidRPr="000B2E75" w:rsidTr="00D63EC6">
        <w:trPr>
          <w:cantSplit/>
        </w:trPr>
        <w:tc>
          <w:tcPr>
            <w:tcW w:w="2500" w:type="pct"/>
            <w:tcBorders>
              <w:top w:val="single" w:sz="4" w:space="0" w:color="A6A6A6" w:themeColor="background1" w:themeShade="A6"/>
              <w:left w:val="nil"/>
              <w:right w:val="nil"/>
            </w:tcBorders>
            <w:shd w:val="clear" w:color="auto" w:fill="auto"/>
          </w:tcPr>
          <w:p w:rsidR="00CB68A7" w:rsidRPr="000B2E75" w:rsidRDefault="00CB68A7" w:rsidP="00D63EC6">
            <w:pPr>
              <w:pStyle w:val="TableText"/>
              <w:rPr>
                <w:highlight w:val="yellow"/>
              </w:rPr>
            </w:pPr>
          </w:p>
        </w:tc>
        <w:tc>
          <w:tcPr>
            <w:tcW w:w="2500" w:type="pct"/>
            <w:tcBorders>
              <w:top w:val="single" w:sz="4" w:space="0" w:color="A6A6A6" w:themeColor="background1" w:themeShade="A6"/>
              <w:left w:val="nil"/>
              <w:right w:val="nil"/>
            </w:tcBorders>
            <w:shd w:val="clear" w:color="auto" w:fill="auto"/>
          </w:tcPr>
          <w:p w:rsidR="00CB68A7" w:rsidRPr="000B2E75" w:rsidRDefault="00CB68A7" w:rsidP="00D63EC6">
            <w:pPr>
              <w:pStyle w:val="TableText"/>
              <w:rPr>
                <w:highlight w:val="yellow"/>
              </w:rPr>
            </w:pPr>
            <w:r w:rsidRPr="000B2E75">
              <w:t>Develop, pilot, evaluate and implement one or more initiatives specifically focused on reducing gambling-harm-related inequities, particularly among Māori and Pacific peoples.</w:t>
            </w:r>
          </w:p>
        </w:tc>
      </w:tr>
    </w:tbl>
    <w:p w:rsidR="00CB68A7" w:rsidRDefault="00CB68A7" w:rsidP="00D63EC6"/>
    <w:p w:rsidR="00CB68A7" w:rsidRPr="00E312E8" w:rsidRDefault="00CB68A7" w:rsidP="00D63EC6">
      <w:pPr>
        <w:pStyle w:val="Heading4"/>
      </w:pPr>
      <w:r w:rsidRPr="00E312E8">
        <w:lastRenderedPageBreak/>
        <w:t xml:space="preserve">Underlying principles: </w:t>
      </w:r>
      <w:r>
        <w:t>Value and high performance</w:t>
      </w:r>
      <w:r w:rsidRPr="00E312E8">
        <w:t xml:space="preserve"> / </w:t>
      </w:r>
      <w:proofErr w:type="spellStart"/>
      <w:r>
        <w:t>Te</w:t>
      </w:r>
      <w:proofErr w:type="spellEnd"/>
      <w:r>
        <w:t xml:space="preserve"> </w:t>
      </w:r>
      <w:proofErr w:type="spellStart"/>
      <w:r>
        <w:t>whāinga</w:t>
      </w:r>
      <w:proofErr w:type="spellEnd"/>
      <w:r>
        <w:t xml:space="preserve"> </w:t>
      </w:r>
      <w:proofErr w:type="spellStart"/>
      <w:r>
        <w:t>hua</w:t>
      </w:r>
      <w:proofErr w:type="spellEnd"/>
      <w:r>
        <w:t xml:space="preserve"> me </w:t>
      </w:r>
      <w:proofErr w:type="spellStart"/>
      <w:proofErr w:type="gramStart"/>
      <w:r>
        <w:t>te</w:t>
      </w:r>
      <w:proofErr w:type="spellEnd"/>
      <w:proofErr w:type="gramEnd"/>
      <w:r>
        <w:t xml:space="preserve"> </w:t>
      </w:r>
      <w:proofErr w:type="spellStart"/>
      <w:r>
        <w:t>tika</w:t>
      </w:r>
      <w:proofErr w:type="spellEnd"/>
      <w:r>
        <w:t xml:space="preserve"> o </w:t>
      </w:r>
      <w:proofErr w:type="spellStart"/>
      <w:r>
        <w:t>ngā</w:t>
      </w:r>
      <w:proofErr w:type="spellEnd"/>
      <w:r>
        <w:t xml:space="preserve"> </w:t>
      </w:r>
      <w:proofErr w:type="spellStart"/>
      <w:r>
        <w:t>mahi</w:t>
      </w:r>
      <w:proofErr w:type="spellEnd"/>
    </w:p>
    <w:p w:rsidR="00CB68A7" w:rsidRDefault="00CB68A7" w:rsidP="00D63EC6">
      <w:r>
        <w:t>We need to do better for the population groups that do not enjoy the same health as the general New Zealand population. In relation to gambling harm, these groups include Māori and Pacific peoples, and the growing Asian population in particular. To achieve better outcomes, our focus must be on removing the infrastructural, financial, physical and other barriers to delivering high-quality health services. We must also consider tailoring services so that they are available in more accessible places or at more suitable times and are delivered in more culturally appropriate ways.</w:t>
      </w:r>
    </w:p>
    <w:p w:rsidR="00D63EC6" w:rsidRDefault="00D63EC6" w:rsidP="00D63EC6"/>
    <w:p w:rsidR="00EC3578" w:rsidRDefault="00CB68A7" w:rsidP="00D63EC6">
      <w:r>
        <w:t>The Health Quality and Safety Commission</w:t>
      </w:r>
      <w:r w:rsidR="00EC3578">
        <w:t>’</w:t>
      </w:r>
      <w:r>
        <w:t xml:space="preserve">s Triple Aim framework provides a systems approach to improving the quality of health services for individuals and populations. It can help us balance our goals across the three aims of the framework to </w:t>
      </w:r>
      <w:r w:rsidRPr="00776246">
        <w:t xml:space="preserve">achieve the New Zealand Triple Aim of </w:t>
      </w:r>
      <w:r>
        <w:t>improved health and equity for all populations, improved quality, safety and experience of care and best value for public resources.</w:t>
      </w:r>
    </w:p>
    <w:p w:rsidR="00CB68A7" w:rsidRPr="00C10A99" w:rsidRDefault="00CB68A7" w:rsidP="00D63EC6"/>
    <w:p w:rsidR="00CB68A7" w:rsidRPr="00E312E8" w:rsidRDefault="00CB68A7" w:rsidP="00D63EC6">
      <w:pPr>
        <w:pStyle w:val="Heading3"/>
      </w:pPr>
      <w:r w:rsidRPr="00C10A99">
        <w:t>Objective 2:</w:t>
      </w:r>
      <w:r w:rsidR="00D63EC6">
        <w:t xml:space="preserve"> </w:t>
      </w:r>
      <w:r w:rsidRPr="00E312E8">
        <w:t>Māori have healthier futures</w:t>
      </w:r>
    </w:p>
    <w:p w:rsidR="00CB68A7" w:rsidRPr="00E312E8" w:rsidRDefault="00CB68A7" w:rsidP="00D63EC6">
      <w:r>
        <w:t xml:space="preserve">Objective 2 aims to improve </w:t>
      </w:r>
      <w:r w:rsidRPr="00E312E8">
        <w:t>Māori health through the prevention and minimisation of gambling harm</w:t>
      </w:r>
      <w:r>
        <w:t>. This o</w:t>
      </w:r>
      <w:r w:rsidRPr="00E312E8">
        <w:t xml:space="preserve">bjective reflects the relationship between the Crown and Māori under the </w:t>
      </w:r>
      <w:proofErr w:type="spellStart"/>
      <w:r>
        <w:t>Te</w:t>
      </w:r>
      <w:proofErr w:type="spellEnd"/>
      <w:r>
        <w:t xml:space="preserve"> </w:t>
      </w:r>
      <w:proofErr w:type="spellStart"/>
      <w:r>
        <w:t>Tiriti</w:t>
      </w:r>
      <w:proofErr w:type="spellEnd"/>
      <w:r>
        <w:t xml:space="preserve"> o</w:t>
      </w:r>
      <w:r w:rsidRPr="00E312E8">
        <w:t xml:space="preserve"> Waitangi. It aligns with objective 1 and is supported by all the other objectives.</w:t>
      </w:r>
    </w:p>
    <w:p w:rsidR="00D63EC6" w:rsidRDefault="00D63EC6" w:rsidP="00D63EC6"/>
    <w:p w:rsidR="00CB68A7" w:rsidRPr="00C10A99" w:rsidRDefault="00CB68A7" w:rsidP="00D63EC6">
      <w:r w:rsidRPr="00C10A99">
        <w:t>The Ministry recognises gambling-harm-related inequities both for Māori as a population group and within the Māori population group. For example, it acknowledges that while the prevalence of moderate</w:t>
      </w:r>
      <w:r>
        <w:t>-</w:t>
      </w:r>
      <w:r w:rsidRPr="00C10A99">
        <w:t>risk</w:t>
      </w:r>
      <w:r>
        <w:t xml:space="preserve"> (</w:t>
      </w:r>
      <w:r w:rsidRPr="00C10A99">
        <w:t>problem</w:t>
      </w:r>
      <w:r>
        <w:t>)</w:t>
      </w:r>
      <w:r w:rsidRPr="00C10A99">
        <w:t xml:space="preserve"> gambling is relatively high for both Māori men and Māori women, Māori women are more likely to experience harm from someone else</w:t>
      </w:r>
      <w:r w:rsidR="00EC3578">
        <w:t>’</w:t>
      </w:r>
      <w:r w:rsidRPr="00C10A99">
        <w:t>s gambling than Māori men.</w:t>
      </w:r>
    </w:p>
    <w:p w:rsidR="00D63EC6" w:rsidRDefault="00D63EC6" w:rsidP="00D63EC6"/>
    <w:p w:rsidR="00CB68A7" w:rsidRPr="00C10A99" w:rsidRDefault="00CB68A7" w:rsidP="00D63EC6">
      <w:r w:rsidRPr="00C10A99">
        <w:t xml:space="preserve">The Ministry recognises the role Māori women have as the cornerstone of </w:t>
      </w:r>
      <w:proofErr w:type="spellStart"/>
      <w:r w:rsidRPr="00C10A99">
        <w:t>Whānau</w:t>
      </w:r>
      <w:proofErr w:type="spellEnd"/>
      <w:r w:rsidRPr="00C10A99">
        <w:t xml:space="preserve"> Ora and the likely implications of this on the wellbeing of </w:t>
      </w:r>
      <w:proofErr w:type="spellStart"/>
      <w:r w:rsidRPr="00C10A99">
        <w:t>rangatahi</w:t>
      </w:r>
      <w:proofErr w:type="spellEnd"/>
      <w:r w:rsidRPr="00C10A99">
        <w:t xml:space="preserve"> and </w:t>
      </w:r>
      <w:proofErr w:type="spellStart"/>
      <w:r w:rsidRPr="00C10A99">
        <w:t>tamariki</w:t>
      </w:r>
      <w:proofErr w:type="spellEnd"/>
      <w:r w:rsidRPr="00C10A99">
        <w:t>, in particular in the context of issues such as child poverty and access to sufficient safe, nutritious food.</w:t>
      </w:r>
    </w:p>
    <w:p w:rsidR="00D63EC6" w:rsidRDefault="00D63EC6" w:rsidP="00D63EC6"/>
    <w:p w:rsidR="00CB68A7" w:rsidRDefault="00CB68A7" w:rsidP="00D63EC6">
      <w:r w:rsidRPr="00C10A99">
        <w:t>The Ministry will enhance its focus on reducing avoidable differences in levels of gambling harm, and in the determinants of gambling harm, for Māori. It will ensure that dedicated services are available where appropriate and that all services are culturally competent, health literate, high quality and effective. The Ministry will also continue work to identify factors that contribute to gambling-harm-related inequities for Māori and to develop, pilot, evaluate and implement one or more initiatives specifically focused on reducing these inequities.</w:t>
      </w:r>
    </w:p>
    <w:p w:rsidR="00CB68A7" w:rsidRPr="00C10A99" w:rsidRDefault="00CB68A7" w:rsidP="00D63EC6"/>
    <w:p w:rsidR="00CB68A7" w:rsidRPr="00D63EC6" w:rsidRDefault="00CB68A7" w:rsidP="00D63EC6">
      <w:pPr>
        <w:pStyle w:val="Table"/>
      </w:pPr>
      <w:bookmarkStart w:id="54" w:name="_Toc517091227"/>
      <w:bookmarkStart w:id="55" w:name="_Toc514838690"/>
      <w:bookmarkStart w:id="56" w:name="_Toc522089431"/>
      <w:r w:rsidRPr="00C10A99">
        <w:lastRenderedPageBreak/>
        <w:t xml:space="preserve">Table </w:t>
      </w:r>
      <w:r w:rsidRPr="004A1981">
        <w:fldChar w:fldCharType="begin"/>
      </w:r>
      <w:r w:rsidRPr="00C10A99">
        <w:instrText xml:space="preserve"> SEQ Table \* ARABIC </w:instrText>
      </w:r>
      <w:r w:rsidRPr="004A1981">
        <w:fldChar w:fldCharType="separate"/>
      </w:r>
      <w:r w:rsidR="0012663D">
        <w:rPr>
          <w:noProof/>
        </w:rPr>
        <w:t>2</w:t>
      </w:r>
      <w:r w:rsidRPr="004A1981">
        <w:fldChar w:fldCharType="end"/>
      </w:r>
      <w:r w:rsidRPr="00C10A99">
        <w:t xml:space="preserve">: </w:t>
      </w:r>
      <w:r>
        <w:t>Objective 2 p</w:t>
      </w:r>
      <w:r w:rsidRPr="00C10A99">
        <w:t>riorities for action</w:t>
      </w:r>
      <w:bookmarkEnd w:id="54"/>
      <w:bookmarkEnd w:id="55"/>
      <w:bookmarkEnd w:id="56"/>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621"/>
        <w:gridCol w:w="4622"/>
      </w:tblGrid>
      <w:tr w:rsidR="00CB68A7" w:rsidRPr="00D63EC6" w:rsidTr="00D63EC6">
        <w:trPr>
          <w:cantSplit/>
        </w:trPr>
        <w:tc>
          <w:tcPr>
            <w:tcW w:w="5000" w:type="pct"/>
            <w:gridSpan w:val="2"/>
            <w:tcBorders>
              <w:left w:val="nil"/>
              <w:bottom w:val="single" w:sz="4" w:space="0" w:color="auto"/>
              <w:right w:val="nil"/>
            </w:tcBorders>
            <w:shd w:val="clear" w:color="auto" w:fill="000000" w:themeFill="text1"/>
          </w:tcPr>
          <w:p w:rsidR="00CB68A7" w:rsidRPr="00D63EC6" w:rsidRDefault="00CB68A7" w:rsidP="00D63EC6">
            <w:pPr>
              <w:pStyle w:val="TableText"/>
              <w:keepNext/>
              <w:rPr>
                <w:b/>
              </w:rPr>
            </w:pPr>
            <w:r w:rsidRPr="00D63EC6">
              <w:rPr>
                <w:b/>
              </w:rPr>
              <w:t>Objective 2: Māori have healthier futures, through the prevention and minimisation of gambling harm</w:t>
            </w:r>
          </w:p>
        </w:tc>
      </w:tr>
      <w:tr w:rsidR="00CB68A7" w:rsidRPr="00D63EC6" w:rsidTr="00D63EC6">
        <w:trPr>
          <w:cantSplit/>
        </w:trPr>
        <w:tc>
          <w:tcPr>
            <w:tcW w:w="5000" w:type="pct"/>
            <w:gridSpan w:val="2"/>
            <w:tcBorders>
              <w:top w:val="single" w:sz="4" w:space="0" w:color="auto"/>
              <w:left w:val="nil"/>
              <w:bottom w:val="nil"/>
              <w:right w:val="nil"/>
            </w:tcBorders>
            <w:shd w:val="clear" w:color="auto" w:fill="D9D9D9" w:themeFill="background1" w:themeFillShade="D9"/>
          </w:tcPr>
          <w:p w:rsidR="00CB68A7" w:rsidRPr="00D63EC6" w:rsidRDefault="00CB68A7" w:rsidP="00D63EC6">
            <w:pPr>
              <w:pStyle w:val="TableText"/>
              <w:keepNext/>
              <w:jc w:val="center"/>
              <w:rPr>
                <w:b/>
              </w:rPr>
            </w:pPr>
            <w:r w:rsidRPr="00D63EC6">
              <w:rPr>
                <w:b/>
              </w:rPr>
              <w:t>Priorities for action</w:t>
            </w:r>
          </w:p>
        </w:tc>
      </w:tr>
      <w:tr w:rsidR="00CB68A7" w:rsidRPr="00D63EC6" w:rsidTr="00D63EC6">
        <w:trPr>
          <w:cantSplit/>
        </w:trPr>
        <w:tc>
          <w:tcPr>
            <w:tcW w:w="2500" w:type="pct"/>
            <w:tcBorders>
              <w:top w:val="nil"/>
              <w:left w:val="nil"/>
              <w:bottom w:val="single" w:sz="4" w:space="0" w:color="auto"/>
              <w:right w:val="nil"/>
            </w:tcBorders>
            <w:shd w:val="clear" w:color="auto" w:fill="auto"/>
          </w:tcPr>
          <w:p w:rsidR="00CB68A7" w:rsidRPr="00D63EC6" w:rsidRDefault="00CB68A7" w:rsidP="00D63EC6">
            <w:pPr>
              <w:pStyle w:val="TableText"/>
              <w:keepNext/>
              <w:jc w:val="center"/>
              <w:rPr>
                <w:b/>
              </w:rPr>
            </w:pPr>
            <w:r w:rsidRPr="00D63EC6">
              <w:rPr>
                <w:b/>
              </w:rPr>
              <w:t>Short- to medium-term priorities</w:t>
            </w:r>
          </w:p>
        </w:tc>
        <w:tc>
          <w:tcPr>
            <w:tcW w:w="2500" w:type="pct"/>
            <w:tcBorders>
              <w:top w:val="nil"/>
              <w:left w:val="nil"/>
              <w:bottom w:val="single" w:sz="4" w:space="0" w:color="auto"/>
              <w:right w:val="nil"/>
            </w:tcBorders>
            <w:shd w:val="clear" w:color="auto" w:fill="auto"/>
          </w:tcPr>
          <w:p w:rsidR="00CB68A7" w:rsidRPr="00D63EC6" w:rsidRDefault="00CB68A7" w:rsidP="00D63EC6">
            <w:pPr>
              <w:pStyle w:val="TableText"/>
              <w:keepNext/>
              <w:jc w:val="center"/>
              <w:rPr>
                <w:b/>
              </w:rPr>
            </w:pPr>
            <w:r w:rsidRPr="00D63EC6">
              <w:rPr>
                <w:b/>
              </w:rPr>
              <w:t>Long-term priorities</w:t>
            </w:r>
          </w:p>
        </w:tc>
      </w:tr>
      <w:tr w:rsidR="00CB68A7" w:rsidRPr="000B2E75" w:rsidTr="00D63EC6">
        <w:trPr>
          <w:cantSplit/>
        </w:trPr>
        <w:tc>
          <w:tcPr>
            <w:tcW w:w="5000" w:type="pct"/>
            <w:gridSpan w:val="2"/>
            <w:tcBorders>
              <w:top w:val="single" w:sz="4" w:space="0" w:color="auto"/>
              <w:left w:val="nil"/>
              <w:bottom w:val="single" w:sz="4" w:space="0" w:color="A6A6A6" w:themeColor="background1" w:themeShade="A6"/>
              <w:right w:val="nil"/>
            </w:tcBorders>
            <w:shd w:val="clear" w:color="auto" w:fill="auto"/>
          </w:tcPr>
          <w:p w:rsidR="00EC3578" w:rsidRDefault="00CB68A7" w:rsidP="00D63EC6">
            <w:pPr>
              <w:pStyle w:val="TableText"/>
              <w:keepNext/>
            </w:pPr>
            <w:r w:rsidRPr="00522D2F">
              <w:t>Continue providing dedicated services for Māori, where appropriate, including services both for gamblers and for their families/</w:t>
            </w:r>
            <w:proofErr w:type="spellStart"/>
            <w:r w:rsidRPr="00522D2F">
              <w:t>whānau</w:t>
            </w:r>
            <w:proofErr w:type="spellEnd"/>
            <w:r w:rsidRPr="00522D2F">
              <w:t>.</w:t>
            </w:r>
          </w:p>
          <w:p w:rsidR="00CB68A7" w:rsidRPr="00522D2F" w:rsidRDefault="00CB68A7" w:rsidP="00D63EC6">
            <w:pPr>
              <w:pStyle w:val="TableText"/>
              <w:keepNext/>
            </w:pPr>
            <w:r w:rsidRPr="00522D2F">
              <w:t>Continue to ensure that the provision of all services to prevent and minimise gambling harm is culturally appropriate and ensure that all services are health-literate, high quality and effective.</w:t>
            </w:r>
          </w:p>
        </w:tc>
      </w:tr>
      <w:tr w:rsidR="00CB68A7" w:rsidRPr="000B2E75" w:rsidTr="00D63EC6">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CB68A7" w:rsidRPr="00522D2F" w:rsidRDefault="00CB68A7" w:rsidP="00D63EC6">
            <w:pPr>
              <w:pStyle w:val="TableText"/>
              <w:keepNext/>
            </w:pPr>
            <w:r w:rsidRPr="00522D2F">
              <w:t>Continue monitoring gambling-harm-related inequities for Māori (</w:t>
            </w:r>
            <w:proofErr w:type="spellStart"/>
            <w:r w:rsidRPr="00522D2F">
              <w:t>eg</w:t>
            </w:r>
            <w:proofErr w:type="spellEnd"/>
            <w:r w:rsidRPr="00522D2F">
              <w:t>, disproportionate prevalence of harm among Māori) and identify factors that contribute to these inequities (</w:t>
            </w:r>
            <w:proofErr w:type="spellStart"/>
            <w:r w:rsidRPr="00522D2F">
              <w:t>eg</w:t>
            </w:r>
            <w:proofErr w:type="spellEnd"/>
            <w:r w:rsidRPr="00522D2F">
              <w:t>, differences in the gambling environment by geographical area).</w:t>
            </w:r>
          </w:p>
        </w:tc>
      </w:tr>
      <w:tr w:rsidR="00CB68A7" w:rsidRPr="000B2E75" w:rsidTr="00D63EC6">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CB68A7" w:rsidRPr="00522D2F" w:rsidRDefault="00CB68A7" w:rsidP="00D63EC6">
            <w:pPr>
              <w:pStyle w:val="TableText"/>
            </w:pPr>
            <w:r w:rsidRPr="00522D2F">
              <w:rPr>
                <w:bCs/>
              </w:rPr>
              <w:t xml:space="preserve">Encourage all services to prevent and minimise gambling harm (both public health and intervention) to align with He Korowai </w:t>
            </w:r>
            <w:proofErr w:type="spellStart"/>
            <w:r w:rsidRPr="00522D2F">
              <w:rPr>
                <w:bCs/>
              </w:rPr>
              <w:t>Oranga</w:t>
            </w:r>
            <w:proofErr w:type="spellEnd"/>
            <w:r w:rsidRPr="00522D2F">
              <w:rPr>
                <w:bCs/>
              </w:rPr>
              <w:t>, including through service design, and monitor the extent of that alignment.</w:t>
            </w:r>
          </w:p>
        </w:tc>
      </w:tr>
      <w:tr w:rsidR="00CB68A7" w:rsidRPr="000B2E75" w:rsidTr="00D63EC6">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CB68A7" w:rsidRPr="00522D2F" w:rsidRDefault="00CB68A7" w:rsidP="00D63EC6">
            <w:pPr>
              <w:pStyle w:val="TableText"/>
              <w:rPr>
                <w:bCs/>
              </w:rPr>
            </w:pPr>
            <w:r w:rsidRPr="00522D2F">
              <w:t xml:space="preserve">Maintain </w:t>
            </w:r>
            <w:r w:rsidR="00BA12F1">
              <w:t xml:space="preserve">and improve </w:t>
            </w:r>
            <w:r w:rsidRPr="00522D2F">
              <w:t xml:space="preserve">mechanisms to support a Māori voice to provide advice to the Ministry and </w:t>
            </w:r>
            <w:r>
              <w:t xml:space="preserve">the </w:t>
            </w:r>
            <w:r w:rsidRPr="00522D2F">
              <w:t>DIA on the prevention and minimisation of gambling harm.</w:t>
            </w:r>
          </w:p>
        </w:tc>
      </w:tr>
      <w:tr w:rsidR="00CB68A7" w:rsidRPr="000B2E75" w:rsidTr="00D63EC6">
        <w:trPr>
          <w:cantSplit/>
        </w:trPr>
        <w:tc>
          <w:tcPr>
            <w:tcW w:w="2500" w:type="pct"/>
            <w:tcBorders>
              <w:top w:val="single" w:sz="4" w:space="0" w:color="A6A6A6" w:themeColor="background1" w:themeShade="A6"/>
              <w:left w:val="nil"/>
              <w:right w:val="nil"/>
            </w:tcBorders>
            <w:shd w:val="clear" w:color="auto" w:fill="auto"/>
          </w:tcPr>
          <w:p w:rsidR="00CB68A7" w:rsidRPr="00522D2F" w:rsidRDefault="00CB68A7" w:rsidP="00D63EC6">
            <w:pPr>
              <w:pStyle w:val="TableText"/>
            </w:pPr>
          </w:p>
        </w:tc>
        <w:tc>
          <w:tcPr>
            <w:tcW w:w="2500" w:type="pct"/>
            <w:tcBorders>
              <w:top w:val="single" w:sz="4" w:space="0" w:color="A6A6A6" w:themeColor="background1" w:themeShade="A6"/>
              <w:left w:val="nil"/>
              <w:right w:val="nil"/>
            </w:tcBorders>
            <w:shd w:val="clear" w:color="auto" w:fill="auto"/>
          </w:tcPr>
          <w:p w:rsidR="00CB68A7" w:rsidRPr="00522D2F" w:rsidRDefault="00CB68A7" w:rsidP="00D63EC6">
            <w:pPr>
              <w:pStyle w:val="TableText"/>
            </w:pPr>
            <w:r w:rsidRPr="00522D2F">
              <w:t>Develop, pilot, evaluate and implement one or more initiatives specifically focused on reducing gambling-harm-related inequities for Māori.</w:t>
            </w:r>
          </w:p>
        </w:tc>
      </w:tr>
    </w:tbl>
    <w:p w:rsidR="00CB68A7" w:rsidRPr="00E312E8" w:rsidRDefault="00CB68A7" w:rsidP="00D63EC6"/>
    <w:p w:rsidR="00CB68A7" w:rsidRPr="00E312E8" w:rsidRDefault="00CB68A7" w:rsidP="00D63EC6">
      <w:pPr>
        <w:pStyle w:val="Heading4"/>
      </w:pPr>
      <w:r w:rsidRPr="00E312E8">
        <w:t xml:space="preserve">Underlying principles: </w:t>
      </w:r>
      <w:proofErr w:type="spellStart"/>
      <w:r w:rsidRPr="00E312E8">
        <w:t>Pae</w:t>
      </w:r>
      <w:proofErr w:type="spellEnd"/>
      <w:r w:rsidRPr="00E312E8">
        <w:t xml:space="preserve"> </w:t>
      </w:r>
      <w:r>
        <w:t>O</w:t>
      </w:r>
      <w:r w:rsidRPr="00E312E8">
        <w:t>ra</w:t>
      </w:r>
      <w:r>
        <w:t xml:space="preserve"> – healthy futures</w:t>
      </w:r>
    </w:p>
    <w:p w:rsidR="00CB68A7" w:rsidRDefault="00CB68A7" w:rsidP="00D63EC6">
      <w:proofErr w:type="spellStart"/>
      <w:r w:rsidRPr="00C10A99">
        <w:t>Pae</w:t>
      </w:r>
      <w:proofErr w:type="spellEnd"/>
      <w:r w:rsidRPr="00C10A99">
        <w:t xml:space="preserve"> </w:t>
      </w:r>
      <w:r>
        <w:t>O</w:t>
      </w:r>
      <w:r w:rsidRPr="00C10A99">
        <w:t>ra</w:t>
      </w:r>
      <w:r>
        <w:t xml:space="preserve"> – healthy futures</w:t>
      </w:r>
      <w:r w:rsidRPr="00C10A99">
        <w:t xml:space="preserve"> is the Government</w:t>
      </w:r>
      <w:r w:rsidR="00EC3578">
        <w:t>’</w:t>
      </w:r>
      <w:r w:rsidRPr="00C10A99">
        <w:t xml:space="preserve">s vision for Māori health. It provides a platform for Māori to live with good health and wellbeing in an environment that supports a good quality of life. </w:t>
      </w:r>
      <w:proofErr w:type="spellStart"/>
      <w:r w:rsidRPr="00C10A99">
        <w:t>Pae</w:t>
      </w:r>
      <w:proofErr w:type="spellEnd"/>
      <w:r w:rsidRPr="00C10A99">
        <w:t xml:space="preserve"> </w:t>
      </w:r>
      <w:r>
        <w:t>O</w:t>
      </w:r>
      <w:r w:rsidRPr="00C10A99">
        <w:t xml:space="preserve">ra is a holistic concept and includes </w:t>
      </w:r>
      <w:r>
        <w:t>three</w:t>
      </w:r>
      <w:r w:rsidRPr="00C10A99">
        <w:t xml:space="preserve"> interconnected and mutually reinforcing elements: </w:t>
      </w:r>
      <w:r>
        <w:t>m</w:t>
      </w:r>
      <w:r w:rsidRPr="00C10A99">
        <w:t xml:space="preserve">auri </w:t>
      </w:r>
      <w:proofErr w:type="spellStart"/>
      <w:r w:rsidRPr="00C10A99">
        <w:t>ora</w:t>
      </w:r>
      <w:proofErr w:type="spellEnd"/>
      <w:r w:rsidRPr="00C10A99">
        <w:t xml:space="preserve"> – health</w:t>
      </w:r>
      <w:r>
        <w:t>y</w:t>
      </w:r>
      <w:r w:rsidRPr="00C10A99">
        <w:t xml:space="preserve"> individuals, </w:t>
      </w:r>
      <w:proofErr w:type="spellStart"/>
      <w:r>
        <w:t>w</w:t>
      </w:r>
      <w:r w:rsidRPr="00C10A99">
        <w:t>h</w:t>
      </w:r>
      <w:r>
        <w:t>ā</w:t>
      </w:r>
      <w:r w:rsidRPr="00C10A99">
        <w:t>nau</w:t>
      </w:r>
      <w:proofErr w:type="spellEnd"/>
      <w:r w:rsidRPr="00C10A99">
        <w:t xml:space="preserve"> </w:t>
      </w:r>
      <w:proofErr w:type="spellStart"/>
      <w:r w:rsidRPr="00C10A99">
        <w:t>ora</w:t>
      </w:r>
      <w:proofErr w:type="spellEnd"/>
      <w:r w:rsidRPr="00C10A99">
        <w:t xml:space="preserve"> – healthy families, and </w:t>
      </w:r>
      <w:proofErr w:type="spellStart"/>
      <w:r>
        <w:t>w</w:t>
      </w:r>
      <w:r w:rsidRPr="00C10A99">
        <w:t>ai</w:t>
      </w:r>
      <w:proofErr w:type="spellEnd"/>
      <w:r w:rsidRPr="00C10A99">
        <w:t xml:space="preserve"> </w:t>
      </w:r>
      <w:proofErr w:type="spellStart"/>
      <w:r w:rsidRPr="00C10A99">
        <w:t>ora</w:t>
      </w:r>
      <w:proofErr w:type="spellEnd"/>
      <w:r w:rsidRPr="00C10A99">
        <w:t xml:space="preserve"> – healthy environments.</w:t>
      </w:r>
    </w:p>
    <w:p w:rsidR="00CB68A7" w:rsidRPr="00C10A99" w:rsidRDefault="00CB68A7" w:rsidP="00D63EC6"/>
    <w:p w:rsidR="00CB68A7" w:rsidRPr="00E312E8" w:rsidRDefault="00CB68A7" w:rsidP="00D63EC6">
      <w:pPr>
        <w:pStyle w:val="Heading3"/>
      </w:pPr>
      <w:r w:rsidRPr="00C10A99">
        <w:t>Objective 3:</w:t>
      </w:r>
      <w:r w:rsidR="00D63EC6">
        <w:t xml:space="preserve"> </w:t>
      </w:r>
      <w:r w:rsidRPr="00E312E8">
        <w:t>People participate in decision-making about activities in their communities</w:t>
      </w:r>
    </w:p>
    <w:p w:rsidR="00CB68A7" w:rsidRDefault="00CB68A7" w:rsidP="00D63EC6">
      <w:r w:rsidRPr="00E312E8">
        <w:t xml:space="preserve">Increased community awareness of gambling harm, grant distribution and related issues through public discussion and debate will continue to be a focus for this </w:t>
      </w:r>
      <w:r>
        <w:t>s</w:t>
      </w:r>
      <w:r w:rsidRPr="00E312E8">
        <w:t xml:space="preserve">trategic </w:t>
      </w:r>
      <w:r>
        <w:t>p</w:t>
      </w:r>
      <w:r w:rsidRPr="00E312E8">
        <w:t xml:space="preserve">lan. </w:t>
      </w:r>
      <w:r>
        <w:t>This objective acknowledges the important role of p</w:t>
      </w:r>
      <w:r w:rsidRPr="00E312E8">
        <w:t xml:space="preserve">eople </w:t>
      </w:r>
      <w:r>
        <w:t xml:space="preserve">and communities </w:t>
      </w:r>
      <w:r w:rsidRPr="00E312E8">
        <w:t>participat</w:t>
      </w:r>
      <w:r>
        <w:t xml:space="preserve">ing </w:t>
      </w:r>
      <w:r w:rsidRPr="00E312E8">
        <w:t>in decision-making about local activities that prevent and minimise gambling harm</w:t>
      </w:r>
      <w:r>
        <w:t>.</w:t>
      </w:r>
    </w:p>
    <w:p w:rsidR="00D63EC6" w:rsidRDefault="00D63EC6" w:rsidP="00D63EC6"/>
    <w:p w:rsidR="00CB68A7" w:rsidRDefault="00CB68A7" w:rsidP="00D63EC6">
      <w:r w:rsidRPr="00E312E8">
        <w:t>The Ministry expects a high level of interaction among services</w:t>
      </w:r>
      <w:r w:rsidRPr="00C10A99">
        <w:t>, their client populations (particularly Māori and Pacific peoples, as the populations that are most vulnerable to gambling harm), other public and mental health and addiction treatment services, and community groups</w:t>
      </w:r>
      <w:r w:rsidRPr="000B2E75">
        <w:t xml:space="preserve"> </w:t>
      </w:r>
      <w:r w:rsidRPr="00E312E8">
        <w:t>to prevent and minimise</w:t>
      </w:r>
      <w:r w:rsidRPr="00C10A99">
        <w:t xml:space="preserve"> gambling harm.</w:t>
      </w:r>
    </w:p>
    <w:p w:rsidR="00D63EC6" w:rsidRPr="00C10A99" w:rsidRDefault="00D63EC6" w:rsidP="00D63EC6"/>
    <w:p w:rsidR="00CB68A7" w:rsidRDefault="00CB68A7" w:rsidP="00D63EC6">
      <w:r w:rsidRPr="00C10A99">
        <w:t>The local government gambling venue policy process (set out in sections 101 to 102 of the Gambling Act 2003) allows communities to address their councils and discuss the effectiveness of councils</w:t>
      </w:r>
      <w:r w:rsidR="00EC3578">
        <w:t>’</w:t>
      </w:r>
      <w:r w:rsidRPr="00C10A99">
        <w:t xml:space="preserve"> venue policies. This includes the availability and accessibility of class 4 gambling in the community. Community ownership and empowerment are important aspects of healthy and responsive communities and are key aspects of a public health approach.</w:t>
      </w:r>
    </w:p>
    <w:p w:rsidR="00CB68A7" w:rsidRPr="00C10A99" w:rsidRDefault="00CB68A7" w:rsidP="00D63EC6"/>
    <w:p w:rsidR="00CB68A7" w:rsidRPr="00C10A99" w:rsidRDefault="00CB68A7" w:rsidP="00D63EC6">
      <w:pPr>
        <w:pStyle w:val="Table"/>
        <w:rPr>
          <w:sz w:val="16"/>
        </w:rPr>
      </w:pPr>
      <w:bookmarkStart w:id="57" w:name="_Toc514838691"/>
      <w:bookmarkStart w:id="58" w:name="_Toc517091228"/>
      <w:bookmarkStart w:id="59" w:name="_Toc522089432"/>
      <w:r w:rsidRPr="00C10A99">
        <w:lastRenderedPageBreak/>
        <w:t xml:space="preserve">Table </w:t>
      </w:r>
      <w:r w:rsidRPr="007F7BB3">
        <w:fldChar w:fldCharType="begin"/>
      </w:r>
      <w:r w:rsidRPr="00C10A99">
        <w:instrText xml:space="preserve"> SEQ Table \* ARABIC </w:instrText>
      </w:r>
      <w:r w:rsidRPr="007F7BB3">
        <w:fldChar w:fldCharType="separate"/>
      </w:r>
      <w:r w:rsidR="0012663D">
        <w:rPr>
          <w:noProof/>
        </w:rPr>
        <w:t>3</w:t>
      </w:r>
      <w:r w:rsidRPr="007F7BB3">
        <w:fldChar w:fldCharType="end"/>
      </w:r>
      <w:r w:rsidRPr="00C10A99">
        <w:t>: Objective 3</w:t>
      </w:r>
      <w:r>
        <w:t xml:space="preserve"> p</w:t>
      </w:r>
      <w:r w:rsidRPr="00C10A99">
        <w:t>riorities for action</w:t>
      </w:r>
      <w:bookmarkEnd w:id="57"/>
      <w:bookmarkEnd w:id="58"/>
      <w:bookmarkEnd w:id="59"/>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638"/>
        <w:gridCol w:w="4605"/>
      </w:tblGrid>
      <w:tr w:rsidR="00CB68A7" w:rsidRPr="00D63EC6" w:rsidTr="00D63EC6">
        <w:trPr>
          <w:cantSplit/>
        </w:trPr>
        <w:tc>
          <w:tcPr>
            <w:tcW w:w="5000" w:type="pct"/>
            <w:gridSpan w:val="2"/>
            <w:tcBorders>
              <w:left w:val="nil"/>
              <w:bottom w:val="single" w:sz="4" w:space="0" w:color="auto"/>
              <w:right w:val="nil"/>
            </w:tcBorders>
            <w:shd w:val="clear" w:color="auto" w:fill="000000" w:themeFill="text1"/>
          </w:tcPr>
          <w:p w:rsidR="00CB68A7" w:rsidRPr="00D63EC6" w:rsidRDefault="00CB68A7" w:rsidP="00D63EC6">
            <w:pPr>
              <w:pStyle w:val="TableText"/>
              <w:keepNext/>
              <w:rPr>
                <w:rFonts w:cs="Arial"/>
                <w:b/>
              </w:rPr>
            </w:pPr>
            <w:r w:rsidRPr="00D63EC6">
              <w:rPr>
                <w:b/>
              </w:rPr>
              <w:t>Objective 3: People participate in decision-making about activities in their communities that pre</w:t>
            </w:r>
            <w:r w:rsidR="00D63EC6">
              <w:rPr>
                <w:b/>
              </w:rPr>
              <w:t>vent and minimise gambling harm</w:t>
            </w:r>
          </w:p>
        </w:tc>
      </w:tr>
      <w:tr w:rsidR="00CB68A7" w:rsidRPr="00D63EC6" w:rsidTr="00D63EC6">
        <w:trPr>
          <w:cantSplit/>
        </w:trPr>
        <w:tc>
          <w:tcPr>
            <w:tcW w:w="5000" w:type="pct"/>
            <w:gridSpan w:val="2"/>
            <w:tcBorders>
              <w:top w:val="single" w:sz="4" w:space="0" w:color="auto"/>
              <w:left w:val="nil"/>
              <w:bottom w:val="nil"/>
              <w:right w:val="nil"/>
            </w:tcBorders>
            <w:shd w:val="clear" w:color="auto" w:fill="D9D9D9" w:themeFill="background1" w:themeFillShade="D9"/>
          </w:tcPr>
          <w:p w:rsidR="00CB68A7" w:rsidRPr="00D63EC6" w:rsidRDefault="00CB68A7" w:rsidP="00D63EC6">
            <w:pPr>
              <w:pStyle w:val="TableText"/>
              <w:keepNext/>
              <w:jc w:val="center"/>
              <w:rPr>
                <w:b/>
              </w:rPr>
            </w:pPr>
            <w:r w:rsidRPr="00D63EC6">
              <w:rPr>
                <w:b/>
              </w:rPr>
              <w:t>Priorities for action</w:t>
            </w:r>
          </w:p>
        </w:tc>
      </w:tr>
      <w:tr w:rsidR="00CB68A7" w:rsidRPr="00D63EC6" w:rsidTr="00D63EC6">
        <w:trPr>
          <w:cantSplit/>
        </w:trPr>
        <w:tc>
          <w:tcPr>
            <w:tcW w:w="2509" w:type="pct"/>
            <w:tcBorders>
              <w:top w:val="nil"/>
              <w:left w:val="nil"/>
              <w:bottom w:val="single" w:sz="4" w:space="0" w:color="auto"/>
              <w:right w:val="nil"/>
            </w:tcBorders>
            <w:shd w:val="clear" w:color="auto" w:fill="auto"/>
          </w:tcPr>
          <w:p w:rsidR="00CB68A7" w:rsidRPr="00D63EC6" w:rsidRDefault="00CB68A7" w:rsidP="00D63EC6">
            <w:pPr>
              <w:pStyle w:val="TableText"/>
              <w:keepNext/>
              <w:jc w:val="center"/>
              <w:rPr>
                <w:b/>
              </w:rPr>
            </w:pPr>
            <w:r w:rsidRPr="00D63EC6">
              <w:rPr>
                <w:b/>
              </w:rPr>
              <w:t>Short- to medium-term priorities</w:t>
            </w:r>
          </w:p>
        </w:tc>
        <w:tc>
          <w:tcPr>
            <w:tcW w:w="2491" w:type="pct"/>
            <w:tcBorders>
              <w:top w:val="nil"/>
              <w:left w:val="nil"/>
              <w:bottom w:val="single" w:sz="4" w:space="0" w:color="auto"/>
              <w:right w:val="nil"/>
            </w:tcBorders>
            <w:shd w:val="clear" w:color="auto" w:fill="auto"/>
          </w:tcPr>
          <w:p w:rsidR="00CB68A7" w:rsidRPr="00D63EC6" w:rsidRDefault="00CB68A7" w:rsidP="00D63EC6">
            <w:pPr>
              <w:pStyle w:val="TableText"/>
              <w:keepNext/>
              <w:jc w:val="center"/>
              <w:rPr>
                <w:b/>
              </w:rPr>
            </w:pPr>
            <w:r w:rsidRPr="00D63EC6">
              <w:rPr>
                <w:b/>
              </w:rPr>
              <w:t>Long-term priorities</w:t>
            </w:r>
          </w:p>
        </w:tc>
      </w:tr>
      <w:tr w:rsidR="00CB68A7" w:rsidRPr="00C10A99" w:rsidTr="00D63EC6">
        <w:trPr>
          <w:cantSplit/>
        </w:trPr>
        <w:tc>
          <w:tcPr>
            <w:tcW w:w="5000" w:type="pct"/>
            <w:gridSpan w:val="2"/>
            <w:tcBorders>
              <w:top w:val="single" w:sz="4" w:space="0" w:color="auto"/>
              <w:left w:val="nil"/>
              <w:bottom w:val="single" w:sz="4" w:space="0" w:color="auto"/>
              <w:right w:val="nil"/>
            </w:tcBorders>
            <w:shd w:val="clear" w:color="auto" w:fill="auto"/>
          </w:tcPr>
          <w:p w:rsidR="00CB68A7" w:rsidRDefault="00CB68A7" w:rsidP="00D63EC6">
            <w:pPr>
              <w:pStyle w:val="TableText"/>
            </w:pPr>
            <w:r w:rsidRPr="00EB1F02">
              <w:t>Enhance the capacity and capability of communities (particularly those communities that are most vulnerable to gambling harm)</w:t>
            </w:r>
            <w:r>
              <w:t xml:space="preserve"> to:</w:t>
            </w:r>
          </w:p>
          <w:p w:rsidR="00CB68A7" w:rsidRDefault="00CB68A7" w:rsidP="00D63EC6">
            <w:pPr>
              <w:pStyle w:val="TableBullet"/>
            </w:pPr>
            <w:r w:rsidRPr="00EB1F02">
              <w:t>participate in decision-making about the availability and accessibility of gambling and the allocation of gambling profits, in their areas</w:t>
            </w:r>
          </w:p>
          <w:p w:rsidR="00CB68A7" w:rsidRDefault="00CB68A7" w:rsidP="00D63EC6">
            <w:pPr>
              <w:pStyle w:val="TableBullet"/>
            </w:pPr>
            <w:r w:rsidRPr="003E73C9">
              <w:t>develop and implement policies that prevent and minimise gambling harm to individuals, families/</w:t>
            </w:r>
            <w:proofErr w:type="spellStart"/>
            <w:r w:rsidRPr="003E73C9">
              <w:t>whānau</w:t>
            </w:r>
            <w:proofErr w:type="spellEnd"/>
            <w:r w:rsidRPr="003E73C9">
              <w:t xml:space="preserve"> and communities</w:t>
            </w:r>
          </w:p>
          <w:p w:rsidR="00CB68A7" w:rsidRPr="00EB1F02" w:rsidRDefault="00CB68A7" w:rsidP="00D63EC6">
            <w:pPr>
              <w:pStyle w:val="TableBullet"/>
            </w:pPr>
            <w:proofErr w:type="gramStart"/>
            <w:r w:rsidRPr="003E73C9">
              <w:t>take</w:t>
            </w:r>
            <w:proofErr w:type="gramEnd"/>
            <w:r w:rsidRPr="003E73C9">
              <w:t xml:space="preserve"> action on gambling-harm-related issues in their areas.</w:t>
            </w:r>
          </w:p>
        </w:tc>
      </w:tr>
    </w:tbl>
    <w:p w:rsidR="00CB68A7" w:rsidRPr="00E312E8" w:rsidRDefault="00CB68A7" w:rsidP="00D63EC6"/>
    <w:p w:rsidR="00CB68A7" w:rsidRPr="00EB1F02" w:rsidRDefault="00CB68A7" w:rsidP="00D63EC6">
      <w:pPr>
        <w:pStyle w:val="Heading4"/>
      </w:pPr>
      <w:r w:rsidRPr="00E312E8">
        <w:t xml:space="preserve">Underlying principles: People-powered / </w:t>
      </w:r>
      <w:proofErr w:type="spellStart"/>
      <w:r w:rsidRPr="00E312E8">
        <w:t>Mā</w:t>
      </w:r>
      <w:proofErr w:type="spellEnd"/>
      <w:r w:rsidRPr="00E312E8">
        <w:t xml:space="preserve"> </w:t>
      </w:r>
      <w:proofErr w:type="spellStart"/>
      <w:proofErr w:type="gramStart"/>
      <w:r w:rsidRPr="00E312E8">
        <w:t>te</w:t>
      </w:r>
      <w:proofErr w:type="spellEnd"/>
      <w:proofErr w:type="gramEnd"/>
      <w:r w:rsidRPr="00E312E8">
        <w:t xml:space="preserve"> iwi </w:t>
      </w:r>
      <w:proofErr w:type="spellStart"/>
      <w:r w:rsidRPr="00E312E8">
        <w:t>hei</w:t>
      </w:r>
      <w:proofErr w:type="spellEnd"/>
      <w:r w:rsidRPr="00E312E8">
        <w:t xml:space="preserve"> </w:t>
      </w:r>
      <w:proofErr w:type="spellStart"/>
      <w:r w:rsidRPr="00E312E8">
        <w:t>kawe</w:t>
      </w:r>
      <w:proofErr w:type="spellEnd"/>
    </w:p>
    <w:p w:rsidR="00EC3578" w:rsidRDefault="00CB68A7" w:rsidP="00D63EC6">
      <w:r w:rsidRPr="00E312E8">
        <w:t>Language barriers, lack of knowledge and lack of understanding all affect people</w:t>
      </w:r>
      <w:r w:rsidR="00EC3578">
        <w:t>’</w:t>
      </w:r>
      <w:r w:rsidRPr="00E312E8">
        <w:t>s opportunities to participate meaningfully in New Zealand</w:t>
      </w:r>
      <w:r w:rsidR="00EC3578">
        <w:t>’</w:t>
      </w:r>
      <w:r w:rsidRPr="00E312E8">
        <w:t>s range of formal decision-making processes to improve outcomes that contribute to the prevention and minimisation of gambling harm</w:t>
      </w:r>
      <w:r w:rsidRPr="00C10A99">
        <w:t>.</w:t>
      </w:r>
    </w:p>
    <w:p w:rsidR="00D63EC6" w:rsidRDefault="00D63EC6" w:rsidP="00D63EC6"/>
    <w:p w:rsidR="00EC3578" w:rsidRDefault="00CB68A7" w:rsidP="00D63EC6">
      <w:r>
        <w:t>T</w:t>
      </w:r>
      <w:r w:rsidRPr="00C10A99">
        <w:t>hese and other barriers</w:t>
      </w:r>
      <w:r>
        <w:t xml:space="preserve"> need to be addressed</w:t>
      </w:r>
      <w:r w:rsidRPr="00C10A99">
        <w:t xml:space="preserve"> to empower individuals and their communities to engage and participate effectively </w:t>
      </w:r>
      <w:r>
        <w:t>around</w:t>
      </w:r>
      <w:r w:rsidRPr="00C10A99">
        <w:t xml:space="preserve"> gambling harm related matters in their local communities.</w:t>
      </w:r>
    </w:p>
    <w:p w:rsidR="00CB68A7" w:rsidRPr="00C10A99" w:rsidRDefault="00CB68A7" w:rsidP="00D63EC6"/>
    <w:p w:rsidR="00CB68A7" w:rsidRPr="00E312E8" w:rsidRDefault="00CB68A7" w:rsidP="00D63EC6">
      <w:pPr>
        <w:pStyle w:val="Heading3"/>
      </w:pPr>
      <w:r w:rsidRPr="00C10A99">
        <w:t>Objective 4:</w:t>
      </w:r>
      <w:r w:rsidR="00D63EC6">
        <w:t xml:space="preserve"> </w:t>
      </w:r>
      <w:r w:rsidRPr="00E312E8">
        <w:t>Healthy policy at the national, regional and local level prevents and minimises gambling harm</w:t>
      </w:r>
    </w:p>
    <w:p w:rsidR="00EC3578" w:rsidRDefault="00CB68A7" w:rsidP="00D63EC6">
      <w:r w:rsidRPr="00C10A99">
        <w:t>Successfully preventing and minimising gambling harm relies on a foundation of relevant and effective public policy</w:t>
      </w:r>
      <w:r>
        <w:t xml:space="preserve"> at the national, regional and local levels.</w:t>
      </w:r>
    </w:p>
    <w:p w:rsidR="00D63EC6" w:rsidRDefault="00D63EC6" w:rsidP="00D63EC6"/>
    <w:p w:rsidR="00CB68A7" w:rsidRDefault="00CB68A7" w:rsidP="00D63EC6">
      <w:r w:rsidRPr="00C10A99">
        <w:t xml:space="preserve">The Ministry will continue to comment on gambling issues </w:t>
      </w:r>
      <w:r>
        <w:t xml:space="preserve">based on </w:t>
      </w:r>
      <w:r w:rsidRPr="00C10A99">
        <w:t xml:space="preserve">the objectives </w:t>
      </w:r>
      <w:r>
        <w:t>of</w:t>
      </w:r>
      <w:r w:rsidRPr="00C10A99">
        <w:t xml:space="preserve"> the </w:t>
      </w:r>
      <w:r>
        <w:t>s</w:t>
      </w:r>
      <w:r w:rsidRPr="00C10A99">
        <w:t xml:space="preserve">trategic </w:t>
      </w:r>
      <w:r>
        <w:t>p</w:t>
      </w:r>
      <w:r w:rsidRPr="00C10A99">
        <w:t>lan and available research and</w:t>
      </w:r>
      <w:r>
        <w:t>,</w:t>
      </w:r>
      <w:r w:rsidRPr="00C10A99">
        <w:t xml:space="preserve"> where appropriate</w:t>
      </w:r>
      <w:r>
        <w:t>,</w:t>
      </w:r>
      <w:r w:rsidRPr="00C10A99">
        <w:t xml:space="preserve"> will work collaboratively with </w:t>
      </w:r>
      <w:r>
        <w:t xml:space="preserve">the </w:t>
      </w:r>
      <w:r w:rsidRPr="00C10A99">
        <w:t>DIA on policy development. It will also continue to provide information to assist territorial authorities when they are reviewing their gambling venue policies.</w:t>
      </w:r>
    </w:p>
    <w:p w:rsidR="00D63EC6" w:rsidRPr="00C10A99" w:rsidRDefault="00D63EC6" w:rsidP="00D63EC6"/>
    <w:p w:rsidR="00CB68A7" w:rsidRPr="00C10A99" w:rsidRDefault="00CB68A7" w:rsidP="00D63EC6">
      <w:r w:rsidRPr="00C10A99">
        <w:t xml:space="preserve">The Ministry will continue to </w:t>
      </w:r>
      <w:r>
        <w:t>support</w:t>
      </w:r>
      <w:r w:rsidRPr="00C10A99">
        <w:t xml:space="preserve"> the prevention and minimisation of gambling harm through health promotion, supply control and treatment avenues. A public health approach will continue to be a central pillar of the Ministry</w:t>
      </w:r>
      <w:r w:rsidR="00EC3578">
        <w:t>’</w:t>
      </w:r>
      <w:r w:rsidRPr="00C10A99">
        <w:t>s work.</w:t>
      </w:r>
    </w:p>
    <w:p w:rsidR="00CB68A7" w:rsidRPr="00C10A99" w:rsidRDefault="00CB68A7" w:rsidP="00D63EC6"/>
    <w:p w:rsidR="00CB68A7" w:rsidRPr="00D63EC6" w:rsidRDefault="00CB68A7" w:rsidP="00D63EC6">
      <w:pPr>
        <w:pStyle w:val="Table"/>
      </w:pPr>
      <w:bookmarkStart w:id="60" w:name="_Toc517091229"/>
      <w:bookmarkStart w:id="61" w:name="_Toc514838692"/>
      <w:bookmarkStart w:id="62" w:name="_Toc522089433"/>
      <w:r w:rsidRPr="00C10A99">
        <w:lastRenderedPageBreak/>
        <w:t xml:space="preserve">Table </w:t>
      </w:r>
      <w:r w:rsidRPr="004A1981">
        <w:fldChar w:fldCharType="begin"/>
      </w:r>
      <w:r w:rsidRPr="00C10A99">
        <w:instrText xml:space="preserve"> SEQ Table \* ARABIC </w:instrText>
      </w:r>
      <w:r w:rsidRPr="004A1981">
        <w:fldChar w:fldCharType="separate"/>
      </w:r>
      <w:r w:rsidR="0012663D">
        <w:rPr>
          <w:noProof/>
        </w:rPr>
        <w:t>4</w:t>
      </w:r>
      <w:r w:rsidRPr="004A1981">
        <w:fldChar w:fldCharType="end"/>
      </w:r>
      <w:r w:rsidRPr="00C10A99">
        <w:t>: Objective 4</w:t>
      </w:r>
      <w:r>
        <w:t xml:space="preserve"> p</w:t>
      </w:r>
      <w:r w:rsidRPr="00C10A99">
        <w:t>riorities for action</w:t>
      </w:r>
      <w:bookmarkEnd w:id="60"/>
      <w:bookmarkEnd w:id="61"/>
      <w:bookmarkEnd w:id="62"/>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646"/>
        <w:gridCol w:w="4597"/>
      </w:tblGrid>
      <w:tr w:rsidR="00CB68A7" w:rsidRPr="00D63EC6" w:rsidTr="00D63EC6">
        <w:trPr>
          <w:cantSplit/>
        </w:trPr>
        <w:tc>
          <w:tcPr>
            <w:tcW w:w="5000" w:type="pct"/>
            <w:gridSpan w:val="2"/>
            <w:tcBorders>
              <w:left w:val="nil"/>
              <w:bottom w:val="nil"/>
              <w:right w:val="nil"/>
            </w:tcBorders>
            <w:shd w:val="clear" w:color="auto" w:fill="000000" w:themeFill="text1"/>
          </w:tcPr>
          <w:p w:rsidR="00CB68A7" w:rsidRPr="00D63EC6" w:rsidRDefault="00CB68A7" w:rsidP="00D63EC6">
            <w:pPr>
              <w:pStyle w:val="TableText"/>
              <w:keepNext/>
              <w:rPr>
                <w:b/>
              </w:rPr>
            </w:pPr>
            <w:r w:rsidRPr="00D63EC6">
              <w:rPr>
                <w:b/>
              </w:rPr>
              <w:br w:type="page"/>
            </w:r>
            <w:r w:rsidRPr="00D63EC6">
              <w:rPr>
                <w:b/>
              </w:rPr>
              <w:br w:type="page"/>
              <w:t>Objective 4: Healthy policy at the national, regional and local level prevents and minimises gambling harm</w:t>
            </w:r>
          </w:p>
        </w:tc>
      </w:tr>
      <w:tr w:rsidR="00CB68A7" w:rsidRPr="00D63EC6" w:rsidTr="00D63EC6">
        <w:trPr>
          <w:cantSplit/>
        </w:trPr>
        <w:tc>
          <w:tcPr>
            <w:tcW w:w="5000" w:type="pct"/>
            <w:gridSpan w:val="2"/>
            <w:tcBorders>
              <w:top w:val="nil"/>
              <w:left w:val="nil"/>
              <w:bottom w:val="nil"/>
              <w:right w:val="nil"/>
            </w:tcBorders>
            <w:shd w:val="clear" w:color="auto" w:fill="D9D9D9" w:themeFill="background1" w:themeFillShade="D9"/>
          </w:tcPr>
          <w:p w:rsidR="00CB68A7" w:rsidRPr="00D63EC6" w:rsidRDefault="00CB68A7" w:rsidP="00D63EC6">
            <w:pPr>
              <w:pStyle w:val="TableText"/>
              <w:keepNext/>
              <w:jc w:val="center"/>
              <w:rPr>
                <w:b/>
              </w:rPr>
            </w:pPr>
            <w:r w:rsidRPr="00D63EC6">
              <w:rPr>
                <w:b/>
              </w:rPr>
              <w:t>Priorities for action</w:t>
            </w:r>
          </w:p>
        </w:tc>
      </w:tr>
      <w:tr w:rsidR="00CB68A7" w:rsidRPr="00D63EC6" w:rsidTr="00FB3858">
        <w:trPr>
          <w:cantSplit/>
        </w:trPr>
        <w:tc>
          <w:tcPr>
            <w:tcW w:w="2513" w:type="pct"/>
            <w:tcBorders>
              <w:top w:val="nil"/>
              <w:left w:val="nil"/>
              <w:bottom w:val="single" w:sz="4" w:space="0" w:color="auto"/>
              <w:right w:val="nil"/>
            </w:tcBorders>
            <w:shd w:val="clear" w:color="auto" w:fill="auto"/>
          </w:tcPr>
          <w:p w:rsidR="00CB68A7" w:rsidRPr="00D63EC6" w:rsidRDefault="00CB68A7" w:rsidP="00D63EC6">
            <w:pPr>
              <w:pStyle w:val="TableText"/>
              <w:keepNext/>
              <w:jc w:val="center"/>
              <w:rPr>
                <w:b/>
              </w:rPr>
            </w:pPr>
            <w:r w:rsidRPr="00D63EC6">
              <w:rPr>
                <w:b/>
              </w:rPr>
              <w:t>Short- to medium-term priorities</w:t>
            </w:r>
          </w:p>
        </w:tc>
        <w:tc>
          <w:tcPr>
            <w:tcW w:w="2487" w:type="pct"/>
            <w:tcBorders>
              <w:top w:val="nil"/>
              <w:left w:val="nil"/>
              <w:bottom w:val="single" w:sz="4" w:space="0" w:color="auto"/>
              <w:right w:val="nil"/>
            </w:tcBorders>
            <w:shd w:val="clear" w:color="auto" w:fill="auto"/>
          </w:tcPr>
          <w:p w:rsidR="00CB68A7" w:rsidRPr="00D63EC6" w:rsidRDefault="00CB68A7" w:rsidP="00D63EC6">
            <w:pPr>
              <w:pStyle w:val="TableText"/>
              <w:keepNext/>
              <w:jc w:val="center"/>
              <w:rPr>
                <w:b/>
              </w:rPr>
            </w:pPr>
            <w:r w:rsidRPr="00D63EC6">
              <w:rPr>
                <w:b/>
              </w:rPr>
              <w:t>Long-term priorities</w:t>
            </w:r>
          </w:p>
        </w:tc>
      </w:tr>
      <w:tr w:rsidR="00CB68A7" w:rsidRPr="00C10A99" w:rsidTr="00D63EC6">
        <w:trPr>
          <w:cantSplit/>
        </w:trPr>
        <w:tc>
          <w:tcPr>
            <w:tcW w:w="5000" w:type="pct"/>
            <w:gridSpan w:val="2"/>
            <w:tcBorders>
              <w:top w:val="single" w:sz="4" w:space="0" w:color="auto"/>
              <w:left w:val="nil"/>
              <w:bottom w:val="single" w:sz="4" w:space="0" w:color="A6A6A6" w:themeColor="background1" w:themeShade="A6"/>
              <w:right w:val="nil"/>
            </w:tcBorders>
            <w:shd w:val="clear" w:color="auto" w:fill="auto"/>
          </w:tcPr>
          <w:p w:rsidR="00CB68A7" w:rsidRPr="00EB1F02" w:rsidRDefault="00CB68A7" w:rsidP="00D63EC6">
            <w:pPr>
              <w:pStyle w:val="TableText"/>
              <w:keepNext/>
            </w:pPr>
            <w:r w:rsidRPr="00EB1F02">
              <w:t xml:space="preserve">Work closely with </w:t>
            </w:r>
            <w:r>
              <w:t xml:space="preserve">the </w:t>
            </w:r>
            <w:r w:rsidRPr="00EB1F02">
              <w:t>DIA</w:t>
            </w:r>
            <w:r>
              <w:t xml:space="preserve"> in developing</w:t>
            </w:r>
            <w:r w:rsidRPr="00EB1F02">
              <w:t xml:space="preserve"> gambling policy and regulation</w:t>
            </w:r>
            <w:r>
              <w:t>s</w:t>
            </w:r>
            <w:r w:rsidRPr="00EB1F02">
              <w:t xml:space="preserve"> to ensure that harm minimisation continues to be a core aspect in </w:t>
            </w:r>
            <w:r>
              <w:t>both organisations</w:t>
            </w:r>
            <w:r w:rsidR="00EC3578">
              <w:t>’</w:t>
            </w:r>
            <w:r w:rsidRPr="00EB1F02">
              <w:t xml:space="preserve"> work</w:t>
            </w:r>
            <w:r>
              <w:t>.</w:t>
            </w:r>
          </w:p>
        </w:tc>
      </w:tr>
      <w:tr w:rsidR="00CB68A7" w:rsidRPr="00C10A99" w:rsidTr="00D63EC6">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CB68A7" w:rsidRPr="00EB1F02" w:rsidRDefault="00CB68A7" w:rsidP="00D63EC6">
            <w:pPr>
              <w:pStyle w:val="TableText"/>
              <w:keepNext/>
            </w:pPr>
            <w:r w:rsidRPr="00EB1F02">
              <w:t>Continue to provide information to other government sectors and agencies (</w:t>
            </w:r>
            <w:proofErr w:type="spellStart"/>
            <w:r w:rsidRPr="00EB1F02">
              <w:t>eg</w:t>
            </w:r>
            <w:proofErr w:type="spellEnd"/>
            <w:r w:rsidRPr="00EB1F02">
              <w:t>, Local Government New Zealand</w:t>
            </w:r>
            <w:r>
              <w:t>;</w:t>
            </w:r>
            <w:r w:rsidRPr="00EB1F02">
              <w:t xml:space="preserve"> </w:t>
            </w:r>
            <w:proofErr w:type="spellStart"/>
            <w:r w:rsidRPr="00EB1F02">
              <w:t>Te</w:t>
            </w:r>
            <w:proofErr w:type="spellEnd"/>
            <w:r w:rsidR="00D63EC6">
              <w:t> </w:t>
            </w:r>
            <w:proofErr w:type="spellStart"/>
            <w:r w:rsidRPr="00EB1F02">
              <w:t>Puni</w:t>
            </w:r>
            <w:proofErr w:type="spellEnd"/>
            <w:r w:rsidRPr="00EB1F02">
              <w:t xml:space="preserve"> </w:t>
            </w:r>
            <w:proofErr w:type="spellStart"/>
            <w:r w:rsidRPr="00EB1F02">
              <w:t>Kōkiri</w:t>
            </w:r>
            <w:proofErr w:type="spellEnd"/>
            <w:r>
              <w:t>;</w:t>
            </w:r>
            <w:r w:rsidRPr="00EB1F02">
              <w:t xml:space="preserve"> Department of Corrections</w:t>
            </w:r>
            <w:r>
              <w:t>;</w:t>
            </w:r>
            <w:r w:rsidRPr="00EB1F02">
              <w:t xml:space="preserve"> </w:t>
            </w:r>
            <w:proofErr w:type="spellStart"/>
            <w:r w:rsidRPr="00EB1F02">
              <w:t>Oranga</w:t>
            </w:r>
            <w:proofErr w:type="spellEnd"/>
            <w:r w:rsidRPr="00EB1F02">
              <w:t xml:space="preserve"> </w:t>
            </w:r>
            <w:proofErr w:type="spellStart"/>
            <w:r w:rsidRPr="00EB1F02">
              <w:t>Tamariki</w:t>
            </w:r>
            <w:proofErr w:type="spellEnd"/>
            <w:r>
              <w:t>: Ministry for Children</w:t>
            </w:r>
            <w:r w:rsidRPr="00EB1F02">
              <w:t xml:space="preserve"> and the Ministries of Business</w:t>
            </w:r>
            <w:r>
              <w:t>,</w:t>
            </w:r>
            <w:r w:rsidRPr="00EB1F02">
              <w:t xml:space="preserve"> Innovation and Employment</w:t>
            </w:r>
            <w:r>
              <w:t>;</w:t>
            </w:r>
            <w:r w:rsidRPr="00EB1F02">
              <w:t xml:space="preserve"> Education</w:t>
            </w:r>
            <w:r>
              <w:t>;</w:t>
            </w:r>
            <w:r w:rsidRPr="00EB1F02">
              <w:t xml:space="preserve"> Justice and Social Development) to increase understanding and acknowledge the need to link policies </w:t>
            </w:r>
            <w:r>
              <w:t xml:space="preserve">across related areas </w:t>
            </w:r>
            <w:r w:rsidRPr="00EB1F02">
              <w:t>to prevent and minimise gambling harm and work with those sectors and agencies to develop a whole-of-government approach to preventing and minimising gambling harm</w:t>
            </w:r>
            <w:r>
              <w:t>.</w:t>
            </w:r>
          </w:p>
        </w:tc>
      </w:tr>
      <w:tr w:rsidR="00CB68A7" w:rsidRPr="00C10A99" w:rsidTr="00FB3858">
        <w:trPr>
          <w:cantSplit/>
        </w:trPr>
        <w:tc>
          <w:tcPr>
            <w:tcW w:w="2513" w:type="pct"/>
            <w:tcBorders>
              <w:top w:val="single" w:sz="4" w:space="0" w:color="A6A6A6" w:themeColor="background1" w:themeShade="A6"/>
              <w:left w:val="nil"/>
              <w:right w:val="nil"/>
            </w:tcBorders>
            <w:shd w:val="clear" w:color="auto" w:fill="auto"/>
          </w:tcPr>
          <w:p w:rsidR="00CB68A7" w:rsidRPr="00EB1F02" w:rsidRDefault="00CB68A7" w:rsidP="00D63EC6">
            <w:pPr>
              <w:pStyle w:val="TableText"/>
            </w:pPr>
          </w:p>
        </w:tc>
        <w:tc>
          <w:tcPr>
            <w:tcW w:w="2487" w:type="pct"/>
            <w:tcBorders>
              <w:top w:val="single" w:sz="4" w:space="0" w:color="A6A6A6" w:themeColor="background1" w:themeShade="A6"/>
              <w:left w:val="nil"/>
              <w:right w:val="nil"/>
            </w:tcBorders>
            <w:shd w:val="clear" w:color="auto" w:fill="auto"/>
          </w:tcPr>
          <w:p w:rsidR="00CB68A7" w:rsidRDefault="00CB68A7" w:rsidP="00D63EC6">
            <w:pPr>
              <w:pStyle w:val="TableText"/>
            </w:pPr>
            <w:r w:rsidRPr="00EB1F02">
              <w:t>Develop effective policy frameworks to guide the development and implementation of policies at the national, regional and local level</w:t>
            </w:r>
            <w:r>
              <w:t>s</w:t>
            </w:r>
            <w:r w:rsidRPr="00EB1F02">
              <w:t xml:space="preserve"> that prevent and minimise gambling harm</w:t>
            </w:r>
            <w:r>
              <w:t>.</w:t>
            </w:r>
          </w:p>
          <w:p w:rsidR="00697C65" w:rsidRPr="00EB1F02" w:rsidRDefault="00697C65" w:rsidP="00697C65">
            <w:pPr>
              <w:pStyle w:val="TableText"/>
            </w:pPr>
            <w:r>
              <w:t>Work with DIA to ensure local authorities can access quality information to help them develop effective gambling policies at the local level</w:t>
            </w:r>
          </w:p>
        </w:tc>
      </w:tr>
    </w:tbl>
    <w:p w:rsidR="00CB68A7" w:rsidRPr="00E312E8" w:rsidRDefault="00CB68A7" w:rsidP="00D63EC6"/>
    <w:p w:rsidR="00CB68A7" w:rsidRPr="00E312E8" w:rsidRDefault="00CB68A7" w:rsidP="00D63EC6">
      <w:pPr>
        <w:pStyle w:val="Heading4"/>
      </w:pPr>
      <w:r w:rsidRPr="00E312E8">
        <w:t xml:space="preserve">Underlying principles: Closer to home / </w:t>
      </w:r>
      <w:proofErr w:type="spellStart"/>
      <w:r w:rsidRPr="00E312E8">
        <w:t>Ka</w:t>
      </w:r>
      <w:proofErr w:type="spellEnd"/>
      <w:r w:rsidRPr="00E312E8">
        <w:t xml:space="preserve"> </w:t>
      </w:r>
      <w:proofErr w:type="spellStart"/>
      <w:r w:rsidRPr="00E312E8">
        <w:t>aro</w:t>
      </w:r>
      <w:proofErr w:type="spellEnd"/>
      <w:r w:rsidRPr="00E312E8">
        <w:t xml:space="preserve"> </w:t>
      </w:r>
      <w:proofErr w:type="spellStart"/>
      <w:r w:rsidRPr="00E312E8">
        <w:t>mai</w:t>
      </w:r>
      <w:proofErr w:type="spellEnd"/>
      <w:r w:rsidRPr="00E312E8">
        <w:t xml:space="preserve"> </w:t>
      </w:r>
      <w:proofErr w:type="spellStart"/>
      <w:r w:rsidRPr="00E312E8">
        <w:t>ke</w:t>
      </w:r>
      <w:proofErr w:type="spellEnd"/>
      <w:r w:rsidRPr="00E312E8">
        <w:t xml:space="preserve"> </w:t>
      </w:r>
      <w:proofErr w:type="spellStart"/>
      <w:proofErr w:type="gramStart"/>
      <w:r w:rsidRPr="00E312E8">
        <w:t>te</w:t>
      </w:r>
      <w:proofErr w:type="spellEnd"/>
      <w:proofErr w:type="gramEnd"/>
      <w:r w:rsidRPr="00E312E8">
        <w:t xml:space="preserve"> </w:t>
      </w:r>
      <w:proofErr w:type="spellStart"/>
      <w:r w:rsidRPr="00E312E8">
        <w:t>kāinga</w:t>
      </w:r>
      <w:proofErr w:type="spellEnd"/>
    </w:p>
    <w:p w:rsidR="00CB68A7" w:rsidRPr="00C10A99" w:rsidRDefault="00CB68A7" w:rsidP="00D63EC6">
      <w:pPr>
        <w:rPr>
          <w:sz w:val="20"/>
        </w:rPr>
      </w:pPr>
      <w:r w:rsidRPr="00C10A99">
        <w:t>Good health begins at home and in communities. P</w:t>
      </w:r>
      <w:r>
        <w:t>ublic health and p</w:t>
      </w:r>
      <w:r w:rsidRPr="00C10A99">
        <w:t>opulation-based strategies can help to better identify and prevent long-term conditions, provide earlier interventions,</w:t>
      </w:r>
      <w:r>
        <w:t xml:space="preserve"> shape environments</w:t>
      </w:r>
      <w:r w:rsidRPr="00C10A99">
        <w:t xml:space="preserve"> and make better quality healthier choices easier for all New Zealanders.</w:t>
      </w:r>
    </w:p>
    <w:p w:rsidR="00CB68A7" w:rsidRDefault="00CB68A7" w:rsidP="00D63EC6"/>
    <w:p w:rsidR="00926839" w:rsidRDefault="00926839" w:rsidP="00926839">
      <w:pPr>
        <w:pStyle w:val="Heading3"/>
      </w:pPr>
      <w:r w:rsidRPr="00C10A99">
        <w:t xml:space="preserve">Objective </w:t>
      </w:r>
      <w:r>
        <w:t>5</w:t>
      </w:r>
      <w:r w:rsidRPr="00C10A99">
        <w:t>:</w:t>
      </w:r>
      <w:r>
        <w:t xml:space="preserve"> </w:t>
      </w:r>
      <w:r w:rsidRPr="00E312E8">
        <w:t>People</w:t>
      </w:r>
      <w:r>
        <w:t xml:space="preserve"> understand and acknowledge the range of gambling harms that affect individuals, f</w:t>
      </w:r>
      <w:r w:rsidRPr="00E312E8">
        <w:t>amilies/</w:t>
      </w:r>
      <w:proofErr w:type="spellStart"/>
      <w:r w:rsidRPr="00E312E8">
        <w:t>whānau</w:t>
      </w:r>
      <w:proofErr w:type="spellEnd"/>
      <w:r w:rsidRPr="00E312E8">
        <w:t xml:space="preserve"> </w:t>
      </w:r>
      <w:r>
        <w:t>and communities</w:t>
      </w:r>
    </w:p>
    <w:p w:rsidR="00926839" w:rsidRPr="00E312E8" w:rsidRDefault="00926839" w:rsidP="00926839">
      <w:r>
        <w:t xml:space="preserve">This objective acknowledges that people need to </w:t>
      </w:r>
      <w:r w:rsidRPr="00E312E8">
        <w:t>have the life skills and resilience to make healthy choices that prevent and minimise gambling harm</w:t>
      </w:r>
      <w:r>
        <w:t>.</w:t>
      </w:r>
    </w:p>
    <w:p w:rsidR="00926839" w:rsidRDefault="00926839" w:rsidP="00926839"/>
    <w:p w:rsidR="00926839" w:rsidRPr="00C10A99" w:rsidRDefault="00926839" w:rsidP="00926839">
      <w:r w:rsidRPr="00C10A99">
        <w:t>The Ministry recognises that</w:t>
      </w:r>
      <w:r>
        <w:t>,</w:t>
      </w:r>
      <w:r w:rsidRPr="00C10A99">
        <w:t xml:space="preserve"> for most people</w:t>
      </w:r>
      <w:r>
        <w:t>,</w:t>
      </w:r>
      <w:r w:rsidRPr="00C10A99">
        <w:t xml:space="preserve"> gambling is a recreational activity that is enjoyed safely and in moderation. However, a significant minority of people struggle with gambling. Certain groups</w:t>
      </w:r>
      <w:r>
        <w:t xml:space="preserve">, </w:t>
      </w:r>
      <w:r w:rsidRPr="00C10A99">
        <w:t>including Māori, Pacific peoples, Asian communities, youth, migrants</w:t>
      </w:r>
      <w:r>
        <w:t xml:space="preserve"> and older people </w:t>
      </w:r>
      <w:r w:rsidRPr="00C10A99">
        <w:t>are particularly vulnerable to gambling harm for a variety of reasons.</w:t>
      </w:r>
      <w:r w:rsidRPr="0087239E">
        <w:t xml:space="preserve"> </w:t>
      </w:r>
      <w:r w:rsidRPr="00C10A99">
        <w:t xml:space="preserve">For </w:t>
      </w:r>
      <w:r>
        <w:t xml:space="preserve">example, </w:t>
      </w:r>
      <w:r w:rsidRPr="00C10A99">
        <w:t>some ethnic groups</w:t>
      </w:r>
      <w:r>
        <w:t xml:space="preserve"> who have not been exposed to </w:t>
      </w:r>
      <w:r w:rsidRPr="00C10A99">
        <w:t>large-scale, commercial gambling</w:t>
      </w:r>
      <w:r>
        <w:t xml:space="preserve"> previously are particularly vulnerable to such forms of gambling harm.</w:t>
      </w:r>
    </w:p>
    <w:p w:rsidR="00926839" w:rsidRDefault="00926839" w:rsidP="00926839"/>
    <w:p w:rsidR="00926839" w:rsidRPr="00C10A99" w:rsidRDefault="00926839" w:rsidP="00926839">
      <w:r w:rsidRPr="00C10A99">
        <w:t>The Ministry will continue to design public health programmes, and allocate resources, for vulnerable groups in the population, including resources to raise awareness and develop resilient life skills to prevent or minimise gambling harm. The Ministry will continue to provide information to support making healthy choices at an individual and community level.</w:t>
      </w:r>
    </w:p>
    <w:p w:rsidR="00926839" w:rsidRDefault="00926839" w:rsidP="00926839"/>
    <w:p w:rsidR="00926839" w:rsidRDefault="00926839" w:rsidP="00926839">
      <w:r>
        <w:t xml:space="preserve">The Ministry will develop and draw on learning from projects that promote related life and financial skills and resilience, such as ‘sorted </w:t>
      </w:r>
      <w:proofErr w:type="spellStart"/>
      <w:r>
        <w:t>whānau</w:t>
      </w:r>
      <w:proofErr w:type="spellEnd"/>
      <w:r>
        <w:t>’ for their potential application to people exposed to or at risk of gambling harm.</w:t>
      </w:r>
    </w:p>
    <w:p w:rsidR="00926839" w:rsidRPr="00C10A99" w:rsidRDefault="00926839" w:rsidP="00926839"/>
    <w:p w:rsidR="00926839" w:rsidRPr="00B75CBC" w:rsidRDefault="00926839" w:rsidP="00926839">
      <w:pPr>
        <w:pStyle w:val="Table"/>
      </w:pPr>
      <w:bookmarkStart w:id="63" w:name="_Toc517091232"/>
      <w:bookmarkStart w:id="64" w:name="_Toc514838695"/>
      <w:bookmarkStart w:id="65" w:name="_Toc522089434"/>
      <w:r w:rsidRPr="00C10A99">
        <w:lastRenderedPageBreak/>
        <w:t xml:space="preserve">Table </w:t>
      </w:r>
      <w:r w:rsidRPr="007F7BB3">
        <w:fldChar w:fldCharType="begin"/>
      </w:r>
      <w:r w:rsidRPr="00C10A99">
        <w:instrText xml:space="preserve"> SEQ Table \* ARABIC </w:instrText>
      </w:r>
      <w:r w:rsidRPr="007F7BB3">
        <w:fldChar w:fldCharType="separate"/>
      </w:r>
      <w:r w:rsidR="0012663D">
        <w:rPr>
          <w:noProof/>
        </w:rPr>
        <w:t>5</w:t>
      </w:r>
      <w:r w:rsidRPr="007F7BB3">
        <w:fldChar w:fldCharType="end"/>
      </w:r>
      <w:r w:rsidRPr="00C10A99">
        <w:t>: Objective</w:t>
      </w:r>
      <w:r w:rsidR="00F95E6B">
        <w:t>5</w:t>
      </w:r>
      <w:r>
        <w:t xml:space="preserve"> p</w:t>
      </w:r>
      <w:r w:rsidRPr="00C10A99">
        <w:t>riorities for action</w:t>
      </w:r>
      <w:bookmarkEnd w:id="63"/>
      <w:bookmarkEnd w:id="64"/>
      <w:bookmarkEnd w:id="65"/>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621"/>
        <w:gridCol w:w="4622"/>
      </w:tblGrid>
      <w:tr w:rsidR="00926839" w:rsidRPr="00B75CBC" w:rsidTr="00926839">
        <w:trPr>
          <w:cantSplit/>
        </w:trPr>
        <w:tc>
          <w:tcPr>
            <w:tcW w:w="5000" w:type="pct"/>
            <w:gridSpan w:val="2"/>
            <w:tcBorders>
              <w:left w:val="nil"/>
              <w:bottom w:val="nil"/>
              <w:right w:val="nil"/>
            </w:tcBorders>
            <w:shd w:val="clear" w:color="auto" w:fill="000000" w:themeFill="text1"/>
          </w:tcPr>
          <w:p w:rsidR="00926839" w:rsidRPr="00B75CBC" w:rsidRDefault="00926839" w:rsidP="003824E9">
            <w:pPr>
              <w:pStyle w:val="TableText"/>
              <w:keepNext/>
              <w:rPr>
                <w:b/>
              </w:rPr>
            </w:pPr>
            <w:r w:rsidRPr="00B75CBC">
              <w:rPr>
                <w:b/>
              </w:rPr>
              <w:t>Objective 7: People understand and acknowledge the range of gambling harms that affect individuals, families/</w:t>
            </w:r>
            <w:proofErr w:type="spellStart"/>
            <w:r w:rsidRPr="00B75CBC">
              <w:rPr>
                <w:b/>
              </w:rPr>
              <w:t>whānau</w:t>
            </w:r>
            <w:proofErr w:type="spellEnd"/>
            <w:r w:rsidRPr="00B75CBC">
              <w:rPr>
                <w:b/>
              </w:rPr>
              <w:t xml:space="preserve"> and communities</w:t>
            </w:r>
          </w:p>
        </w:tc>
      </w:tr>
      <w:tr w:rsidR="00926839" w:rsidRPr="00B75CBC" w:rsidTr="00926839">
        <w:trPr>
          <w:cantSplit/>
        </w:trPr>
        <w:tc>
          <w:tcPr>
            <w:tcW w:w="5000" w:type="pct"/>
            <w:gridSpan w:val="2"/>
            <w:tcBorders>
              <w:top w:val="nil"/>
              <w:left w:val="nil"/>
              <w:bottom w:val="nil"/>
              <w:right w:val="nil"/>
            </w:tcBorders>
            <w:shd w:val="clear" w:color="auto" w:fill="D9D9D9" w:themeFill="background1" w:themeFillShade="D9"/>
          </w:tcPr>
          <w:p w:rsidR="00926839" w:rsidRPr="00B75CBC" w:rsidRDefault="00926839" w:rsidP="003824E9">
            <w:pPr>
              <w:pStyle w:val="TableText"/>
              <w:keepNext/>
              <w:jc w:val="center"/>
              <w:rPr>
                <w:b/>
              </w:rPr>
            </w:pPr>
            <w:r w:rsidRPr="00B75CBC">
              <w:rPr>
                <w:b/>
              </w:rPr>
              <w:t>Priorities for action</w:t>
            </w:r>
          </w:p>
        </w:tc>
      </w:tr>
      <w:tr w:rsidR="00926839" w:rsidRPr="00B75CBC" w:rsidTr="00926839">
        <w:trPr>
          <w:cantSplit/>
        </w:trPr>
        <w:tc>
          <w:tcPr>
            <w:tcW w:w="2500" w:type="pct"/>
            <w:tcBorders>
              <w:top w:val="nil"/>
              <w:left w:val="nil"/>
              <w:bottom w:val="single" w:sz="4" w:space="0" w:color="auto"/>
              <w:right w:val="nil"/>
            </w:tcBorders>
            <w:shd w:val="clear" w:color="auto" w:fill="auto"/>
          </w:tcPr>
          <w:p w:rsidR="00926839" w:rsidRPr="00B75CBC" w:rsidRDefault="00926839" w:rsidP="003824E9">
            <w:pPr>
              <w:pStyle w:val="TableText"/>
              <w:keepNext/>
              <w:jc w:val="center"/>
              <w:rPr>
                <w:b/>
              </w:rPr>
            </w:pPr>
            <w:r w:rsidRPr="00B75CBC">
              <w:rPr>
                <w:b/>
              </w:rPr>
              <w:t>Short- to medium-term priorities</w:t>
            </w:r>
          </w:p>
        </w:tc>
        <w:tc>
          <w:tcPr>
            <w:tcW w:w="2500" w:type="pct"/>
            <w:tcBorders>
              <w:top w:val="nil"/>
              <w:left w:val="nil"/>
              <w:bottom w:val="single" w:sz="4" w:space="0" w:color="auto"/>
              <w:right w:val="nil"/>
            </w:tcBorders>
            <w:shd w:val="clear" w:color="auto" w:fill="auto"/>
          </w:tcPr>
          <w:p w:rsidR="00926839" w:rsidRPr="00B75CBC" w:rsidRDefault="00926839" w:rsidP="003824E9">
            <w:pPr>
              <w:pStyle w:val="TableText"/>
              <w:keepNext/>
              <w:jc w:val="center"/>
              <w:rPr>
                <w:b/>
              </w:rPr>
            </w:pPr>
            <w:r w:rsidRPr="00B75CBC">
              <w:rPr>
                <w:b/>
              </w:rPr>
              <w:t>Long-term priorities</w:t>
            </w:r>
          </w:p>
        </w:tc>
      </w:tr>
      <w:tr w:rsidR="00926839" w:rsidRPr="00C10A99" w:rsidTr="00926839">
        <w:trPr>
          <w:cantSplit/>
        </w:trPr>
        <w:tc>
          <w:tcPr>
            <w:tcW w:w="5000" w:type="pct"/>
            <w:gridSpan w:val="2"/>
            <w:tcBorders>
              <w:top w:val="single" w:sz="4" w:space="0" w:color="auto"/>
              <w:left w:val="nil"/>
              <w:bottom w:val="single" w:sz="4" w:space="0" w:color="A6A6A6" w:themeColor="background1" w:themeShade="A6"/>
              <w:right w:val="nil"/>
            </w:tcBorders>
            <w:shd w:val="clear" w:color="auto" w:fill="auto"/>
          </w:tcPr>
          <w:p w:rsidR="00926839" w:rsidRPr="00EB1F02" w:rsidRDefault="00926839" w:rsidP="00926839">
            <w:pPr>
              <w:pStyle w:val="TableText"/>
            </w:pPr>
            <w:r w:rsidRPr="00EB1F02">
              <w:t>Increase participation in the development of, and exposure to, culturally and linguistically appropriate campaigns and communications that provide information to people on the health and social risks of gambling</w:t>
            </w:r>
            <w:r>
              <w:t>.</w:t>
            </w:r>
          </w:p>
        </w:tc>
      </w:tr>
      <w:tr w:rsidR="00926839" w:rsidRPr="00C10A99" w:rsidTr="00926839">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926839" w:rsidRPr="00EB1F02" w:rsidRDefault="00926839" w:rsidP="00926839">
            <w:pPr>
              <w:pStyle w:val="TableText"/>
            </w:pPr>
            <w:r w:rsidRPr="00EB1F02">
              <w:t>Identify ways to provide effective support to people who are seeking to independently moderate or manage their gambling behaviour (or the behaviour of their famil</w:t>
            </w:r>
            <w:r>
              <w:t>ies</w:t>
            </w:r>
            <w:r w:rsidRPr="00EB1F02">
              <w:t>/</w:t>
            </w:r>
            <w:proofErr w:type="spellStart"/>
            <w:r w:rsidRPr="00EB1F02">
              <w:t>whānau</w:t>
            </w:r>
            <w:proofErr w:type="spellEnd"/>
            <w:r w:rsidRPr="00EB1F02">
              <w:t>) in some way and provide that support</w:t>
            </w:r>
            <w:r>
              <w:t>.</w:t>
            </w:r>
          </w:p>
        </w:tc>
      </w:tr>
      <w:tr w:rsidR="00926839" w:rsidRPr="00C10A99" w:rsidTr="00926839">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926839" w:rsidRPr="00EB1F02" w:rsidRDefault="00926839" w:rsidP="00926839">
            <w:pPr>
              <w:pStyle w:val="TableText"/>
            </w:pPr>
            <w:r w:rsidRPr="00EB1F02">
              <w:t>Continue to enhance the links between problem gambling services and other social and health services to ensure that services work together to support problem gamblers and their famil</w:t>
            </w:r>
            <w:r>
              <w:t>ies</w:t>
            </w:r>
            <w:r w:rsidRPr="00EB1F02">
              <w:t>/</w:t>
            </w:r>
            <w:proofErr w:type="spellStart"/>
            <w:r w:rsidRPr="00EB1F02">
              <w:t>whānau</w:t>
            </w:r>
            <w:proofErr w:type="spellEnd"/>
            <w:r w:rsidRPr="00EB1F02">
              <w:t>. This will include trialling collective impact approaches.</w:t>
            </w:r>
          </w:p>
        </w:tc>
      </w:tr>
      <w:tr w:rsidR="00926839" w:rsidRPr="00C10A99" w:rsidTr="00926839">
        <w:trPr>
          <w:cantSplit/>
        </w:trPr>
        <w:tc>
          <w:tcPr>
            <w:tcW w:w="2500" w:type="pct"/>
            <w:tcBorders>
              <w:top w:val="single" w:sz="4" w:space="0" w:color="A6A6A6" w:themeColor="background1" w:themeShade="A6"/>
              <w:left w:val="nil"/>
              <w:bottom w:val="single" w:sz="4" w:space="0" w:color="A6A6A6" w:themeColor="background1" w:themeShade="A6"/>
              <w:right w:val="nil"/>
            </w:tcBorders>
            <w:shd w:val="clear" w:color="auto" w:fill="auto"/>
          </w:tcPr>
          <w:p w:rsidR="00926839" w:rsidRPr="00EB1F02" w:rsidRDefault="00926839" w:rsidP="00926839">
            <w:pPr>
              <w:pStyle w:val="TableText"/>
              <w:ind w:right="113"/>
            </w:pPr>
            <w:r w:rsidRPr="00EB1F02">
              <w:t>Enhance communication and referral processes to ensure that other services that offer support to people experiencing harm from gambling address the needs of a referred client (and their family/</w:t>
            </w:r>
            <w:proofErr w:type="spellStart"/>
            <w:r w:rsidRPr="00EB1F02">
              <w:t>whānau</w:t>
            </w:r>
            <w:proofErr w:type="spellEnd"/>
            <w:r w:rsidRPr="00EB1F02">
              <w:t>)</w:t>
            </w:r>
            <w:r>
              <w:t>.</w:t>
            </w:r>
          </w:p>
        </w:tc>
        <w:tc>
          <w:tcPr>
            <w:tcW w:w="2500" w:type="pct"/>
            <w:tcBorders>
              <w:top w:val="single" w:sz="4" w:space="0" w:color="A6A6A6" w:themeColor="background1" w:themeShade="A6"/>
              <w:left w:val="nil"/>
              <w:bottom w:val="single" w:sz="4" w:space="0" w:color="A6A6A6" w:themeColor="background1" w:themeShade="A6"/>
              <w:right w:val="nil"/>
            </w:tcBorders>
            <w:shd w:val="clear" w:color="auto" w:fill="auto"/>
          </w:tcPr>
          <w:p w:rsidR="00926839" w:rsidRPr="00EB1F02" w:rsidRDefault="00926839" w:rsidP="00926839">
            <w:pPr>
              <w:pStyle w:val="TableText"/>
            </w:pPr>
          </w:p>
        </w:tc>
      </w:tr>
      <w:tr w:rsidR="00926839" w:rsidRPr="00C10A99" w:rsidTr="00926839">
        <w:trPr>
          <w:cantSplit/>
        </w:trPr>
        <w:tc>
          <w:tcPr>
            <w:tcW w:w="2500" w:type="pct"/>
            <w:tcBorders>
              <w:top w:val="single" w:sz="4" w:space="0" w:color="A6A6A6" w:themeColor="background1" w:themeShade="A6"/>
              <w:left w:val="nil"/>
              <w:bottom w:val="single" w:sz="4" w:space="0" w:color="A6A6A6" w:themeColor="background1" w:themeShade="A6"/>
              <w:right w:val="nil"/>
            </w:tcBorders>
            <w:shd w:val="clear" w:color="auto" w:fill="auto"/>
          </w:tcPr>
          <w:p w:rsidR="00926839" w:rsidRPr="00EB1F02" w:rsidRDefault="00926839" w:rsidP="00926839">
            <w:pPr>
              <w:pStyle w:val="TableText"/>
              <w:ind w:right="113"/>
            </w:pPr>
            <w:r w:rsidRPr="00EB1F02">
              <w:t>Continue to identify and monitor protective and resiliency factors for gambling harm</w:t>
            </w:r>
            <w:r>
              <w:t>.</w:t>
            </w:r>
          </w:p>
        </w:tc>
        <w:tc>
          <w:tcPr>
            <w:tcW w:w="2500" w:type="pct"/>
            <w:tcBorders>
              <w:top w:val="single" w:sz="4" w:space="0" w:color="A6A6A6" w:themeColor="background1" w:themeShade="A6"/>
              <w:left w:val="nil"/>
              <w:bottom w:val="single" w:sz="4" w:space="0" w:color="A6A6A6" w:themeColor="background1" w:themeShade="A6"/>
              <w:right w:val="nil"/>
            </w:tcBorders>
            <w:shd w:val="clear" w:color="auto" w:fill="auto"/>
          </w:tcPr>
          <w:p w:rsidR="00926839" w:rsidRPr="00EB1F02" w:rsidRDefault="00926839" w:rsidP="00926839">
            <w:pPr>
              <w:pStyle w:val="TableText"/>
            </w:pPr>
            <w:r w:rsidRPr="00EB1F02">
              <w:t>Develop initiatives that build protective factors, life skills and resilience for people who gamble</w:t>
            </w:r>
            <w:r>
              <w:t>.</w:t>
            </w:r>
          </w:p>
        </w:tc>
      </w:tr>
      <w:tr w:rsidR="00926839" w:rsidRPr="00C10A99" w:rsidTr="00926839">
        <w:trPr>
          <w:cantSplit/>
        </w:trPr>
        <w:tc>
          <w:tcPr>
            <w:tcW w:w="2500" w:type="pct"/>
            <w:tcBorders>
              <w:top w:val="single" w:sz="4" w:space="0" w:color="A6A6A6" w:themeColor="background1" w:themeShade="A6"/>
              <w:left w:val="nil"/>
              <w:right w:val="nil"/>
            </w:tcBorders>
            <w:shd w:val="clear" w:color="auto" w:fill="auto"/>
          </w:tcPr>
          <w:p w:rsidR="00926839" w:rsidRPr="00EB1F02" w:rsidRDefault="00926839" w:rsidP="00926839">
            <w:pPr>
              <w:pStyle w:val="TableText"/>
              <w:ind w:right="113"/>
            </w:pPr>
            <w:r w:rsidRPr="00EB1F02">
              <w:t>Increase the links between services to prevent and minimise gambling harm and broader mental health promotion life skills and resiliency programmes</w:t>
            </w:r>
            <w:r>
              <w:t>.</w:t>
            </w:r>
          </w:p>
        </w:tc>
        <w:tc>
          <w:tcPr>
            <w:tcW w:w="2500" w:type="pct"/>
            <w:tcBorders>
              <w:top w:val="single" w:sz="4" w:space="0" w:color="A6A6A6" w:themeColor="background1" w:themeShade="A6"/>
              <w:left w:val="nil"/>
              <w:right w:val="nil"/>
            </w:tcBorders>
            <w:shd w:val="clear" w:color="auto" w:fill="auto"/>
          </w:tcPr>
          <w:p w:rsidR="00926839" w:rsidRPr="00EB1F02" w:rsidRDefault="00926839" w:rsidP="00926839">
            <w:pPr>
              <w:pStyle w:val="TableText"/>
            </w:pPr>
            <w:r w:rsidRPr="00EB1F02">
              <w:t>Support community-based life skills and resiliency programmes that help people to make healthy choices that prevent and minimise gambling harm</w:t>
            </w:r>
            <w:r>
              <w:t>.</w:t>
            </w:r>
          </w:p>
        </w:tc>
      </w:tr>
    </w:tbl>
    <w:p w:rsidR="00926839" w:rsidRDefault="00926839" w:rsidP="00926839"/>
    <w:p w:rsidR="00926839" w:rsidRPr="00E312E8" w:rsidRDefault="00926839" w:rsidP="00926839">
      <w:pPr>
        <w:pStyle w:val="Heading4"/>
      </w:pPr>
      <w:r w:rsidRPr="00E312E8">
        <w:t xml:space="preserve">Underlying principles: People-powered / </w:t>
      </w:r>
      <w:proofErr w:type="spellStart"/>
      <w:r w:rsidRPr="00E312E8">
        <w:t>Mā</w:t>
      </w:r>
      <w:proofErr w:type="spellEnd"/>
      <w:r w:rsidRPr="00E312E8">
        <w:t xml:space="preserve"> </w:t>
      </w:r>
      <w:proofErr w:type="spellStart"/>
      <w:proofErr w:type="gramStart"/>
      <w:r w:rsidRPr="00E312E8">
        <w:t>te</w:t>
      </w:r>
      <w:proofErr w:type="spellEnd"/>
      <w:proofErr w:type="gramEnd"/>
      <w:r w:rsidRPr="00E312E8">
        <w:t xml:space="preserve"> iwi </w:t>
      </w:r>
      <w:proofErr w:type="spellStart"/>
      <w:r w:rsidRPr="00E312E8">
        <w:t>hei</w:t>
      </w:r>
      <w:proofErr w:type="spellEnd"/>
      <w:r w:rsidRPr="00E312E8">
        <w:t xml:space="preserve"> </w:t>
      </w:r>
      <w:proofErr w:type="spellStart"/>
      <w:r w:rsidRPr="00E312E8">
        <w:t>kawe</w:t>
      </w:r>
      <w:proofErr w:type="spellEnd"/>
    </w:p>
    <w:p w:rsidR="00926839" w:rsidRDefault="00926839" w:rsidP="00926839">
      <w:r w:rsidRPr="00C10A99">
        <w:t>The health system plays an important role in health literacy – providing people with the information they need to fully understand issues to do with health and wellness, including how to be healthy, access health services and manage their own health care.</w:t>
      </w:r>
    </w:p>
    <w:p w:rsidR="00926839" w:rsidRDefault="00926839" w:rsidP="00926839"/>
    <w:p w:rsidR="00926839" w:rsidRDefault="00926839" w:rsidP="00926839">
      <w:r w:rsidRPr="00C10A99">
        <w:t xml:space="preserve">To improve health literacy, service providers need to work in partnership with service users, supporting and encouraging them to be </w:t>
      </w:r>
      <w:r>
        <w:t>‘</w:t>
      </w:r>
      <w:r w:rsidRPr="00C10A99">
        <w:t>health smart</w:t>
      </w:r>
      <w:r>
        <w:t>’</w:t>
      </w:r>
      <w:r w:rsidRPr="00C10A99">
        <w:t>.</w:t>
      </w:r>
    </w:p>
    <w:p w:rsidR="00CB68A7" w:rsidRDefault="00CB68A7" w:rsidP="00B75CBC"/>
    <w:p w:rsidR="00CB68A7" w:rsidRPr="00E312E8" w:rsidRDefault="00CB68A7" w:rsidP="00B75CBC">
      <w:pPr>
        <w:pStyle w:val="Heading3"/>
      </w:pPr>
      <w:r w:rsidRPr="00C10A99">
        <w:t>Objective 6:</w:t>
      </w:r>
      <w:r w:rsidR="00B75CBC">
        <w:t xml:space="preserve"> </w:t>
      </w:r>
      <w:r w:rsidRPr="00E312E8">
        <w:t>A skilled workforce is developed to deliver effective services</w:t>
      </w:r>
    </w:p>
    <w:p w:rsidR="00EC3578" w:rsidRDefault="00CB68A7" w:rsidP="00B75CBC">
      <w:r w:rsidRPr="00E312E8">
        <w:t>The Ministry expects</w:t>
      </w:r>
      <w:r>
        <w:t xml:space="preserve"> the </w:t>
      </w:r>
      <w:r w:rsidRPr="00E312E8">
        <w:t>gambling harm workforce to have a robust health equity, cultural competency and healt</w:t>
      </w:r>
      <w:r w:rsidRPr="00C10A99">
        <w:t>h literacy focus</w:t>
      </w:r>
      <w:r>
        <w:t xml:space="preserve"> to prevent and reduce gambling harm. </w:t>
      </w:r>
      <w:r w:rsidRPr="00C10A99">
        <w:t>Alignment with other relevant services, particularly those in the wider public health, mental health and addiction fields, is essential in order to deliver cost-effective, responsive and holistic services.</w:t>
      </w:r>
    </w:p>
    <w:p w:rsidR="00B75CBC" w:rsidRDefault="00B75CBC" w:rsidP="00B75CBC"/>
    <w:p w:rsidR="00CB68A7" w:rsidRDefault="00CB68A7" w:rsidP="00B75CBC">
      <w:r w:rsidRPr="00C10A99">
        <w:t xml:space="preserve">The Ministry has worked with the gambling harm sector to identify the core competencies (including cultural competencies) required for the public health workforce. The focus for the draft </w:t>
      </w:r>
      <w:r>
        <w:t>s</w:t>
      </w:r>
      <w:r w:rsidRPr="00C10A99">
        <w:t xml:space="preserve">trategic </w:t>
      </w:r>
      <w:r>
        <w:t>p</w:t>
      </w:r>
      <w:r w:rsidRPr="00C10A99">
        <w:t xml:space="preserve">lan is to increase uptake of a training programme to ensure that members of the workforce demonstrate those core competencies and have achieved, or are on a pathway to achieving, appropriate qualifications. A review of </w:t>
      </w:r>
      <w:proofErr w:type="spellStart"/>
      <w:r w:rsidRPr="00C10A99">
        <w:rPr>
          <w:i/>
        </w:rPr>
        <w:t>Te</w:t>
      </w:r>
      <w:proofErr w:type="spellEnd"/>
      <w:r w:rsidRPr="00C10A99">
        <w:rPr>
          <w:i/>
        </w:rPr>
        <w:t xml:space="preserve"> </w:t>
      </w:r>
      <w:proofErr w:type="spellStart"/>
      <w:r w:rsidRPr="00C10A99">
        <w:rPr>
          <w:i/>
        </w:rPr>
        <w:t>Uru</w:t>
      </w:r>
      <w:proofErr w:type="spellEnd"/>
      <w:r w:rsidRPr="00C10A99">
        <w:rPr>
          <w:i/>
        </w:rPr>
        <w:t xml:space="preserve"> Kahikatea: The Public Health Workforce Development Plan </w:t>
      </w:r>
      <w:r w:rsidRPr="00522D2F">
        <w:t>(Ministry of Health 2007)</w:t>
      </w:r>
      <w:r>
        <w:rPr>
          <w:i/>
        </w:rPr>
        <w:t xml:space="preserve"> </w:t>
      </w:r>
      <w:r w:rsidRPr="00C10A99">
        <w:t>is under</w:t>
      </w:r>
      <w:r w:rsidR="00544BE0">
        <w:t xml:space="preserve"> </w:t>
      </w:r>
      <w:r w:rsidRPr="00C10A99">
        <w:t>way. The Ministry will ensure that any changes resulting from that review are taken into account</w:t>
      </w:r>
      <w:r>
        <w:t xml:space="preserve"> in the strategic plan</w:t>
      </w:r>
      <w:r w:rsidRPr="00C10A99">
        <w:t>.</w:t>
      </w:r>
    </w:p>
    <w:p w:rsidR="00B75CBC" w:rsidRPr="00C10A99" w:rsidRDefault="00B75CBC" w:rsidP="00B75CBC"/>
    <w:p w:rsidR="00CB68A7" w:rsidRDefault="00CB68A7" w:rsidP="00B75CBC">
      <w:r w:rsidRPr="00C10A99">
        <w:t xml:space="preserve">For the intervention workforce, the Ministry will focus on training to ensure that all practitioners demonstrate the gambling harm competencies under the Addiction </w:t>
      </w:r>
      <w:r>
        <w:t xml:space="preserve">Intervention </w:t>
      </w:r>
      <w:r w:rsidRPr="00C10A99">
        <w:t>Competency Framework</w:t>
      </w:r>
      <w:r>
        <w:t xml:space="preserve"> (DAPAANZ 2011)</w:t>
      </w:r>
      <w:r w:rsidRPr="00C10A99">
        <w:t>. The Ministry</w:t>
      </w:r>
      <w:r w:rsidR="00EC3578">
        <w:t>’</w:t>
      </w:r>
      <w:r w:rsidRPr="00C10A99">
        <w:t>s expectation is that all intervention practitioners will be registered as health practitioners permitted to practise within a relevant scope of practice under the Health Practitioners Competence Assurance Act 2003 or will be registered or endorsed by</w:t>
      </w:r>
      <w:r w:rsidR="00EC3578">
        <w:t xml:space="preserve"> </w:t>
      </w:r>
      <w:r>
        <w:t>the Addiction Practitioners</w:t>
      </w:r>
      <w:r w:rsidR="00EC3578">
        <w:t>’</w:t>
      </w:r>
      <w:r>
        <w:t xml:space="preserve"> Association </w:t>
      </w:r>
      <w:proofErr w:type="spellStart"/>
      <w:r>
        <w:t>Aotearoa</w:t>
      </w:r>
      <w:proofErr w:type="spellEnd"/>
      <w:r>
        <w:t xml:space="preserve"> New Zealand </w:t>
      </w:r>
      <w:r>
        <w:lastRenderedPageBreak/>
        <w:t>(</w:t>
      </w:r>
      <w:r w:rsidRPr="00C10A99">
        <w:t>DAPAANZ</w:t>
      </w:r>
      <w:r>
        <w:t>)</w:t>
      </w:r>
      <w:r w:rsidRPr="00C10A99">
        <w:t xml:space="preserve"> as having demonstrated the relevant specific competencies or will be equivalently registered with another relevant professional organisation (for example, a counsellor registered with the New Zealand Association of Counsellors).</w:t>
      </w:r>
    </w:p>
    <w:p w:rsidR="00B75CBC" w:rsidRDefault="00B75CBC" w:rsidP="00B75CBC"/>
    <w:p w:rsidR="00CB68A7" w:rsidRDefault="00CB68A7" w:rsidP="003824E9">
      <w:r>
        <w:t>The Ministry aims to increase the diversity of the workforce by introducing peer support in the short to medium term. While the development of this workforce will be encouraged, the workforce will not be subject to the same requirements listed above.</w:t>
      </w:r>
    </w:p>
    <w:p w:rsidR="00CB68A7" w:rsidRPr="00C10A99" w:rsidRDefault="00CB68A7" w:rsidP="00B75CBC"/>
    <w:p w:rsidR="00CB68A7" w:rsidRPr="00C10A99" w:rsidRDefault="00CB68A7" w:rsidP="00B75CBC">
      <w:pPr>
        <w:pStyle w:val="Table"/>
      </w:pPr>
      <w:bookmarkStart w:id="66" w:name="_Toc514838694"/>
      <w:bookmarkStart w:id="67" w:name="_Toc517091231"/>
      <w:bookmarkStart w:id="68" w:name="_Toc522089435"/>
      <w:r w:rsidRPr="00C10A99">
        <w:t xml:space="preserve">Table </w:t>
      </w:r>
      <w:r w:rsidRPr="007F7BB3">
        <w:fldChar w:fldCharType="begin"/>
      </w:r>
      <w:r w:rsidRPr="00C10A99">
        <w:instrText xml:space="preserve"> SEQ Table \* ARABIC </w:instrText>
      </w:r>
      <w:r w:rsidRPr="007F7BB3">
        <w:fldChar w:fldCharType="separate"/>
      </w:r>
      <w:r w:rsidR="0012663D">
        <w:rPr>
          <w:noProof/>
        </w:rPr>
        <w:t>6</w:t>
      </w:r>
      <w:r w:rsidRPr="007F7BB3">
        <w:fldChar w:fldCharType="end"/>
      </w:r>
      <w:r w:rsidRPr="00C10A99">
        <w:t>: Objective 6</w:t>
      </w:r>
      <w:r>
        <w:t xml:space="preserve"> p</w:t>
      </w:r>
      <w:r w:rsidRPr="00C10A99">
        <w:t>riorities for action</w:t>
      </w:r>
      <w:bookmarkEnd w:id="66"/>
      <w:bookmarkEnd w:id="67"/>
      <w:bookmarkEnd w:id="68"/>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621"/>
        <w:gridCol w:w="17"/>
        <w:gridCol w:w="4605"/>
      </w:tblGrid>
      <w:tr w:rsidR="00CB68A7" w:rsidRPr="00B75CBC" w:rsidTr="00B75CBC">
        <w:trPr>
          <w:cantSplit/>
        </w:trPr>
        <w:tc>
          <w:tcPr>
            <w:tcW w:w="5000" w:type="pct"/>
            <w:gridSpan w:val="3"/>
            <w:tcBorders>
              <w:left w:val="nil"/>
              <w:bottom w:val="nil"/>
              <w:right w:val="nil"/>
            </w:tcBorders>
            <w:shd w:val="clear" w:color="auto" w:fill="000000" w:themeFill="text1"/>
          </w:tcPr>
          <w:p w:rsidR="00CB68A7" w:rsidRPr="00B75CBC" w:rsidRDefault="00CB68A7" w:rsidP="00B75CBC">
            <w:pPr>
              <w:pStyle w:val="TableText"/>
              <w:rPr>
                <w:b/>
              </w:rPr>
            </w:pPr>
            <w:r w:rsidRPr="00B75CBC">
              <w:rPr>
                <w:b/>
              </w:rPr>
              <w:t>Objective 6: A skilled workforce is developed to deliver effective services to prevent and minimise gambling harm</w:t>
            </w:r>
          </w:p>
        </w:tc>
      </w:tr>
      <w:tr w:rsidR="00CB68A7" w:rsidRPr="00B75CBC" w:rsidTr="00B75CBC">
        <w:trPr>
          <w:cantSplit/>
        </w:trPr>
        <w:tc>
          <w:tcPr>
            <w:tcW w:w="5000" w:type="pct"/>
            <w:gridSpan w:val="3"/>
            <w:tcBorders>
              <w:top w:val="nil"/>
              <w:left w:val="nil"/>
              <w:bottom w:val="nil"/>
              <w:right w:val="nil"/>
            </w:tcBorders>
            <w:shd w:val="clear" w:color="auto" w:fill="D9D9D9" w:themeFill="background1" w:themeFillShade="D9"/>
          </w:tcPr>
          <w:p w:rsidR="00CB68A7" w:rsidRPr="00B75CBC" w:rsidRDefault="00CB68A7" w:rsidP="00B75CBC">
            <w:pPr>
              <w:pStyle w:val="TableText"/>
              <w:jc w:val="center"/>
              <w:rPr>
                <w:b/>
              </w:rPr>
            </w:pPr>
            <w:r w:rsidRPr="00B75CBC">
              <w:rPr>
                <w:b/>
              </w:rPr>
              <w:t>Priorities for action</w:t>
            </w:r>
          </w:p>
        </w:tc>
      </w:tr>
      <w:tr w:rsidR="00CB68A7" w:rsidRPr="00B75CBC" w:rsidTr="00B75CBC">
        <w:trPr>
          <w:cantSplit/>
        </w:trPr>
        <w:tc>
          <w:tcPr>
            <w:tcW w:w="2509" w:type="pct"/>
            <w:gridSpan w:val="2"/>
            <w:tcBorders>
              <w:top w:val="nil"/>
              <w:left w:val="nil"/>
              <w:bottom w:val="single" w:sz="4" w:space="0" w:color="auto"/>
              <w:right w:val="nil"/>
            </w:tcBorders>
            <w:shd w:val="clear" w:color="auto" w:fill="auto"/>
          </w:tcPr>
          <w:p w:rsidR="00CB68A7" w:rsidRPr="00B75CBC" w:rsidRDefault="00CB68A7" w:rsidP="00B75CBC">
            <w:pPr>
              <w:pStyle w:val="TableText"/>
              <w:jc w:val="center"/>
              <w:rPr>
                <w:b/>
              </w:rPr>
            </w:pPr>
            <w:r w:rsidRPr="00B75CBC">
              <w:rPr>
                <w:b/>
              </w:rPr>
              <w:t>Short- to medium-term priorities</w:t>
            </w:r>
          </w:p>
        </w:tc>
        <w:tc>
          <w:tcPr>
            <w:tcW w:w="2491" w:type="pct"/>
            <w:tcBorders>
              <w:top w:val="nil"/>
              <w:left w:val="nil"/>
              <w:bottom w:val="single" w:sz="4" w:space="0" w:color="auto"/>
              <w:right w:val="nil"/>
            </w:tcBorders>
            <w:shd w:val="clear" w:color="auto" w:fill="auto"/>
          </w:tcPr>
          <w:p w:rsidR="00CB68A7" w:rsidRPr="00B75CBC" w:rsidRDefault="00CB68A7" w:rsidP="00B75CBC">
            <w:pPr>
              <w:pStyle w:val="TableText"/>
              <w:jc w:val="center"/>
              <w:rPr>
                <w:b/>
              </w:rPr>
            </w:pPr>
            <w:r w:rsidRPr="00B75CBC">
              <w:rPr>
                <w:b/>
              </w:rPr>
              <w:t>Long-term priorities</w:t>
            </w:r>
          </w:p>
        </w:tc>
      </w:tr>
      <w:tr w:rsidR="00CB68A7" w:rsidRPr="00C10A99" w:rsidTr="00B75CBC">
        <w:trPr>
          <w:cantSplit/>
        </w:trPr>
        <w:tc>
          <w:tcPr>
            <w:tcW w:w="2500" w:type="pct"/>
            <w:tcBorders>
              <w:top w:val="single" w:sz="4" w:space="0" w:color="auto"/>
              <w:left w:val="nil"/>
              <w:bottom w:val="single" w:sz="4" w:space="0" w:color="A6A6A6" w:themeColor="background1" w:themeShade="A6"/>
              <w:right w:val="nil"/>
            </w:tcBorders>
            <w:shd w:val="clear" w:color="auto" w:fill="auto"/>
          </w:tcPr>
          <w:p w:rsidR="00CB68A7" w:rsidRPr="00EB1F02" w:rsidRDefault="00CB68A7" w:rsidP="00B75CBC">
            <w:pPr>
              <w:pStyle w:val="TableText"/>
            </w:pPr>
            <w:r w:rsidRPr="00EB1F02">
              <w:t>Continue and increase uptake of training for staff working within services to prevent and minimise gambling harm</w:t>
            </w:r>
            <w:r>
              <w:t>.</w:t>
            </w:r>
          </w:p>
        </w:tc>
        <w:tc>
          <w:tcPr>
            <w:tcW w:w="2500" w:type="pct"/>
            <w:gridSpan w:val="2"/>
            <w:tcBorders>
              <w:top w:val="single" w:sz="4" w:space="0" w:color="auto"/>
              <w:left w:val="nil"/>
              <w:bottom w:val="single" w:sz="4" w:space="0" w:color="A6A6A6" w:themeColor="background1" w:themeShade="A6"/>
              <w:right w:val="nil"/>
            </w:tcBorders>
            <w:shd w:val="clear" w:color="auto" w:fill="auto"/>
          </w:tcPr>
          <w:p w:rsidR="00CB68A7" w:rsidRPr="00EB1F02" w:rsidRDefault="00CB68A7" w:rsidP="00B75CBC">
            <w:pPr>
              <w:pStyle w:val="TableText"/>
            </w:pPr>
            <w:r w:rsidRPr="00EB1F02">
              <w:t xml:space="preserve">Identify and implement workforce development training, career pathways and training opportunities for staff working within services to prevent and minimise gambling harm, so that all </w:t>
            </w:r>
            <w:r>
              <w:t xml:space="preserve">staff </w:t>
            </w:r>
            <w:r w:rsidRPr="00EB1F02">
              <w:t>demonstrate the required competencies and have relevant qualifications, registration or endorsement</w:t>
            </w:r>
            <w:r>
              <w:t>.</w:t>
            </w:r>
          </w:p>
        </w:tc>
      </w:tr>
      <w:tr w:rsidR="00CB68A7" w:rsidRPr="00C10A99" w:rsidTr="00B75CBC">
        <w:trPr>
          <w:cantSplit/>
        </w:trPr>
        <w:tc>
          <w:tcPr>
            <w:tcW w:w="2500" w:type="pct"/>
            <w:tcBorders>
              <w:top w:val="single" w:sz="4" w:space="0" w:color="A6A6A6" w:themeColor="background1" w:themeShade="A6"/>
              <w:left w:val="nil"/>
              <w:right w:val="nil"/>
            </w:tcBorders>
            <w:shd w:val="clear" w:color="auto" w:fill="auto"/>
          </w:tcPr>
          <w:p w:rsidR="00CB68A7" w:rsidRPr="00EB1F02" w:rsidRDefault="00CB68A7" w:rsidP="00B75CBC">
            <w:pPr>
              <w:pStyle w:val="TableText"/>
            </w:pPr>
            <w:r>
              <w:t>Support the introduction and training of peer support and other allied health workers where appropriate.</w:t>
            </w:r>
          </w:p>
        </w:tc>
        <w:tc>
          <w:tcPr>
            <w:tcW w:w="2500" w:type="pct"/>
            <w:gridSpan w:val="2"/>
            <w:tcBorders>
              <w:top w:val="single" w:sz="4" w:space="0" w:color="A6A6A6" w:themeColor="background1" w:themeShade="A6"/>
              <w:left w:val="nil"/>
              <w:right w:val="nil"/>
            </w:tcBorders>
            <w:shd w:val="clear" w:color="auto" w:fill="auto"/>
          </w:tcPr>
          <w:p w:rsidR="00CB68A7" w:rsidRPr="00EB1F02" w:rsidRDefault="00CB68A7" w:rsidP="00B75CBC">
            <w:pPr>
              <w:pStyle w:val="TableText"/>
            </w:pPr>
          </w:p>
        </w:tc>
      </w:tr>
    </w:tbl>
    <w:p w:rsidR="00B75CBC" w:rsidRDefault="00B75CBC" w:rsidP="00B75CBC"/>
    <w:p w:rsidR="00CB68A7" w:rsidRPr="00E312E8" w:rsidRDefault="00CB68A7" w:rsidP="00B75CBC">
      <w:pPr>
        <w:pStyle w:val="Heading4"/>
      </w:pPr>
      <w:r w:rsidRPr="00E312E8">
        <w:t xml:space="preserve">Underlying principles: One Team / Kotahi </w:t>
      </w:r>
      <w:proofErr w:type="spellStart"/>
      <w:proofErr w:type="gramStart"/>
      <w:r w:rsidRPr="00E312E8">
        <w:t>te</w:t>
      </w:r>
      <w:proofErr w:type="spellEnd"/>
      <w:proofErr w:type="gramEnd"/>
      <w:r w:rsidRPr="00E312E8">
        <w:t xml:space="preserve"> </w:t>
      </w:r>
      <w:proofErr w:type="spellStart"/>
      <w:r w:rsidRPr="00E312E8">
        <w:t>tīma</w:t>
      </w:r>
      <w:proofErr w:type="spellEnd"/>
    </w:p>
    <w:p w:rsidR="00CB68A7" w:rsidRDefault="00CB68A7" w:rsidP="00B75CBC">
      <w:r w:rsidRPr="00E312E8">
        <w:t xml:space="preserve">It is important that our </w:t>
      </w:r>
      <w:r w:rsidRPr="00B47FDC">
        <w:t>workforce</w:t>
      </w:r>
      <w:r w:rsidRPr="00C10A99">
        <w:t xml:space="preserve"> has the capacity and capability to meet New Zealand</w:t>
      </w:r>
      <w:r w:rsidR="00EC3578">
        <w:t>’</w:t>
      </w:r>
      <w:r w:rsidRPr="00C10A99">
        <w:t>s current and future needs. This mean</w:t>
      </w:r>
      <w:r>
        <w:t>s</w:t>
      </w:r>
      <w:r w:rsidRPr="00C10A99">
        <w:t xml:space="preserve"> developing and strengthening </w:t>
      </w:r>
      <w:r>
        <w:t>people</w:t>
      </w:r>
      <w:r w:rsidR="00EC3578">
        <w:t>’</w:t>
      </w:r>
      <w:r>
        <w:t>s</w:t>
      </w:r>
      <w:r w:rsidRPr="00C10A99">
        <w:t xml:space="preserve"> capability </w:t>
      </w:r>
      <w:r>
        <w:t>and skills</w:t>
      </w:r>
      <w:r w:rsidRPr="00C10A99">
        <w:t>, in particular the capability of community</w:t>
      </w:r>
      <w:r>
        <w:t>-</w:t>
      </w:r>
      <w:r w:rsidRPr="00C10A99">
        <w:t xml:space="preserve">based </w:t>
      </w:r>
      <w:r>
        <w:t>non-governmental organisation (</w:t>
      </w:r>
      <w:r w:rsidRPr="00C10A99">
        <w:t>NGO</w:t>
      </w:r>
      <w:r>
        <w:t>)</w:t>
      </w:r>
      <w:r w:rsidRPr="00C10A99">
        <w:t xml:space="preserve"> providers. </w:t>
      </w:r>
      <w:r>
        <w:t xml:space="preserve">It </w:t>
      </w:r>
      <w:r w:rsidRPr="00C10A99">
        <w:t xml:space="preserve">involves developing both people and their infrastructure to enable </w:t>
      </w:r>
      <w:r>
        <w:t>people</w:t>
      </w:r>
      <w:r w:rsidRPr="00C10A99">
        <w:t xml:space="preserve"> to work to their full potential</w:t>
      </w:r>
      <w:r>
        <w:t xml:space="preserve"> and deliver efficient and effective gambling harm reduction services</w:t>
      </w:r>
      <w:r w:rsidRPr="00C10A99">
        <w:t>.</w:t>
      </w:r>
    </w:p>
    <w:p w:rsidR="00926839" w:rsidRPr="00C10A99" w:rsidRDefault="00926839" w:rsidP="00B75CBC"/>
    <w:p w:rsidR="00926839" w:rsidRPr="002B49A0" w:rsidRDefault="00926839" w:rsidP="00926839">
      <w:pPr>
        <w:pStyle w:val="Heading3"/>
      </w:pPr>
      <w:r w:rsidRPr="00C10A99">
        <w:t xml:space="preserve">Objective </w:t>
      </w:r>
      <w:r>
        <w:t>7</w:t>
      </w:r>
      <w:r w:rsidRPr="00C10A99">
        <w:t>:</w:t>
      </w:r>
      <w:r>
        <w:t xml:space="preserve"> Services enhance people’s mana and build life skills and resiliency to improve healthy choices</w:t>
      </w:r>
    </w:p>
    <w:p w:rsidR="00926839" w:rsidRPr="00E312E8" w:rsidRDefault="00926839" w:rsidP="00926839">
      <w:r>
        <w:t xml:space="preserve">This objective recognises that </w:t>
      </w:r>
      <w:r w:rsidRPr="00E312E8">
        <w:t>Government, the gambling sector, communities, families/</w:t>
      </w:r>
      <w:proofErr w:type="spellStart"/>
      <w:r w:rsidRPr="00E312E8">
        <w:t>whānau</w:t>
      </w:r>
      <w:proofErr w:type="spellEnd"/>
      <w:r w:rsidRPr="00E312E8">
        <w:t xml:space="preserve"> and individuals </w:t>
      </w:r>
      <w:r>
        <w:t xml:space="preserve">must </w:t>
      </w:r>
      <w:r w:rsidRPr="00E312E8">
        <w:t xml:space="preserve">understand and </w:t>
      </w:r>
      <w:r>
        <w:t xml:space="preserve">be able to address </w:t>
      </w:r>
      <w:r w:rsidRPr="00E312E8">
        <w:t xml:space="preserve">the range of gambling harms that </w:t>
      </w:r>
      <w:r>
        <w:t xml:space="preserve">can </w:t>
      </w:r>
      <w:r w:rsidRPr="00E312E8">
        <w:t>affect individuals, families/</w:t>
      </w:r>
      <w:proofErr w:type="spellStart"/>
      <w:r w:rsidRPr="00E312E8">
        <w:t>whānau</w:t>
      </w:r>
      <w:proofErr w:type="spellEnd"/>
      <w:r w:rsidRPr="00E312E8">
        <w:t xml:space="preserve"> and communities</w:t>
      </w:r>
      <w:r>
        <w:t>.</w:t>
      </w:r>
    </w:p>
    <w:p w:rsidR="00926839" w:rsidRDefault="00926839" w:rsidP="00926839"/>
    <w:p w:rsidR="00926839" w:rsidRDefault="00926839" w:rsidP="00926839">
      <w:r w:rsidRPr="00E312E8">
        <w:t>A key aspect of the Ministry</w:t>
      </w:r>
      <w:r>
        <w:t>’</w:t>
      </w:r>
      <w:r w:rsidRPr="00E312E8">
        <w:t>s public health activity has been raising awareness of the harms arising from gambling. The Ministry will continue to fund a multi-media drive to raise awareness, de-stigmatise the issue and encourage people to seek help. Highlighting the actions expected and required of ga</w:t>
      </w:r>
      <w:r w:rsidRPr="00C10A99">
        <w:t>mbling venues as responsible hosts will also be a key focus.</w:t>
      </w:r>
    </w:p>
    <w:p w:rsidR="00926839" w:rsidRPr="00C10A99" w:rsidRDefault="00926839" w:rsidP="00926839"/>
    <w:p w:rsidR="00926839" w:rsidRPr="00C10A99" w:rsidRDefault="00926839" w:rsidP="00926839">
      <w:r w:rsidRPr="00C10A99">
        <w:t>The Ministry will continue to focus on increasing buy-in from the wider government sector at a central level, to better address the wider issues associated with gambling harm. The Ministry will continue to work closely with other government agencies. There is still considerable scope for wider screening of individuals and populations at risk of gambling harm, through work with other agencies.</w:t>
      </w:r>
    </w:p>
    <w:p w:rsidR="00926839" w:rsidRPr="00C10A99" w:rsidRDefault="00926839" w:rsidP="00926839"/>
    <w:p w:rsidR="00926839" w:rsidRPr="00B75CBC" w:rsidRDefault="00926839" w:rsidP="00926839">
      <w:pPr>
        <w:pStyle w:val="Table"/>
      </w:pPr>
      <w:bookmarkStart w:id="69" w:name="_Toc514838693"/>
      <w:bookmarkStart w:id="70" w:name="_Toc517091230"/>
      <w:bookmarkStart w:id="71" w:name="_Toc522089436"/>
      <w:r w:rsidRPr="00C10A99">
        <w:lastRenderedPageBreak/>
        <w:t xml:space="preserve">Table </w:t>
      </w:r>
      <w:r w:rsidRPr="007F7BB3">
        <w:fldChar w:fldCharType="begin"/>
      </w:r>
      <w:r w:rsidRPr="00C10A99">
        <w:instrText xml:space="preserve"> SEQ Table \* ARABIC </w:instrText>
      </w:r>
      <w:r w:rsidRPr="007F7BB3">
        <w:fldChar w:fldCharType="separate"/>
      </w:r>
      <w:r w:rsidR="0012663D">
        <w:rPr>
          <w:noProof/>
        </w:rPr>
        <w:t>7</w:t>
      </w:r>
      <w:r w:rsidRPr="007F7BB3">
        <w:fldChar w:fldCharType="end"/>
      </w:r>
      <w:r w:rsidRPr="00C10A99">
        <w:t xml:space="preserve">: Objective </w:t>
      </w:r>
      <w:r w:rsidR="00F95E6B">
        <w:t xml:space="preserve">7 </w:t>
      </w:r>
      <w:r>
        <w:t>p</w:t>
      </w:r>
      <w:r w:rsidRPr="00C10A99">
        <w:t>riorities for action</w:t>
      </w:r>
      <w:bookmarkEnd w:id="69"/>
      <w:bookmarkEnd w:id="70"/>
      <w:bookmarkEnd w:id="71"/>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638"/>
        <w:gridCol w:w="4605"/>
      </w:tblGrid>
      <w:tr w:rsidR="00926839" w:rsidRPr="00B75CBC" w:rsidTr="00926839">
        <w:trPr>
          <w:cantSplit/>
        </w:trPr>
        <w:tc>
          <w:tcPr>
            <w:tcW w:w="5000" w:type="pct"/>
            <w:gridSpan w:val="2"/>
            <w:tcBorders>
              <w:left w:val="nil"/>
              <w:bottom w:val="single" w:sz="4" w:space="0" w:color="auto"/>
              <w:right w:val="nil"/>
            </w:tcBorders>
            <w:shd w:val="clear" w:color="auto" w:fill="000000" w:themeFill="text1"/>
          </w:tcPr>
          <w:p w:rsidR="00926839" w:rsidRPr="00B75CBC" w:rsidRDefault="00926839" w:rsidP="00926839">
            <w:pPr>
              <w:pStyle w:val="TableText"/>
              <w:keepNext/>
              <w:rPr>
                <w:rFonts w:cs="Arial"/>
                <w:b/>
              </w:rPr>
            </w:pPr>
            <w:r w:rsidRPr="00B75CBC">
              <w:rPr>
                <w:b/>
              </w:rPr>
              <w:t>Objective 5: Services enhance people’s mana and build life skills and resiliency to improve healthy choices that prevent and minimise gambling harm</w:t>
            </w:r>
          </w:p>
        </w:tc>
      </w:tr>
      <w:tr w:rsidR="00926839" w:rsidRPr="00B75CBC" w:rsidTr="00926839">
        <w:trPr>
          <w:cantSplit/>
        </w:trPr>
        <w:tc>
          <w:tcPr>
            <w:tcW w:w="5000" w:type="pct"/>
            <w:gridSpan w:val="2"/>
            <w:tcBorders>
              <w:top w:val="single" w:sz="4" w:space="0" w:color="auto"/>
              <w:left w:val="nil"/>
              <w:bottom w:val="nil"/>
              <w:right w:val="nil"/>
            </w:tcBorders>
            <w:shd w:val="clear" w:color="auto" w:fill="D9D9D9" w:themeFill="background1" w:themeFillShade="D9"/>
          </w:tcPr>
          <w:p w:rsidR="00926839" w:rsidRPr="00B75CBC" w:rsidRDefault="00926839" w:rsidP="00926839">
            <w:pPr>
              <w:pStyle w:val="TableText"/>
              <w:keepNext/>
              <w:jc w:val="center"/>
              <w:rPr>
                <w:b/>
              </w:rPr>
            </w:pPr>
            <w:r w:rsidRPr="00B75CBC">
              <w:rPr>
                <w:b/>
              </w:rPr>
              <w:t>Priorities for action</w:t>
            </w:r>
          </w:p>
        </w:tc>
      </w:tr>
      <w:tr w:rsidR="00926839" w:rsidRPr="00B75CBC" w:rsidTr="00926839">
        <w:trPr>
          <w:cantSplit/>
        </w:trPr>
        <w:tc>
          <w:tcPr>
            <w:tcW w:w="2509" w:type="pct"/>
            <w:tcBorders>
              <w:top w:val="nil"/>
              <w:left w:val="nil"/>
              <w:bottom w:val="single" w:sz="4" w:space="0" w:color="auto"/>
              <w:right w:val="nil"/>
            </w:tcBorders>
            <w:shd w:val="clear" w:color="auto" w:fill="auto"/>
          </w:tcPr>
          <w:p w:rsidR="00926839" w:rsidRPr="00B75CBC" w:rsidRDefault="00926839" w:rsidP="00926839">
            <w:pPr>
              <w:pStyle w:val="TableText"/>
              <w:keepNext/>
              <w:jc w:val="center"/>
              <w:rPr>
                <w:b/>
              </w:rPr>
            </w:pPr>
            <w:r w:rsidRPr="00B75CBC">
              <w:rPr>
                <w:b/>
              </w:rPr>
              <w:t>Short- to medium-term priorities</w:t>
            </w:r>
          </w:p>
        </w:tc>
        <w:tc>
          <w:tcPr>
            <w:tcW w:w="2491" w:type="pct"/>
            <w:tcBorders>
              <w:top w:val="nil"/>
              <w:left w:val="nil"/>
              <w:bottom w:val="single" w:sz="4" w:space="0" w:color="auto"/>
              <w:right w:val="nil"/>
            </w:tcBorders>
            <w:shd w:val="clear" w:color="auto" w:fill="auto"/>
          </w:tcPr>
          <w:p w:rsidR="00926839" w:rsidRPr="00B75CBC" w:rsidRDefault="00926839" w:rsidP="00926839">
            <w:pPr>
              <w:pStyle w:val="TableText"/>
              <w:keepNext/>
              <w:jc w:val="center"/>
              <w:rPr>
                <w:b/>
              </w:rPr>
            </w:pPr>
            <w:r w:rsidRPr="00B75CBC">
              <w:rPr>
                <w:b/>
              </w:rPr>
              <w:t>Long-term priorities</w:t>
            </w:r>
          </w:p>
        </w:tc>
      </w:tr>
      <w:tr w:rsidR="00926839" w:rsidRPr="00C10A99" w:rsidTr="00926839">
        <w:trPr>
          <w:cantSplit/>
        </w:trPr>
        <w:tc>
          <w:tcPr>
            <w:tcW w:w="5000" w:type="pct"/>
            <w:gridSpan w:val="2"/>
            <w:tcBorders>
              <w:top w:val="single" w:sz="4" w:space="0" w:color="auto"/>
              <w:left w:val="nil"/>
              <w:bottom w:val="single" w:sz="4" w:space="0" w:color="A6A6A6" w:themeColor="background1" w:themeShade="A6"/>
              <w:right w:val="nil"/>
            </w:tcBorders>
            <w:shd w:val="clear" w:color="auto" w:fill="auto"/>
          </w:tcPr>
          <w:p w:rsidR="00926839" w:rsidRPr="00EB1F02" w:rsidRDefault="00926839" w:rsidP="00926839">
            <w:pPr>
              <w:pStyle w:val="TableText"/>
              <w:keepNext/>
            </w:pPr>
            <w:r w:rsidRPr="00EB1F02">
              <w:t>Identify, monitor and provide information and education on the impacts of gambling, including the range of gambling harms that affect individuals, families/</w:t>
            </w:r>
            <w:proofErr w:type="spellStart"/>
            <w:r w:rsidRPr="00EB1F02">
              <w:t>whānau</w:t>
            </w:r>
            <w:proofErr w:type="spellEnd"/>
            <w:r w:rsidRPr="00EB1F02">
              <w:t xml:space="preserve"> and communities</w:t>
            </w:r>
            <w:r>
              <w:t>.</w:t>
            </w:r>
          </w:p>
        </w:tc>
      </w:tr>
      <w:tr w:rsidR="00926839" w:rsidRPr="00C10A99" w:rsidTr="00926839">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926839" w:rsidRPr="00EB1F02" w:rsidRDefault="00926839" w:rsidP="00926839">
            <w:pPr>
              <w:pStyle w:val="TableText"/>
              <w:keepNext/>
            </w:pPr>
            <w:r w:rsidRPr="00EB1F02">
              <w:t>Support communities to incorporate a robust understanding of gambling harm into community social initiatives and public service delivery</w:t>
            </w:r>
            <w:r>
              <w:t>.</w:t>
            </w:r>
          </w:p>
        </w:tc>
      </w:tr>
      <w:tr w:rsidR="00926839" w:rsidRPr="00C10A99" w:rsidTr="00926839">
        <w:trPr>
          <w:cantSplit/>
        </w:trPr>
        <w:tc>
          <w:tcPr>
            <w:tcW w:w="5000" w:type="pct"/>
            <w:gridSpan w:val="2"/>
            <w:tcBorders>
              <w:top w:val="single" w:sz="4" w:space="0" w:color="A6A6A6" w:themeColor="background1" w:themeShade="A6"/>
              <w:left w:val="nil"/>
              <w:bottom w:val="single" w:sz="4" w:space="0" w:color="auto"/>
              <w:right w:val="nil"/>
            </w:tcBorders>
            <w:shd w:val="clear" w:color="auto" w:fill="auto"/>
          </w:tcPr>
          <w:p w:rsidR="00926839" w:rsidRPr="00EB1F02" w:rsidRDefault="00926839" w:rsidP="00926839">
            <w:pPr>
              <w:pStyle w:val="TableText"/>
            </w:pPr>
            <w:r w:rsidRPr="00EB1F02">
              <w:t xml:space="preserve">Together with the </w:t>
            </w:r>
            <w:r>
              <w:t>HPA</w:t>
            </w:r>
            <w:r w:rsidRPr="00EB1F02">
              <w:t xml:space="preserve"> and </w:t>
            </w:r>
            <w:r>
              <w:t xml:space="preserve">the </w:t>
            </w:r>
            <w:r w:rsidRPr="00EB1F02">
              <w:t>DIA, support gambling operators and gambling venue operators to incorporate a robust understanding of gambling harm into their operations and activities</w:t>
            </w:r>
            <w:r>
              <w:t>, to improve their ability to recognise and respond to indicators of gambling harm.</w:t>
            </w:r>
          </w:p>
        </w:tc>
      </w:tr>
    </w:tbl>
    <w:p w:rsidR="00926839" w:rsidRPr="00E312E8" w:rsidRDefault="00926839" w:rsidP="00926839"/>
    <w:p w:rsidR="00926839" w:rsidRPr="00E312E8" w:rsidRDefault="00926839" w:rsidP="00926839">
      <w:pPr>
        <w:pStyle w:val="Heading4"/>
      </w:pPr>
      <w:r w:rsidRPr="00E312E8">
        <w:t xml:space="preserve">Underlying principles: One team / Kotahi </w:t>
      </w:r>
      <w:proofErr w:type="spellStart"/>
      <w:proofErr w:type="gramStart"/>
      <w:r w:rsidRPr="00E312E8">
        <w:t>te</w:t>
      </w:r>
      <w:proofErr w:type="spellEnd"/>
      <w:proofErr w:type="gramEnd"/>
      <w:r w:rsidRPr="00E312E8">
        <w:t xml:space="preserve"> </w:t>
      </w:r>
      <w:proofErr w:type="spellStart"/>
      <w:r w:rsidRPr="00E312E8">
        <w:t>tīma</w:t>
      </w:r>
      <w:proofErr w:type="spellEnd"/>
    </w:p>
    <w:p w:rsidR="00926839" w:rsidRDefault="00926839" w:rsidP="00926839">
      <w:r w:rsidRPr="00E312E8">
        <w:t>The Ministry is working to build a more cohesive</w:t>
      </w:r>
      <w:r>
        <w:t xml:space="preserve">, integrated and </w:t>
      </w:r>
      <w:r w:rsidRPr="00E312E8">
        <w:t>collaborative</w:t>
      </w:r>
      <w:r w:rsidRPr="00B47FDC">
        <w:t xml:space="preserve"> approach across the health and disability system </w:t>
      </w:r>
      <w:r>
        <w:t xml:space="preserve">and </w:t>
      </w:r>
      <w:r w:rsidRPr="00B47FDC">
        <w:t>towards shared goals and beyond organisational boundaries to proactively help p</w:t>
      </w:r>
      <w:r w:rsidRPr="00C10A99">
        <w:t>eople and populations in need.</w:t>
      </w:r>
    </w:p>
    <w:p w:rsidR="00926839" w:rsidRDefault="00926839" w:rsidP="00926839"/>
    <w:p w:rsidR="00926839" w:rsidRDefault="00926839" w:rsidP="00926839">
      <w:r>
        <w:t>Building on the experience in the addictions sector in particular (addressing harms from alcohol, tobacco and drugs), the Ministry will encourage appropriate collaborative partnerships among services providers and related stakeholders.</w:t>
      </w:r>
    </w:p>
    <w:p w:rsidR="00CB68A7" w:rsidRPr="00C10A99" w:rsidRDefault="00CB68A7" w:rsidP="00B75CBC"/>
    <w:p w:rsidR="00CB68A7" w:rsidRPr="00B47FDC" w:rsidRDefault="00CB68A7" w:rsidP="00B75CBC">
      <w:pPr>
        <w:pStyle w:val="Heading3"/>
      </w:pPr>
      <w:r w:rsidRPr="00C10A99">
        <w:t>Objective 8:</w:t>
      </w:r>
      <w:r w:rsidR="00B75CBC">
        <w:t xml:space="preserve"> </w:t>
      </w:r>
      <w:r w:rsidRPr="00E312E8">
        <w:t>Gambling environments are designed to prevent and minimise gambling harm</w:t>
      </w:r>
    </w:p>
    <w:p w:rsidR="00CB68A7" w:rsidRPr="00C10A99" w:rsidRDefault="00CB68A7" w:rsidP="00B75CBC">
      <w:r w:rsidRPr="00C10A99">
        <w:t>There is compelling evidence that certain types of gambling are more likely to be associated with harm than others.</w:t>
      </w:r>
    </w:p>
    <w:p w:rsidR="00B75CBC" w:rsidRDefault="00B75CBC" w:rsidP="00B75CBC"/>
    <w:p w:rsidR="00CB68A7" w:rsidRPr="00C10A99" w:rsidRDefault="00CB68A7" w:rsidP="00B75CBC">
      <w:r w:rsidRPr="00C10A99">
        <w:t>The Ministry will continue to focus on gambling technolog</w:t>
      </w:r>
      <w:r>
        <w:t>ies</w:t>
      </w:r>
      <w:r w:rsidRPr="00C10A99">
        <w:t xml:space="preserve"> and environments over the course of this </w:t>
      </w:r>
      <w:r>
        <w:t>s</w:t>
      </w:r>
      <w:r w:rsidRPr="00C10A99">
        <w:t xml:space="preserve">trategic </w:t>
      </w:r>
      <w:r>
        <w:t>p</w:t>
      </w:r>
      <w:r w:rsidRPr="00C10A99">
        <w:t>lan. It will continue to advocate for technological and/or environmental changes to gambling environments that are likely to have a positive effect on gambling behaviour and be cost</w:t>
      </w:r>
      <w:r>
        <w:t xml:space="preserve"> </w:t>
      </w:r>
      <w:r w:rsidRPr="00C10A99">
        <w:t xml:space="preserve">effective. This will include exploring </w:t>
      </w:r>
      <w:r>
        <w:t xml:space="preserve">the value and merit of using </w:t>
      </w:r>
      <w:r w:rsidRPr="00C10A99">
        <w:t>facial recognition software</w:t>
      </w:r>
      <w:r>
        <w:t xml:space="preserve"> as a tool to promote treatment and administrative efficiency respectively</w:t>
      </w:r>
      <w:r w:rsidRPr="00C10A99">
        <w:t>.</w:t>
      </w:r>
    </w:p>
    <w:p w:rsidR="00B75CBC" w:rsidRDefault="00B75CBC" w:rsidP="00B75CBC"/>
    <w:p w:rsidR="00CB68A7" w:rsidRDefault="00CB68A7" w:rsidP="00B75CBC">
      <w:r w:rsidRPr="00C10A99">
        <w:t>Gambling venues are one of the best environments in which to observe, identify and intervene in potentially harmful gambling. The Ministry</w:t>
      </w:r>
      <w:r>
        <w:t>,</w:t>
      </w:r>
      <w:r w:rsidRPr="00C10A99">
        <w:t xml:space="preserve"> </w:t>
      </w:r>
      <w:r>
        <w:t xml:space="preserve">the DIA </w:t>
      </w:r>
      <w:r w:rsidRPr="00C10A99">
        <w:t xml:space="preserve">and the </w:t>
      </w:r>
      <w:r>
        <w:t>HPA</w:t>
      </w:r>
      <w:r w:rsidRPr="00C10A99">
        <w:t xml:space="preserve"> are committed to working with operators to maximise venues potential </w:t>
      </w:r>
      <w:r>
        <w:t xml:space="preserve">for </w:t>
      </w:r>
      <w:r w:rsidRPr="00C10A99">
        <w:t>offer</w:t>
      </w:r>
      <w:r>
        <w:t>ing</w:t>
      </w:r>
      <w:r w:rsidRPr="00C10A99">
        <w:t xml:space="preserve"> safe gambling environments and early detection of problem gambling. The Ministry will also support </w:t>
      </w:r>
      <w:r>
        <w:t xml:space="preserve">the </w:t>
      </w:r>
      <w:r w:rsidRPr="00C10A99">
        <w:t xml:space="preserve">DIA </w:t>
      </w:r>
      <w:r>
        <w:t>to</w:t>
      </w:r>
      <w:r w:rsidRPr="00C10A99">
        <w:t xml:space="preserve"> judicious</w:t>
      </w:r>
      <w:r>
        <w:t>ly</w:t>
      </w:r>
      <w:r w:rsidRPr="00C10A99">
        <w:t xml:space="preserve"> and effective</w:t>
      </w:r>
      <w:r>
        <w:t>ly</w:t>
      </w:r>
      <w:r w:rsidRPr="00C10A99">
        <w:t xml:space="preserve"> use its regulatory tools </w:t>
      </w:r>
      <w:r>
        <w:t>to deal with</w:t>
      </w:r>
      <w:r w:rsidRPr="00C10A99">
        <w:t xml:space="preserve"> operators or venues </w:t>
      </w:r>
      <w:r>
        <w:t xml:space="preserve">that </w:t>
      </w:r>
      <w:r w:rsidRPr="00C10A99">
        <w:t>do not meet legal requirements.</w:t>
      </w:r>
    </w:p>
    <w:p w:rsidR="00B75CBC" w:rsidRPr="00C10A99" w:rsidRDefault="00B75CBC" w:rsidP="00B75CBC"/>
    <w:p w:rsidR="00CB68A7" w:rsidRDefault="00CB68A7" w:rsidP="003824E9">
      <w:r w:rsidRPr="00C10A99">
        <w:t xml:space="preserve">The location of </w:t>
      </w:r>
      <w:r>
        <w:t>EGMs</w:t>
      </w:r>
      <w:r w:rsidRPr="00C10A99">
        <w:t xml:space="preserve"> in high</w:t>
      </w:r>
      <w:r>
        <w:t>-</w:t>
      </w:r>
      <w:r w:rsidRPr="00C10A99">
        <w:t xml:space="preserve">risk areas </w:t>
      </w:r>
      <w:r>
        <w:t xml:space="preserve">(most notably areas of high deprivation) </w:t>
      </w:r>
      <w:r w:rsidRPr="00C10A99">
        <w:t>is a long-standing area of concern. The Ministry will continue to support promoting awareness of safe gambling environments</w:t>
      </w:r>
      <w:r>
        <w:t xml:space="preserve">, </w:t>
      </w:r>
      <w:r w:rsidRPr="00C10A99">
        <w:t xml:space="preserve">to improve access to gambling harm prevention services in </w:t>
      </w:r>
      <w:r>
        <w:t>high-risk</w:t>
      </w:r>
      <w:r w:rsidRPr="00C10A99">
        <w:t xml:space="preserve"> areas and to work with </w:t>
      </w:r>
      <w:r>
        <w:t xml:space="preserve">the </w:t>
      </w:r>
      <w:r w:rsidRPr="00C10A99">
        <w:t xml:space="preserve">DIA </w:t>
      </w:r>
      <w:r>
        <w:t>on its risk-based regulatory approach that guides where regulatory actions should be applied.</w:t>
      </w:r>
    </w:p>
    <w:p w:rsidR="00CB68A7" w:rsidRPr="00C10A99" w:rsidRDefault="00CB68A7" w:rsidP="00B75CBC"/>
    <w:p w:rsidR="00CB68A7" w:rsidRPr="00B75CBC" w:rsidRDefault="00CB68A7" w:rsidP="00B75CBC">
      <w:pPr>
        <w:pStyle w:val="Table"/>
      </w:pPr>
      <w:bookmarkStart w:id="72" w:name="_Toc514838696"/>
      <w:bookmarkStart w:id="73" w:name="_Toc517091233"/>
      <w:bookmarkStart w:id="74" w:name="_Toc522089437"/>
      <w:r w:rsidRPr="00C10A99">
        <w:lastRenderedPageBreak/>
        <w:t xml:space="preserve">Table </w:t>
      </w:r>
      <w:r w:rsidRPr="007F7BB3">
        <w:fldChar w:fldCharType="begin"/>
      </w:r>
      <w:r w:rsidRPr="00C10A99">
        <w:instrText xml:space="preserve"> SEQ Table \* ARABIC </w:instrText>
      </w:r>
      <w:r w:rsidRPr="007F7BB3">
        <w:fldChar w:fldCharType="separate"/>
      </w:r>
      <w:r w:rsidR="0012663D">
        <w:rPr>
          <w:noProof/>
        </w:rPr>
        <w:t>8</w:t>
      </w:r>
      <w:r w:rsidRPr="007F7BB3">
        <w:fldChar w:fldCharType="end"/>
      </w:r>
      <w:r w:rsidRPr="00C10A99">
        <w:t>: Objective 8</w:t>
      </w:r>
      <w:r>
        <w:t xml:space="preserve"> p</w:t>
      </w:r>
      <w:r w:rsidRPr="00C10A99">
        <w:t>riorities for action</w:t>
      </w:r>
      <w:bookmarkEnd w:id="72"/>
      <w:bookmarkEnd w:id="73"/>
      <w:bookmarkEnd w:id="74"/>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621"/>
        <w:gridCol w:w="4622"/>
      </w:tblGrid>
      <w:tr w:rsidR="00CB68A7" w:rsidRPr="00B75CBC" w:rsidTr="00B75CBC">
        <w:trPr>
          <w:cantSplit/>
        </w:trPr>
        <w:tc>
          <w:tcPr>
            <w:tcW w:w="5000" w:type="pct"/>
            <w:gridSpan w:val="2"/>
            <w:tcBorders>
              <w:top w:val="single" w:sz="4" w:space="0" w:color="auto"/>
              <w:left w:val="nil"/>
              <w:bottom w:val="nil"/>
              <w:right w:val="nil"/>
            </w:tcBorders>
            <w:shd w:val="clear" w:color="auto" w:fill="000000" w:themeFill="text1"/>
          </w:tcPr>
          <w:p w:rsidR="00CB68A7" w:rsidRPr="00B75CBC" w:rsidRDefault="00CB68A7" w:rsidP="005C1D13">
            <w:pPr>
              <w:pStyle w:val="TableText"/>
              <w:keepNext/>
              <w:rPr>
                <w:b/>
              </w:rPr>
            </w:pPr>
            <w:r w:rsidRPr="00B75CBC">
              <w:rPr>
                <w:b/>
              </w:rPr>
              <w:t>Objective 8: Gambling environments are designed to prevent and minimise gambling harm</w:t>
            </w:r>
          </w:p>
        </w:tc>
      </w:tr>
      <w:tr w:rsidR="00CB68A7" w:rsidRPr="00B75CBC" w:rsidTr="00B75CBC">
        <w:trPr>
          <w:cantSplit/>
        </w:trPr>
        <w:tc>
          <w:tcPr>
            <w:tcW w:w="5000" w:type="pct"/>
            <w:gridSpan w:val="2"/>
            <w:tcBorders>
              <w:top w:val="nil"/>
              <w:left w:val="nil"/>
              <w:bottom w:val="nil"/>
              <w:right w:val="nil"/>
            </w:tcBorders>
            <w:shd w:val="clear" w:color="auto" w:fill="D9D9D9" w:themeFill="background1" w:themeFillShade="D9"/>
          </w:tcPr>
          <w:p w:rsidR="00CB68A7" w:rsidRPr="00B75CBC" w:rsidRDefault="00CB68A7" w:rsidP="005C1D13">
            <w:pPr>
              <w:pStyle w:val="TableText"/>
              <w:keepNext/>
              <w:jc w:val="center"/>
              <w:rPr>
                <w:b/>
              </w:rPr>
            </w:pPr>
            <w:r w:rsidRPr="00B75CBC">
              <w:rPr>
                <w:b/>
              </w:rPr>
              <w:t>Priorities for action</w:t>
            </w:r>
          </w:p>
        </w:tc>
      </w:tr>
      <w:tr w:rsidR="00CB68A7" w:rsidRPr="00B75CBC" w:rsidTr="00B75CBC">
        <w:trPr>
          <w:cantSplit/>
        </w:trPr>
        <w:tc>
          <w:tcPr>
            <w:tcW w:w="2500" w:type="pct"/>
            <w:tcBorders>
              <w:top w:val="nil"/>
              <w:left w:val="nil"/>
              <w:bottom w:val="single" w:sz="4" w:space="0" w:color="auto"/>
              <w:right w:val="nil"/>
            </w:tcBorders>
            <w:shd w:val="clear" w:color="auto" w:fill="auto"/>
          </w:tcPr>
          <w:p w:rsidR="00CB68A7" w:rsidRPr="00B75CBC" w:rsidRDefault="00CB68A7" w:rsidP="00B75CBC">
            <w:pPr>
              <w:pStyle w:val="TableText"/>
              <w:jc w:val="center"/>
              <w:rPr>
                <w:b/>
              </w:rPr>
            </w:pPr>
            <w:r w:rsidRPr="00B75CBC">
              <w:rPr>
                <w:b/>
              </w:rPr>
              <w:t>Short- to medium-term priorities</w:t>
            </w:r>
          </w:p>
        </w:tc>
        <w:tc>
          <w:tcPr>
            <w:tcW w:w="2500" w:type="pct"/>
            <w:tcBorders>
              <w:top w:val="nil"/>
              <w:left w:val="nil"/>
              <w:bottom w:val="single" w:sz="4" w:space="0" w:color="auto"/>
              <w:right w:val="nil"/>
            </w:tcBorders>
            <w:shd w:val="clear" w:color="auto" w:fill="auto"/>
          </w:tcPr>
          <w:p w:rsidR="00CB68A7" w:rsidRPr="00B75CBC" w:rsidRDefault="00CB68A7" w:rsidP="00B75CBC">
            <w:pPr>
              <w:pStyle w:val="TableText"/>
              <w:jc w:val="center"/>
              <w:rPr>
                <w:b/>
              </w:rPr>
            </w:pPr>
            <w:r w:rsidRPr="00B75CBC">
              <w:rPr>
                <w:b/>
              </w:rPr>
              <w:t>Long-term priorities</w:t>
            </w:r>
          </w:p>
        </w:tc>
      </w:tr>
      <w:tr w:rsidR="00CB68A7" w:rsidRPr="00C10A99" w:rsidTr="00B75CBC">
        <w:trPr>
          <w:cantSplit/>
        </w:trPr>
        <w:tc>
          <w:tcPr>
            <w:tcW w:w="5000" w:type="pct"/>
            <w:gridSpan w:val="2"/>
            <w:tcBorders>
              <w:top w:val="single" w:sz="4" w:space="0" w:color="auto"/>
              <w:left w:val="nil"/>
              <w:bottom w:val="single" w:sz="4" w:space="0" w:color="A6A6A6" w:themeColor="background1" w:themeShade="A6"/>
              <w:right w:val="nil"/>
            </w:tcBorders>
            <w:shd w:val="clear" w:color="auto" w:fill="auto"/>
          </w:tcPr>
          <w:p w:rsidR="00CB68A7" w:rsidRPr="00EB1F02" w:rsidRDefault="00CB68A7" w:rsidP="00B75CBC">
            <w:pPr>
              <w:pStyle w:val="TableText"/>
            </w:pPr>
            <w:r w:rsidRPr="00EB1F02">
              <w:t>Continue to build strong relationships with</w:t>
            </w:r>
            <w:r>
              <w:t xml:space="preserve"> the</w:t>
            </w:r>
            <w:r w:rsidRPr="00EB1F02">
              <w:t xml:space="preserve"> DIA, gambling operators and gambling venue operators</w:t>
            </w:r>
            <w:r>
              <w:t xml:space="preserve"> and communities to encourage safer gambling environments.</w:t>
            </w:r>
          </w:p>
        </w:tc>
      </w:tr>
      <w:tr w:rsidR="00CB68A7" w:rsidRPr="00C10A99" w:rsidTr="00B75CBC">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CB68A7" w:rsidRPr="00EB1F02" w:rsidRDefault="00CB68A7" w:rsidP="00B75CBC">
            <w:pPr>
              <w:pStyle w:val="TableText"/>
            </w:pPr>
            <w:r>
              <w:t>S</w:t>
            </w:r>
            <w:r w:rsidRPr="00EB1F02">
              <w:t xml:space="preserve">upport </w:t>
            </w:r>
            <w:r>
              <w:t xml:space="preserve">the </w:t>
            </w:r>
            <w:r w:rsidRPr="00EB1F02">
              <w:t xml:space="preserve">DIA in the </w:t>
            </w:r>
            <w:r>
              <w:t xml:space="preserve">proportionate </w:t>
            </w:r>
            <w:r w:rsidRPr="00EB1F02">
              <w:t>and effective use of its regulatory tools to prevent and minimise gambling harm</w:t>
            </w:r>
            <w:r>
              <w:t>, including a continued focus on harm prevention and minimisation in gambling venues, for example through inspections and the DIA</w:t>
            </w:r>
            <w:r w:rsidR="00EC3578">
              <w:t>’</w:t>
            </w:r>
            <w:r>
              <w:t>s Mystery Shopper campaign.</w:t>
            </w:r>
          </w:p>
        </w:tc>
      </w:tr>
      <w:tr w:rsidR="00CB68A7" w:rsidRPr="00C10A99" w:rsidTr="00B75CBC">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CB68A7" w:rsidRPr="00EB1F02" w:rsidRDefault="00CB68A7" w:rsidP="00B75CBC">
            <w:pPr>
              <w:pStyle w:val="TableText"/>
            </w:pPr>
            <w:r w:rsidRPr="00EB1F02">
              <w:t xml:space="preserve">Encourage </w:t>
            </w:r>
            <w:r>
              <w:t>consumer</w:t>
            </w:r>
            <w:r w:rsidRPr="00EB1F02">
              <w:t xml:space="preserve"> and service involvement in monitoring gambling operators</w:t>
            </w:r>
            <w:r w:rsidR="00EC3578">
              <w:t>’</w:t>
            </w:r>
            <w:r w:rsidRPr="00EB1F02">
              <w:t xml:space="preserve"> and gambling venue operators</w:t>
            </w:r>
            <w:r w:rsidR="00EC3578">
              <w:t>’</w:t>
            </w:r>
            <w:r w:rsidRPr="00EB1F02">
              <w:t xml:space="preserve"> compliance with their harm prevention and minimisation responsibilities</w:t>
            </w:r>
            <w:r>
              <w:t>.</w:t>
            </w:r>
          </w:p>
        </w:tc>
      </w:tr>
      <w:tr w:rsidR="00CB68A7" w:rsidRPr="00C10A99" w:rsidTr="00B75CBC">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CB68A7" w:rsidRPr="00C10A99" w:rsidRDefault="00CB68A7" w:rsidP="00B75CBC">
            <w:pPr>
              <w:pStyle w:val="TableText"/>
            </w:pPr>
            <w:r w:rsidRPr="00EB1F02">
              <w:t xml:space="preserve">Continue to work with </w:t>
            </w:r>
            <w:r>
              <w:t xml:space="preserve">the </w:t>
            </w:r>
            <w:r w:rsidRPr="00EB1F02">
              <w:t>DIA to encourage and support regional gambling harm service providers to work with venues in their area and to educate and support their harm minimisation practices.</w:t>
            </w:r>
          </w:p>
        </w:tc>
      </w:tr>
      <w:tr w:rsidR="00CB68A7" w:rsidRPr="00C10A99" w:rsidTr="00B75CBC">
        <w:trPr>
          <w:cantSplit/>
        </w:trPr>
        <w:tc>
          <w:tcPr>
            <w:tcW w:w="2500" w:type="pct"/>
            <w:tcBorders>
              <w:top w:val="single" w:sz="4" w:space="0" w:color="A6A6A6" w:themeColor="background1" w:themeShade="A6"/>
              <w:left w:val="nil"/>
              <w:bottom w:val="single" w:sz="4" w:space="0" w:color="auto"/>
              <w:right w:val="nil"/>
            </w:tcBorders>
            <w:shd w:val="clear" w:color="auto" w:fill="auto"/>
          </w:tcPr>
          <w:p w:rsidR="00CB68A7" w:rsidRPr="00EB1F02" w:rsidRDefault="00CB68A7" w:rsidP="00B75CBC">
            <w:pPr>
              <w:pStyle w:val="TableText"/>
              <w:ind w:right="113"/>
            </w:pPr>
            <w:r w:rsidRPr="00EB1F02">
              <w:t>Support the HPA</w:t>
            </w:r>
            <w:r>
              <w:t xml:space="preserve"> and the DIA</w:t>
            </w:r>
            <w:r w:rsidRPr="00EB1F02">
              <w:t xml:space="preserve"> to embed work with class</w:t>
            </w:r>
            <w:r w:rsidR="00B75CBC">
              <w:t> </w:t>
            </w:r>
            <w:r w:rsidRPr="00EB1F02">
              <w:t xml:space="preserve">4 </w:t>
            </w:r>
            <w:r>
              <w:t xml:space="preserve">gambling </w:t>
            </w:r>
            <w:r w:rsidRPr="00EB1F02">
              <w:t>operators to identify potentially harmful gambling behaviour and take effective action to prevent and minimise harm</w:t>
            </w:r>
            <w:r>
              <w:t>.</w:t>
            </w:r>
          </w:p>
        </w:tc>
        <w:tc>
          <w:tcPr>
            <w:tcW w:w="2500" w:type="pct"/>
            <w:tcBorders>
              <w:top w:val="single" w:sz="4" w:space="0" w:color="A6A6A6" w:themeColor="background1" w:themeShade="A6"/>
              <w:left w:val="nil"/>
              <w:bottom w:val="single" w:sz="4" w:space="0" w:color="auto"/>
              <w:right w:val="nil"/>
            </w:tcBorders>
            <w:shd w:val="clear" w:color="auto" w:fill="auto"/>
          </w:tcPr>
          <w:p w:rsidR="00697C65" w:rsidRDefault="00CB68A7" w:rsidP="00B75CBC">
            <w:pPr>
              <w:pStyle w:val="TableText"/>
            </w:pPr>
            <w:r w:rsidRPr="00EB1F02">
              <w:t>Develop and refine guidelines</w:t>
            </w:r>
            <w:r>
              <w:t xml:space="preserve"> </w:t>
            </w:r>
            <w:r w:rsidRPr="00EB1F02">
              <w:t>/</w:t>
            </w:r>
            <w:r>
              <w:t xml:space="preserve"> </w:t>
            </w:r>
            <w:r w:rsidRPr="00EB1F02">
              <w:t xml:space="preserve">train-the-trainers training to promote host responsibility in other gambling environments (including online environments) so operators can identify potentially harmful gambling behaviour and take effective action to prevent and minimise gambling harm and create safer gambling </w:t>
            </w:r>
            <w:r w:rsidRPr="00C10A99">
              <w:t>environments</w:t>
            </w:r>
            <w:r>
              <w:t>.</w:t>
            </w:r>
          </w:p>
          <w:p w:rsidR="00CB68A7" w:rsidRPr="00EB1F02" w:rsidRDefault="00697C65" w:rsidP="00697C65">
            <w:pPr>
              <w:pStyle w:val="TableText"/>
            </w:pPr>
            <w:r>
              <w:t>Work with DIA to explore technologies, such as for facial recognition that can be used to ma</w:t>
            </w:r>
            <w:r w:rsidR="005C1D13">
              <w:t>ke gambling environments safer.</w:t>
            </w:r>
          </w:p>
        </w:tc>
      </w:tr>
    </w:tbl>
    <w:p w:rsidR="00CB68A7" w:rsidRDefault="00CB68A7" w:rsidP="00B75CBC"/>
    <w:p w:rsidR="00B75CBC" w:rsidRDefault="00CB68A7" w:rsidP="00926839">
      <w:pPr>
        <w:pStyle w:val="Heading4"/>
      </w:pPr>
      <w:r w:rsidRPr="00EB1F02">
        <w:t xml:space="preserve">Underlying principles: Closer to home / </w:t>
      </w:r>
      <w:proofErr w:type="spellStart"/>
      <w:r w:rsidRPr="00EB1F02">
        <w:t>Ka</w:t>
      </w:r>
      <w:proofErr w:type="spellEnd"/>
      <w:r w:rsidRPr="00EB1F02">
        <w:t xml:space="preserve"> </w:t>
      </w:r>
      <w:proofErr w:type="spellStart"/>
      <w:r w:rsidRPr="00EB1F02">
        <w:t>aro</w:t>
      </w:r>
      <w:proofErr w:type="spellEnd"/>
      <w:r w:rsidRPr="00EB1F02">
        <w:t xml:space="preserve"> </w:t>
      </w:r>
      <w:proofErr w:type="spellStart"/>
      <w:r w:rsidRPr="00EB1F02">
        <w:t>mai</w:t>
      </w:r>
      <w:proofErr w:type="spellEnd"/>
      <w:r w:rsidRPr="00EB1F02">
        <w:t xml:space="preserve"> kit e </w:t>
      </w:r>
      <w:proofErr w:type="spellStart"/>
      <w:r w:rsidRPr="00EB1F02">
        <w:t>kāinga</w:t>
      </w:r>
      <w:proofErr w:type="spellEnd"/>
    </w:p>
    <w:p w:rsidR="00EC3578" w:rsidRDefault="00CB68A7" w:rsidP="00B75CBC">
      <w:pPr>
        <w:rPr>
          <w:rFonts w:cs="Arial"/>
          <w:color w:val="002639"/>
          <w:sz w:val="23"/>
          <w:szCs w:val="23"/>
          <w:shd w:val="clear" w:color="auto" w:fill="CCC0D9" w:themeFill="accent4" w:themeFillTint="66"/>
          <w:lang w:val="en"/>
        </w:rPr>
      </w:pPr>
      <w:r w:rsidRPr="00EB1F02">
        <w:t>Good health begins at home and in communities, so it makes sense to promote the development and implementation of regulatory and policy settings that create</w:t>
      </w:r>
      <w:r w:rsidRPr="00EB1F02">
        <w:rPr>
          <w:rFonts w:cs="Arial"/>
          <w:sz w:val="23"/>
          <w:szCs w:val="23"/>
          <w:lang w:val="en"/>
        </w:rPr>
        <w:t xml:space="preserve"> safer gambling environments, particularly for people and communities at greater </w:t>
      </w:r>
      <w:r w:rsidRPr="00EB1F02">
        <w:t>risk of moderate</w:t>
      </w:r>
      <w:r>
        <w:t>–</w:t>
      </w:r>
      <w:r w:rsidRPr="00EB1F02">
        <w:t>high</w:t>
      </w:r>
      <w:r>
        <w:t xml:space="preserve"> </w:t>
      </w:r>
      <w:r w:rsidRPr="00EB1F02">
        <w:t>levels of gambling harm.</w:t>
      </w:r>
      <w:r w:rsidRPr="00EB1F02">
        <w:rPr>
          <w:rFonts w:cs="Arial"/>
          <w:sz w:val="23"/>
          <w:szCs w:val="23"/>
          <w:lang w:val="en"/>
        </w:rPr>
        <w:t xml:space="preserve"> This involves enabling systemic changes to innovate and deliver more effective services </w:t>
      </w:r>
      <w:r>
        <w:rPr>
          <w:rFonts w:cs="Arial"/>
          <w:sz w:val="23"/>
          <w:szCs w:val="23"/>
          <w:lang w:val="en"/>
        </w:rPr>
        <w:t>that will</w:t>
      </w:r>
      <w:r w:rsidRPr="003541F1">
        <w:rPr>
          <w:rFonts w:cs="Arial"/>
          <w:sz w:val="23"/>
          <w:szCs w:val="23"/>
        </w:rPr>
        <w:t xml:space="preserve"> minimise</w:t>
      </w:r>
      <w:r w:rsidRPr="00EB1F02">
        <w:rPr>
          <w:rFonts w:cs="Arial"/>
          <w:sz w:val="23"/>
          <w:szCs w:val="23"/>
          <w:lang w:val="en"/>
        </w:rPr>
        <w:t xml:space="preserve"> and prevent gambling harm occurring, to keep people and communities well and </w:t>
      </w:r>
      <w:r>
        <w:rPr>
          <w:rFonts w:cs="Arial"/>
          <w:sz w:val="23"/>
          <w:szCs w:val="23"/>
          <w:lang w:val="en"/>
        </w:rPr>
        <w:t>to reduce</w:t>
      </w:r>
      <w:r w:rsidRPr="00EB1F02">
        <w:rPr>
          <w:rFonts w:cs="Arial"/>
          <w:sz w:val="23"/>
          <w:szCs w:val="23"/>
          <w:lang w:val="en"/>
        </w:rPr>
        <w:t xml:space="preserve"> the level of gambling harm experienced</w:t>
      </w:r>
      <w:r w:rsidR="00B75CBC">
        <w:rPr>
          <w:rFonts w:cs="Arial"/>
          <w:sz w:val="23"/>
          <w:szCs w:val="23"/>
          <w:lang w:val="en"/>
        </w:rPr>
        <w:t>.</w:t>
      </w:r>
    </w:p>
    <w:p w:rsidR="00CB68A7" w:rsidRPr="00E312E8" w:rsidRDefault="00CB68A7" w:rsidP="00B75CBC"/>
    <w:p w:rsidR="00CB68A7" w:rsidRPr="00E312E8" w:rsidRDefault="00CB68A7" w:rsidP="00B75CBC">
      <w:pPr>
        <w:pStyle w:val="Heading3"/>
      </w:pPr>
      <w:r w:rsidRPr="00E312E8">
        <w:t>Objective 9:</w:t>
      </w:r>
      <w:r w:rsidR="00B75CBC">
        <w:t xml:space="preserve"> </w:t>
      </w:r>
      <w:r w:rsidRPr="00E312E8">
        <w:t>Services raise awareness about the range of gambling harms that affect individuals, families/</w:t>
      </w:r>
      <w:proofErr w:type="spellStart"/>
      <w:r w:rsidRPr="00E312E8">
        <w:t>whānau</w:t>
      </w:r>
      <w:proofErr w:type="spellEnd"/>
      <w:r w:rsidRPr="00E312E8">
        <w:t xml:space="preserve"> and communities</w:t>
      </w:r>
    </w:p>
    <w:p w:rsidR="00EC3578" w:rsidRDefault="00CB68A7" w:rsidP="00B75CBC">
      <w:r w:rsidRPr="00E312E8">
        <w:t>Families/</w:t>
      </w:r>
      <w:proofErr w:type="spellStart"/>
      <w:r w:rsidRPr="00E312E8">
        <w:t>whānau</w:t>
      </w:r>
      <w:proofErr w:type="spellEnd"/>
      <w:r w:rsidRPr="00E312E8">
        <w:t xml:space="preserve"> of problem gamblers can be badly affected by gambling harm. The Ministry therefore places great importance on</w:t>
      </w:r>
      <w:r>
        <w:t xml:space="preserve"> improving health literacy to </w:t>
      </w:r>
      <w:r w:rsidRPr="00E312E8">
        <w:t>help families/</w:t>
      </w:r>
      <w:proofErr w:type="spellStart"/>
      <w:r w:rsidRPr="00E312E8">
        <w:t>whānau</w:t>
      </w:r>
      <w:proofErr w:type="spellEnd"/>
      <w:r w:rsidRPr="00E312E8">
        <w:t xml:space="preserve"> recognise and address issues associated with gambling harm</w:t>
      </w:r>
      <w:r w:rsidRPr="00C10A99">
        <w:t xml:space="preserve"> and </w:t>
      </w:r>
      <w:r>
        <w:t xml:space="preserve">apply </w:t>
      </w:r>
      <w:r w:rsidRPr="00C10A99">
        <w:t>appropriate self-help or help-seeking behaviours when necessary.</w:t>
      </w:r>
    </w:p>
    <w:p w:rsidR="00B75CBC" w:rsidRDefault="00B75CBC" w:rsidP="00B75CBC"/>
    <w:p w:rsidR="00CB68A7" w:rsidRDefault="00CB68A7" w:rsidP="00B75CBC">
      <w:r w:rsidRPr="00C10A99">
        <w:t>The Ministry will continue to work with the HPA and other relevant organisations to target at</w:t>
      </w:r>
      <w:r>
        <w:t>-</w:t>
      </w:r>
      <w:r w:rsidRPr="00C10A99">
        <w:t xml:space="preserve">risk </w:t>
      </w:r>
      <w:r>
        <w:t xml:space="preserve">and vulnerable </w:t>
      </w:r>
      <w:r w:rsidRPr="00C10A99">
        <w:t>communities</w:t>
      </w:r>
      <w:r>
        <w:t xml:space="preserve"> respectively</w:t>
      </w:r>
      <w:r w:rsidRPr="00C10A99">
        <w:t xml:space="preserve"> to increase awareness, reduce gambling harm and encourage associated positive behaviours. </w:t>
      </w:r>
      <w:r>
        <w:t>These are typically high deprivation communities who are at increased risk because of the increased access to NCGMs, and they are vulnerable because they lack access to resources that would help improve their resiliency. Evaluation activities and results-based accountability reporting will assist with ensuring that all organisations are working in the right way, with the right people.</w:t>
      </w:r>
    </w:p>
    <w:p w:rsidR="00EC3578" w:rsidRDefault="00CB68A7" w:rsidP="005C1D13">
      <w:pPr>
        <w:keepLines/>
        <w:spacing w:before="240"/>
      </w:pPr>
      <w:r w:rsidRPr="00C10A99">
        <w:lastRenderedPageBreak/>
        <w:t>The Ministry expects the services it funds to have a robust health equity, cultural competency and health literacy focus. As a result, it expects services to build relationships with other relevant organisations. This is one way of sharing relevant information and increasing the overall awareness of gambling harm and indicators of potentially harmful gambling.</w:t>
      </w:r>
    </w:p>
    <w:p w:rsidR="00CB68A7" w:rsidRPr="00C10A99" w:rsidRDefault="00CB68A7" w:rsidP="00B75CBC"/>
    <w:p w:rsidR="00CB68A7" w:rsidRPr="00B75CBC" w:rsidRDefault="00CB68A7" w:rsidP="00B75CBC">
      <w:pPr>
        <w:pStyle w:val="Table"/>
      </w:pPr>
      <w:bookmarkStart w:id="75" w:name="_Toc514838697"/>
      <w:bookmarkStart w:id="76" w:name="_Toc517091234"/>
      <w:bookmarkStart w:id="77" w:name="_Toc522089438"/>
      <w:r w:rsidRPr="00C10A99">
        <w:t xml:space="preserve">Table </w:t>
      </w:r>
      <w:r w:rsidRPr="007F7BB3">
        <w:fldChar w:fldCharType="begin"/>
      </w:r>
      <w:r w:rsidRPr="00C10A99">
        <w:instrText xml:space="preserve"> SEQ Table \* ARABIC </w:instrText>
      </w:r>
      <w:r w:rsidRPr="007F7BB3">
        <w:fldChar w:fldCharType="separate"/>
      </w:r>
      <w:r w:rsidR="0012663D">
        <w:rPr>
          <w:noProof/>
        </w:rPr>
        <w:t>9</w:t>
      </w:r>
      <w:r w:rsidRPr="007F7BB3">
        <w:fldChar w:fldCharType="end"/>
      </w:r>
      <w:r w:rsidRPr="00C10A99">
        <w:t>: Objective 9</w:t>
      </w:r>
      <w:r>
        <w:t xml:space="preserve"> p</w:t>
      </w:r>
      <w:r w:rsidRPr="00C10A99">
        <w:t>riorities for action</w:t>
      </w:r>
      <w:bookmarkEnd w:id="75"/>
      <w:bookmarkEnd w:id="76"/>
      <w:bookmarkEnd w:id="77"/>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638"/>
        <w:gridCol w:w="4605"/>
      </w:tblGrid>
      <w:tr w:rsidR="00CB68A7" w:rsidRPr="00B75CBC" w:rsidTr="00B75CBC">
        <w:trPr>
          <w:cantSplit/>
        </w:trPr>
        <w:tc>
          <w:tcPr>
            <w:tcW w:w="5000" w:type="pct"/>
            <w:gridSpan w:val="2"/>
            <w:tcBorders>
              <w:left w:val="nil"/>
              <w:bottom w:val="nil"/>
              <w:right w:val="nil"/>
            </w:tcBorders>
            <w:shd w:val="clear" w:color="auto" w:fill="000000" w:themeFill="text1"/>
          </w:tcPr>
          <w:p w:rsidR="00CB68A7" w:rsidRPr="00B75CBC" w:rsidRDefault="00CB68A7" w:rsidP="00B75CBC">
            <w:pPr>
              <w:pStyle w:val="TableText"/>
              <w:rPr>
                <w:b/>
              </w:rPr>
            </w:pPr>
            <w:r w:rsidRPr="00B75CBC">
              <w:rPr>
                <w:b/>
              </w:rPr>
              <w:t>Objective 9: Services raise awareness about the range of gambling harms that affect individuals, families/</w:t>
            </w:r>
            <w:proofErr w:type="spellStart"/>
            <w:r w:rsidRPr="00B75CBC">
              <w:rPr>
                <w:b/>
              </w:rPr>
              <w:t>whānau</w:t>
            </w:r>
            <w:proofErr w:type="spellEnd"/>
            <w:r w:rsidRPr="00B75CBC">
              <w:rPr>
                <w:b/>
              </w:rPr>
              <w:t xml:space="preserve"> and communities</w:t>
            </w:r>
          </w:p>
        </w:tc>
      </w:tr>
      <w:tr w:rsidR="00CB68A7" w:rsidRPr="00B75CBC" w:rsidTr="00B75CBC">
        <w:trPr>
          <w:cantSplit/>
        </w:trPr>
        <w:tc>
          <w:tcPr>
            <w:tcW w:w="5000" w:type="pct"/>
            <w:gridSpan w:val="2"/>
            <w:tcBorders>
              <w:top w:val="nil"/>
              <w:left w:val="nil"/>
              <w:bottom w:val="nil"/>
              <w:right w:val="nil"/>
            </w:tcBorders>
            <w:shd w:val="clear" w:color="auto" w:fill="D9D9D9" w:themeFill="background1" w:themeFillShade="D9"/>
          </w:tcPr>
          <w:p w:rsidR="00CB68A7" w:rsidRPr="00B75CBC" w:rsidRDefault="00CB68A7" w:rsidP="00B75CBC">
            <w:pPr>
              <w:pStyle w:val="TableText"/>
              <w:jc w:val="center"/>
              <w:rPr>
                <w:b/>
              </w:rPr>
            </w:pPr>
            <w:r w:rsidRPr="00B75CBC">
              <w:rPr>
                <w:b/>
              </w:rPr>
              <w:t>Priorities for action</w:t>
            </w:r>
          </w:p>
        </w:tc>
      </w:tr>
      <w:tr w:rsidR="00CB68A7" w:rsidRPr="00B75CBC" w:rsidTr="00B75CBC">
        <w:trPr>
          <w:cantSplit/>
        </w:trPr>
        <w:tc>
          <w:tcPr>
            <w:tcW w:w="2509" w:type="pct"/>
            <w:tcBorders>
              <w:top w:val="nil"/>
              <w:left w:val="nil"/>
              <w:bottom w:val="single" w:sz="4" w:space="0" w:color="auto"/>
              <w:right w:val="nil"/>
            </w:tcBorders>
            <w:shd w:val="clear" w:color="auto" w:fill="auto"/>
          </w:tcPr>
          <w:p w:rsidR="00CB68A7" w:rsidRPr="00B75CBC" w:rsidRDefault="00CB68A7" w:rsidP="00B75CBC">
            <w:pPr>
              <w:pStyle w:val="TableText"/>
              <w:jc w:val="center"/>
              <w:rPr>
                <w:b/>
              </w:rPr>
            </w:pPr>
            <w:r w:rsidRPr="00B75CBC">
              <w:rPr>
                <w:b/>
              </w:rPr>
              <w:t>Short- to medium-term priorities</w:t>
            </w:r>
          </w:p>
        </w:tc>
        <w:tc>
          <w:tcPr>
            <w:tcW w:w="2491" w:type="pct"/>
            <w:tcBorders>
              <w:top w:val="nil"/>
              <w:left w:val="nil"/>
              <w:bottom w:val="single" w:sz="4" w:space="0" w:color="auto"/>
              <w:right w:val="nil"/>
            </w:tcBorders>
            <w:shd w:val="clear" w:color="auto" w:fill="auto"/>
          </w:tcPr>
          <w:p w:rsidR="00CB68A7" w:rsidRPr="00B75CBC" w:rsidRDefault="00CB68A7" w:rsidP="00B75CBC">
            <w:pPr>
              <w:pStyle w:val="TableText"/>
              <w:jc w:val="center"/>
              <w:rPr>
                <w:b/>
              </w:rPr>
            </w:pPr>
            <w:r w:rsidRPr="00B75CBC">
              <w:rPr>
                <w:b/>
              </w:rPr>
              <w:t>Long-term priorities</w:t>
            </w:r>
          </w:p>
        </w:tc>
      </w:tr>
      <w:tr w:rsidR="00CB68A7" w:rsidRPr="00C10A99" w:rsidTr="00B75CBC">
        <w:trPr>
          <w:cantSplit/>
        </w:trPr>
        <w:tc>
          <w:tcPr>
            <w:tcW w:w="5000" w:type="pct"/>
            <w:gridSpan w:val="2"/>
            <w:tcBorders>
              <w:top w:val="single" w:sz="4" w:space="0" w:color="auto"/>
              <w:left w:val="nil"/>
              <w:bottom w:val="single" w:sz="4" w:space="0" w:color="A6A6A6" w:themeColor="background1" w:themeShade="A6"/>
              <w:right w:val="nil"/>
            </w:tcBorders>
            <w:shd w:val="clear" w:color="auto" w:fill="auto"/>
          </w:tcPr>
          <w:p w:rsidR="00CB68A7" w:rsidRPr="00EB1F02" w:rsidRDefault="00CB68A7" w:rsidP="00B75CBC">
            <w:pPr>
              <w:pStyle w:val="TableText"/>
            </w:pPr>
            <w:r w:rsidRPr="00EB1F02">
              <w:t xml:space="preserve">Promotional activities to reduce gambling harm and increase awareness of the range of gambling harms are targeted specifically </w:t>
            </w:r>
            <w:r>
              <w:t>at</w:t>
            </w:r>
            <w:r w:rsidRPr="00EB1F02">
              <w:t xml:space="preserve"> high</w:t>
            </w:r>
            <w:r>
              <w:t>-</w:t>
            </w:r>
            <w:r w:rsidRPr="00EB1F02">
              <w:t>risk communities.</w:t>
            </w:r>
          </w:p>
        </w:tc>
      </w:tr>
      <w:tr w:rsidR="00CB68A7" w:rsidRPr="00C10A99" w:rsidTr="00B75CBC">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CB68A7" w:rsidRPr="00EB1F02" w:rsidRDefault="00CB68A7" w:rsidP="00B75CBC">
            <w:pPr>
              <w:pStyle w:val="TableText"/>
            </w:pPr>
            <w:r w:rsidRPr="00EB1F02">
              <w:t>Work to increase problem gamblers</w:t>
            </w:r>
            <w:r w:rsidR="00EC3578">
              <w:t>’</w:t>
            </w:r>
            <w:r w:rsidRPr="00EB1F02">
              <w:t xml:space="preserve"> access to services and access to services by their families/</w:t>
            </w:r>
            <w:proofErr w:type="spellStart"/>
            <w:r w:rsidRPr="00EB1F02">
              <w:t>whānau</w:t>
            </w:r>
            <w:proofErr w:type="spellEnd"/>
            <w:r w:rsidRPr="00EB1F02">
              <w:t>, including in rural areas.</w:t>
            </w:r>
          </w:p>
        </w:tc>
      </w:tr>
      <w:tr w:rsidR="00CB68A7" w:rsidRPr="00C10A99" w:rsidTr="00B75CBC">
        <w:trPr>
          <w:cantSplit/>
        </w:trPr>
        <w:tc>
          <w:tcPr>
            <w:tcW w:w="5000" w:type="pct"/>
            <w:gridSpan w:val="2"/>
            <w:tcBorders>
              <w:top w:val="single" w:sz="4" w:space="0" w:color="A6A6A6" w:themeColor="background1" w:themeShade="A6"/>
              <w:left w:val="nil"/>
              <w:bottom w:val="single" w:sz="4" w:space="0" w:color="auto"/>
              <w:right w:val="nil"/>
            </w:tcBorders>
            <w:shd w:val="clear" w:color="auto" w:fill="auto"/>
          </w:tcPr>
          <w:p w:rsidR="00CB68A7" w:rsidRPr="00EB1F02" w:rsidRDefault="00CB68A7" w:rsidP="00B75CBC">
            <w:pPr>
              <w:pStyle w:val="TableText"/>
            </w:pPr>
            <w:r w:rsidRPr="00EB1F02">
              <w:t>Develop tools and protocols to support the primary health care sector and other community services to include screening, brief assessment and brief and early intervention for problem gambling as part of general health screening and day-to-day delivery, where appropriate</w:t>
            </w:r>
            <w:r>
              <w:t>.</w:t>
            </w:r>
          </w:p>
        </w:tc>
      </w:tr>
    </w:tbl>
    <w:p w:rsidR="00CB68A7" w:rsidRPr="00E312E8" w:rsidRDefault="00CB68A7" w:rsidP="00B75CBC"/>
    <w:p w:rsidR="00CB68A7" w:rsidRPr="00E312E8" w:rsidRDefault="00CB68A7" w:rsidP="00B75CBC">
      <w:pPr>
        <w:pStyle w:val="Heading4"/>
      </w:pPr>
      <w:r w:rsidRPr="00E312E8">
        <w:t xml:space="preserve">Underlying principles: People-powered / </w:t>
      </w:r>
      <w:proofErr w:type="spellStart"/>
      <w:r w:rsidRPr="00E312E8">
        <w:t>Mā</w:t>
      </w:r>
      <w:proofErr w:type="spellEnd"/>
      <w:r w:rsidRPr="00E312E8">
        <w:t xml:space="preserve"> </w:t>
      </w:r>
      <w:proofErr w:type="spellStart"/>
      <w:proofErr w:type="gramStart"/>
      <w:r w:rsidRPr="00E312E8">
        <w:t>te</w:t>
      </w:r>
      <w:proofErr w:type="spellEnd"/>
      <w:proofErr w:type="gramEnd"/>
      <w:r w:rsidRPr="00E312E8">
        <w:t xml:space="preserve"> iwi </w:t>
      </w:r>
      <w:proofErr w:type="spellStart"/>
      <w:r w:rsidRPr="00E312E8">
        <w:t>hei</w:t>
      </w:r>
      <w:proofErr w:type="spellEnd"/>
      <w:r w:rsidRPr="00E312E8">
        <w:t xml:space="preserve"> </w:t>
      </w:r>
      <w:proofErr w:type="spellStart"/>
      <w:r w:rsidRPr="00E312E8">
        <w:t>kawe</w:t>
      </w:r>
      <w:proofErr w:type="spellEnd"/>
    </w:p>
    <w:p w:rsidR="00CB68A7" w:rsidRPr="00EB1F02" w:rsidRDefault="00CB68A7" w:rsidP="00B75CBC">
      <w:r w:rsidRPr="00EB1F02">
        <w:t xml:space="preserve">The health system plays an important role in providing people with the information they need to fully understand issues </w:t>
      </w:r>
      <w:r>
        <w:t>around</w:t>
      </w:r>
      <w:r w:rsidRPr="00EB1F02">
        <w:t xml:space="preserve"> health and wellness, including how to be healthy, access health service and manage their own </w:t>
      </w:r>
      <w:r>
        <w:t>health</w:t>
      </w:r>
      <w:r w:rsidRPr="00EB1F02">
        <w:t xml:space="preserve"> (health literacy). To improve health literacy, services need to work in partnership with service users, supporting and encouraging them to be </w:t>
      </w:r>
      <w:r w:rsidR="00EC3578">
        <w:t>‘</w:t>
      </w:r>
      <w:r w:rsidRPr="00EB1F02">
        <w:t>health smart</w:t>
      </w:r>
      <w:r w:rsidR="00EC3578">
        <w:t>’</w:t>
      </w:r>
      <w:r w:rsidRPr="00EB1F02">
        <w:t>.</w:t>
      </w:r>
    </w:p>
    <w:p w:rsidR="00B75CBC" w:rsidRDefault="00B75CBC" w:rsidP="00B75CBC"/>
    <w:p w:rsidR="00CB68A7" w:rsidRPr="00EB1F02" w:rsidRDefault="00CB68A7" w:rsidP="00B75CBC">
      <w:r w:rsidRPr="00EB1F02">
        <w:t>In this partnership between providers and users, different groups of people will need different forms of support, depending on factors such as age, ethnicity, expectations</w:t>
      </w:r>
      <w:r>
        <w:t xml:space="preserve">, </w:t>
      </w:r>
      <w:r w:rsidRPr="00EB1F02">
        <w:t>religious</w:t>
      </w:r>
      <w:r>
        <w:t xml:space="preserve"> beliefs</w:t>
      </w:r>
      <w:r w:rsidRPr="00EB1F02">
        <w:t>, location and existing conditions or disability.</w:t>
      </w:r>
    </w:p>
    <w:p w:rsidR="00B75CBC" w:rsidRDefault="00B75CBC" w:rsidP="00B75CBC"/>
    <w:p w:rsidR="00CB68A7" w:rsidRDefault="00CB68A7" w:rsidP="00B75CBC">
      <w:r>
        <w:t>Gambling h</w:t>
      </w:r>
      <w:r w:rsidRPr="00EB1F02">
        <w:t>arm can be associated with mental illness, other addictions and substance abuse, family violence and a range of other social issues. Enhancing awareness of gambling harm among services that address these other health and social issues helps enhance the accessibility of services to prevent and minimise gambling harm.</w:t>
      </w:r>
    </w:p>
    <w:p w:rsidR="00CB68A7" w:rsidRPr="00E312E8" w:rsidRDefault="00CB68A7" w:rsidP="00B75CBC"/>
    <w:p w:rsidR="00CB68A7" w:rsidRDefault="00CB68A7" w:rsidP="00B75CBC">
      <w:pPr>
        <w:pStyle w:val="Heading3"/>
      </w:pPr>
      <w:r w:rsidRPr="00E312E8">
        <w:t>Objective 10:</w:t>
      </w:r>
      <w:r w:rsidR="00B75CBC">
        <w:t xml:space="preserve"> </w:t>
      </w:r>
      <w:r>
        <w:t>People access effective treatment and support services at the right time and place</w:t>
      </w:r>
    </w:p>
    <w:p w:rsidR="00CB68A7" w:rsidRPr="00C10A99" w:rsidRDefault="00CB68A7" w:rsidP="00B75CBC">
      <w:r w:rsidRPr="00EB1F02">
        <w:t>P</w:t>
      </w:r>
      <w:r w:rsidRPr="00C10A99">
        <w:t>rovision of high-quality, effective and accessible services to prevent and minimise gambling harm requires staff who are appropriately qualified and services that are culturally relevant to the communities they serve. Access to intervention services should be available in all areas where there is access to gambling venues.</w:t>
      </w:r>
    </w:p>
    <w:p w:rsidR="00B75CBC" w:rsidRDefault="00B75CBC" w:rsidP="00B75CBC"/>
    <w:p w:rsidR="00CB68A7" w:rsidRPr="00C10A99" w:rsidRDefault="00CB68A7" w:rsidP="00B75CBC">
      <w:r w:rsidRPr="00C10A99">
        <w:t>Continuing to provide dedicated Māori, Pacific and Asian services is crucial</w:t>
      </w:r>
      <w:r>
        <w:t xml:space="preserve"> to help reduce gambling-harm-related inequity and inequality</w:t>
      </w:r>
      <w:r w:rsidRPr="00C10A99">
        <w:t xml:space="preserve">. The Ministry will </w:t>
      </w:r>
      <w:r>
        <w:t xml:space="preserve">increase the </w:t>
      </w:r>
      <w:r w:rsidRPr="00C10A99">
        <w:t>emphasis on</w:t>
      </w:r>
      <w:r>
        <w:t xml:space="preserve"> including </w:t>
      </w:r>
      <w:r w:rsidRPr="00C10A99">
        <w:t>consumer perspectives in service design and delivery (informed by research and evaluation).</w:t>
      </w:r>
    </w:p>
    <w:p w:rsidR="00B75CBC" w:rsidRDefault="00B75CBC" w:rsidP="00B75CBC"/>
    <w:p w:rsidR="00CB68A7" w:rsidRDefault="00CB68A7" w:rsidP="00B75CBC">
      <w:r w:rsidRPr="00C10A99">
        <w:t>While it is not financially feasible to provide face-to-face services in every location where gambling occurs</w:t>
      </w:r>
      <w:r>
        <w:t>,</w:t>
      </w:r>
      <w:r w:rsidRPr="00C10A99">
        <w:t xml:space="preserve"> New Zealand does have a large rural population </w:t>
      </w:r>
      <w:r>
        <w:t>that</w:t>
      </w:r>
      <w:r w:rsidRPr="00C10A99">
        <w:t xml:space="preserve"> does not always receive the level of service it require</w:t>
      </w:r>
      <w:r>
        <w:t>s</w:t>
      </w:r>
      <w:r w:rsidRPr="00C10A99">
        <w:t xml:space="preserve">. </w:t>
      </w:r>
      <w:r>
        <w:t>Also,</w:t>
      </w:r>
      <w:r w:rsidRPr="00C10A99">
        <w:t xml:space="preserve"> many rural areas have a comparatively high Māori population. To address </w:t>
      </w:r>
      <w:r>
        <w:t>these discrepancies</w:t>
      </w:r>
      <w:r w:rsidRPr="00C10A99">
        <w:t>, the Ministry will work with intervention and public health service providers to ensure equity of access, both for rural populations and for Māori.</w:t>
      </w:r>
    </w:p>
    <w:p w:rsidR="00CB68A7" w:rsidRPr="00C10A99" w:rsidRDefault="00CB68A7" w:rsidP="00B75CBC">
      <w:pPr>
        <w:spacing w:before="240"/>
      </w:pPr>
      <w:r w:rsidRPr="00C10A99">
        <w:lastRenderedPageBreak/>
        <w:t xml:space="preserve">The Ministry will continue to provide a toll-free helpline offering referrals to face-to-face services and intervention services for those </w:t>
      </w:r>
      <w:r>
        <w:t>who cannot</w:t>
      </w:r>
      <w:r w:rsidRPr="00C10A99">
        <w:t xml:space="preserve"> access face-to-face services or prefer a helpline service. The Ministry will also work to increase the range of self-help online tools available to further support </w:t>
      </w:r>
      <w:r w:rsidRPr="002C43D2">
        <w:t>hard</w:t>
      </w:r>
      <w:r>
        <w:t>-</w:t>
      </w:r>
      <w:r w:rsidRPr="002C43D2">
        <w:t>to</w:t>
      </w:r>
      <w:r>
        <w:t>-</w:t>
      </w:r>
      <w:r w:rsidRPr="002C43D2">
        <w:t>reach</w:t>
      </w:r>
      <w:r w:rsidRPr="00C10A99">
        <w:t xml:space="preserve"> populations.</w:t>
      </w:r>
    </w:p>
    <w:p w:rsidR="00CB68A7" w:rsidRDefault="00CB68A7" w:rsidP="003824E9">
      <w:pPr>
        <w:spacing w:before="240"/>
      </w:pPr>
      <w:r w:rsidRPr="00C10A99">
        <w:t>The Ministry is committed to ongoing enhancement of services to prevent and minimise gambling harm and alignment with other services, strategies, obligations and best</w:t>
      </w:r>
      <w:r>
        <w:t>-</w:t>
      </w:r>
      <w:r w:rsidRPr="00C10A99">
        <w:t>practice guidelines in the broader health sector. A short</w:t>
      </w:r>
      <w:r>
        <w:t>-</w:t>
      </w:r>
      <w:r w:rsidRPr="00C10A99">
        <w:t>term aim will be to increase the availability of peer support for those experiencing gambling harm and broaden the range of organisations and community groups screening for gambling harm.</w:t>
      </w:r>
    </w:p>
    <w:p w:rsidR="00CB68A7" w:rsidRPr="00C10A99" w:rsidRDefault="00CB68A7" w:rsidP="00B75CBC"/>
    <w:p w:rsidR="00CB68A7" w:rsidRPr="00B75CBC" w:rsidRDefault="00CB68A7" w:rsidP="00B75CBC">
      <w:pPr>
        <w:pStyle w:val="Table"/>
      </w:pPr>
      <w:bookmarkStart w:id="78" w:name="_Toc514838698"/>
      <w:bookmarkStart w:id="79" w:name="_Toc517091235"/>
      <w:bookmarkStart w:id="80" w:name="_Toc522089439"/>
      <w:r w:rsidRPr="00C10A99">
        <w:t xml:space="preserve">Table </w:t>
      </w:r>
      <w:r w:rsidRPr="007F7BB3">
        <w:fldChar w:fldCharType="begin"/>
      </w:r>
      <w:r w:rsidRPr="00C10A99">
        <w:instrText xml:space="preserve"> SEQ Table \* ARABIC </w:instrText>
      </w:r>
      <w:r w:rsidRPr="007F7BB3">
        <w:fldChar w:fldCharType="separate"/>
      </w:r>
      <w:r w:rsidR="0012663D">
        <w:rPr>
          <w:noProof/>
        </w:rPr>
        <w:t>10</w:t>
      </w:r>
      <w:r w:rsidRPr="007F7BB3">
        <w:fldChar w:fldCharType="end"/>
      </w:r>
      <w:r w:rsidRPr="00C10A99">
        <w:t>: Objective 10</w:t>
      </w:r>
      <w:r>
        <w:t xml:space="preserve"> p</w:t>
      </w:r>
      <w:r w:rsidRPr="00C10A99">
        <w:t>riorities for action</w:t>
      </w:r>
      <w:bookmarkEnd w:id="78"/>
      <w:bookmarkEnd w:id="79"/>
      <w:bookmarkEnd w:id="80"/>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638"/>
        <w:gridCol w:w="4605"/>
      </w:tblGrid>
      <w:tr w:rsidR="00CB68A7" w:rsidRPr="00B75CBC" w:rsidTr="00B75CBC">
        <w:trPr>
          <w:cantSplit/>
        </w:trPr>
        <w:tc>
          <w:tcPr>
            <w:tcW w:w="5000" w:type="pct"/>
            <w:gridSpan w:val="2"/>
            <w:tcBorders>
              <w:left w:val="nil"/>
              <w:bottom w:val="nil"/>
              <w:right w:val="nil"/>
            </w:tcBorders>
            <w:shd w:val="clear" w:color="auto" w:fill="000000" w:themeFill="text1"/>
          </w:tcPr>
          <w:p w:rsidR="00CB68A7" w:rsidRPr="00B75CBC" w:rsidRDefault="00CB68A7" w:rsidP="00B75CBC">
            <w:pPr>
              <w:pStyle w:val="TableText"/>
              <w:rPr>
                <w:b/>
              </w:rPr>
            </w:pPr>
            <w:r w:rsidRPr="00B75CBC">
              <w:rPr>
                <w:b/>
              </w:rPr>
              <w:t>Objective 10: People access effective treatment and support services at the right time and place</w:t>
            </w:r>
          </w:p>
        </w:tc>
      </w:tr>
      <w:tr w:rsidR="00CB68A7" w:rsidRPr="00B75CBC" w:rsidTr="00B75CBC">
        <w:trPr>
          <w:cantSplit/>
        </w:trPr>
        <w:tc>
          <w:tcPr>
            <w:tcW w:w="5000" w:type="pct"/>
            <w:gridSpan w:val="2"/>
            <w:tcBorders>
              <w:top w:val="nil"/>
              <w:left w:val="nil"/>
              <w:bottom w:val="nil"/>
              <w:right w:val="nil"/>
            </w:tcBorders>
            <w:shd w:val="clear" w:color="auto" w:fill="D9D9D9" w:themeFill="background1" w:themeFillShade="D9"/>
          </w:tcPr>
          <w:p w:rsidR="00CB68A7" w:rsidRPr="00B75CBC" w:rsidRDefault="00CB68A7" w:rsidP="00B75CBC">
            <w:pPr>
              <w:pStyle w:val="TableText"/>
              <w:jc w:val="center"/>
              <w:rPr>
                <w:b/>
              </w:rPr>
            </w:pPr>
            <w:r w:rsidRPr="00B75CBC">
              <w:rPr>
                <w:b/>
              </w:rPr>
              <w:t>Priorities for action</w:t>
            </w:r>
          </w:p>
        </w:tc>
      </w:tr>
      <w:tr w:rsidR="00CB68A7" w:rsidRPr="00B75CBC" w:rsidTr="00B75CBC">
        <w:trPr>
          <w:cantSplit/>
        </w:trPr>
        <w:tc>
          <w:tcPr>
            <w:tcW w:w="2509" w:type="pct"/>
            <w:tcBorders>
              <w:top w:val="nil"/>
              <w:left w:val="nil"/>
              <w:bottom w:val="single" w:sz="4" w:space="0" w:color="auto"/>
              <w:right w:val="nil"/>
            </w:tcBorders>
            <w:shd w:val="clear" w:color="auto" w:fill="auto"/>
          </w:tcPr>
          <w:p w:rsidR="00CB68A7" w:rsidRPr="00B75CBC" w:rsidRDefault="00CB68A7" w:rsidP="00B75CBC">
            <w:pPr>
              <w:pStyle w:val="TableText"/>
              <w:jc w:val="center"/>
              <w:rPr>
                <w:b/>
              </w:rPr>
            </w:pPr>
            <w:r w:rsidRPr="00B75CBC">
              <w:rPr>
                <w:b/>
              </w:rPr>
              <w:t>Short- to medium-term priorities</w:t>
            </w:r>
          </w:p>
        </w:tc>
        <w:tc>
          <w:tcPr>
            <w:tcW w:w="2491" w:type="pct"/>
            <w:tcBorders>
              <w:top w:val="nil"/>
              <w:left w:val="nil"/>
              <w:bottom w:val="single" w:sz="4" w:space="0" w:color="auto"/>
              <w:right w:val="nil"/>
            </w:tcBorders>
            <w:shd w:val="clear" w:color="auto" w:fill="auto"/>
          </w:tcPr>
          <w:p w:rsidR="00CB68A7" w:rsidRPr="00B75CBC" w:rsidRDefault="00CB68A7" w:rsidP="00B75CBC">
            <w:pPr>
              <w:pStyle w:val="TableText"/>
              <w:jc w:val="center"/>
              <w:rPr>
                <w:b/>
              </w:rPr>
            </w:pPr>
            <w:r w:rsidRPr="00B75CBC">
              <w:rPr>
                <w:b/>
              </w:rPr>
              <w:t>Long-term priorities</w:t>
            </w:r>
          </w:p>
        </w:tc>
      </w:tr>
      <w:tr w:rsidR="00CB68A7" w:rsidRPr="00C10A99" w:rsidTr="00B75CBC">
        <w:trPr>
          <w:cantSplit/>
        </w:trPr>
        <w:tc>
          <w:tcPr>
            <w:tcW w:w="5000" w:type="pct"/>
            <w:gridSpan w:val="2"/>
            <w:tcBorders>
              <w:top w:val="single" w:sz="4" w:space="0" w:color="auto"/>
              <w:left w:val="nil"/>
              <w:bottom w:val="single" w:sz="4" w:space="0" w:color="A6A6A6" w:themeColor="background1" w:themeShade="A6"/>
              <w:right w:val="nil"/>
            </w:tcBorders>
            <w:shd w:val="clear" w:color="auto" w:fill="auto"/>
          </w:tcPr>
          <w:p w:rsidR="00CB68A7" w:rsidRPr="00EB1F02" w:rsidRDefault="00CB68A7" w:rsidP="00B75CBC">
            <w:pPr>
              <w:pStyle w:val="TableText"/>
            </w:pPr>
            <w:r w:rsidRPr="00EB1F02">
              <w:t>Ensure that problem gamblers and their family/</w:t>
            </w:r>
            <w:proofErr w:type="spellStart"/>
            <w:r w:rsidRPr="00EB1F02">
              <w:t>whānau</w:t>
            </w:r>
            <w:proofErr w:type="spellEnd"/>
            <w:r w:rsidRPr="00EB1F02">
              <w:t xml:space="preserve"> have access to a range of client-centred culturally responsive services, including by increasing peer support.</w:t>
            </w:r>
          </w:p>
        </w:tc>
      </w:tr>
      <w:tr w:rsidR="00CB68A7" w:rsidRPr="00C10A99" w:rsidTr="00B75CBC">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CB68A7" w:rsidRPr="00EB1F02" w:rsidRDefault="00CB68A7" w:rsidP="00B75CBC">
            <w:pPr>
              <w:pStyle w:val="TableText"/>
            </w:pPr>
            <w:r w:rsidRPr="00EB1F02">
              <w:t>Support intervention providers to use standardised gambling screens and continue to identify and validate best-practice interventions and alignments that address the range of gambling harms that affect individuals, families/</w:t>
            </w:r>
            <w:proofErr w:type="spellStart"/>
            <w:r w:rsidRPr="00EB1F02">
              <w:t>whānau</w:t>
            </w:r>
            <w:proofErr w:type="spellEnd"/>
            <w:r w:rsidRPr="00EB1F02">
              <w:t xml:space="preserve"> and communities</w:t>
            </w:r>
            <w:r>
              <w:t>.</w:t>
            </w:r>
          </w:p>
        </w:tc>
      </w:tr>
      <w:tr w:rsidR="00CB68A7" w:rsidRPr="00C10A99" w:rsidTr="00B75CBC">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CB68A7" w:rsidRPr="00EB1F02" w:rsidRDefault="00CB68A7" w:rsidP="00B75CBC">
            <w:pPr>
              <w:pStyle w:val="TableText"/>
            </w:pPr>
            <w:r w:rsidRPr="00EB1F02">
              <w:t>Increase consumer input into the design and evaluation of services.</w:t>
            </w:r>
          </w:p>
        </w:tc>
      </w:tr>
      <w:tr w:rsidR="00CB68A7" w:rsidRPr="00C10A99" w:rsidTr="00B75CBC">
        <w:trPr>
          <w:cantSplit/>
        </w:trPr>
        <w:tc>
          <w:tcPr>
            <w:tcW w:w="5000" w:type="pct"/>
            <w:gridSpan w:val="2"/>
            <w:tcBorders>
              <w:top w:val="single" w:sz="4" w:space="0" w:color="A6A6A6" w:themeColor="background1" w:themeShade="A6"/>
              <w:left w:val="nil"/>
              <w:bottom w:val="single" w:sz="4" w:space="0" w:color="auto"/>
              <w:right w:val="nil"/>
            </w:tcBorders>
            <w:shd w:val="clear" w:color="auto" w:fill="auto"/>
          </w:tcPr>
          <w:p w:rsidR="00CB68A7" w:rsidRPr="00EB1F02" w:rsidRDefault="00CB68A7" w:rsidP="00B75CBC">
            <w:pPr>
              <w:pStyle w:val="TableText"/>
            </w:pPr>
            <w:r w:rsidRPr="00EB1F02">
              <w:t>Develop and enhance accessible and culturally responsive online tools, including self-help tools, to help prevent and minimise gambling harm</w:t>
            </w:r>
            <w:r>
              <w:t>.</w:t>
            </w:r>
          </w:p>
        </w:tc>
      </w:tr>
    </w:tbl>
    <w:p w:rsidR="00CB68A7" w:rsidRDefault="00CB68A7" w:rsidP="00B75CBC"/>
    <w:p w:rsidR="00CB68A7" w:rsidRPr="00E312E8" w:rsidRDefault="00CB68A7" w:rsidP="00B75CBC">
      <w:pPr>
        <w:pStyle w:val="Heading4"/>
      </w:pPr>
      <w:r w:rsidRPr="00E312E8">
        <w:t xml:space="preserve">Underlying principles: </w:t>
      </w:r>
      <w:r>
        <w:t xml:space="preserve">Value and high performance / </w:t>
      </w:r>
      <w:proofErr w:type="spellStart"/>
      <w:r>
        <w:t>Te</w:t>
      </w:r>
      <w:proofErr w:type="spellEnd"/>
      <w:r>
        <w:t xml:space="preserve"> </w:t>
      </w:r>
      <w:proofErr w:type="spellStart"/>
      <w:r>
        <w:t>whāinga</w:t>
      </w:r>
      <w:proofErr w:type="spellEnd"/>
      <w:r>
        <w:t xml:space="preserve"> </w:t>
      </w:r>
      <w:proofErr w:type="spellStart"/>
      <w:r>
        <w:t>hua</w:t>
      </w:r>
      <w:proofErr w:type="spellEnd"/>
      <w:r>
        <w:t xml:space="preserve"> me </w:t>
      </w:r>
      <w:proofErr w:type="spellStart"/>
      <w:proofErr w:type="gramStart"/>
      <w:r>
        <w:t>te</w:t>
      </w:r>
      <w:proofErr w:type="spellEnd"/>
      <w:proofErr w:type="gramEnd"/>
      <w:r>
        <w:t xml:space="preserve"> </w:t>
      </w:r>
      <w:proofErr w:type="spellStart"/>
      <w:r>
        <w:t>tika</w:t>
      </w:r>
      <w:proofErr w:type="spellEnd"/>
      <w:r>
        <w:t xml:space="preserve"> o </w:t>
      </w:r>
      <w:proofErr w:type="spellStart"/>
      <w:r>
        <w:t>ngā</w:t>
      </w:r>
      <w:proofErr w:type="spellEnd"/>
      <w:r>
        <w:t xml:space="preserve"> </w:t>
      </w:r>
      <w:proofErr w:type="spellStart"/>
      <w:r>
        <w:t>mahi</w:t>
      </w:r>
      <w:proofErr w:type="spellEnd"/>
    </w:p>
    <w:p w:rsidR="00CB68A7" w:rsidRPr="00EB1F02" w:rsidRDefault="00CB68A7" w:rsidP="00B75CBC">
      <w:r w:rsidRPr="00EB1F02">
        <w:t>Making services more accessible and culturally appropriate will improve health service use by at</w:t>
      </w:r>
      <w:r>
        <w:t>-</w:t>
      </w:r>
      <w:r w:rsidRPr="00EB1F02">
        <w:t>risk groups and those experiencing gambling harm. Research suggests that improving the health service experience for M</w:t>
      </w:r>
      <w:r>
        <w:t>ā</w:t>
      </w:r>
      <w:r w:rsidRPr="00EB1F02">
        <w:t>ori also tends to improve service experience for other population groups</w:t>
      </w:r>
      <w:r w:rsidRPr="00EB1F02">
        <w:fldChar w:fldCharType="begin"/>
      </w:r>
      <w:r w:rsidRPr="00EB1F02">
        <w:instrText xml:space="preserve"> ADDIN EN.CITE &lt;EndNote&gt;&lt;Cite&gt;&lt;Author&gt;Williams&lt;/Author&gt;&lt;Year&gt;2012&lt;/Year&gt;&lt;RecNum&gt;97&lt;/RecNum&gt;&lt;DisplayText&gt;(Williams and Cram 2012)&lt;/DisplayText&gt;&lt;record&gt;&lt;rec-number&gt;97&lt;/rec-number&gt;&lt;foreign-keys&gt;&lt;key app="EN" db-id="220aw2sr9pxzepet5wvvpvtitppepwfzds2s"&gt;97&lt;/key&gt;&lt;/foreign-keys&gt;&lt;ref-type name="Report"&gt;27&lt;/ref-type&gt;&lt;contributors&gt;&lt;authors&gt;&lt;author&gt;Williams, L.&lt;/author&gt;&lt;author&gt;Cram, F. &lt;/author&gt;&lt;/authors&gt;&lt;/contributors&gt;&lt;titles&gt;&lt;title&gt;&lt;style face="normal" font="default" size="100%"&gt;What Works for M&lt;/style&gt;&lt;style face="normal" font="default" charset="186" size="100%"&gt;āori: Synthesis of Selected Literature: Prepared for the Department of Corrections. &lt;/style&gt;&lt;/title&gt;&lt;/titles&gt;&lt;dates&gt;&lt;year&gt;2012&lt;/year&gt;&lt;/dates&gt;&lt;pub-location&gt;&lt;style face="normal" font="default" charset="186" size="100%"&gt;Wellingtion, New Zealand.&lt;/style&gt;&lt;/pub-location&gt;&lt;publisher&gt;Dept of Corrections&lt;/publisher&gt;&lt;urls&gt;&lt;/urls&gt;&lt;/record&gt;&lt;/Cite&gt;&lt;/EndNote&gt;</w:instrText>
      </w:r>
      <w:r w:rsidRPr="00EB1F02">
        <w:fldChar w:fldCharType="end"/>
      </w:r>
      <w:r w:rsidRPr="00EB1F02">
        <w:t>.</w:t>
      </w:r>
      <w:r w:rsidRPr="00EB1F02">
        <w:fldChar w:fldCharType="begin" w:fldLock="1"/>
      </w:r>
      <w:r w:rsidRPr="00EB1F02">
        <w:instrText>ADDIN CSL_CITATION { "citationItems" : [ { "id" : "ITEM-1", "itemData" : { "author" : [ { "dropping-particle" : "", "family" : "Williams", "given" : "L.", "non-dropping-particle" : "", "parse-names" : false, "suffix" : "" }, { "dropping-particle" : "", "family" : "Cram", "given" : "F.", "non-dropping-particle" : "", "parse-names" : false, "suffix" : "" } ], "id" : "ITEM-1", "issued" : { "date-parts" : [ [ "2012" ] ] }, "publisher-place" : "Wellingtion, New Zealand", "title" : "What Works for M\u0101ori: Synthesis of Selected Literature: Prepared for the Department of Corrections", "type" : "report" }, "uris" : [ "http://www.mendeley.com/documents/?uuid=d05d9388-c59e-48e1-9ea6-ce2d9826b008" ] } ], "mendeley" : { "formattedCitation" : "(Williams &amp; Cram, 2012)", "plainTextFormattedCitation" : "(Williams &amp; Cram, 2012)", "previouslyFormattedCitation" : "(Williams &amp; Cram, 2012)" }, "properties" : { "noteIndex" : 0 }, "schema" : "https://github.com/citation-style-language/schema/raw/master/csl-citation.json" }</w:instrText>
      </w:r>
      <w:r w:rsidRPr="00EB1F02">
        <w:fldChar w:fldCharType="end"/>
      </w:r>
    </w:p>
    <w:p w:rsidR="00B75CBC" w:rsidRDefault="00B75CBC" w:rsidP="00B75CBC"/>
    <w:p w:rsidR="00EC3578" w:rsidRDefault="00CB68A7" w:rsidP="00B75CBC">
      <w:r w:rsidRPr="00EB1F02">
        <w:t>A greater community focus</w:t>
      </w:r>
      <w:r>
        <w:t>,</w:t>
      </w:r>
      <w:r w:rsidRPr="00EB1F02">
        <w:t xml:space="preserve"> delivering service interventions closer to groups at risk, is likely to improve </w:t>
      </w:r>
      <w:r>
        <w:t>use. T</w:t>
      </w:r>
      <w:r w:rsidRPr="00EB1F02">
        <w:t xml:space="preserve">ypically those who find health services hard to access describe the difficulties </w:t>
      </w:r>
      <w:r>
        <w:t>including:</w:t>
      </w:r>
      <w:r w:rsidRPr="00EB1F02">
        <w:t xml:space="preserve"> time and transport issues, unresponsive</w:t>
      </w:r>
      <w:r>
        <w:t>ness</w:t>
      </w:r>
      <w:r w:rsidRPr="00EB1F02">
        <w:t xml:space="preserve"> and </w:t>
      </w:r>
      <w:r>
        <w:t>discord with</w:t>
      </w:r>
      <w:r w:rsidRPr="00EB1F02">
        <w:t xml:space="preserve"> their world views where </w:t>
      </w:r>
      <w:r>
        <w:t>such views</w:t>
      </w:r>
      <w:r w:rsidRPr="00EB1F02">
        <w:t xml:space="preserve"> are different from the </w:t>
      </w:r>
      <w:r w:rsidR="00EC3578">
        <w:t>‘</w:t>
      </w:r>
      <w:r w:rsidRPr="00EB1F02">
        <w:t>mainstream</w:t>
      </w:r>
      <w:r w:rsidR="00EC3578">
        <w:t>’</w:t>
      </w:r>
      <w:r w:rsidRPr="00EB1F02">
        <w:t>.</w:t>
      </w:r>
    </w:p>
    <w:p w:rsidR="00CB68A7" w:rsidRPr="00C10A99" w:rsidRDefault="00CB68A7" w:rsidP="00B75CBC"/>
    <w:p w:rsidR="00CB68A7" w:rsidRPr="00E312E8" w:rsidRDefault="00CB68A7" w:rsidP="00B75CBC">
      <w:pPr>
        <w:pStyle w:val="Heading3"/>
      </w:pPr>
      <w:r w:rsidRPr="00E312E8">
        <w:t>Objective 11:</w:t>
      </w:r>
      <w:r w:rsidR="00B75CBC">
        <w:t xml:space="preserve"> </w:t>
      </w:r>
      <w:r w:rsidRPr="00E312E8">
        <w:t>A programme of research and evaluation establishes an evidence base that underpins all activities</w:t>
      </w:r>
    </w:p>
    <w:p w:rsidR="00CB68A7" w:rsidRPr="00C10A99" w:rsidRDefault="00CB68A7" w:rsidP="00B75CBC">
      <w:r w:rsidRPr="00E312E8">
        <w:t xml:space="preserve">A research programme will run in parallel to this </w:t>
      </w:r>
      <w:r>
        <w:t>s</w:t>
      </w:r>
      <w:r w:rsidRPr="00E312E8">
        <w:t xml:space="preserve">trategic </w:t>
      </w:r>
      <w:r>
        <w:t>p</w:t>
      </w:r>
      <w:r w:rsidRPr="00E312E8">
        <w:t xml:space="preserve">lan. It aims to fulfil both short- and long-term </w:t>
      </w:r>
      <w:r w:rsidRPr="00C10A99">
        <w:t xml:space="preserve">strategic research priorities and includes longitudinal studies. The programme addresses the requirements </w:t>
      </w:r>
      <w:r>
        <w:t xml:space="preserve">of the Gambling Act 2003 </w:t>
      </w:r>
      <w:r w:rsidRPr="00C10A99">
        <w:t xml:space="preserve">for </w:t>
      </w:r>
      <w:r w:rsidR="00EC3578">
        <w:t>‘</w:t>
      </w:r>
      <w:r w:rsidRPr="00C10A99">
        <w:t>independent scientific research associated with gambling</w:t>
      </w:r>
      <w:r w:rsidR="00EC3578">
        <w:t>’</w:t>
      </w:r>
      <w:r w:rsidRPr="00C10A99">
        <w:t xml:space="preserve"> and for </w:t>
      </w:r>
      <w:r w:rsidR="00EC3578">
        <w:t>‘</w:t>
      </w:r>
      <w:r w:rsidRPr="00C10A99">
        <w:t>evaluation</w:t>
      </w:r>
      <w:r w:rsidR="00EC3578">
        <w:t>’</w:t>
      </w:r>
      <w:r w:rsidRPr="00C10A99">
        <w:t>.</w:t>
      </w:r>
    </w:p>
    <w:p w:rsidR="00B75CBC" w:rsidRDefault="00B75CBC" w:rsidP="00B75CBC"/>
    <w:p w:rsidR="00CB68A7" w:rsidRDefault="00CB68A7" w:rsidP="00B75CBC">
      <w:r w:rsidRPr="00C10A99">
        <w:t xml:space="preserve">The Ministry will increase its emphasis on evaluation, particularly of the design, delivery and outcomes of services (both public health and clinical). This work will incorporate a consumer experience perspective. This will inform best practice </w:t>
      </w:r>
      <w:r>
        <w:t xml:space="preserve">and future service options </w:t>
      </w:r>
      <w:r w:rsidRPr="00C10A99">
        <w:t>in both intervention and public health services.</w:t>
      </w:r>
    </w:p>
    <w:p w:rsidR="00CB68A7" w:rsidRPr="00C10A99" w:rsidRDefault="00CB68A7" w:rsidP="00B75CBC"/>
    <w:p w:rsidR="00CB68A7" w:rsidRPr="00C10A99" w:rsidRDefault="00CB68A7" w:rsidP="00B75CBC">
      <w:pPr>
        <w:pStyle w:val="Table"/>
        <w:rPr>
          <w:sz w:val="16"/>
        </w:rPr>
      </w:pPr>
      <w:bookmarkStart w:id="81" w:name="_Toc514838699"/>
      <w:bookmarkStart w:id="82" w:name="_Toc517091236"/>
      <w:bookmarkStart w:id="83" w:name="_Toc522089440"/>
      <w:r w:rsidRPr="00C10A99">
        <w:lastRenderedPageBreak/>
        <w:t xml:space="preserve">Table </w:t>
      </w:r>
      <w:r w:rsidRPr="007F7BB3">
        <w:fldChar w:fldCharType="begin"/>
      </w:r>
      <w:r w:rsidRPr="00C10A99">
        <w:instrText xml:space="preserve"> SEQ Table \* ARABIC </w:instrText>
      </w:r>
      <w:r w:rsidRPr="007F7BB3">
        <w:fldChar w:fldCharType="separate"/>
      </w:r>
      <w:r w:rsidR="0012663D">
        <w:rPr>
          <w:noProof/>
        </w:rPr>
        <w:t>11</w:t>
      </w:r>
      <w:r w:rsidRPr="007F7BB3">
        <w:fldChar w:fldCharType="end"/>
      </w:r>
      <w:r w:rsidRPr="00C10A99">
        <w:t>: Objective 11</w:t>
      </w:r>
      <w:r>
        <w:t xml:space="preserve"> p</w:t>
      </w:r>
      <w:r w:rsidRPr="00C10A99">
        <w:t>riorities for action</w:t>
      </w:r>
      <w:bookmarkEnd w:id="81"/>
      <w:bookmarkEnd w:id="82"/>
      <w:bookmarkEnd w:id="83"/>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621"/>
        <w:gridCol w:w="17"/>
        <w:gridCol w:w="4605"/>
      </w:tblGrid>
      <w:tr w:rsidR="00CB68A7" w:rsidRPr="00B75CBC" w:rsidTr="00B75CBC">
        <w:trPr>
          <w:cantSplit/>
        </w:trPr>
        <w:tc>
          <w:tcPr>
            <w:tcW w:w="5000" w:type="pct"/>
            <w:gridSpan w:val="3"/>
            <w:tcBorders>
              <w:left w:val="nil"/>
              <w:bottom w:val="nil"/>
              <w:right w:val="nil"/>
            </w:tcBorders>
            <w:shd w:val="clear" w:color="auto" w:fill="000000" w:themeFill="text1"/>
          </w:tcPr>
          <w:p w:rsidR="00CB68A7" w:rsidRPr="00B75CBC" w:rsidRDefault="00CB68A7" w:rsidP="003824E9">
            <w:pPr>
              <w:pStyle w:val="TableText"/>
              <w:keepNext/>
              <w:rPr>
                <w:b/>
              </w:rPr>
            </w:pPr>
            <w:r w:rsidRPr="00B75CBC">
              <w:rPr>
                <w:b/>
              </w:rPr>
              <w:t>Objective 11: A programme of research and evaluation establishes an evidence base that underpins all activities to prevent and minimise gambling harm</w:t>
            </w:r>
          </w:p>
        </w:tc>
      </w:tr>
      <w:tr w:rsidR="00CB68A7" w:rsidRPr="00B75CBC" w:rsidTr="00B75CBC">
        <w:trPr>
          <w:cantSplit/>
        </w:trPr>
        <w:tc>
          <w:tcPr>
            <w:tcW w:w="5000" w:type="pct"/>
            <w:gridSpan w:val="3"/>
            <w:tcBorders>
              <w:top w:val="nil"/>
              <w:left w:val="nil"/>
              <w:bottom w:val="nil"/>
              <w:right w:val="nil"/>
            </w:tcBorders>
            <w:shd w:val="clear" w:color="auto" w:fill="D9D9D9" w:themeFill="background1" w:themeFillShade="D9"/>
          </w:tcPr>
          <w:p w:rsidR="00CB68A7" w:rsidRPr="00B75CBC" w:rsidRDefault="00CB68A7" w:rsidP="003824E9">
            <w:pPr>
              <w:pStyle w:val="TableText"/>
              <w:keepNext/>
              <w:jc w:val="center"/>
              <w:rPr>
                <w:b/>
              </w:rPr>
            </w:pPr>
            <w:r w:rsidRPr="00B75CBC">
              <w:rPr>
                <w:b/>
              </w:rPr>
              <w:t>Priorities for action</w:t>
            </w:r>
          </w:p>
        </w:tc>
      </w:tr>
      <w:tr w:rsidR="00CB68A7" w:rsidRPr="00B75CBC" w:rsidTr="00B75CBC">
        <w:trPr>
          <w:cantSplit/>
        </w:trPr>
        <w:tc>
          <w:tcPr>
            <w:tcW w:w="2509" w:type="pct"/>
            <w:gridSpan w:val="2"/>
            <w:tcBorders>
              <w:top w:val="nil"/>
              <w:left w:val="nil"/>
              <w:bottom w:val="single" w:sz="4" w:space="0" w:color="auto"/>
              <w:right w:val="nil"/>
            </w:tcBorders>
            <w:shd w:val="clear" w:color="auto" w:fill="auto"/>
          </w:tcPr>
          <w:p w:rsidR="00CB68A7" w:rsidRPr="00B75CBC" w:rsidRDefault="00CB68A7" w:rsidP="003824E9">
            <w:pPr>
              <w:pStyle w:val="TableText"/>
              <w:keepNext/>
              <w:jc w:val="center"/>
              <w:rPr>
                <w:b/>
              </w:rPr>
            </w:pPr>
            <w:r w:rsidRPr="00B75CBC">
              <w:rPr>
                <w:b/>
              </w:rPr>
              <w:t>Short- to medium-term priorities</w:t>
            </w:r>
          </w:p>
        </w:tc>
        <w:tc>
          <w:tcPr>
            <w:tcW w:w="2491" w:type="pct"/>
            <w:tcBorders>
              <w:top w:val="nil"/>
              <w:left w:val="nil"/>
              <w:bottom w:val="single" w:sz="4" w:space="0" w:color="auto"/>
              <w:right w:val="nil"/>
            </w:tcBorders>
            <w:shd w:val="clear" w:color="auto" w:fill="auto"/>
          </w:tcPr>
          <w:p w:rsidR="00CB68A7" w:rsidRPr="00B75CBC" w:rsidRDefault="00CB68A7" w:rsidP="003824E9">
            <w:pPr>
              <w:pStyle w:val="TableText"/>
              <w:keepNext/>
              <w:jc w:val="center"/>
              <w:rPr>
                <w:b/>
              </w:rPr>
            </w:pPr>
            <w:r w:rsidRPr="00B75CBC">
              <w:rPr>
                <w:b/>
              </w:rPr>
              <w:t>Long-term priorities</w:t>
            </w:r>
          </w:p>
        </w:tc>
      </w:tr>
      <w:tr w:rsidR="00CB68A7" w:rsidRPr="00C10A99" w:rsidTr="00B75CBC">
        <w:trPr>
          <w:cantSplit/>
        </w:trPr>
        <w:tc>
          <w:tcPr>
            <w:tcW w:w="5000" w:type="pct"/>
            <w:gridSpan w:val="3"/>
            <w:tcBorders>
              <w:top w:val="single" w:sz="4" w:space="0" w:color="auto"/>
              <w:left w:val="nil"/>
              <w:bottom w:val="single" w:sz="4" w:space="0" w:color="A6A6A6" w:themeColor="background1" w:themeShade="A6"/>
              <w:right w:val="nil"/>
            </w:tcBorders>
            <w:shd w:val="clear" w:color="auto" w:fill="auto"/>
          </w:tcPr>
          <w:p w:rsidR="00CB68A7" w:rsidRPr="00EB1F02" w:rsidRDefault="00CB68A7" w:rsidP="00B75CBC">
            <w:pPr>
              <w:pStyle w:val="TableText"/>
            </w:pPr>
            <w:r w:rsidRPr="00EB1F02">
              <w:t>Ensure that research on gambling participation, gambling behaviours, attitudes to gambling, the prevalence and incidence of gambling harm, risk and resiliency factors for gambling harm, and co</w:t>
            </w:r>
            <w:r w:rsidRPr="00EB1F02">
              <w:noBreakHyphen/>
              <w:t>morbidities is available to inform policy and service development</w:t>
            </w:r>
            <w:r>
              <w:t>.</w:t>
            </w:r>
          </w:p>
        </w:tc>
      </w:tr>
      <w:tr w:rsidR="00CB68A7" w:rsidRPr="00C10A99" w:rsidTr="00B75CBC">
        <w:trPr>
          <w:cantSplit/>
        </w:trPr>
        <w:tc>
          <w:tcPr>
            <w:tcW w:w="5000"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rsidR="00CB68A7" w:rsidRPr="00EB1F02" w:rsidRDefault="00CB68A7" w:rsidP="00B75CBC">
            <w:pPr>
              <w:pStyle w:val="TableText"/>
            </w:pPr>
            <w:r w:rsidRPr="00EB1F02">
              <w:t>Ensure that research and evaluation projects funded by the Ministry contribute to strategic outcomes, including supporting opportunities for innovation and enhancing the quality, responsiveness</w:t>
            </w:r>
            <w:r>
              <w:t>,</w:t>
            </w:r>
            <w:r w:rsidRPr="00EB1F02">
              <w:t xml:space="preserve"> effectiveness and value for money of services to prevent and minimise gambling harm</w:t>
            </w:r>
            <w:r>
              <w:t>.</w:t>
            </w:r>
          </w:p>
        </w:tc>
      </w:tr>
      <w:tr w:rsidR="00CB68A7" w:rsidRPr="00C10A99" w:rsidTr="00B75CBC">
        <w:trPr>
          <w:cantSplit/>
        </w:trPr>
        <w:tc>
          <w:tcPr>
            <w:tcW w:w="2500" w:type="pct"/>
            <w:tcBorders>
              <w:top w:val="single" w:sz="4" w:space="0" w:color="A6A6A6" w:themeColor="background1" w:themeShade="A6"/>
              <w:left w:val="nil"/>
              <w:right w:val="nil"/>
            </w:tcBorders>
            <w:shd w:val="clear" w:color="auto" w:fill="auto"/>
          </w:tcPr>
          <w:p w:rsidR="00CB68A7" w:rsidRPr="00EB1F02" w:rsidRDefault="00CB68A7" w:rsidP="00B75CBC">
            <w:pPr>
              <w:pStyle w:val="TableText"/>
              <w:ind w:right="113"/>
            </w:pPr>
            <w:r w:rsidRPr="00EB1F02">
              <w:t>Increase the evidence on why Māori and Pacific peoples continue to experience gambling-harm-related inequities and effective ways to reduce those inequities</w:t>
            </w:r>
            <w:r>
              <w:t>.</w:t>
            </w:r>
          </w:p>
        </w:tc>
        <w:tc>
          <w:tcPr>
            <w:tcW w:w="2500" w:type="pct"/>
            <w:gridSpan w:val="2"/>
            <w:tcBorders>
              <w:top w:val="single" w:sz="4" w:space="0" w:color="A6A6A6" w:themeColor="background1" w:themeShade="A6"/>
              <w:left w:val="nil"/>
              <w:right w:val="nil"/>
            </w:tcBorders>
            <w:shd w:val="clear" w:color="auto" w:fill="auto"/>
          </w:tcPr>
          <w:p w:rsidR="00CB68A7" w:rsidRPr="00EB1F02" w:rsidRDefault="00CB68A7" w:rsidP="00B75CBC">
            <w:pPr>
              <w:pStyle w:val="TableText"/>
            </w:pPr>
            <w:r w:rsidRPr="00EB1F02">
              <w:t>Develop and pilot initiatives specifically focused on reducing gambling-harm-related inequities among Māori and Pacific peoples and other vulnerable groups</w:t>
            </w:r>
            <w:r>
              <w:t>.</w:t>
            </w:r>
          </w:p>
        </w:tc>
      </w:tr>
    </w:tbl>
    <w:p w:rsidR="00CB68A7" w:rsidRPr="00E312E8" w:rsidRDefault="00CB68A7" w:rsidP="00B75CBC"/>
    <w:p w:rsidR="00CB68A7" w:rsidRPr="00B47FDC" w:rsidRDefault="00CB68A7" w:rsidP="00B75CBC">
      <w:pPr>
        <w:pStyle w:val="Heading4"/>
      </w:pPr>
      <w:r w:rsidRPr="00E312E8">
        <w:t xml:space="preserve">Underlying principles: </w:t>
      </w:r>
      <w:r w:rsidRPr="00EB1F02">
        <w:t xml:space="preserve">Smart system / He </w:t>
      </w:r>
      <w:proofErr w:type="spellStart"/>
      <w:r w:rsidRPr="00EB1F02">
        <w:t>atamai</w:t>
      </w:r>
      <w:proofErr w:type="spellEnd"/>
      <w:r w:rsidRPr="00EB1F02">
        <w:t xml:space="preserve"> </w:t>
      </w:r>
      <w:proofErr w:type="spellStart"/>
      <w:proofErr w:type="gramStart"/>
      <w:r w:rsidRPr="00EB1F02">
        <w:t>te</w:t>
      </w:r>
      <w:proofErr w:type="spellEnd"/>
      <w:proofErr w:type="gramEnd"/>
      <w:r w:rsidRPr="00EB1F02">
        <w:t xml:space="preserve"> </w:t>
      </w:r>
      <w:proofErr w:type="spellStart"/>
      <w:r w:rsidRPr="00EB1F02">
        <w:t>whakaraupapa</w:t>
      </w:r>
      <w:proofErr w:type="spellEnd"/>
    </w:p>
    <w:p w:rsidR="00CB68A7" w:rsidRPr="00C10A99" w:rsidRDefault="00CB68A7" w:rsidP="00B75CBC">
      <w:r w:rsidRPr="00C10A99">
        <w:t>Research should reflect the different linguistic and cultural contexts that provide different ways of understanding gambling and its effects. Results are communicated in a variety of ways that are appropriate for and understood by the intended audience.</w:t>
      </w:r>
    </w:p>
    <w:p w:rsidR="00B75CBC" w:rsidRDefault="00B75CBC" w:rsidP="00B75CBC"/>
    <w:p w:rsidR="00CB68A7" w:rsidRPr="00C10A99" w:rsidRDefault="00CB68A7" w:rsidP="00B75CBC">
      <w:r w:rsidRPr="00C10A99">
        <w:t>Gambling harm minimisation research funded by the Ministry will:</w:t>
      </w:r>
    </w:p>
    <w:p w:rsidR="00CB68A7" w:rsidRPr="00C10A99" w:rsidRDefault="00CB68A7" w:rsidP="00B75CBC">
      <w:pPr>
        <w:pStyle w:val="Bullet"/>
      </w:pPr>
      <w:r>
        <w:t>b</w:t>
      </w:r>
      <w:r w:rsidRPr="00C10A99">
        <w:t>e undertaken with integrity, independence and accountability by researchers</w:t>
      </w:r>
    </w:p>
    <w:p w:rsidR="00CB68A7" w:rsidRPr="00C10A99" w:rsidRDefault="00CB68A7" w:rsidP="00B75CBC">
      <w:pPr>
        <w:pStyle w:val="Bullet"/>
      </w:pPr>
      <w:r>
        <w:t>b</w:t>
      </w:r>
      <w:r w:rsidRPr="00C10A99">
        <w:t>e undertaken using appropriate methods for the research question and resources available</w:t>
      </w:r>
    </w:p>
    <w:p w:rsidR="00CB68A7" w:rsidRPr="00C10A99" w:rsidRDefault="00CB68A7" w:rsidP="00B75CBC">
      <w:pPr>
        <w:pStyle w:val="Bullet"/>
      </w:pPr>
      <w:r>
        <w:t>b</w:t>
      </w:r>
      <w:r w:rsidRPr="00C10A99">
        <w:t>e delivered in a timely manner to inform policy and operational decision-making, and public debate</w:t>
      </w:r>
    </w:p>
    <w:p w:rsidR="00CB68A7" w:rsidRPr="00C10A99" w:rsidRDefault="00CB68A7" w:rsidP="00B75CBC">
      <w:pPr>
        <w:pStyle w:val="Bullet"/>
      </w:pPr>
      <w:r>
        <w:t>b</w:t>
      </w:r>
      <w:r w:rsidRPr="00C10A99">
        <w:t>e commissioned with transparency, follow best research management practice</w:t>
      </w:r>
      <w:r>
        <w:t>s</w:t>
      </w:r>
      <w:r w:rsidRPr="00C10A99">
        <w:t xml:space="preserve"> and comply with </w:t>
      </w:r>
      <w:r>
        <w:t xml:space="preserve">the </w:t>
      </w:r>
      <w:r w:rsidRPr="00C10A99">
        <w:t>government policy direction about the ownership and use of research deliverables funded by government</w:t>
      </w:r>
    </w:p>
    <w:p w:rsidR="00CB68A7" w:rsidRDefault="00CB68A7" w:rsidP="00B75CBC">
      <w:pPr>
        <w:pStyle w:val="Bullet"/>
      </w:pPr>
      <w:proofErr w:type="gramStart"/>
      <w:r w:rsidRPr="00C10A99">
        <w:t>represent</w:t>
      </w:r>
      <w:proofErr w:type="gramEnd"/>
      <w:r w:rsidRPr="00C10A99">
        <w:t xml:space="preserve"> value for money.</w:t>
      </w:r>
    </w:p>
    <w:p w:rsidR="00CB68A7" w:rsidRPr="00C10A99" w:rsidRDefault="00CB68A7" w:rsidP="00B75CBC"/>
    <w:p w:rsidR="00CB68A7" w:rsidRPr="00E312E8" w:rsidRDefault="00CB68A7" w:rsidP="00B75CBC">
      <w:pPr>
        <w:pStyle w:val="Heading2"/>
      </w:pPr>
      <w:bookmarkStart w:id="84" w:name="_Toc421026470"/>
      <w:bookmarkStart w:id="85" w:name="_Toc517090898"/>
      <w:bookmarkStart w:id="86" w:name="_Toc522089400"/>
      <w:r w:rsidRPr="00E312E8">
        <w:t>Align</w:t>
      </w:r>
      <w:r>
        <w:t>ing</w:t>
      </w:r>
      <w:r w:rsidRPr="00E312E8">
        <w:t xml:space="preserve"> the </w:t>
      </w:r>
      <w:r>
        <w:t>s</w:t>
      </w:r>
      <w:r w:rsidRPr="00E312E8">
        <w:t>trategy with He Korowai </w:t>
      </w:r>
      <w:proofErr w:type="spellStart"/>
      <w:r w:rsidRPr="00E312E8">
        <w:t>Oranga</w:t>
      </w:r>
      <w:bookmarkEnd w:id="84"/>
      <w:bookmarkEnd w:id="85"/>
      <w:bookmarkEnd w:id="86"/>
      <w:proofErr w:type="spellEnd"/>
    </w:p>
    <w:p w:rsidR="00CB68A7" w:rsidRPr="00C10A99" w:rsidRDefault="000D5C87" w:rsidP="00B75CBC">
      <w:hyperlink r:id="rId55" w:history="1">
        <w:r w:rsidR="00CB68A7" w:rsidRPr="007B36FF">
          <w:rPr>
            <w:rStyle w:val="Hyperlink"/>
            <w:rFonts w:cs="Arial"/>
            <w:bCs/>
          </w:rPr>
          <w:t xml:space="preserve">He Korowai </w:t>
        </w:r>
        <w:proofErr w:type="spellStart"/>
        <w:r w:rsidR="00CB68A7" w:rsidRPr="007B36FF">
          <w:rPr>
            <w:rStyle w:val="Hyperlink"/>
            <w:rFonts w:cs="Arial"/>
            <w:bCs/>
          </w:rPr>
          <w:t>Oranga</w:t>
        </w:r>
        <w:proofErr w:type="spellEnd"/>
      </w:hyperlink>
      <w:r w:rsidR="00CB68A7">
        <w:rPr>
          <w:rStyle w:val="Hyperlink"/>
          <w:rFonts w:cs="Arial"/>
          <w:bCs/>
        </w:rPr>
        <w:t xml:space="preserve"> is New Zealand</w:t>
      </w:r>
      <w:r w:rsidR="00EC3578">
        <w:rPr>
          <w:rStyle w:val="Hyperlink"/>
          <w:rFonts w:cs="Arial"/>
          <w:bCs/>
        </w:rPr>
        <w:t>’</w:t>
      </w:r>
      <w:r w:rsidR="00CB68A7">
        <w:rPr>
          <w:rStyle w:val="Hyperlink"/>
          <w:rFonts w:cs="Arial"/>
          <w:bCs/>
        </w:rPr>
        <w:t>s Māori Health Strategy. It</w:t>
      </w:r>
      <w:r w:rsidR="00CB68A7" w:rsidRPr="008E2372">
        <w:rPr>
          <w:rStyle w:val="Hyperlink"/>
          <w:rFonts w:cs="Arial"/>
          <w:bCs/>
        </w:rPr>
        <w:t xml:space="preserve"> </w:t>
      </w:r>
      <w:r w:rsidR="00CB68A7" w:rsidRPr="00C10A99">
        <w:rPr>
          <w:rStyle w:val="Hyperlink"/>
          <w:rFonts w:cs="Arial"/>
          <w:bCs/>
        </w:rPr>
        <w:t xml:space="preserve">is a </w:t>
      </w:r>
      <w:r w:rsidR="00EC3578">
        <w:rPr>
          <w:rStyle w:val="Hyperlink"/>
          <w:rFonts w:cs="Arial"/>
          <w:bCs/>
        </w:rPr>
        <w:t>‘</w:t>
      </w:r>
      <w:r w:rsidR="00CB68A7" w:rsidRPr="00C10A99">
        <w:rPr>
          <w:rStyle w:val="Hyperlink"/>
          <w:rFonts w:cs="Arial"/>
          <w:bCs/>
        </w:rPr>
        <w:t>living document</w:t>
      </w:r>
      <w:r w:rsidR="00EC3578">
        <w:rPr>
          <w:rStyle w:val="Hyperlink"/>
          <w:rFonts w:cs="Arial"/>
          <w:bCs/>
        </w:rPr>
        <w:t>’</w:t>
      </w:r>
      <w:r w:rsidR="00CB68A7" w:rsidRPr="00C10A99">
        <w:rPr>
          <w:rStyle w:val="Hyperlink"/>
          <w:rFonts w:cs="Arial"/>
          <w:bCs/>
        </w:rPr>
        <w:t xml:space="preserve"> that was most recently updated in 2014 (summarised in Figure </w:t>
      </w:r>
      <w:r w:rsidR="00D35FB5">
        <w:rPr>
          <w:rStyle w:val="Hyperlink"/>
          <w:rFonts w:cs="Arial"/>
          <w:bCs/>
        </w:rPr>
        <w:t>4</w:t>
      </w:r>
      <w:r w:rsidR="00CB68A7" w:rsidRPr="00C10A99">
        <w:rPr>
          <w:rStyle w:val="Hyperlink"/>
          <w:rFonts w:cs="Arial"/>
          <w:bCs/>
        </w:rPr>
        <w:t xml:space="preserve"> below).</w:t>
      </w:r>
    </w:p>
    <w:p w:rsidR="00B75CBC" w:rsidRDefault="00B75CBC" w:rsidP="00B75CBC"/>
    <w:p w:rsidR="00CB68A7" w:rsidRPr="00C10A99" w:rsidRDefault="00CB68A7" w:rsidP="00B75CBC">
      <w:proofErr w:type="spellStart"/>
      <w:r w:rsidRPr="00C10A99">
        <w:t>Pae</w:t>
      </w:r>
      <w:proofErr w:type="spellEnd"/>
      <w:r w:rsidRPr="00C10A99">
        <w:t xml:space="preserve"> Ora </w:t>
      </w:r>
      <w:r>
        <w:t xml:space="preserve">– </w:t>
      </w:r>
      <w:r w:rsidRPr="00C10A99">
        <w:t>healthy futures is the Government</w:t>
      </w:r>
      <w:r w:rsidR="00EC3578">
        <w:t>’</w:t>
      </w:r>
      <w:r w:rsidRPr="00C10A99">
        <w:t xml:space="preserve">s vision and overarching aim for Māori health. </w:t>
      </w:r>
      <w:proofErr w:type="spellStart"/>
      <w:r w:rsidRPr="00C10A99">
        <w:t>Pae</w:t>
      </w:r>
      <w:proofErr w:type="spellEnd"/>
      <w:r w:rsidRPr="00C10A99">
        <w:t xml:space="preserve"> Ora is a holistic concept that includes three interconnected and mutually reinforcing elements – </w:t>
      </w:r>
      <w:r>
        <w:t>m</w:t>
      </w:r>
      <w:r w:rsidRPr="00C10A99">
        <w:t xml:space="preserve">auri </w:t>
      </w:r>
      <w:proofErr w:type="spellStart"/>
      <w:r>
        <w:t>o</w:t>
      </w:r>
      <w:r w:rsidRPr="00C10A99">
        <w:t>ra</w:t>
      </w:r>
      <w:proofErr w:type="spellEnd"/>
      <w:r w:rsidRPr="00C10A99">
        <w:t xml:space="preserve"> (healthy individuals), </w:t>
      </w:r>
      <w:proofErr w:type="spellStart"/>
      <w:r>
        <w:t>w</w:t>
      </w:r>
      <w:r w:rsidRPr="00C10A99">
        <w:t>hānau</w:t>
      </w:r>
      <w:proofErr w:type="spellEnd"/>
      <w:r w:rsidRPr="00C10A99">
        <w:t xml:space="preserve"> </w:t>
      </w:r>
      <w:proofErr w:type="spellStart"/>
      <w:r>
        <w:t>o</w:t>
      </w:r>
      <w:r w:rsidRPr="00C10A99">
        <w:t>ra</w:t>
      </w:r>
      <w:proofErr w:type="spellEnd"/>
      <w:r w:rsidRPr="00C10A99">
        <w:t xml:space="preserve"> (healthy families) and </w:t>
      </w:r>
      <w:proofErr w:type="spellStart"/>
      <w:r>
        <w:t>w</w:t>
      </w:r>
      <w:r w:rsidRPr="00C10A99">
        <w:t>ai</w:t>
      </w:r>
      <w:proofErr w:type="spellEnd"/>
      <w:r w:rsidRPr="00C10A99">
        <w:t xml:space="preserve"> </w:t>
      </w:r>
      <w:proofErr w:type="spellStart"/>
      <w:r>
        <w:t>o</w:t>
      </w:r>
      <w:r w:rsidRPr="00C10A99">
        <w:t>ra</w:t>
      </w:r>
      <w:proofErr w:type="spellEnd"/>
      <w:r w:rsidRPr="00C10A99">
        <w:t xml:space="preserve"> (healthy environments).</w:t>
      </w:r>
    </w:p>
    <w:p w:rsidR="004A0A4D" w:rsidRDefault="004A0A4D" w:rsidP="004A0A4D"/>
    <w:p w:rsidR="00CB68A7" w:rsidRPr="00C10A99" w:rsidRDefault="00CB68A7" w:rsidP="004A0A4D">
      <w:r w:rsidRPr="00C10A99">
        <w:t xml:space="preserve">The Ministry has aligned the current draft </w:t>
      </w:r>
      <w:r>
        <w:t>s</w:t>
      </w:r>
      <w:r w:rsidRPr="00C10A99">
        <w:t xml:space="preserve">trategic </w:t>
      </w:r>
      <w:r>
        <w:t>p</w:t>
      </w:r>
      <w:r w:rsidRPr="00C10A99">
        <w:t xml:space="preserve">lan with </w:t>
      </w:r>
      <w:hyperlink r:id="rId56" w:history="1">
        <w:r w:rsidRPr="007B36FF">
          <w:rPr>
            <w:rStyle w:val="Hyperlink"/>
            <w:rFonts w:cs="Arial"/>
            <w:bCs/>
          </w:rPr>
          <w:t xml:space="preserve">He Korowai </w:t>
        </w:r>
        <w:proofErr w:type="spellStart"/>
        <w:r w:rsidRPr="007B36FF">
          <w:rPr>
            <w:rStyle w:val="Hyperlink"/>
            <w:rFonts w:cs="Arial"/>
            <w:bCs/>
          </w:rPr>
          <w:t>Oranga</w:t>
        </w:r>
        <w:proofErr w:type="spellEnd"/>
      </w:hyperlink>
      <w:r w:rsidRPr="00C10A99">
        <w:t xml:space="preserve">, in acknowledgement of the fact that the Strategy to Prevent and Minimise Gambling Harm contributes to </w:t>
      </w:r>
      <w:proofErr w:type="spellStart"/>
      <w:r w:rsidRPr="00C10A99">
        <w:t>Pae</w:t>
      </w:r>
      <w:proofErr w:type="spellEnd"/>
      <w:r w:rsidRPr="00C10A99">
        <w:t xml:space="preserve"> Ora.</w:t>
      </w:r>
    </w:p>
    <w:p w:rsidR="00CB68A7" w:rsidRPr="00C10A99" w:rsidRDefault="00CB68A7" w:rsidP="004A0A4D"/>
    <w:p w:rsidR="00CB68A7" w:rsidRPr="00BC3003" w:rsidRDefault="00D35FB5" w:rsidP="004A0A4D">
      <w:pPr>
        <w:pStyle w:val="Figure"/>
      </w:pPr>
      <w:bookmarkStart w:id="87" w:name="_Toc514139885"/>
      <w:bookmarkStart w:id="88" w:name="_Toc516836147"/>
      <w:bookmarkStart w:id="89" w:name="_Toc522089425"/>
      <w:r>
        <w:lastRenderedPageBreak/>
        <w:t>Figure 4</w:t>
      </w:r>
      <w:r w:rsidR="00CB68A7" w:rsidRPr="00227DDB">
        <w:t xml:space="preserve">: He Korowai </w:t>
      </w:r>
      <w:proofErr w:type="spellStart"/>
      <w:r w:rsidR="00CB68A7" w:rsidRPr="00227DDB">
        <w:t>Oranga</w:t>
      </w:r>
      <w:proofErr w:type="spellEnd"/>
      <w:r w:rsidR="00CB68A7" w:rsidRPr="00227DDB">
        <w:t xml:space="preserve">: </w:t>
      </w:r>
      <w:r w:rsidR="00EC3578">
        <w:t>‘</w:t>
      </w:r>
      <w:r w:rsidR="00CB68A7" w:rsidRPr="00227DDB">
        <w:t xml:space="preserve">the cloak of </w:t>
      </w:r>
      <w:proofErr w:type="gramStart"/>
      <w:r w:rsidR="00CB68A7" w:rsidRPr="00227DDB">
        <w:t>wellness</w:t>
      </w:r>
      <w:r w:rsidR="00EC3578">
        <w:t>’</w:t>
      </w:r>
      <w:bookmarkEnd w:id="87"/>
      <w:bookmarkEnd w:id="88"/>
      <w:bookmarkEnd w:id="89"/>
      <w:proofErr w:type="gramEnd"/>
    </w:p>
    <w:p w:rsidR="00CB68A7" w:rsidRPr="004A0A4D" w:rsidRDefault="00CB68A7" w:rsidP="004A0A4D">
      <w:r w:rsidRPr="004A1981">
        <w:rPr>
          <w:noProof/>
          <w:lang w:eastAsia="en-NZ"/>
        </w:rPr>
        <w:drawing>
          <wp:inline distT="0" distB="0" distL="0" distR="0" wp14:anchorId="27F2F9AF" wp14:editId="2F6183B2">
            <wp:extent cx="5930265" cy="5115560"/>
            <wp:effectExtent l="0" t="0" r="0" b="8890"/>
            <wp:docPr id="1" name="Picture 237" title="Figure 3: He Korowai Oranga: ‘the cloak of we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7">
                      <a:grayscl/>
                      <a:extLst>
                        <a:ext uri="{28A0092B-C50C-407E-A947-70E740481C1C}">
                          <a14:useLocalDpi xmlns:a14="http://schemas.microsoft.com/office/drawing/2010/main" val="0"/>
                        </a:ext>
                      </a:extLst>
                    </a:blip>
                    <a:srcRect t="1752"/>
                    <a:stretch>
                      <a:fillRect/>
                    </a:stretch>
                  </pic:blipFill>
                  <pic:spPr bwMode="auto">
                    <a:xfrm>
                      <a:off x="0" y="0"/>
                      <a:ext cx="5930265" cy="5115560"/>
                    </a:xfrm>
                    <a:prstGeom prst="rect">
                      <a:avLst/>
                    </a:prstGeom>
                    <a:noFill/>
                    <a:ln>
                      <a:noFill/>
                    </a:ln>
                  </pic:spPr>
                </pic:pic>
              </a:graphicData>
            </a:graphic>
          </wp:inline>
        </w:drawing>
      </w:r>
    </w:p>
    <w:p w:rsidR="00CB68A7" w:rsidRPr="00C10A99" w:rsidRDefault="00CB68A7" w:rsidP="004A0A4D"/>
    <w:p w:rsidR="00CB68A7" w:rsidRPr="00C10A99" w:rsidRDefault="00CB68A7" w:rsidP="004A0A4D">
      <w:pPr>
        <w:pStyle w:val="Table"/>
      </w:pPr>
      <w:bookmarkStart w:id="90" w:name="_Toc514838700"/>
      <w:bookmarkStart w:id="91" w:name="_Toc517091237"/>
      <w:bookmarkStart w:id="92" w:name="_Toc522089441"/>
      <w:bookmarkStart w:id="93" w:name="_Toc422409750"/>
      <w:r w:rsidRPr="00252C71">
        <w:lastRenderedPageBreak/>
        <w:t xml:space="preserve">Table </w:t>
      </w:r>
      <w:r w:rsidR="00E319C0">
        <w:rPr>
          <w:noProof/>
        </w:rPr>
        <w:fldChar w:fldCharType="begin"/>
      </w:r>
      <w:r w:rsidR="00E319C0">
        <w:rPr>
          <w:noProof/>
        </w:rPr>
        <w:instrText xml:space="preserve"> SEQ Table \* ARABIC </w:instrText>
      </w:r>
      <w:r w:rsidR="00E319C0">
        <w:rPr>
          <w:noProof/>
        </w:rPr>
        <w:fldChar w:fldCharType="separate"/>
      </w:r>
      <w:r w:rsidR="0012663D">
        <w:rPr>
          <w:noProof/>
        </w:rPr>
        <w:t>12</w:t>
      </w:r>
      <w:r w:rsidR="00E319C0">
        <w:rPr>
          <w:noProof/>
        </w:rPr>
        <w:fldChar w:fldCharType="end"/>
      </w:r>
      <w:r w:rsidRPr="00C10A99">
        <w:t>: Align</w:t>
      </w:r>
      <w:r>
        <w:t>ing</w:t>
      </w:r>
      <w:r w:rsidRPr="00C10A99">
        <w:t xml:space="preserve"> the Strategy with He Korowai </w:t>
      </w:r>
      <w:proofErr w:type="spellStart"/>
      <w:r w:rsidRPr="00C10A99">
        <w:t>Oranga</w:t>
      </w:r>
      <w:bookmarkEnd w:id="90"/>
      <w:bookmarkEnd w:id="91"/>
      <w:bookmarkEnd w:id="92"/>
      <w:proofErr w:type="spellEnd"/>
    </w:p>
    <w:tbl>
      <w:tblPr>
        <w:tblW w:w="4940" w:type="pct"/>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241"/>
        <w:gridCol w:w="7002"/>
      </w:tblGrid>
      <w:tr w:rsidR="00CB68A7" w:rsidRPr="004A0A4D" w:rsidTr="004A0A4D">
        <w:trPr>
          <w:cantSplit/>
          <w:tblHeader/>
        </w:trPr>
        <w:tc>
          <w:tcPr>
            <w:tcW w:w="1212" w:type="pct"/>
            <w:tcBorders>
              <w:top w:val="single" w:sz="4" w:space="0" w:color="auto"/>
              <w:bottom w:val="single" w:sz="4" w:space="0" w:color="auto"/>
            </w:tcBorders>
            <w:shd w:val="clear" w:color="auto" w:fill="auto"/>
            <w:noWrap/>
          </w:tcPr>
          <w:bookmarkEnd w:id="93"/>
          <w:p w:rsidR="00CB68A7" w:rsidRPr="004A0A4D" w:rsidRDefault="00CB68A7" w:rsidP="004A0A4D">
            <w:pPr>
              <w:pStyle w:val="TableText"/>
              <w:keepNext/>
              <w:rPr>
                <w:b/>
                <w:lang w:eastAsia="en-US"/>
              </w:rPr>
            </w:pPr>
            <w:r w:rsidRPr="004A0A4D">
              <w:rPr>
                <w:b/>
                <w:lang w:eastAsia="en-US"/>
              </w:rPr>
              <w:t xml:space="preserve">He Korowai </w:t>
            </w:r>
            <w:proofErr w:type="spellStart"/>
            <w:r w:rsidRPr="004A0A4D">
              <w:rPr>
                <w:b/>
                <w:lang w:eastAsia="en-US"/>
              </w:rPr>
              <w:t>Oranga</w:t>
            </w:r>
            <w:proofErr w:type="spellEnd"/>
          </w:p>
        </w:tc>
        <w:tc>
          <w:tcPr>
            <w:tcW w:w="3788" w:type="pct"/>
            <w:tcBorders>
              <w:top w:val="single" w:sz="4" w:space="0" w:color="auto"/>
              <w:bottom w:val="single" w:sz="4" w:space="0" w:color="auto"/>
            </w:tcBorders>
            <w:shd w:val="clear" w:color="auto" w:fill="auto"/>
            <w:noWrap/>
          </w:tcPr>
          <w:p w:rsidR="00CB68A7" w:rsidRPr="004A0A4D" w:rsidRDefault="00CB68A7" w:rsidP="004A0A4D">
            <w:pPr>
              <w:pStyle w:val="TableText"/>
              <w:keepNext/>
              <w:rPr>
                <w:b/>
                <w:lang w:eastAsia="en-US"/>
              </w:rPr>
            </w:pPr>
            <w:r w:rsidRPr="004A0A4D">
              <w:rPr>
                <w:b/>
                <w:lang w:eastAsia="en-US"/>
              </w:rPr>
              <w:t>Examples of the strategy</w:t>
            </w:r>
            <w:r w:rsidR="00EC3578" w:rsidRPr="004A0A4D">
              <w:rPr>
                <w:b/>
                <w:lang w:eastAsia="en-US"/>
              </w:rPr>
              <w:t>’</w:t>
            </w:r>
            <w:r w:rsidRPr="004A0A4D">
              <w:rPr>
                <w:b/>
                <w:lang w:eastAsia="en-US"/>
              </w:rPr>
              <w:t>s alignment</w:t>
            </w:r>
          </w:p>
        </w:tc>
      </w:tr>
      <w:tr w:rsidR="00CB68A7" w:rsidRPr="004A0A4D" w:rsidTr="004A0A4D">
        <w:trPr>
          <w:cantSplit/>
        </w:trPr>
        <w:tc>
          <w:tcPr>
            <w:tcW w:w="1212" w:type="pct"/>
            <w:tcBorders>
              <w:top w:val="single" w:sz="4" w:space="0" w:color="auto"/>
              <w:bottom w:val="single" w:sz="4" w:space="0" w:color="A6A6A6" w:themeColor="background1" w:themeShade="A6"/>
            </w:tcBorders>
            <w:shd w:val="clear" w:color="auto" w:fill="auto"/>
            <w:noWrap/>
          </w:tcPr>
          <w:p w:rsidR="00CB68A7" w:rsidRPr="004A0A4D" w:rsidRDefault="00CB68A7" w:rsidP="004A0A4D">
            <w:pPr>
              <w:pStyle w:val="TableText"/>
              <w:keepNext/>
              <w:rPr>
                <w:b/>
                <w:lang w:eastAsia="en-US"/>
              </w:rPr>
            </w:pPr>
            <w:r w:rsidRPr="004A0A4D">
              <w:rPr>
                <w:b/>
                <w:lang w:eastAsia="en-US"/>
              </w:rPr>
              <w:t>Overall aim</w:t>
            </w:r>
          </w:p>
        </w:tc>
        <w:tc>
          <w:tcPr>
            <w:tcW w:w="3788" w:type="pct"/>
            <w:tcBorders>
              <w:top w:val="single" w:sz="4" w:space="0" w:color="auto"/>
              <w:bottom w:val="single" w:sz="4" w:space="0" w:color="A6A6A6" w:themeColor="background1" w:themeShade="A6"/>
            </w:tcBorders>
            <w:shd w:val="clear" w:color="auto" w:fill="auto"/>
            <w:noWrap/>
          </w:tcPr>
          <w:p w:rsidR="00CB68A7" w:rsidRPr="004A0A4D" w:rsidRDefault="00CB68A7" w:rsidP="004A0A4D">
            <w:pPr>
              <w:pStyle w:val="TableText"/>
              <w:keepNext/>
              <w:rPr>
                <w:b/>
                <w:lang w:eastAsia="en-US"/>
              </w:rPr>
            </w:pPr>
          </w:p>
        </w:tc>
      </w:tr>
      <w:tr w:rsidR="00CB68A7" w:rsidRPr="00C10A99" w:rsidTr="004A0A4D">
        <w:trPr>
          <w:cantSplit/>
        </w:trPr>
        <w:tc>
          <w:tcPr>
            <w:tcW w:w="1212" w:type="pct"/>
            <w:tcBorders>
              <w:top w:val="single" w:sz="4" w:space="0" w:color="A6A6A6" w:themeColor="background1" w:themeShade="A6"/>
              <w:bottom w:val="single" w:sz="4" w:space="0" w:color="A6A6A6" w:themeColor="background1" w:themeShade="A6"/>
            </w:tcBorders>
            <w:shd w:val="clear" w:color="auto" w:fill="auto"/>
            <w:noWrap/>
          </w:tcPr>
          <w:p w:rsidR="00CB68A7" w:rsidRPr="00EB1F02" w:rsidRDefault="00CB68A7" w:rsidP="004A0A4D">
            <w:pPr>
              <w:pStyle w:val="TableText"/>
              <w:keepNext/>
              <w:rPr>
                <w:lang w:eastAsia="en-US"/>
              </w:rPr>
            </w:pPr>
            <w:proofErr w:type="spellStart"/>
            <w:r w:rsidRPr="00EB1F02">
              <w:rPr>
                <w:lang w:eastAsia="en-US"/>
              </w:rPr>
              <w:t>Pae</w:t>
            </w:r>
            <w:proofErr w:type="spellEnd"/>
            <w:r w:rsidRPr="00EB1F02">
              <w:rPr>
                <w:lang w:eastAsia="en-US"/>
              </w:rPr>
              <w:t xml:space="preserve"> Ora</w:t>
            </w:r>
          </w:p>
        </w:tc>
        <w:tc>
          <w:tcPr>
            <w:tcW w:w="3788" w:type="pct"/>
            <w:tcBorders>
              <w:top w:val="single" w:sz="4" w:space="0" w:color="A6A6A6" w:themeColor="background1" w:themeShade="A6"/>
              <w:bottom w:val="single" w:sz="4" w:space="0" w:color="A6A6A6" w:themeColor="background1" w:themeShade="A6"/>
            </w:tcBorders>
            <w:shd w:val="clear" w:color="auto" w:fill="auto"/>
            <w:noWrap/>
            <w:vAlign w:val="center"/>
          </w:tcPr>
          <w:p w:rsidR="00EC3578" w:rsidRDefault="00CB68A7" w:rsidP="004A0A4D">
            <w:pPr>
              <w:pStyle w:val="TableText"/>
              <w:keepNext/>
              <w:rPr>
                <w:rFonts w:eastAsia="Arial Unicode MS"/>
              </w:rPr>
            </w:pPr>
            <w:r w:rsidRPr="00EB1F02">
              <w:rPr>
                <w:rFonts w:eastAsia="Arial Unicode MS"/>
              </w:rPr>
              <w:t>Principles underpinning the strategy – a focus on improving Māori health</w:t>
            </w:r>
          </w:p>
          <w:p w:rsidR="00CB68A7" w:rsidRPr="00EB1F02" w:rsidRDefault="00CB68A7" w:rsidP="004A0A4D">
            <w:pPr>
              <w:pStyle w:val="TableText"/>
              <w:keepNext/>
              <w:rPr>
                <w:rFonts w:eastAsia="Arial Unicode MS"/>
              </w:rPr>
            </w:pPr>
            <w:r w:rsidRPr="00EB1F02">
              <w:rPr>
                <w:rFonts w:eastAsia="Arial Unicode MS"/>
              </w:rPr>
              <w:t xml:space="preserve">Objective 2 – a specific </w:t>
            </w:r>
            <w:proofErr w:type="spellStart"/>
            <w:r w:rsidRPr="00EB1F02">
              <w:rPr>
                <w:rFonts w:eastAsia="Arial Unicode MS"/>
              </w:rPr>
              <w:t>Pae</w:t>
            </w:r>
            <w:proofErr w:type="spellEnd"/>
            <w:r w:rsidRPr="00EB1F02">
              <w:rPr>
                <w:rFonts w:eastAsia="Arial Unicode MS"/>
              </w:rPr>
              <w:t xml:space="preserve"> Ora objective</w:t>
            </w:r>
          </w:p>
        </w:tc>
      </w:tr>
      <w:tr w:rsidR="00CB68A7" w:rsidRPr="004A0A4D" w:rsidTr="004A0A4D">
        <w:trPr>
          <w:cantSplit/>
        </w:trPr>
        <w:tc>
          <w:tcPr>
            <w:tcW w:w="1212" w:type="pct"/>
            <w:tcBorders>
              <w:top w:val="single" w:sz="4" w:space="0" w:color="A6A6A6" w:themeColor="background1" w:themeShade="A6"/>
              <w:bottom w:val="single" w:sz="4" w:space="0" w:color="A6A6A6" w:themeColor="background1" w:themeShade="A6"/>
            </w:tcBorders>
            <w:shd w:val="clear" w:color="auto" w:fill="auto"/>
            <w:noWrap/>
          </w:tcPr>
          <w:p w:rsidR="00CB68A7" w:rsidRPr="004A0A4D" w:rsidRDefault="00CB68A7" w:rsidP="004A0A4D">
            <w:pPr>
              <w:pStyle w:val="TableText"/>
              <w:keepNext/>
              <w:rPr>
                <w:b/>
                <w:lang w:eastAsia="en-US"/>
              </w:rPr>
            </w:pPr>
            <w:r w:rsidRPr="004A0A4D">
              <w:rPr>
                <w:b/>
                <w:lang w:eastAsia="en-US"/>
              </w:rPr>
              <w:t>Elements</w:t>
            </w:r>
          </w:p>
        </w:tc>
        <w:tc>
          <w:tcPr>
            <w:tcW w:w="3788" w:type="pct"/>
            <w:tcBorders>
              <w:top w:val="single" w:sz="4" w:space="0" w:color="A6A6A6" w:themeColor="background1" w:themeShade="A6"/>
              <w:bottom w:val="single" w:sz="4" w:space="0" w:color="A6A6A6" w:themeColor="background1" w:themeShade="A6"/>
            </w:tcBorders>
            <w:shd w:val="clear" w:color="auto" w:fill="auto"/>
            <w:noWrap/>
            <w:vAlign w:val="center"/>
          </w:tcPr>
          <w:p w:rsidR="00CB68A7" w:rsidRPr="004A0A4D" w:rsidRDefault="00CB68A7" w:rsidP="004A0A4D">
            <w:pPr>
              <w:pStyle w:val="TableText"/>
              <w:keepNext/>
              <w:rPr>
                <w:b/>
                <w:lang w:eastAsia="en-US"/>
              </w:rPr>
            </w:pPr>
          </w:p>
        </w:tc>
      </w:tr>
      <w:tr w:rsidR="00CB68A7" w:rsidRPr="00C10A99" w:rsidTr="004A0A4D">
        <w:trPr>
          <w:cantSplit/>
        </w:trPr>
        <w:tc>
          <w:tcPr>
            <w:tcW w:w="1212" w:type="pct"/>
            <w:tcBorders>
              <w:top w:val="single" w:sz="4" w:space="0" w:color="A6A6A6" w:themeColor="background1" w:themeShade="A6"/>
              <w:bottom w:val="single" w:sz="4" w:space="0" w:color="A6A6A6" w:themeColor="background1" w:themeShade="A6"/>
            </w:tcBorders>
            <w:shd w:val="clear" w:color="auto" w:fill="auto"/>
            <w:noWrap/>
          </w:tcPr>
          <w:p w:rsidR="00CB68A7" w:rsidRPr="00EB1F02" w:rsidRDefault="00CB68A7" w:rsidP="004A0A4D">
            <w:pPr>
              <w:pStyle w:val="TableText"/>
              <w:keepNext/>
              <w:rPr>
                <w:lang w:eastAsia="en-US"/>
              </w:rPr>
            </w:pPr>
            <w:r w:rsidRPr="00EB1F02">
              <w:rPr>
                <w:lang w:eastAsia="en-US"/>
              </w:rPr>
              <w:t xml:space="preserve">Wai </w:t>
            </w:r>
            <w:proofErr w:type="spellStart"/>
            <w:r>
              <w:rPr>
                <w:lang w:eastAsia="en-US"/>
              </w:rPr>
              <w:t>o</w:t>
            </w:r>
            <w:r w:rsidRPr="00EB1F02">
              <w:rPr>
                <w:lang w:eastAsia="en-US"/>
              </w:rPr>
              <w:t>ra</w:t>
            </w:r>
            <w:proofErr w:type="spellEnd"/>
          </w:p>
        </w:tc>
        <w:tc>
          <w:tcPr>
            <w:tcW w:w="3788" w:type="pct"/>
            <w:tcBorders>
              <w:top w:val="single" w:sz="4" w:space="0" w:color="A6A6A6" w:themeColor="background1" w:themeShade="A6"/>
              <w:bottom w:val="single" w:sz="4" w:space="0" w:color="A6A6A6" w:themeColor="background1" w:themeShade="A6"/>
            </w:tcBorders>
            <w:shd w:val="clear" w:color="auto" w:fill="auto"/>
            <w:noWrap/>
            <w:vAlign w:val="center"/>
          </w:tcPr>
          <w:p w:rsidR="00CB68A7" w:rsidRPr="00EB1F02" w:rsidRDefault="00CB68A7" w:rsidP="004A0A4D">
            <w:pPr>
              <w:pStyle w:val="TableText"/>
              <w:keepNext/>
              <w:rPr>
                <w:rFonts w:eastAsia="Arial Unicode MS"/>
              </w:rPr>
            </w:pPr>
            <w:r w:rsidRPr="00EB1F02">
              <w:rPr>
                <w:rFonts w:eastAsia="Arial Unicode MS"/>
              </w:rPr>
              <w:t xml:space="preserve">Principles underpinning the strategy –public health services based on the Ottawa Charter </w:t>
            </w:r>
            <w:r>
              <w:rPr>
                <w:rFonts w:eastAsia="Arial Unicode MS"/>
              </w:rPr>
              <w:t xml:space="preserve">for Health Promotion </w:t>
            </w:r>
            <w:r w:rsidRPr="00EB1F02">
              <w:rPr>
                <w:rFonts w:eastAsia="Arial Unicode MS"/>
              </w:rPr>
              <w:t>and New Zealand models (</w:t>
            </w:r>
            <w:r w:rsidR="00EC3578">
              <w:rPr>
                <w:rFonts w:eastAsia="Arial Unicode MS"/>
              </w:rPr>
              <w:t>‘</w:t>
            </w:r>
            <w:r w:rsidRPr="00EB1F02">
              <w:rPr>
                <w:rFonts w:eastAsia="Arial Unicode MS"/>
              </w:rPr>
              <w:t>healthy environments</w:t>
            </w:r>
            <w:r w:rsidR="00EC3578">
              <w:rPr>
                <w:rFonts w:eastAsia="Arial Unicode MS"/>
              </w:rPr>
              <w:t>’</w:t>
            </w:r>
            <w:r w:rsidRPr="00EB1F02">
              <w:rPr>
                <w:rFonts w:eastAsia="Arial Unicode MS"/>
              </w:rPr>
              <w:t xml:space="preserve"> is a traditional element of a public health approach and a component of </w:t>
            </w:r>
            <w:proofErr w:type="spellStart"/>
            <w:r w:rsidRPr="00EB1F02">
              <w:rPr>
                <w:rFonts w:eastAsia="Arial Unicode MS"/>
              </w:rPr>
              <w:t>Te</w:t>
            </w:r>
            <w:proofErr w:type="spellEnd"/>
            <w:r w:rsidRPr="00EB1F02">
              <w:rPr>
                <w:rFonts w:eastAsia="Arial Unicode MS"/>
              </w:rPr>
              <w:t xml:space="preserve"> </w:t>
            </w:r>
            <w:proofErr w:type="spellStart"/>
            <w:r w:rsidRPr="00EB1F02">
              <w:rPr>
                <w:rFonts w:eastAsia="Arial Unicode MS"/>
              </w:rPr>
              <w:t>Pae</w:t>
            </w:r>
            <w:proofErr w:type="spellEnd"/>
            <w:r w:rsidRPr="00EB1F02">
              <w:rPr>
                <w:rFonts w:eastAsia="Arial Unicode MS"/>
              </w:rPr>
              <w:t xml:space="preserve"> </w:t>
            </w:r>
            <w:proofErr w:type="spellStart"/>
            <w:r w:rsidRPr="00EB1F02">
              <w:rPr>
                <w:rFonts w:eastAsia="Arial Unicode MS"/>
              </w:rPr>
              <w:t>Mahutonga</w:t>
            </w:r>
            <w:proofErr w:type="spellEnd"/>
            <w:r w:rsidRPr="00EB1F02">
              <w:rPr>
                <w:rFonts w:eastAsia="Arial Unicode MS"/>
              </w:rPr>
              <w:t>)</w:t>
            </w:r>
          </w:p>
          <w:p w:rsidR="00CB68A7" w:rsidRPr="00EB1F02" w:rsidRDefault="00CB68A7" w:rsidP="004A0A4D">
            <w:pPr>
              <w:pStyle w:val="TableText"/>
              <w:keepNext/>
              <w:rPr>
                <w:rFonts w:eastAsia="Arial Unicode MS"/>
              </w:rPr>
            </w:pPr>
            <w:r w:rsidRPr="00EB1F02">
              <w:rPr>
                <w:rFonts w:eastAsia="Arial Unicode MS"/>
              </w:rPr>
              <w:t xml:space="preserve">Objective 8, which has a particular focus on </w:t>
            </w:r>
            <w:r>
              <w:rPr>
                <w:rFonts w:eastAsia="Arial Unicode MS"/>
              </w:rPr>
              <w:t>non-casino gaming machines (</w:t>
            </w:r>
            <w:r w:rsidRPr="00EB1F02">
              <w:rPr>
                <w:rFonts w:eastAsia="Arial Unicode MS"/>
              </w:rPr>
              <w:t>NCGMs</w:t>
            </w:r>
            <w:r>
              <w:rPr>
                <w:rFonts w:eastAsia="Arial Unicode MS"/>
              </w:rPr>
              <w:t>)</w:t>
            </w:r>
            <w:r w:rsidRPr="00EB1F02">
              <w:rPr>
                <w:rFonts w:eastAsia="Arial Unicode MS"/>
              </w:rPr>
              <w:t>; Māori women are particularly vulnerable to harm from NCGMs</w:t>
            </w:r>
          </w:p>
          <w:p w:rsidR="00CB68A7" w:rsidRPr="00EB1F02" w:rsidRDefault="00CB68A7" w:rsidP="004A0A4D">
            <w:pPr>
              <w:pStyle w:val="TableText"/>
              <w:keepNext/>
              <w:rPr>
                <w:rFonts w:eastAsia="Arial Unicode MS"/>
              </w:rPr>
            </w:pPr>
            <w:r w:rsidRPr="00EB1F02">
              <w:rPr>
                <w:rFonts w:eastAsia="Arial Unicode MS"/>
              </w:rPr>
              <w:t>Public health service specification purchase unit 2 (safe gambling environments)</w:t>
            </w:r>
          </w:p>
        </w:tc>
      </w:tr>
      <w:tr w:rsidR="00CB68A7" w:rsidRPr="00C10A99" w:rsidTr="004A0A4D">
        <w:trPr>
          <w:cantSplit/>
        </w:trPr>
        <w:tc>
          <w:tcPr>
            <w:tcW w:w="1212" w:type="pct"/>
            <w:tcBorders>
              <w:top w:val="single" w:sz="4" w:space="0" w:color="A6A6A6" w:themeColor="background1" w:themeShade="A6"/>
              <w:bottom w:val="single" w:sz="4" w:space="0" w:color="A6A6A6" w:themeColor="background1" w:themeShade="A6"/>
            </w:tcBorders>
            <w:shd w:val="clear" w:color="auto" w:fill="auto"/>
            <w:noWrap/>
          </w:tcPr>
          <w:p w:rsidR="00CB68A7" w:rsidRPr="00EB1F02" w:rsidRDefault="00CB68A7" w:rsidP="004A0A4D">
            <w:pPr>
              <w:pStyle w:val="TableText"/>
              <w:keepNext/>
              <w:rPr>
                <w:lang w:eastAsia="en-US"/>
              </w:rPr>
            </w:pPr>
            <w:proofErr w:type="spellStart"/>
            <w:r w:rsidRPr="00EB1F02">
              <w:rPr>
                <w:lang w:eastAsia="en-US"/>
              </w:rPr>
              <w:t>Whānau</w:t>
            </w:r>
            <w:proofErr w:type="spellEnd"/>
            <w:r w:rsidRPr="00EB1F02">
              <w:rPr>
                <w:lang w:eastAsia="en-US"/>
              </w:rPr>
              <w:t xml:space="preserve"> </w:t>
            </w:r>
            <w:proofErr w:type="spellStart"/>
            <w:r>
              <w:rPr>
                <w:lang w:eastAsia="en-US"/>
              </w:rPr>
              <w:t>o</w:t>
            </w:r>
            <w:r w:rsidRPr="00EB1F02">
              <w:rPr>
                <w:lang w:eastAsia="en-US"/>
              </w:rPr>
              <w:t>ra</w:t>
            </w:r>
            <w:proofErr w:type="spellEnd"/>
          </w:p>
        </w:tc>
        <w:tc>
          <w:tcPr>
            <w:tcW w:w="3788" w:type="pct"/>
            <w:tcBorders>
              <w:top w:val="single" w:sz="4" w:space="0" w:color="A6A6A6" w:themeColor="background1" w:themeShade="A6"/>
              <w:bottom w:val="single" w:sz="4" w:space="0" w:color="A6A6A6" w:themeColor="background1" w:themeShade="A6"/>
            </w:tcBorders>
            <w:shd w:val="clear" w:color="auto" w:fill="auto"/>
            <w:noWrap/>
            <w:vAlign w:val="center"/>
          </w:tcPr>
          <w:p w:rsidR="00CB68A7" w:rsidRPr="00EB1F02" w:rsidRDefault="00CB68A7" w:rsidP="004A0A4D">
            <w:pPr>
              <w:pStyle w:val="TableText"/>
              <w:keepNext/>
              <w:rPr>
                <w:rFonts w:eastAsia="Arial Unicode MS"/>
              </w:rPr>
            </w:pPr>
            <w:r w:rsidRPr="00EB1F02">
              <w:rPr>
                <w:rFonts w:eastAsia="Arial Unicode MS"/>
              </w:rPr>
              <w:t>Objectives 5 and 7 and public health service specification purchase unit 4 (aware communities)</w:t>
            </w:r>
          </w:p>
          <w:p w:rsidR="00CB68A7" w:rsidRPr="00EB1F02" w:rsidRDefault="00CB68A7" w:rsidP="004A0A4D">
            <w:pPr>
              <w:pStyle w:val="TableText"/>
              <w:keepNext/>
              <w:rPr>
                <w:rFonts w:eastAsia="Arial Unicode MS"/>
              </w:rPr>
            </w:pPr>
            <w:r w:rsidRPr="00EB1F02">
              <w:rPr>
                <w:rFonts w:eastAsia="Arial Unicode MS"/>
              </w:rPr>
              <w:t>Public health service specification purchase unit 3 (supportive communities)</w:t>
            </w:r>
          </w:p>
          <w:p w:rsidR="00CB68A7" w:rsidRPr="00EB1F02" w:rsidRDefault="00CB68A7" w:rsidP="004A0A4D">
            <w:pPr>
              <w:pStyle w:val="TableText"/>
              <w:keepNext/>
              <w:rPr>
                <w:rFonts w:eastAsia="Arial Unicode MS"/>
              </w:rPr>
            </w:pPr>
            <w:r w:rsidRPr="00EB1F02">
              <w:rPr>
                <w:rFonts w:eastAsia="Arial Unicode MS"/>
              </w:rPr>
              <w:t xml:space="preserve">Free intervention services for </w:t>
            </w:r>
            <w:proofErr w:type="spellStart"/>
            <w:r w:rsidRPr="00EB1F02">
              <w:rPr>
                <w:rFonts w:eastAsia="Arial Unicode MS"/>
              </w:rPr>
              <w:t>whānau</w:t>
            </w:r>
            <w:proofErr w:type="spellEnd"/>
            <w:r w:rsidRPr="00EB1F02">
              <w:rPr>
                <w:rFonts w:eastAsia="Arial Unicode MS"/>
              </w:rPr>
              <w:t>, including dedicated Māori services</w:t>
            </w:r>
          </w:p>
        </w:tc>
      </w:tr>
      <w:tr w:rsidR="00CB68A7" w:rsidRPr="00C10A99" w:rsidTr="004A0A4D">
        <w:trPr>
          <w:cantSplit/>
        </w:trPr>
        <w:tc>
          <w:tcPr>
            <w:tcW w:w="1212" w:type="pct"/>
            <w:tcBorders>
              <w:top w:val="single" w:sz="4" w:space="0" w:color="A6A6A6" w:themeColor="background1" w:themeShade="A6"/>
              <w:bottom w:val="single" w:sz="4" w:space="0" w:color="auto"/>
            </w:tcBorders>
            <w:shd w:val="clear" w:color="auto" w:fill="auto"/>
            <w:noWrap/>
          </w:tcPr>
          <w:p w:rsidR="00CB68A7" w:rsidRPr="00EB1F02" w:rsidRDefault="00CB68A7" w:rsidP="004A0A4D">
            <w:pPr>
              <w:pStyle w:val="TableText"/>
              <w:rPr>
                <w:lang w:eastAsia="en-US"/>
              </w:rPr>
            </w:pPr>
            <w:r w:rsidRPr="00EB1F02">
              <w:rPr>
                <w:lang w:eastAsia="en-US"/>
              </w:rPr>
              <w:t xml:space="preserve">Mauri </w:t>
            </w:r>
            <w:proofErr w:type="spellStart"/>
            <w:r>
              <w:rPr>
                <w:lang w:eastAsia="en-US"/>
              </w:rPr>
              <w:t>o</w:t>
            </w:r>
            <w:r w:rsidRPr="00EB1F02">
              <w:rPr>
                <w:lang w:eastAsia="en-US"/>
              </w:rPr>
              <w:t>ra</w:t>
            </w:r>
            <w:proofErr w:type="spellEnd"/>
          </w:p>
        </w:tc>
        <w:tc>
          <w:tcPr>
            <w:tcW w:w="3788" w:type="pct"/>
            <w:tcBorders>
              <w:top w:val="single" w:sz="4" w:space="0" w:color="A6A6A6" w:themeColor="background1" w:themeShade="A6"/>
              <w:bottom w:val="single" w:sz="4" w:space="0" w:color="auto"/>
            </w:tcBorders>
            <w:shd w:val="clear" w:color="auto" w:fill="auto"/>
            <w:noWrap/>
            <w:vAlign w:val="center"/>
          </w:tcPr>
          <w:p w:rsidR="00CB68A7" w:rsidRPr="00EB1F02" w:rsidRDefault="00CB68A7" w:rsidP="004A0A4D">
            <w:pPr>
              <w:pStyle w:val="TableText"/>
              <w:rPr>
                <w:rFonts w:eastAsia="Arial Unicode MS"/>
              </w:rPr>
            </w:pPr>
            <w:r w:rsidRPr="00EB1F02">
              <w:rPr>
                <w:rFonts w:eastAsia="Arial Unicode MS"/>
              </w:rPr>
              <w:t>Public health service specification purchase unit 5 (effective screening environments)</w:t>
            </w:r>
          </w:p>
          <w:p w:rsidR="00CB68A7" w:rsidRPr="00EB1F02" w:rsidRDefault="00CB68A7" w:rsidP="004A0A4D">
            <w:pPr>
              <w:pStyle w:val="TableText"/>
              <w:rPr>
                <w:rFonts w:eastAsia="Arial Unicode MS"/>
              </w:rPr>
            </w:pPr>
            <w:r w:rsidRPr="00EB1F02">
              <w:rPr>
                <w:rFonts w:eastAsia="Arial Unicode MS"/>
              </w:rPr>
              <w:t>Free intervention services for individuals harmed by their own or someone else</w:t>
            </w:r>
            <w:r w:rsidR="00EC3578">
              <w:rPr>
                <w:rFonts w:eastAsia="Arial Unicode MS"/>
              </w:rPr>
              <w:t>’</w:t>
            </w:r>
            <w:r w:rsidRPr="00EB1F02">
              <w:rPr>
                <w:rFonts w:eastAsia="Arial Unicode MS"/>
              </w:rPr>
              <w:t>s gambling</w:t>
            </w:r>
          </w:p>
          <w:p w:rsidR="004A0A4D" w:rsidRDefault="00CB68A7" w:rsidP="004A0A4D">
            <w:pPr>
              <w:pStyle w:val="TableText"/>
              <w:spacing w:after="0"/>
              <w:rPr>
                <w:rFonts w:eastAsia="Arial Unicode MS"/>
              </w:rPr>
            </w:pPr>
            <w:r w:rsidRPr="00EB1F02">
              <w:rPr>
                <w:rFonts w:eastAsia="Arial Unicode MS"/>
              </w:rPr>
              <w:t>Intervention service specification purchase units:</w:t>
            </w:r>
          </w:p>
          <w:p w:rsidR="004A0A4D" w:rsidRDefault="00CB68A7" w:rsidP="004A0A4D">
            <w:pPr>
              <w:pStyle w:val="TableBullet"/>
              <w:rPr>
                <w:rFonts w:eastAsia="Arial Unicode MS"/>
              </w:rPr>
            </w:pPr>
            <w:r w:rsidRPr="00EB1F02">
              <w:rPr>
                <w:rFonts w:eastAsia="Arial Unicode MS"/>
              </w:rPr>
              <w:t>1 – helpline and information service</w:t>
            </w:r>
          </w:p>
          <w:p w:rsidR="004A0A4D" w:rsidRDefault="00CB68A7" w:rsidP="004A0A4D">
            <w:pPr>
              <w:pStyle w:val="TableBullet"/>
              <w:rPr>
                <w:rFonts w:eastAsia="Arial Unicode MS"/>
              </w:rPr>
            </w:pPr>
            <w:r w:rsidRPr="00EB1F02">
              <w:rPr>
                <w:rFonts w:eastAsia="Arial Unicode MS"/>
              </w:rPr>
              <w:t>2 – helpline and information service – brief interventions</w:t>
            </w:r>
          </w:p>
          <w:p w:rsidR="004A0A4D" w:rsidRDefault="00CB68A7" w:rsidP="004A0A4D">
            <w:pPr>
              <w:pStyle w:val="TableBullet"/>
              <w:rPr>
                <w:rFonts w:eastAsia="Arial Unicode MS"/>
              </w:rPr>
            </w:pPr>
            <w:r w:rsidRPr="00EB1F02">
              <w:rPr>
                <w:rFonts w:eastAsia="Arial Unicode MS"/>
              </w:rPr>
              <w:t>3 – full interventions</w:t>
            </w:r>
          </w:p>
          <w:p w:rsidR="004A0A4D" w:rsidRDefault="00CB68A7" w:rsidP="004A0A4D">
            <w:pPr>
              <w:pStyle w:val="TableBullet"/>
              <w:rPr>
                <w:rFonts w:eastAsia="Arial Unicode MS"/>
              </w:rPr>
            </w:pPr>
            <w:r w:rsidRPr="00EB1F02">
              <w:rPr>
                <w:rFonts w:eastAsia="Arial Unicode MS"/>
              </w:rPr>
              <w:t>4 – facilitation of access to other relevant services</w:t>
            </w:r>
          </w:p>
          <w:p w:rsidR="00CB68A7" w:rsidRPr="00EB1F02" w:rsidRDefault="00CB68A7" w:rsidP="004A0A4D">
            <w:pPr>
              <w:pStyle w:val="TableBullet"/>
              <w:rPr>
                <w:rFonts w:eastAsia="Arial Unicode MS"/>
              </w:rPr>
            </w:pPr>
            <w:r w:rsidRPr="00EB1F02">
              <w:rPr>
                <w:rFonts w:eastAsia="Arial Unicode MS"/>
              </w:rPr>
              <w:t>5 – follow-up</w:t>
            </w:r>
          </w:p>
        </w:tc>
      </w:tr>
      <w:tr w:rsidR="00CB68A7" w:rsidRPr="004A0A4D" w:rsidTr="004A0A4D">
        <w:trPr>
          <w:cantSplit/>
        </w:trPr>
        <w:tc>
          <w:tcPr>
            <w:tcW w:w="1212" w:type="pct"/>
            <w:tcBorders>
              <w:top w:val="single" w:sz="4" w:space="0" w:color="auto"/>
              <w:bottom w:val="single" w:sz="4" w:space="0" w:color="A6A6A6" w:themeColor="background1" w:themeShade="A6"/>
            </w:tcBorders>
            <w:shd w:val="clear" w:color="auto" w:fill="auto"/>
            <w:noWrap/>
          </w:tcPr>
          <w:p w:rsidR="00CB68A7" w:rsidRPr="004A0A4D" w:rsidRDefault="00CB68A7" w:rsidP="004A0A4D">
            <w:pPr>
              <w:pStyle w:val="TableText"/>
              <w:rPr>
                <w:b/>
                <w:lang w:eastAsia="en-US"/>
              </w:rPr>
            </w:pPr>
            <w:r w:rsidRPr="004A0A4D">
              <w:rPr>
                <w:b/>
                <w:lang w:eastAsia="en-US"/>
              </w:rPr>
              <w:t>Directions</w:t>
            </w:r>
          </w:p>
        </w:tc>
        <w:tc>
          <w:tcPr>
            <w:tcW w:w="3788" w:type="pct"/>
            <w:tcBorders>
              <w:top w:val="single" w:sz="4" w:space="0" w:color="auto"/>
              <w:bottom w:val="single" w:sz="4" w:space="0" w:color="A6A6A6" w:themeColor="background1" w:themeShade="A6"/>
            </w:tcBorders>
            <w:shd w:val="clear" w:color="auto" w:fill="auto"/>
            <w:noWrap/>
            <w:vAlign w:val="center"/>
          </w:tcPr>
          <w:p w:rsidR="00CB68A7" w:rsidRPr="004A0A4D" w:rsidRDefault="00CB68A7" w:rsidP="004A0A4D">
            <w:pPr>
              <w:pStyle w:val="TableText"/>
              <w:rPr>
                <w:b/>
                <w:lang w:eastAsia="en-US"/>
              </w:rPr>
            </w:pPr>
          </w:p>
        </w:tc>
      </w:tr>
      <w:tr w:rsidR="00CB68A7" w:rsidRPr="00C10A99" w:rsidTr="004A0A4D">
        <w:trPr>
          <w:cantSplit/>
        </w:trPr>
        <w:tc>
          <w:tcPr>
            <w:tcW w:w="1212" w:type="pct"/>
            <w:tcBorders>
              <w:top w:val="single" w:sz="4" w:space="0" w:color="A6A6A6" w:themeColor="background1" w:themeShade="A6"/>
              <w:bottom w:val="single" w:sz="4" w:space="0" w:color="A6A6A6" w:themeColor="background1" w:themeShade="A6"/>
            </w:tcBorders>
            <w:shd w:val="clear" w:color="auto" w:fill="auto"/>
            <w:noWrap/>
          </w:tcPr>
          <w:p w:rsidR="00CB68A7" w:rsidRPr="00EB1F02" w:rsidRDefault="00CB68A7" w:rsidP="004A0A4D">
            <w:pPr>
              <w:pStyle w:val="TableText"/>
              <w:rPr>
                <w:lang w:eastAsia="en-US"/>
              </w:rPr>
            </w:pPr>
            <w:r w:rsidRPr="00EB1F02">
              <w:rPr>
                <w:lang w:eastAsia="en-US"/>
              </w:rPr>
              <w:t>Māori aspirations and contributions</w:t>
            </w:r>
          </w:p>
        </w:tc>
        <w:tc>
          <w:tcPr>
            <w:tcW w:w="3788" w:type="pct"/>
            <w:tcBorders>
              <w:top w:val="single" w:sz="4" w:space="0" w:color="A6A6A6" w:themeColor="background1" w:themeShade="A6"/>
              <w:bottom w:val="single" w:sz="4" w:space="0" w:color="A6A6A6" w:themeColor="background1" w:themeShade="A6"/>
            </w:tcBorders>
            <w:shd w:val="clear" w:color="auto" w:fill="auto"/>
            <w:noWrap/>
          </w:tcPr>
          <w:p w:rsidR="00CB68A7" w:rsidRPr="00EB1F02" w:rsidRDefault="00CB68A7" w:rsidP="004A0A4D">
            <w:pPr>
              <w:pStyle w:val="TableText"/>
              <w:rPr>
                <w:lang w:eastAsia="en-US"/>
              </w:rPr>
            </w:pPr>
            <w:r w:rsidRPr="00EB1F02">
              <w:rPr>
                <w:rFonts w:eastAsia="Arial Unicode MS"/>
              </w:rPr>
              <w:t xml:space="preserve">Objective 2 – a specific </w:t>
            </w:r>
            <w:proofErr w:type="spellStart"/>
            <w:r w:rsidRPr="00EB1F02">
              <w:rPr>
                <w:rFonts w:eastAsia="Arial Unicode MS"/>
              </w:rPr>
              <w:t>Pae</w:t>
            </w:r>
            <w:proofErr w:type="spellEnd"/>
            <w:r w:rsidRPr="00EB1F02">
              <w:rPr>
                <w:rFonts w:eastAsia="Arial Unicode MS"/>
              </w:rPr>
              <w:t xml:space="preserve"> Ora objective</w:t>
            </w:r>
          </w:p>
        </w:tc>
      </w:tr>
      <w:tr w:rsidR="00CB68A7" w:rsidRPr="00C10A99" w:rsidTr="004A0A4D">
        <w:trPr>
          <w:cantSplit/>
        </w:trPr>
        <w:tc>
          <w:tcPr>
            <w:tcW w:w="1212" w:type="pct"/>
            <w:tcBorders>
              <w:top w:val="single" w:sz="4" w:space="0" w:color="A6A6A6" w:themeColor="background1" w:themeShade="A6"/>
              <w:bottom w:val="single" w:sz="4" w:space="0" w:color="auto"/>
            </w:tcBorders>
            <w:shd w:val="clear" w:color="auto" w:fill="auto"/>
            <w:noWrap/>
          </w:tcPr>
          <w:p w:rsidR="00CB68A7" w:rsidRPr="00EB1F02" w:rsidRDefault="00CB68A7" w:rsidP="004A0A4D">
            <w:pPr>
              <w:pStyle w:val="TableText"/>
              <w:rPr>
                <w:lang w:eastAsia="en-US"/>
              </w:rPr>
            </w:pPr>
            <w:r w:rsidRPr="00EB1F02">
              <w:rPr>
                <w:lang w:eastAsia="en-US"/>
              </w:rPr>
              <w:t>Crown aspirations and contributions</w:t>
            </w:r>
          </w:p>
        </w:tc>
        <w:tc>
          <w:tcPr>
            <w:tcW w:w="3788" w:type="pct"/>
            <w:tcBorders>
              <w:top w:val="single" w:sz="4" w:space="0" w:color="A6A6A6" w:themeColor="background1" w:themeShade="A6"/>
              <w:bottom w:val="single" w:sz="4" w:space="0" w:color="auto"/>
            </w:tcBorders>
            <w:shd w:val="clear" w:color="auto" w:fill="auto"/>
            <w:noWrap/>
          </w:tcPr>
          <w:p w:rsidR="00CB68A7" w:rsidRPr="00EB1F02" w:rsidRDefault="00CB68A7" w:rsidP="004A0A4D">
            <w:pPr>
              <w:pStyle w:val="TableText"/>
              <w:rPr>
                <w:lang w:eastAsia="en-US"/>
              </w:rPr>
            </w:pPr>
            <w:r w:rsidRPr="00EB1F02">
              <w:rPr>
                <w:rFonts w:eastAsia="Arial Unicode MS"/>
              </w:rPr>
              <w:t>The strategy is a Crown strategy</w:t>
            </w:r>
          </w:p>
          <w:p w:rsidR="00CB68A7" w:rsidRPr="00EB1F02" w:rsidRDefault="00CB68A7" w:rsidP="004A0A4D">
            <w:pPr>
              <w:pStyle w:val="TableText"/>
              <w:rPr>
                <w:lang w:eastAsia="en-US"/>
              </w:rPr>
            </w:pPr>
            <w:r w:rsidRPr="00EB1F02">
              <w:rPr>
                <w:rFonts w:eastAsia="Arial Unicode MS"/>
              </w:rPr>
              <w:t>Overall goal of the strategy – the Crown working with others, including families/</w:t>
            </w:r>
            <w:proofErr w:type="spellStart"/>
            <w:r w:rsidRPr="00EB1F02">
              <w:rPr>
                <w:rFonts w:eastAsia="Arial Unicode MS"/>
              </w:rPr>
              <w:t>whānau</w:t>
            </w:r>
            <w:proofErr w:type="spellEnd"/>
            <w:r w:rsidRPr="00EB1F02">
              <w:rPr>
                <w:rFonts w:eastAsia="Arial Unicode MS"/>
              </w:rPr>
              <w:t>, to prevent and minimise gambling harm and to reduce related health inequities</w:t>
            </w:r>
          </w:p>
        </w:tc>
      </w:tr>
      <w:tr w:rsidR="00CB68A7" w:rsidRPr="004A0A4D" w:rsidTr="004A0A4D">
        <w:trPr>
          <w:cantSplit/>
        </w:trPr>
        <w:tc>
          <w:tcPr>
            <w:tcW w:w="1212" w:type="pct"/>
            <w:tcBorders>
              <w:top w:val="single" w:sz="4" w:space="0" w:color="auto"/>
              <w:bottom w:val="single" w:sz="4" w:space="0" w:color="A6A6A6" w:themeColor="background1" w:themeShade="A6"/>
            </w:tcBorders>
            <w:shd w:val="clear" w:color="auto" w:fill="auto"/>
            <w:noWrap/>
          </w:tcPr>
          <w:p w:rsidR="00CB68A7" w:rsidRPr="004A0A4D" w:rsidRDefault="00CB68A7" w:rsidP="004A0A4D">
            <w:pPr>
              <w:pStyle w:val="TableText"/>
              <w:rPr>
                <w:b/>
                <w:lang w:eastAsia="en-US"/>
              </w:rPr>
            </w:pPr>
            <w:r w:rsidRPr="004A0A4D">
              <w:rPr>
                <w:b/>
                <w:lang w:eastAsia="en-US"/>
              </w:rPr>
              <w:t>Key threads</w:t>
            </w:r>
          </w:p>
        </w:tc>
        <w:tc>
          <w:tcPr>
            <w:tcW w:w="3788" w:type="pct"/>
            <w:tcBorders>
              <w:top w:val="single" w:sz="4" w:space="0" w:color="auto"/>
              <w:bottom w:val="single" w:sz="4" w:space="0" w:color="A6A6A6" w:themeColor="background1" w:themeShade="A6"/>
            </w:tcBorders>
            <w:shd w:val="clear" w:color="auto" w:fill="auto"/>
            <w:noWrap/>
            <w:vAlign w:val="center"/>
          </w:tcPr>
          <w:p w:rsidR="00CB68A7" w:rsidRPr="004A0A4D" w:rsidRDefault="00CB68A7" w:rsidP="004A0A4D">
            <w:pPr>
              <w:pStyle w:val="TableText"/>
              <w:rPr>
                <w:b/>
                <w:lang w:eastAsia="en-US"/>
              </w:rPr>
            </w:pPr>
          </w:p>
        </w:tc>
      </w:tr>
      <w:tr w:rsidR="00CB68A7" w:rsidRPr="00C10A99" w:rsidTr="004A0A4D">
        <w:trPr>
          <w:cantSplit/>
        </w:trPr>
        <w:tc>
          <w:tcPr>
            <w:tcW w:w="1212" w:type="pct"/>
            <w:tcBorders>
              <w:top w:val="single" w:sz="4" w:space="0" w:color="A6A6A6" w:themeColor="background1" w:themeShade="A6"/>
              <w:bottom w:val="single" w:sz="4" w:space="0" w:color="A6A6A6" w:themeColor="background1" w:themeShade="A6"/>
            </w:tcBorders>
            <w:shd w:val="clear" w:color="auto" w:fill="auto"/>
            <w:noWrap/>
          </w:tcPr>
          <w:p w:rsidR="00CB68A7" w:rsidRPr="00EB1F02" w:rsidRDefault="00CB68A7" w:rsidP="004A0A4D">
            <w:pPr>
              <w:pStyle w:val="TableText"/>
              <w:rPr>
                <w:lang w:eastAsia="en-US"/>
              </w:rPr>
            </w:pPr>
            <w:proofErr w:type="spellStart"/>
            <w:r w:rsidRPr="00EB1F02">
              <w:rPr>
                <w:lang w:eastAsia="en-US"/>
              </w:rPr>
              <w:t>Rangatiratanga</w:t>
            </w:r>
            <w:proofErr w:type="spellEnd"/>
          </w:p>
        </w:tc>
        <w:tc>
          <w:tcPr>
            <w:tcW w:w="3788" w:type="pct"/>
            <w:tcBorders>
              <w:top w:val="single" w:sz="4" w:space="0" w:color="A6A6A6" w:themeColor="background1" w:themeShade="A6"/>
              <w:bottom w:val="single" w:sz="4" w:space="0" w:color="A6A6A6" w:themeColor="background1" w:themeShade="A6"/>
            </w:tcBorders>
            <w:shd w:val="clear" w:color="auto" w:fill="auto"/>
            <w:noWrap/>
            <w:vAlign w:val="center"/>
          </w:tcPr>
          <w:p w:rsidR="00CB68A7" w:rsidRPr="00EB1F02" w:rsidRDefault="00CB68A7" w:rsidP="004A0A4D">
            <w:pPr>
              <w:pStyle w:val="TableText"/>
              <w:rPr>
                <w:lang w:eastAsia="en-US"/>
              </w:rPr>
            </w:pPr>
            <w:r w:rsidRPr="00EB1F02">
              <w:t>Dedicated Māori services using Māori-derived beliefs, values and practices</w:t>
            </w:r>
          </w:p>
        </w:tc>
      </w:tr>
      <w:tr w:rsidR="00CB68A7" w:rsidRPr="00C10A99" w:rsidTr="004A0A4D">
        <w:trPr>
          <w:cantSplit/>
        </w:trPr>
        <w:tc>
          <w:tcPr>
            <w:tcW w:w="1212" w:type="pct"/>
            <w:tcBorders>
              <w:top w:val="single" w:sz="4" w:space="0" w:color="A6A6A6" w:themeColor="background1" w:themeShade="A6"/>
              <w:bottom w:val="single" w:sz="4" w:space="0" w:color="A6A6A6" w:themeColor="background1" w:themeShade="A6"/>
            </w:tcBorders>
            <w:shd w:val="clear" w:color="auto" w:fill="auto"/>
            <w:noWrap/>
          </w:tcPr>
          <w:p w:rsidR="00CB68A7" w:rsidRPr="00EB1F02" w:rsidRDefault="00CB68A7" w:rsidP="004A0A4D">
            <w:pPr>
              <w:pStyle w:val="TableText"/>
              <w:rPr>
                <w:lang w:eastAsia="en-US"/>
              </w:rPr>
            </w:pPr>
            <w:r w:rsidRPr="00EB1F02">
              <w:rPr>
                <w:lang w:eastAsia="en-US"/>
              </w:rPr>
              <w:t>Building on the gains</w:t>
            </w:r>
          </w:p>
        </w:tc>
        <w:tc>
          <w:tcPr>
            <w:tcW w:w="3788" w:type="pct"/>
            <w:tcBorders>
              <w:top w:val="single" w:sz="4" w:space="0" w:color="A6A6A6" w:themeColor="background1" w:themeShade="A6"/>
              <w:bottom w:val="single" w:sz="4" w:space="0" w:color="A6A6A6" w:themeColor="background1" w:themeShade="A6"/>
            </w:tcBorders>
            <w:shd w:val="clear" w:color="auto" w:fill="auto"/>
            <w:noWrap/>
            <w:vAlign w:val="center"/>
          </w:tcPr>
          <w:p w:rsidR="00CB68A7" w:rsidRPr="00EB1F02" w:rsidRDefault="00CB68A7" w:rsidP="004A0A4D">
            <w:pPr>
              <w:pStyle w:val="TableText"/>
              <w:rPr>
                <w:rFonts w:eastAsia="Arial Unicode MS"/>
              </w:rPr>
            </w:pPr>
            <w:r w:rsidRPr="00EB1F02">
              <w:rPr>
                <w:rFonts w:eastAsia="Arial Unicode MS"/>
              </w:rPr>
              <w:t>Principles underpinning the strategy – a focus on improving Māori health gain</w:t>
            </w:r>
            <w:r>
              <w:rPr>
                <w:rFonts w:eastAsia="Arial Unicode MS"/>
              </w:rPr>
              <w:t>s</w:t>
            </w:r>
          </w:p>
          <w:p w:rsidR="00CB68A7" w:rsidRPr="00EB1F02" w:rsidRDefault="00CB68A7" w:rsidP="004A0A4D">
            <w:pPr>
              <w:pStyle w:val="TableText"/>
              <w:rPr>
                <w:rFonts w:eastAsia="Arial Unicode MS"/>
              </w:rPr>
            </w:pPr>
            <w:r w:rsidRPr="00EB1F02">
              <w:rPr>
                <w:rFonts w:eastAsia="Arial Unicode MS"/>
              </w:rPr>
              <w:t>Objective 2 –</w:t>
            </w:r>
            <w:r w:rsidRPr="00EB1F02">
              <w:rPr>
                <w:rFonts w:eastAsia="Arial Unicode MS"/>
              </w:rPr>
              <w:noBreakHyphen/>
              <w:t xml:space="preserve"> a specific </w:t>
            </w:r>
            <w:proofErr w:type="spellStart"/>
            <w:r w:rsidRPr="00EB1F02">
              <w:rPr>
                <w:rFonts w:eastAsia="Arial Unicode MS"/>
              </w:rPr>
              <w:t>Pae</w:t>
            </w:r>
            <w:proofErr w:type="spellEnd"/>
            <w:r w:rsidRPr="00EB1F02">
              <w:rPr>
                <w:rFonts w:eastAsia="Arial Unicode MS"/>
              </w:rPr>
              <w:t xml:space="preserve"> Ora objective </w:t>
            </w:r>
          </w:p>
        </w:tc>
      </w:tr>
      <w:tr w:rsidR="00CB68A7" w:rsidRPr="00C10A99" w:rsidTr="004A0A4D">
        <w:trPr>
          <w:cantSplit/>
        </w:trPr>
        <w:tc>
          <w:tcPr>
            <w:tcW w:w="1212" w:type="pct"/>
            <w:tcBorders>
              <w:top w:val="single" w:sz="4" w:space="0" w:color="A6A6A6" w:themeColor="background1" w:themeShade="A6"/>
              <w:bottom w:val="single" w:sz="4" w:space="0" w:color="auto"/>
            </w:tcBorders>
            <w:shd w:val="clear" w:color="auto" w:fill="auto"/>
            <w:noWrap/>
          </w:tcPr>
          <w:p w:rsidR="00CB68A7" w:rsidRPr="00EB1F02" w:rsidRDefault="00CB68A7" w:rsidP="004A0A4D">
            <w:pPr>
              <w:pStyle w:val="TableText"/>
              <w:rPr>
                <w:lang w:eastAsia="en-US"/>
              </w:rPr>
            </w:pPr>
            <w:r w:rsidRPr="00EB1F02">
              <w:rPr>
                <w:lang w:eastAsia="en-US"/>
              </w:rPr>
              <w:t>Equity</w:t>
            </w:r>
          </w:p>
        </w:tc>
        <w:tc>
          <w:tcPr>
            <w:tcW w:w="3788" w:type="pct"/>
            <w:tcBorders>
              <w:top w:val="single" w:sz="4" w:space="0" w:color="A6A6A6" w:themeColor="background1" w:themeShade="A6"/>
              <w:bottom w:val="single" w:sz="4" w:space="0" w:color="auto"/>
            </w:tcBorders>
            <w:shd w:val="clear" w:color="auto" w:fill="auto"/>
            <w:noWrap/>
            <w:vAlign w:val="center"/>
          </w:tcPr>
          <w:p w:rsidR="00CB68A7" w:rsidRPr="00EB1F02" w:rsidRDefault="00CB68A7" w:rsidP="004A0A4D">
            <w:pPr>
              <w:pStyle w:val="TableText"/>
              <w:rPr>
                <w:lang w:eastAsia="en-US"/>
              </w:rPr>
            </w:pPr>
            <w:r w:rsidRPr="00EB1F02">
              <w:rPr>
                <w:rFonts w:eastAsia="Arial Unicode MS"/>
              </w:rPr>
              <w:t>Overall goal of the strategy – a reduction in health inequities related to gambling harm – and a principle underpinning the strategy – health equity</w:t>
            </w:r>
          </w:p>
          <w:p w:rsidR="00CB68A7" w:rsidRPr="00EB1F02" w:rsidRDefault="00CB68A7" w:rsidP="004A0A4D">
            <w:pPr>
              <w:pStyle w:val="TableText"/>
              <w:rPr>
                <w:lang w:eastAsia="en-US"/>
              </w:rPr>
            </w:pPr>
            <w:r w:rsidRPr="00EB1F02">
              <w:rPr>
                <w:rFonts w:eastAsia="Arial Unicode MS"/>
              </w:rPr>
              <w:t xml:space="preserve">Reference in health equity discussion to </w:t>
            </w:r>
            <w:r w:rsidRPr="00EB1F02">
              <w:rPr>
                <w:rFonts w:eastAsia="Arial Unicode MS"/>
                <w:i/>
              </w:rPr>
              <w:t>Equity of Health Care for Māori: A framework</w:t>
            </w:r>
            <w:r w:rsidRPr="00EB1F02">
              <w:rPr>
                <w:rFonts w:eastAsia="Arial Unicode MS"/>
              </w:rPr>
              <w:t xml:space="preserve"> (Ministry of Health 2014</w:t>
            </w:r>
            <w:r>
              <w:rPr>
                <w:rFonts w:eastAsia="Arial Unicode MS"/>
              </w:rPr>
              <w:t>b</w:t>
            </w:r>
            <w:r w:rsidRPr="00EB1F02">
              <w:rPr>
                <w:rFonts w:eastAsia="Arial Unicode MS"/>
              </w:rPr>
              <w:t>)</w:t>
            </w:r>
          </w:p>
          <w:p w:rsidR="00CB68A7" w:rsidRPr="00EB1F02" w:rsidRDefault="00CB68A7" w:rsidP="004A0A4D">
            <w:pPr>
              <w:pStyle w:val="TableText"/>
              <w:rPr>
                <w:lang w:eastAsia="en-US"/>
              </w:rPr>
            </w:pPr>
            <w:r w:rsidRPr="00EB1F02">
              <w:rPr>
                <w:rFonts w:eastAsia="Arial Unicode MS"/>
              </w:rPr>
              <w:t>Objective 1 – a specific health equity objective</w:t>
            </w:r>
          </w:p>
          <w:p w:rsidR="00CB68A7" w:rsidRPr="00EB1F02" w:rsidRDefault="00CB68A7" w:rsidP="004A0A4D">
            <w:pPr>
              <w:pStyle w:val="TableText"/>
              <w:rPr>
                <w:lang w:eastAsia="en-US"/>
              </w:rPr>
            </w:pPr>
            <w:r w:rsidRPr="00EB1F02">
              <w:rPr>
                <w:rFonts w:eastAsia="Arial Unicode MS"/>
              </w:rPr>
              <w:t xml:space="preserve">Objective 2 – a specific </w:t>
            </w:r>
            <w:proofErr w:type="spellStart"/>
            <w:r w:rsidRPr="00EB1F02">
              <w:rPr>
                <w:rFonts w:eastAsia="Arial Unicode MS"/>
              </w:rPr>
              <w:t>Pae</w:t>
            </w:r>
            <w:proofErr w:type="spellEnd"/>
            <w:r w:rsidRPr="00EB1F02">
              <w:rPr>
                <w:rFonts w:eastAsia="Arial Unicode MS"/>
              </w:rPr>
              <w:t xml:space="preserve"> Ora objective – priority actions related to health equity for Māori</w:t>
            </w:r>
          </w:p>
          <w:p w:rsidR="00CB68A7" w:rsidRPr="00EB1F02" w:rsidRDefault="00CB68A7" w:rsidP="004A0A4D">
            <w:pPr>
              <w:pStyle w:val="TableText"/>
              <w:rPr>
                <w:lang w:eastAsia="en-US"/>
              </w:rPr>
            </w:pPr>
            <w:r w:rsidRPr="00EB1F02">
              <w:rPr>
                <w:lang w:eastAsia="en-US"/>
              </w:rPr>
              <w:t>Objectives 6 and 9, which require a health equity focus</w:t>
            </w:r>
          </w:p>
          <w:p w:rsidR="00CB68A7" w:rsidRPr="00EB1F02" w:rsidRDefault="00CB68A7" w:rsidP="004A0A4D">
            <w:pPr>
              <w:pStyle w:val="TableText"/>
              <w:rPr>
                <w:lang w:eastAsia="en-US"/>
              </w:rPr>
            </w:pPr>
            <w:r w:rsidRPr="00EB1F02">
              <w:rPr>
                <w:rFonts w:eastAsia="Arial Unicode MS"/>
              </w:rPr>
              <w:t>Planning and prioritisation processes – mapping need based on population-specific prevalence and access rates</w:t>
            </w:r>
          </w:p>
        </w:tc>
      </w:tr>
      <w:tr w:rsidR="00CB68A7" w:rsidRPr="004A0A4D" w:rsidTr="004A0A4D">
        <w:trPr>
          <w:cantSplit/>
        </w:trPr>
        <w:tc>
          <w:tcPr>
            <w:tcW w:w="1212" w:type="pct"/>
            <w:tcBorders>
              <w:top w:val="single" w:sz="4" w:space="0" w:color="auto"/>
              <w:bottom w:val="single" w:sz="4" w:space="0" w:color="A6A6A6" w:themeColor="background1" w:themeShade="A6"/>
            </w:tcBorders>
            <w:shd w:val="clear" w:color="auto" w:fill="auto"/>
            <w:noWrap/>
          </w:tcPr>
          <w:p w:rsidR="00CB68A7" w:rsidRPr="004A0A4D" w:rsidRDefault="00CB68A7" w:rsidP="004A0A4D">
            <w:pPr>
              <w:pStyle w:val="TableText"/>
              <w:keepNext/>
              <w:rPr>
                <w:b/>
                <w:lang w:eastAsia="en-US"/>
              </w:rPr>
            </w:pPr>
            <w:r w:rsidRPr="004A0A4D">
              <w:rPr>
                <w:b/>
                <w:lang w:eastAsia="en-US"/>
              </w:rPr>
              <w:lastRenderedPageBreak/>
              <w:t>Pathways for action</w:t>
            </w:r>
          </w:p>
        </w:tc>
        <w:tc>
          <w:tcPr>
            <w:tcW w:w="3788" w:type="pct"/>
            <w:tcBorders>
              <w:top w:val="single" w:sz="4" w:space="0" w:color="auto"/>
              <w:bottom w:val="single" w:sz="4" w:space="0" w:color="A6A6A6" w:themeColor="background1" w:themeShade="A6"/>
            </w:tcBorders>
            <w:shd w:val="clear" w:color="auto" w:fill="auto"/>
            <w:noWrap/>
            <w:vAlign w:val="center"/>
          </w:tcPr>
          <w:p w:rsidR="00CB68A7" w:rsidRPr="004A0A4D" w:rsidRDefault="00CB68A7" w:rsidP="004A0A4D">
            <w:pPr>
              <w:pStyle w:val="TableText"/>
              <w:keepNext/>
              <w:rPr>
                <w:b/>
                <w:lang w:eastAsia="en-US"/>
              </w:rPr>
            </w:pPr>
          </w:p>
        </w:tc>
      </w:tr>
      <w:tr w:rsidR="00CB68A7" w:rsidRPr="00C10A99" w:rsidTr="004A0A4D">
        <w:trPr>
          <w:cantSplit/>
        </w:trPr>
        <w:tc>
          <w:tcPr>
            <w:tcW w:w="1212" w:type="pct"/>
            <w:tcBorders>
              <w:top w:val="single" w:sz="4" w:space="0" w:color="A6A6A6" w:themeColor="background1" w:themeShade="A6"/>
              <w:bottom w:val="single" w:sz="4" w:space="0" w:color="A6A6A6" w:themeColor="background1" w:themeShade="A6"/>
            </w:tcBorders>
            <w:shd w:val="clear" w:color="auto" w:fill="auto"/>
            <w:noWrap/>
          </w:tcPr>
          <w:p w:rsidR="00CB68A7" w:rsidRPr="00EB1F02" w:rsidRDefault="00CB68A7" w:rsidP="004A0A4D">
            <w:pPr>
              <w:pStyle w:val="TableText"/>
              <w:keepNext/>
              <w:rPr>
                <w:lang w:eastAsia="en-US"/>
              </w:rPr>
            </w:pPr>
            <w:proofErr w:type="spellStart"/>
            <w:r w:rsidRPr="00EB1F02">
              <w:rPr>
                <w:lang w:eastAsia="en-US"/>
              </w:rPr>
              <w:t>Whānau</w:t>
            </w:r>
            <w:proofErr w:type="spellEnd"/>
            <w:r w:rsidRPr="00EB1F02">
              <w:rPr>
                <w:lang w:eastAsia="en-US"/>
              </w:rPr>
              <w:t xml:space="preserve">, </w:t>
            </w:r>
            <w:proofErr w:type="spellStart"/>
            <w:r w:rsidRPr="00EB1F02">
              <w:rPr>
                <w:lang w:eastAsia="en-US"/>
              </w:rPr>
              <w:t>h</w:t>
            </w:r>
            <w:r>
              <w:rPr>
                <w:lang w:eastAsia="en-US"/>
              </w:rPr>
              <w:t>a</w:t>
            </w:r>
            <w:r w:rsidRPr="00EB1F02">
              <w:rPr>
                <w:lang w:eastAsia="en-US"/>
              </w:rPr>
              <w:t>p</w:t>
            </w:r>
            <w:r>
              <w:rPr>
                <w:lang w:eastAsia="en-US"/>
              </w:rPr>
              <w:t>ū</w:t>
            </w:r>
            <w:proofErr w:type="spellEnd"/>
            <w:r w:rsidRPr="00EB1F02">
              <w:rPr>
                <w:lang w:eastAsia="en-US"/>
              </w:rPr>
              <w:t>, iwi, community development</w:t>
            </w:r>
          </w:p>
        </w:tc>
        <w:tc>
          <w:tcPr>
            <w:tcW w:w="3788" w:type="pct"/>
            <w:tcBorders>
              <w:top w:val="single" w:sz="4" w:space="0" w:color="A6A6A6" w:themeColor="background1" w:themeShade="A6"/>
              <w:bottom w:val="single" w:sz="4" w:space="0" w:color="A6A6A6" w:themeColor="background1" w:themeShade="A6"/>
            </w:tcBorders>
            <w:shd w:val="clear" w:color="auto" w:fill="auto"/>
            <w:noWrap/>
            <w:vAlign w:val="center"/>
          </w:tcPr>
          <w:p w:rsidR="00CB68A7" w:rsidRPr="00EB1F02" w:rsidRDefault="00CB68A7" w:rsidP="004A0A4D">
            <w:pPr>
              <w:pStyle w:val="TableText"/>
              <w:keepNext/>
              <w:rPr>
                <w:rFonts w:eastAsia="Arial Unicode MS"/>
              </w:rPr>
            </w:pPr>
            <w:r w:rsidRPr="00EB1F02">
              <w:rPr>
                <w:rFonts w:eastAsia="Arial Unicode MS"/>
              </w:rPr>
              <w:t>Principles underpinning the strategy – strengthen communities and public health service specification purchase units 3 and 4 (aware and supportive communities)</w:t>
            </w:r>
          </w:p>
          <w:p w:rsidR="00CB68A7" w:rsidRPr="00EB1F02" w:rsidRDefault="00CB68A7" w:rsidP="004A0A4D">
            <w:pPr>
              <w:pStyle w:val="TableText"/>
              <w:keepNext/>
              <w:rPr>
                <w:rFonts w:eastAsia="Arial Unicode MS"/>
              </w:rPr>
            </w:pPr>
            <w:r w:rsidRPr="00EB1F02">
              <w:rPr>
                <w:rFonts w:eastAsia="Arial Unicode MS"/>
              </w:rPr>
              <w:t>Requi</w:t>
            </w:r>
            <w:r w:rsidR="00FC7C3E">
              <w:rPr>
                <w:rFonts w:eastAsia="Arial Unicode MS"/>
              </w:rPr>
              <w:t>rements for services to be free</w:t>
            </w:r>
          </w:p>
        </w:tc>
      </w:tr>
      <w:tr w:rsidR="00CB68A7" w:rsidRPr="00C10A99" w:rsidTr="004A0A4D">
        <w:trPr>
          <w:cantSplit/>
        </w:trPr>
        <w:tc>
          <w:tcPr>
            <w:tcW w:w="1212" w:type="pct"/>
            <w:tcBorders>
              <w:top w:val="single" w:sz="4" w:space="0" w:color="A6A6A6" w:themeColor="background1" w:themeShade="A6"/>
              <w:bottom w:val="single" w:sz="4" w:space="0" w:color="A6A6A6" w:themeColor="background1" w:themeShade="A6"/>
            </w:tcBorders>
            <w:shd w:val="clear" w:color="auto" w:fill="auto"/>
            <w:noWrap/>
          </w:tcPr>
          <w:p w:rsidR="00CB68A7" w:rsidRPr="00EB1F02" w:rsidRDefault="00CB68A7" w:rsidP="004A0A4D">
            <w:pPr>
              <w:pStyle w:val="TableText"/>
              <w:keepNext/>
              <w:rPr>
                <w:lang w:eastAsia="en-US"/>
              </w:rPr>
            </w:pPr>
            <w:r w:rsidRPr="00EB1F02">
              <w:rPr>
                <w:lang w:eastAsia="en-US"/>
              </w:rPr>
              <w:t>Māori participation</w:t>
            </w:r>
          </w:p>
        </w:tc>
        <w:tc>
          <w:tcPr>
            <w:tcW w:w="3788" w:type="pct"/>
            <w:tcBorders>
              <w:top w:val="single" w:sz="4" w:space="0" w:color="A6A6A6" w:themeColor="background1" w:themeShade="A6"/>
              <w:bottom w:val="single" w:sz="4" w:space="0" w:color="A6A6A6" w:themeColor="background1" w:themeShade="A6"/>
            </w:tcBorders>
            <w:shd w:val="clear" w:color="auto" w:fill="auto"/>
            <w:noWrap/>
            <w:vAlign w:val="center"/>
          </w:tcPr>
          <w:p w:rsidR="00CB68A7" w:rsidRPr="00EB1F02" w:rsidRDefault="00CB68A7" w:rsidP="004A0A4D">
            <w:pPr>
              <w:pStyle w:val="TableText"/>
              <w:keepNext/>
              <w:rPr>
                <w:rFonts w:cs="Arial"/>
              </w:rPr>
            </w:pPr>
            <w:r w:rsidRPr="00EB1F02">
              <w:rPr>
                <w:rFonts w:eastAsia="Arial Unicode MS"/>
              </w:rPr>
              <w:t>Māori representation on key forums and bodies and d</w:t>
            </w:r>
            <w:r w:rsidRPr="00EB1F02">
              <w:rPr>
                <w:rFonts w:cs="Arial"/>
              </w:rPr>
              <w:t>edicated Māori services</w:t>
            </w:r>
          </w:p>
          <w:p w:rsidR="00CB68A7" w:rsidRPr="00EB1F02" w:rsidRDefault="00CB68A7" w:rsidP="004A0A4D">
            <w:pPr>
              <w:pStyle w:val="TableText"/>
              <w:keepNext/>
              <w:rPr>
                <w:lang w:eastAsia="en-US"/>
              </w:rPr>
            </w:pPr>
            <w:r w:rsidRPr="00EB1F02">
              <w:rPr>
                <w:lang w:eastAsia="en-US"/>
              </w:rPr>
              <w:t xml:space="preserve">Infrastructure intervention and public health service specification </w:t>
            </w:r>
            <w:r w:rsidRPr="00EB1F02">
              <w:rPr>
                <w:rFonts w:eastAsia="Arial Unicode MS"/>
              </w:rPr>
              <w:t xml:space="preserve">purchase unit </w:t>
            </w:r>
            <w:r w:rsidRPr="00EB1F02">
              <w:rPr>
                <w:lang w:eastAsia="en-US"/>
              </w:rPr>
              <w:t>2 (workforce development)</w:t>
            </w:r>
          </w:p>
        </w:tc>
      </w:tr>
      <w:tr w:rsidR="00CB68A7" w:rsidRPr="00C10A99" w:rsidTr="004A0A4D">
        <w:trPr>
          <w:cantSplit/>
        </w:trPr>
        <w:tc>
          <w:tcPr>
            <w:tcW w:w="1212" w:type="pct"/>
            <w:tcBorders>
              <w:top w:val="single" w:sz="4" w:space="0" w:color="A6A6A6" w:themeColor="background1" w:themeShade="A6"/>
              <w:bottom w:val="single" w:sz="4" w:space="0" w:color="A6A6A6" w:themeColor="background1" w:themeShade="A6"/>
            </w:tcBorders>
            <w:shd w:val="clear" w:color="auto" w:fill="auto"/>
            <w:noWrap/>
          </w:tcPr>
          <w:p w:rsidR="00CB68A7" w:rsidRPr="00EB1F02" w:rsidRDefault="00CB68A7" w:rsidP="004A0A4D">
            <w:pPr>
              <w:pStyle w:val="TableText"/>
              <w:rPr>
                <w:lang w:eastAsia="en-US"/>
              </w:rPr>
            </w:pPr>
            <w:r w:rsidRPr="00EB1F02">
              <w:rPr>
                <w:lang w:eastAsia="en-US"/>
              </w:rPr>
              <w:t>Effective service delivery</w:t>
            </w:r>
          </w:p>
        </w:tc>
        <w:tc>
          <w:tcPr>
            <w:tcW w:w="3788" w:type="pct"/>
            <w:tcBorders>
              <w:top w:val="single" w:sz="4" w:space="0" w:color="A6A6A6" w:themeColor="background1" w:themeShade="A6"/>
              <w:bottom w:val="single" w:sz="4" w:space="0" w:color="A6A6A6" w:themeColor="background1" w:themeShade="A6"/>
            </w:tcBorders>
            <w:shd w:val="clear" w:color="auto" w:fill="auto"/>
            <w:noWrap/>
            <w:vAlign w:val="center"/>
          </w:tcPr>
          <w:p w:rsidR="00CB68A7" w:rsidRPr="00EB1F02" w:rsidRDefault="00CB68A7" w:rsidP="004A0A4D">
            <w:pPr>
              <w:pStyle w:val="TableText"/>
            </w:pPr>
            <w:r w:rsidRPr="00EB1F02">
              <w:t>Dedicated Māori services</w:t>
            </w:r>
          </w:p>
          <w:p w:rsidR="00CB68A7" w:rsidRPr="00EB1F02" w:rsidRDefault="00CB68A7" w:rsidP="004A0A4D">
            <w:pPr>
              <w:pStyle w:val="TableText"/>
            </w:pPr>
            <w:r w:rsidRPr="00EB1F02">
              <w:t>Requirements for general services – Māori responsiveness, support for access to dedicated Māori services where available and a focus on health literacy</w:t>
            </w:r>
          </w:p>
          <w:p w:rsidR="00CB68A7" w:rsidRPr="00EB1F02" w:rsidRDefault="00CB68A7" w:rsidP="004A0A4D">
            <w:pPr>
              <w:pStyle w:val="TableText"/>
            </w:pPr>
            <w:r w:rsidRPr="00EB1F02">
              <w:t xml:space="preserve">Infrastructure </w:t>
            </w:r>
            <w:r w:rsidRPr="00EB1F02">
              <w:rPr>
                <w:lang w:eastAsia="en-US"/>
              </w:rPr>
              <w:t>intervention and public health</w:t>
            </w:r>
            <w:r w:rsidRPr="00EB1F02">
              <w:t xml:space="preserve"> service specification </w:t>
            </w:r>
            <w:r w:rsidRPr="00EB1F02">
              <w:rPr>
                <w:rFonts w:eastAsia="Arial Unicode MS"/>
              </w:rPr>
              <w:t xml:space="preserve">purchase unit </w:t>
            </w:r>
            <w:r w:rsidRPr="00EB1F02">
              <w:t>1 (</w:t>
            </w:r>
            <w:proofErr w:type="spellStart"/>
            <w:r w:rsidRPr="00EB1F02">
              <w:t>kaumātua</w:t>
            </w:r>
            <w:proofErr w:type="spellEnd"/>
            <w:r w:rsidRPr="00EB1F02">
              <w:t xml:space="preserve"> consultation and liaison)</w:t>
            </w:r>
          </w:p>
        </w:tc>
      </w:tr>
      <w:tr w:rsidR="00CB68A7" w:rsidRPr="00C10A99" w:rsidTr="004A0A4D">
        <w:trPr>
          <w:cantSplit/>
        </w:trPr>
        <w:tc>
          <w:tcPr>
            <w:tcW w:w="1212" w:type="pct"/>
            <w:tcBorders>
              <w:top w:val="single" w:sz="4" w:space="0" w:color="A6A6A6" w:themeColor="background1" w:themeShade="A6"/>
              <w:bottom w:val="single" w:sz="4" w:space="0" w:color="auto"/>
            </w:tcBorders>
            <w:shd w:val="clear" w:color="auto" w:fill="auto"/>
            <w:noWrap/>
          </w:tcPr>
          <w:p w:rsidR="00CB68A7" w:rsidRPr="00EB1F02" w:rsidRDefault="00CB68A7" w:rsidP="004A0A4D">
            <w:pPr>
              <w:pStyle w:val="TableText"/>
              <w:rPr>
                <w:lang w:eastAsia="en-US"/>
              </w:rPr>
            </w:pPr>
            <w:r w:rsidRPr="00EB1F02">
              <w:rPr>
                <w:lang w:eastAsia="en-US"/>
              </w:rPr>
              <w:t>Working across sectors</w:t>
            </w:r>
          </w:p>
        </w:tc>
        <w:tc>
          <w:tcPr>
            <w:tcW w:w="3788" w:type="pct"/>
            <w:tcBorders>
              <w:top w:val="single" w:sz="4" w:space="0" w:color="A6A6A6" w:themeColor="background1" w:themeShade="A6"/>
              <w:bottom w:val="single" w:sz="4" w:space="0" w:color="auto"/>
            </w:tcBorders>
            <w:shd w:val="clear" w:color="auto" w:fill="auto"/>
            <w:noWrap/>
            <w:vAlign w:val="center"/>
          </w:tcPr>
          <w:p w:rsidR="00CB68A7" w:rsidRPr="00EB1F02" w:rsidRDefault="00CB68A7" w:rsidP="004A0A4D">
            <w:pPr>
              <w:pStyle w:val="TableText"/>
              <w:rPr>
                <w:rFonts w:eastAsia="Arial Unicode MS"/>
              </w:rPr>
            </w:pPr>
            <w:r w:rsidRPr="00EB1F02">
              <w:rPr>
                <w:rFonts w:eastAsia="Arial Unicode MS"/>
              </w:rPr>
              <w:t xml:space="preserve">Principles underpinning the strategy – </w:t>
            </w:r>
            <w:proofErr w:type="spellStart"/>
            <w:r w:rsidRPr="00EB1F02">
              <w:rPr>
                <w:rFonts w:eastAsia="Arial Unicode MS"/>
              </w:rPr>
              <w:t>intersectoral</w:t>
            </w:r>
            <w:proofErr w:type="spellEnd"/>
            <w:r w:rsidRPr="00EB1F02">
              <w:rPr>
                <w:rFonts w:eastAsia="Arial Unicode MS"/>
              </w:rPr>
              <w:t xml:space="preserve"> approach</w:t>
            </w:r>
          </w:p>
          <w:p w:rsidR="00CB68A7" w:rsidRPr="00EB1F02" w:rsidRDefault="00CB68A7" w:rsidP="004A0A4D">
            <w:pPr>
              <w:pStyle w:val="TableText"/>
              <w:rPr>
                <w:rFonts w:eastAsia="Arial Unicode MS"/>
              </w:rPr>
            </w:pPr>
            <w:r w:rsidRPr="00EB1F02">
              <w:rPr>
                <w:rFonts w:eastAsia="Arial Unicode MS"/>
              </w:rPr>
              <w:t>Objectives 4 and 5</w:t>
            </w:r>
          </w:p>
          <w:p w:rsidR="00CB68A7" w:rsidRPr="00EB1F02" w:rsidRDefault="00CB68A7" w:rsidP="004A0A4D">
            <w:pPr>
              <w:pStyle w:val="TableText"/>
              <w:rPr>
                <w:rFonts w:eastAsia="Arial Unicode MS"/>
              </w:rPr>
            </w:pPr>
            <w:r w:rsidRPr="00EB1F02">
              <w:rPr>
                <w:rFonts w:eastAsia="Arial Unicode MS"/>
              </w:rPr>
              <w:t>Public health service specification purchase units 1 (policy development and implementation), 2 (safe gambling environments) and 5 (effective screening environments)</w:t>
            </w:r>
          </w:p>
          <w:p w:rsidR="00CB68A7" w:rsidRPr="00EB1F02" w:rsidRDefault="00CB68A7" w:rsidP="004A0A4D">
            <w:pPr>
              <w:pStyle w:val="TableText"/>
              <w:rPr>
                <w:rFonts w:eastAsia="Arial Unicode MS"/>
              </w:rPr>
            </w:pPr>
            <w:r w:rsidRPr="00EB1F02">
              <w:rPr>
                <w:rFonts w:eastAsia="Arial Unicode MS"/>
              </w:rPr>
              <w:t>Intervention service specification purchase unit 4 (facilitation services)</w:t>
            </w:r>
          </w:p>
        </w:tc>
      </w:tr>
      <w:tr w:rsidR="00CB68A7" w:rsidRPr="004A0A4D" w:rsidTr="004A0A4D">
        <w:trPr>
          <w:cantSplit/>
        </w:trPr>
        <w:tc>
          <w:tcPr>
            <w:tcW w:w="1212" w:type="pct"/>
            <w:tcBorders>
              <w:top w:val="single" w:sz="4" w:space="0" w:color="auto"/>
              <w:bottom w:val="single" w:sz="4" w:space="0" w:color="A6A6A6" w:themeColor="background1" w:themeShade="A6"/>
            </w:tcBorders>
            <w:shd w:val="clear" w:color="auto" w:fill="auto"/>
            <w:noWrap/>
          </w:tcPr>
          <w:p w:rsidR="00CB68A7" w:rsidRPr="004A0A4D" w:rsidRDefault="00CB68A7" w:rsidP="004A0A4D">
            <w:pPr>
              <w:pStyle w:val="TableText"/>
              <w:rPr>
                <w:b/>
                <w:lang w:eastAsia="en-US"/>
              </w:rPr>
            </w:pPr>
            <w:r w:rsidRPr="004A0A4D">
              <w:rPr>
                <w:b/>
                <w:lang w:eastAsia="en-US"/>
              </w:rPr>
              <w:t>Core components</w:t>
            </w:r>
          </w:p>
        </w:tc>
        <w:tc>
          <w:tcPr>
            <w:tcW w:w="3788" w:type="pct"/>
            <w:tcBorders>
              <w:top w:val="single" w:sz="4" w:space="0" w:color="auto"/>
              <w:bottom w:val="single" w:sz="4" w:space="0" w:color="A6A6A6" w:themeColor="background1" w:themeShade="A6"/>
            </w:tcBorders>
            <w:shd w:val="clear" w:color="auto" w:fill="auto"/>
            <w:noWrap/>
            <w:vAlign w:val="center"/>
          </w:tcPr>
          <w:p w:rsidR="00CB68A7" w:rsidRPr="004A0A4D" w:rsidRDefault="00CB68A7" w:rsidP="004A0A4D">
            <w:pPr>
              <w:pStyle w:val="TableText"/>
              <w:rPr>
                <w:b/>
                <w:lang w:eastAsia="en-US"/>
              </w:rPr>
            </w:pPr>
          </w:p>
        </w:tc>
      </w:tr>
      <w:tr w:rsidR="00CB68A7" w:rsidRPr="00C10A99" w:rsidTr="004A0A4D">
        <w:trPr>
          <w:cantSplit/>
        </w:trPr>
        <w:tc>
          <w:tcPr>
            <w:tcW w:w="1212" w:type="pct"/>
            <w:tcBorders>
              <w:top w:val="single" w:sz="4" w:space="0" w:color="A6A6A6" w:themeColor="background1" w:themeShade="A6"/>
              <w:bottom w:val="single" w:sz="4" w:space="0" w:color="A6A6A6" w:themeColor="background1" w:themeShade="A6"/>
            </w:tcBorders>
            <w:shd w:val="clear" w:color="auto" w:fill="auto"/>
            <w:noWrap/>
          </w:tcPr>
          <w:p w:rsidR="00CB68A7" w:rsidRPr="00EB1F02" w:rsidRDefault="00CB68A7" w:rsidP="004A0A4D">
            <w:pPr>
              <w:pStyle w:val="TableText"/>
              <w:rPr>
                <w:lang w:eastAsia="en-US"/>
              </w:rPr>
            </w:pPr>
            <w:r>
              <w:rPr>
                <w:lang w:eastAsia="en-US"/>
              </w:rPr>
              <w:t xml:space="preserve">Principles of </w:t>
            </w:r>
            <w:proofErr w:type="spellStart"/>
            <w:r>
              <w:rPr>
                <w:lang w:eastAsia="en-US"/>
              </w:rPr>
              <w:t>Te</w:t>
            </w:r>
            <w:proofErr w:type="spellEnd"/>
            <w:r>
              <w:rPr>
                <w:lang w:eastAsia="en-US"/>
              </w:rPr>
              <w:t xml:space="preserve"> </w:t>
            </w:r>
            <w:proofErr w:type="spellStart"/>
            <w:r>
              <w:rPr>
                <w:lang w:eastAsia="en-US"/>
              </w:rPr>
              <w:t>Tiriti</w:t>
            </w:r>
            <w:proofErr w:type="spellEnd"/>
            <w:r>
              <w:rPr>
                <w:lang w:eastAsia="en-US"/>
              </w:rPr>
              <w:t xml:space="preserve"> o</w:t>
            </w:r>
            <w:r w:rsidRPr="00EB1F02">
              <w:rPr>
                <w:lang w:eastAsia="en-US"/>
              </w:rPr>
              <w:t xml:space="preserve"> Waitangi</w:t>
            </w:r>
          </w:p>
        </w:tc>
        <w:tc>
          <w:tcPr>
            <w:tcW w:w="3788" w:type="pct"/>
            <w:tcBorders>
              <w:top w:val="single" w:sz="4" w:space="0" w:color="A6A6A6" w:themeColor="background1" w:themeShade="A6"/>
              <w:bottom w:val="single" w:sz="4" w:space="0" w:color="A6A6A6" w:themeColor="background1" w:themeShade="A6"/>
            </w:tcBorders>
            <w:shd w:val="clear" w:color="auto" w:fill="auto"/>
            <w:noWrap/>
            <w:vAlign w:val="center"/>
          </w:tcPr>
          <w:p w:rsidR="00CB68A7" w:rsidRPr="00EB1F02" w:rsidRDefault="00CB68A7" w:rsidP="004A0A4D">
            <w:pPr>
              <w:pStyle w:val="TableText"/>
              <w:rPr>
                <w:lang w:eastAsia="en-US"/>
              </w:rPr>
            </w:pPr>
            <w:r w:rsidRPr="00EB1F02">
              <w:rPr>
                <w:lang w:eastAsia="en-US"/>
              </w:rPr>
              <w:t xml:space="preserve">Partnership – </w:t>
            </w:r>
            <w:r w:rsidRPr="00EB1F02">
              <w:rPr>
                <w:rFonts w:eastAsia="Arial Unicode MS"/>
              </w:rPr>
              <w:t>Māori representation on key forums and bodies</w:t>
            </w:r>
          </w:p>
          <w:p w:rsidR="00CB68A7" w:rsidRPr="00EB1F02" w:rsidRDefault="00CB68A7" w:rsidP="004A0A4D">
            <w:pPr>
              <w:pStyle w:val="TableText"/>
              <w:rPr>
                <w:lang w:eastAsia="en-US"/>
              </w:rPr>
            </w:pPr>
            <w:r w:rsidRPr="00EB1F02">
              <w:rPr>
                <w:lang w:eastAsia="en-US"/>
              </w:rPr>
              <w:t>Participation – dedicated Māori services using Māori-derived beliefs, values and practices</w:t>
            </w:r>
          </w:p>
          <w:p w:rsidR="00CB68A7" w:rsidRPr="00EB1F02" w:rsidRDefault="00CB68A7" w:rsidP="004A0A4D">
            <w:pPr>
              <w:pStyle w:val="TableText"/>
              <w:rPr>
                <w:lang w:eastAsia="en-US"/>
              </w:rPr>
            </w:pPr>
            <w:r w:rsidRPr="00EB1F02">
              <w:rPr>
                <w:lang w:eastAsia="en-US"/>
              </w:rPr>
              <w:t xml:space="preserve">Protection – </w:t>
            </w:r>
            <w:r w:rsidRPr="00EB1F02">
              <w:rPr>
                <w:rFonts w:eastAsia="Arial Unicode MS"/>
              </w:rPr>
              <w:t>objective 2: priority actions related to health equity for Māori</w:t>
            </w:r>
          </w:p>
        </w:tc>
      </w:tr>
      <w:tr w:rsidR="00CB68A7" w:rsidRPr="00C10A99" w:rsidTr="004A0A4D">
        <w:trPr>
          <w:cantSplit/>
        </w:trPr>
        <w:tc>
          <w:tcPr>
            <w:tcW w:w="1212" w:type="pct"/>
            <w:tcBorders>
              <w:top w:val="single" w:sz="4" w:space="0" w:color="A6A6A6" w:themeColor="background1" w:themeShade="A6"/>
              <w:bottom w:val="single" w:sz="4" w:space="0" w:color="A6A6A6" w:themeColor="background1" w:themeShade="A6"/>
            </w:tcBorders>
            <w:shd w:val="clear" w:color="auto" w:fill="auto"/>
            <w:noWrap/>
          </w:tcPr>
          <w:p w:rsidR="00CB68A7" w:rsidRPr="00EB1F02" w:rsidRDefault="00CB68A7" w:rsidP="004A0A4D">
            <w:pPr>
              <w:pStyle w:val="TableText"/>
              <w:rPr>
                <w:lang w:eastAsia="en-US"/>
              </w:rPr>
            </w:pPr>
            <w:r w:rsidRPr="00EB1F02">
              <w:rPr>
                <w:lang w:eastAsia="en-US"/>
              </w:rPr>
              <w:t>Knowledge</w:t>
            </w:r>
          </w:p>
        </w:tc>
        <w:tc>
          <w:tcPr>
            <w:tcW w:w="3788" w:type="pct"/>
            <w:tcBorders>
              <w:top w:val="single" w:sz="4" w:space="0" w:color="A6A6A6" w:themeColor="background1" w:themeShade="A6"/>
              <w:bottom w:val="single" w:sz="4" w:space="0" w:color="A6A6A6" w:themeColor="background1" w:themeShade="A6"/>
            </w:tcBorders>
            <w:shd w:val="clear" w:color="auto" w:fill="auto"/>
            <w:noWrap/>
            <w:vAlign w:val="center"/>
          </w:tcPr>
          <w:p w:rsidR="00CB68A7" w:rsidRPr="00EB1F02" w:rsidRDefault="00CB68A7" w:rsidP="004A0A4D">
            <w:pPr>
              <w:pStyle w:val="TableText"/>
              <w:rPr>
                <w:lang w:eastAsia="en-US"/>
              </w:rPr>
            </w:pPr>
            <w:r w:rsidRPr="00EB1F02">
              <w:rPr>
                <w:lang w:eastAsia="en-US"/>
              </w:rPr>
              <w:t>Gambling Act 2003 requirement for independent, scientific research</w:t>
            </w:r>
          </w:p>
          <w:p w:rsidR="00CB68A7" w:rsidRPr="00EB1F02" w:rsidRDefault="00CB68A7" w:rsidP="004A0A4D">
            <w:pPr>
              <w:pStyle w:val="TableText"/>
              <w:rPr>
                <w:lang w:eastAsia="en-US"/>
              </w:rPr>
            </w:pPr>
            <w:r w:rsidRPr="00EB1F02">
              <w:rPr>
                <w:lang w:eastAsia="en-US"/>
              </w:rPr>
              <w:t>Objective 11</w:t>
            </w:r>
          </w:p>
          <w:p w:rsidR="00CB68A7" w:rsidRPr="00EB1F02" w:rsidRDefault="00CB68A7" w:rsidP="004A0A4D">
            <w:pPr>
              <w:pStyle w:val="TableText"/>
              <w:rPr>
                <w:lang w:eastAsia="en-US"/>
              </w:rPr>
            </w:pPr>
            <w:r w:rsidRPr="00EB1F02">
              <w:rPr>
                <w:lang w:eastAsia="en-US"/>
              </w:rPr>
              <w:t>A national coordination service and service provider hui to share best-practice examples and stories of innovation</w:t>
            </w:r>
          </w:p>
          <w:p w:rsidR="00CB68A7" w:rsidRPr="00EB1F02" w:rsidRDefault="00CB68A7" w:rsidP="004A0A4D">
            <w:pPr>
              <w:pStyle w:val="TableText"/>
              <w:rPr>
                <w:lang w:eastAsia="en-US"/>
              </w:rPr>
            </w:pPr>
            <w:r w:rsidRPr="00EB1F02">
              <w:rPr>
                <w:lang w:eastAsia="en-US"/>
              </w:rPr>
              <w:t>The Ministry</w:t>
            </w:r>
            <w:r w:rsidR="00EC3578">
              <w:rPr>
                <w:lang w:eastAsia="en-US"/>
              </w:rPr>
              <w:t>’</w:t>
            </w:r>
            <w:r w:rsidRPr="00EB1F02">
              <w:rPr>
                <w:lang w:eastAsia="en-US"/>
              </w:rPr>
              <w:t>s Client Information Collection (CLIC) database – includes accurate ethnicity information</w:t>
            </w:r>
          </w:p>
          <w:p w:rsidR="00CB68A7" w:rsidRPr="00EB1F02" w:rsidRDefault="00CB68A7" w:rsidP="004A0A4D">
            <w:pPr>
              <w:pStyle w:val="TableText"/>
              <w:rPr>
                <w:lang w:eastAsia="en-US"/>
              </w:rPr>
            </w:pPr>
            <w:r w:rsidRPr="00EB1F02">
              <w:rPr>
                <w:lang w:eastAsia="en-US"/>
              </w:rPr>
              <w:t>Funding for provider-initiated research projects that address issues of equity for Māori</w:t>
            </w:r>
          </w:p>
          <w:p w:rsidR="00CB68A7" w:rsidRPr="00EB1F02" w:rsidRDefault="00CB68A7" w:rsidP="004A0A4D">
            <w:pPr>
              <w:pStyle w:val="TableText"/>
              <w:rPr>
                <w:lang w:eastAsia="en-US"/>
              </w:rPr>
            </w:pPr>
            <w:r w:rsidRPr="00EB1F02">
              <w:rPr>
                <w:lang w:eastAsia="en-US"/>
              </w:rPr>
              <w:t>Funding for research scholarships for Māori researchers</w:t>
            </w:r>
          </w:p>
        </w:tc>
      </w:tr>
      <w:tr w:rsidR="00CB68A7" w:rsidRPr="00C10A99" w:rsidTr="004A0A4D">
        <w:trPr>
          <w:cantSplit/>
        </w:trPr>
        <w:tc>
          <w:tcPr>
            <w:tcW w:w="1212" w:type="pct"/>
            <w:tcBorders>
              <w:top w:val="single" w:sz="4" w:space="0" w:color="A6A6A6" w:themeColor="background1" w:themeShade="A6"/>
              <w:bottom w:val="single" w:sz="4" w:space="0" w:color="A6A6A6" w:themeColor="background1" w:themeShade="A6"/>
            </w:tcBorders>
            <w:shd w:val="clear" w:color="auto" w:fill="auto"/>
            <w:noWrap/>
          </w:tcPr>
          <w:p w:rsidR="00CB68A7" w:rsidRPr="00EB1F02" w:rsidRDefault="00CB68A7" w:rsidP="004A0A4D">
            <w:pPr>
              <w:pStyle w:val="TableText"/>
              <w:rPr>
                <w:lang w:eastAsia="en-US"/>
              </w:rPr>
            </w:pPr>
            <w:r w:rsidRPr="00EB1F02">
              <w:rPr>
                <w:lang w:eastAsia="en-US"/>
              </w:rPr>
              <w:t>Quality improvement</w:t>
            </w:r>
          </w:p>
        </w:tc>
        <w:tc>
          <w:tcPr>
            <w:tcW w:w="3788" w:type="pct"/>
            <w:tcBorders>
              <w:top w:val="single" w:sz="4" w:space="0" w:color="A6A6A6" w:themeColor="background1" w:themeShade="A6"/>
              <w:bottom w:val="single" w:sz="4" w:space="0" w:color="A6A6A6" w:themeColor="background1" w:themeShade="A6"/>
            </w:tcBorders>
            <w:shd w:val="clear" w:color="auto" w:fill="auto"/>
            <w:noWrap/>
            <w:vAlign w:val="center"/>
          </w:tcPr>
          <w:p w:rsidR="00CB68A7" w:rsidRPr="00EB1F02" w:rsidRDefault="00CB68A7" w:rsidP="004A0A4D">
            <w:pPr>
              <w:pStyle w:val="TableText"/>
              <w:rPr>
                <w:lang w:eastAsia="en-US"/>
              </w:rPr>
            </w:pPr>
            <w:r w:rsidRPr="00EB1F02">
              <w:rPr>
                <w:lang w:eastAsia="en-US"/>
              </w:rPr>
              <w:t xml:space="preserve">Infrastructure intervention and public health service specification </w:t>
            </w:r>
            <w:r w:rsidRPr="00EB1F02">
              <w:rPr>
                <w:rFonts w:eastAsia="Arial Unicode MS"/>
              </w:rPr>
              <w:t xml:space="preserve">purchase unit </w:t>
            </w:r>
            <w:r w:rsidRPr="00EB1F02">
              <w:rPr>
                <w:lang w:eastAsia="en-US"/>
              </w:rPr>
              <w:t>2 (workforce development)</w:t>
            </w:r>
          </w:p>
          <w:p w:rsidR="00CB68A7" w:rsidRPr="00EB1F02" w:rsidRDefault="00CB68A7" w:rsidP="004A0A4D">
            <w:pPr>
              <w:pStyle w:val="TableText"/>
              <w:rPr>
                <w:rFonts w:eastAsia="Arial Unicode MS"/>
              </w:rPr>
            </w:pPr>
            <w:r w:rsidRPr="00EB1F02">
              <w:rPr>
                <w:rFonts w:eastAsia="Arial Unicode MS"/>
              </w:rPr>
              <w:t>Overall goal of the strategy, principles underpinning the strategy and objective 1</w:t>
            </w:r>
          </w:p>
          <w:p w:rsidR="00CB68A7" w:rsidRPr="00EB1F02" w:rsidRDefault="00CB68A7" w:rsidP="004A0A4D">
            <w:pPr>
              <w:pStyle w:val="TableText"/>
              <w:rPr>
                <w:lang w:eastAsia="en-US"/>
              </w:rPr>
            </w:pPr>
            <w:r w:rsidRPr="00EB1F02">
              <w:rPr>
                <w:lang w:eastAsia="en-US"/>
              </w:rPr>
              <w:t>Gambling Act 2003 requirements for a specified consultation process to develop the strategy and the problem gambling levy rates to ensure best value for resources</w:t>
            </w:r>
          </w:p>
        </w:tc>
      </w:tr>
      <w:tr w:rsidR="00CB68A7" w:rsidRPr="00C10A99" w:rsidTr="004A0A4D">
        <w:trPr>
          <w:cantSplit/>
        </w:trPr>
        <w:tc>
          <w:tcPr>
            <w:tcW w:w="1212" w:type="pct"/>
            <w:tcBorders>
              <w:top w:val="single" w:sz="4" w:space="0" w:color="A6A6A6" w:themeColor="background1" w:themeShade="A6"/>
              <w:bottom w:val="single" w:sz="4" w:space="0" w:color="A6A6A6" w:themeColor="background1" w:themeShade="A6"/>
            </w:tcBorders>
            <w:shd w:val="clear" w:color="auto" w:fill="auto"/>
            <w:noWrap/>
          </w:tcPr>
          <w:p w:rsidR="00CB68A7" w:rsidRPr="00EB1F02" w:rsidRDefault="00CB68A7" w:rsidP="004A0A4D">
            <w:pPr>
              <w:pStyle w:val="TableText"/>
              <w:rPr>
                <w:lang w:eastAsia="en-US"/>
              </w:rPr>
            </w:pPr>
            <w:r w:rsidRPr="00EB1F02">
              <w:rPr>
                <w:lang w:eastAsia="en-US"/>
              </w:rPr>
              <w:t>Leadership</w:t>
            </w:r>
          </w:p>
        </w:tc>
        <w:tc>
          <w:tcPr>
            <w:tcW w:w="3788" w:type="pct"/>
            <w:tcBorders>
              <w:top w:val="single" w:sz="4" w:space="0" w:color="A6A6A6" w:themeColor="background1" w:themeShade="A6"/>
              <w:bottom w:val="single" w:sz="4" w:space="0" w:color="A6A6A6" w:themeColor="background1" w:themeShade="A6"/>
            </w:tcBorders>
            <w:shd w:val="clear" w:color="auto" w:fill="auto"/>
            <w:noWrap/>
            <w:vAlign w:val="center"/>
          </w:tcPr>
          <w:p w:rsidR="00CB68A7" w:rsidRPr="00EB1F02" w:rsidRDefault="00CB68A7" w:rsidP="004A0A4D">
            <w:pPr>
              <w:pStyle w:val="TableText"/>
              <w:rPr>
                <w:lang w:eastAsia="en-US"/>
              </w:rPr>
            </w:pPr>
            <w:r w:rsidRPr="00EB1F02">
              <w:rPr>
                <w:rFonts w:eastAsia="Arial Unicode MS"/>
              </w:rPr>
              <w:t>Māori representation on key forums and bodies</w:t>
            </w:r>
          </w:p>
          <w:p w:rsidR="00CB68A7" w:rsidRPr="00EB1F02" w:rsidRDefault="00CB68A7" w:rsidP="004A0A4D">
            <w:pPr>
              <w:pStyle w:val="TableText"/>
              <w:rPr>
                <w:lang w:eastAsia="en-US"/>
              </w:rPr>
            </w:pPr>
            <w:r w:rsidRPr="00EB1F02">
              <w:rPr>
                <w:lang w:eastAsia="en-US"/>
              </w:rPr>
              <w:t>Health system leadership – an expectation that all New Zealanders will have health equity</w:t>
            </w:r>
          </w:p>
          <w:p w:rsidR="00CB68A7" w:rsidRPr="00EB1F02" w:rsidRDefault="00CB68A7" w:rsidP="004A0A4D">
            <w:pPr>
              <w:pStyle w:val="TableText"/>
              <w:rPr>
                <w:lang w:eastAsia="en-US"/>
              </w:rPr>
            </w:pPr>
            <w:r w:rsidRPr="00EB1F02">
              <w:rPr>
                <w:lang w:eastAsia="en-US"/>
              </w:rPr>
              <w:t xml:space="preserve">Infrastructure intervention and public health service specification </w:t>
            </w:r>
            <w:r w:rsidRPr="00EB1F02">
              <w:rPr>
                <w:rFonts w:eastAsia="Arial Unicode MS"/>
              </w:rPr>
              <w:t xml:space="preserve">purchase unit </w:t>
            </w:r>
            <w:r w:rsidRPr="00EB1F02">
              <w:rPr>
                <w:lang w:eastAsia="en-US"/>
              </w:rPr>
              <w:t>2 (workforce development)</w:t>
            </w:r>
          </w:p>
        </w:tc>
      </w:tr>
      <w:tr w:rsidR="00CB68A7" w:rsidRPr="00C10A99" w:rsidTr="004A0A4D">
        <w:trPr>
          <w:cantSplit/>
        </w:trPr>
        <w:tc>
          <w:tcPr>
            <w:tcW w:w="1212" w:type="pct"/>
            <w:tcBorders>
              <w:top w:val="single" w:sz="4" w:space="0" w:color="A6A6A6" w:themeColor="background1" w:themeShade="A6"/>
              <w:bottom w:val="single" w:sz="4" w:space="0" w:color="A6A6A6" w:themeColor="background1" w:themeShade="A6"/>
            </w:tcBorders>
            <w:shd w:val="clear" w:color="auto" w:fill="auto"/>
            <w:noWrap/>
          </w:tcPr>
          <w:p w:rsidR="00CB68A7" w:rsidRPr="00EB1F02" w:rsidRDefault="00CB68A7" w:rsidP="004A0A4D">
            <w:pPr>
              <w:pStyle w:val="TableText"/>
              <w:rPr>
                <w:lang w:eastAsia="en-US"/>
              </w:rPr>
            </w:pPr>
            <w:r w:rsidRPr="00EB1F02">
              <w:rPr>
                <w:lang w:eastAsia="en-US"/>
              </w:rPr>
              <w:t>Planning resourcing and evaluation</w:t>
            </w:r>
          </w:p>
        </w:tc>
        <w:tc>
          <w:tcPr>
            <w:tcW w:w="3788" w:type="pct"/>
            <w:tcBorders>
              <w:top w:val="single" w:sz="4" w:space="0" w:color="A6A6A6" w:themeColor="background1" w:themeShade="A6"/>
              <w:bottom w:val="single" w:sz="4" w:space="0" w:color="A6A6A6" w:themeColor="background1" w:themeShade="A6"/>
            </w:tcBorders>
            <w:shd w:val="clear" w:color="auto" w:fill="auto"/>
            <w:noWrap/>
            <w:vAlign w:val="center"/>
          </w:tcPr>
          <w:p w:rsidR="00CB68A7" w:rsidRPr="00EB1F02" w:rsidRDefault="00CB68A7" w:rsidP="004A0A4D">
            <w:pPr>
              <w:pStyle w:val="TableText"/>
              <w:rPr>
                <w:lang w:eastAsia="en-US"/>
              </w:rPr>
            </w:pPr>
            <w:r w:rsidRPr="00EB1F02">
              <w:rPr>
                <w:lang w:eastAsia="en-US"/>
              </w:rPr>
              <w:t>Gambling Act 2003 requirements for the process to develop the strategy – a consultative process for planning and resourcing</w:t>
            </w:r>
          </w:p>
          <w:p w:rsidR="00CB68A7" w:rsidRPr="00EB1F02" w:rsidRDefault="00CB68A7" w:rsidP="004A0A4D">
            <w:pPr>
              <w:pStyle w:val="TableText"/>
              <w:rPr>
                <w:lang w:eastAsia="en-US"/>
              </w:rPr>
            </w:pPr>
            <w:r w:rsidRPr="00EB1F02">
              <w:rPr>
                <w:lang w:eastAsia="en-US"/>
              </w:rPr>
              <w:t>Gambling Act 2003 requirement for evaluation</w:t>
            </w:r>
          </w:p>
          <w:p w:rsidR="00CB68A7" w:rsidRPr="00EB1F02" w:rsidRDefault="00CB68A7" w:rsidP="004A0A4D">
            <w:pPr>
              <w:pStyle w:val="TableText"/>
              <w:rPr>
                <w:lang w:eastAsia="en-US"/>
              </w:rPr>
            </w:pPr>
            <w:r w:rsidRPr="00EB1F02">
              <w:rPr>
                <w:lang w:eastAsia="en-US"/>
              </w:rPr>
              <w:t>Research and audit projects evaluating intervention and public health services assess effectiveness and responsiveness for Māori</w:t>
            </w:r>
          </w:p>
        </w:tc>
      </w:tr>
      <w:tr w:rsidR="00CB68A7" w:rsidRPr="00C10A99" w:rsidTr="004A0A4D">
        <w:trPr>
          <w:cantSplit/>
        </w:trPr>
        <w:tc>
          <w:tcPr>
            <w:tcW w:w="1212" w:type="pct"/>
            <w:tcBorders>
              <w:top w:val="single" w:sz="4" w:space="0" w:color="A6A6A6" w:themeColor="background1" w:themeShade="A6"/>
              <w:bottom w:val="single" w:sz="4" w:space="0" w:color="auto"/>
            </w:tcBorders>
            <w:shd w:val="clear" w:color="auto" w:fill="auto"/>
            <w:noWrap/>
          </w:tcPr>
          <w:p w:rsidR="00CB68A7" w:rsidRPr="00EB1F02" w:rsidRDefault="00CB68A7" w:rsidP="004A0A4D">
            <w:pPr>
              <w:pStyle w:val="TableText"/>
              <w:rPr>
                <w:lang w:eastAsia="en-US"/>
              </w:rPr>
            </w:pPr>
            <w:r w:rsidRPr="00EB1F02">
              <w:rPr>
                <w:lang w:eastAsia="en-US"/>
              </w:rPr>
              <w:t>Outcome/performance and monitoring</w:t>
            </w:r>
          </w:p>
        </w:tc>
        <w:tc>
          <w:tcPr>
            <w:tcW w:w="3788" w:type="pct"/>
            <w:tcBorders>
              <w:top w:val="single" w:sz="4" w:space="0" w:color="A6A6A6" w:themeColor="background1" w:themeShade="A6"/>
              <w:bottom w:val="single" w:sz="4" w:space="0" w:color="auto"/>
            </w:tcBorders>
            <w:shd w:val="clear" w:color="auto" w:fill="auto"/>
            <w:noWrap/>
            <w:vAlign w:val="center"/>
          </w:tcPr>
          <w:p w:rsidR="00CB68A7" w:rsidRPr="00EB1F02" w:rsidRDefault="00CB68A7" w:rsidP="004A0A4D">
            <w:pPr>
              <w:pStyle w:val="TableText"/>
              <w:rPr>
                <w:lang w:eastAsia="en-US"/>
              </w:rPr>
            </w:pPr>
            <w:r w:rsidRPr="00EB1F02">
              <w:rPr>
                <w:lang w:eastAsia="en-US"/>
              </w:rPr>
              <w:t>Outcomes framework baseline and update reports, which specifically address outcomes for Māori</w:t>
            </w:r>
          </w:p>
        </w:tc>
      </w:tr>
    </w:tbl>
    <w:p w:rsidR="00CB68A7" w:rsidRPr="00E312E8" w:rsidRDefault="00CB68A7" w:rsidP="004A0A4D"/>
    <w:p w:rsidR="00CB68A7" w:rsidRPr="00C10A99" w:rsidRDefault="00CB68A7" w:rsidP="004A0A4D">
      <w:pPr>
        <w:pStyle w:val="Heading2"/>
      </w:pPr>
      <w:bookmarkStart w:id="94" w:name="_Toc421026471"/>
      <w:bookmarkStart w:id="95" w:name="_Toc517090899"/>
      <w:bookmarkStart w:id="96" w:name="_Toc522089401"/>
      <w:r w:rsidRPr="00C10A99">
        <w:lastRenderedPageBreak/>
        <w:t>Align</w:t>
      </w:r>
      <w:r>
        <w:t>ing</w:t>
      </w:r>
      <w:r w:rsidRPr="00C10A99">
        <w:t xml:space="preserve"> the strategy with </w:t>
      </w:r>
      <w:r w:rsidR="00901F12" w:rsidRPr="004A0A4D">
        <w:rPr>
          <w:i/>
        </w:rPr>
        <w:t>’A</w:t>
      </w:r>
      <w:r w:rsidRPr="004A0A4D">
        <w:rPr>
          <w:i/>
        </w:rPr>
        <w:t>la </w:t>
      </w:r>
      <w:proofErr w:type="spellStart"/>
      <w:r w:rsidRPr="004A0A4D">
        <w:rPr>
          <w:i/>
        </w:rPr>
        <w:t>Mo</w:t>
      </w:r>
      <w:r w:rsidR="00EC3578" w:rsidRPr="004A0A4D">
        <w:rPr>
          <w:i/>
        </w:rPr>
        <w:t>’</w:t>
      </w:r>
      <w:r w:rsidRPr="004A0A4D">
        <w:rPr>
          <w:i/>
        </w:rPr>
        <w:t>ui</w:t>
      </w:r>
      <w:proofErr w:type="spellEnd"/>
      <w:r w:rsidRPr="004A0A4D">
        <w:rPr>
          <w:i/>
        </w:rPr>
        <w:t>: Pathways</w:t>
      </w:r>
      <w:r w:rsidR="004A0A4D">
        <w:rPr>
          <w:i/>
        </w:rPr>
        <w:t xml:space="preserve"> </w:t>
      </w:r>
      <w:r w:rsidRPr="004A0A4D">
        <w:rPr>
          <w:i/>
        </w:rPr>
        <w:t>to</w:t>
      </w:r>
      <w:r w:rsidR="004A0A4D">
        <w:rPr>
          <w:i/>
        </w:rPr>
        <w:t xml:space="preserve"> </w:t>
      </w:r>
      <w:r w:rsidRPr="004A0A4D">
        <w:rPr>
          <w:i/>
        </w:rPr>
        <w:t>Pacific</w:t>
      </w:r>
      <w:r w:rsidR="004A0A4D">
        <w:rPr>
          <w:i/>
        </w:rPr>
        <w:t xml:space="preserve"> </w:t>
      </w:r>
      <w:r w:rsidRPr="004A0A4D">
        <w:rPr>
          <w:i/>
        </w:rPr>
        <w:t>Health and</w:t>
      </w:r>
      <w:r w:rsidR="004A0A4D">
        <w:rPr>
          <w:i/>
        </w:rPr>
        <w:t xml:space="preserve"> </w:t>
      </w:r>
      <w:r w:rsidRPr="004A0A4D">
        <w:rPr>
          <w:i/>
        </w:rPr>
        <w:t>Wellbeing</w:t>
      </w:r>
      <w:bookmarkEnd w:id="94"/>
      <w:r w:rsidRPr="004A0A4D">
        <w:rPr>
          <w:i/>
        </w:rPr>
        <w:t xml:space="preserve"> 2014–2018</w:t>
      </w:r>
      <w:bookmarkEnd w:id="95"/>
      <w:bookmarkEnd w:id="96"/>
    </w:p>
    <w:p w:rsidR="00CB68A7" w:rsidRDefault="000D5C87" w:rsidP="004A0A4D">
      <w:hyperlink r:id="rId58" w:history="1">
        <w:r w:rsidR="00901F12">
          <w:rPr>
            <w:rStyle w:val="Hyperlink"/>
            <w:rFonts w:cs="Arial"/>
            <w:bCs/>
            <w:i/>
          </w:rPr>
          <w:t>’A</w:t>
        </w:r>
        <w:r w:rsidR="00CB68A7" w:rsidRPr="00E312E8">
          <w:rPr>
            <w:rStyle w:val="Hyperlink"/>
            <w:rFonts w:cs="Arial"/>
            <w:bCs/>
            <w:i/>
          </w:rPr>
          <w:t xml:space="preserve">la </w:t>
        </w:r>
        <w:proofErr w:type="spellStart"/>
        <w:r w:rsidR="00CB68A7" w:rsidRPr="00E312E8">
          <w:rPr>
            <w:rStyle w:val="Hyperlink"/>
            <w:rFonts w:cs="Arial"/>
            <w:bCs/>
            <w:i/>
          </w:rPr>
          <w:t>Mo</w:t>
        </w:r>
        <w:r w:rsidR="00EC3578">
          <w:rPr>
            <w:i/>
          </w:rPr>
          <w:t>’</w:t>
        </w:r>
        <w:r w:rsidR="00CB68A7" w:rsidRPr="00E312E8">
          <w:rPr>
            <w:rStyle w:val="Hyperlink"/>
            <w:rFonts w:cs="Arial"/>
            <w:bCs/>
            <w:i/>
          </w:rPr>
          <w:t>ui</w:t>
        </w:r>
        <w:proofErr w:type="spellEnd"/>
        <w:r w:rsidR="00CB68A7" w:rsidRPr="00E312E8">
          <w:rPr>
            <w:rStyle w:val="Hyperlink"/>
            <w:rFonts w:cs="Arial"/>
            <w:bCs/>
            <w:i/>
          </w:rPr>
          <w:t>: Pathways to Pacific Health and Wellbeing 2014–2018</w:t>
        </w:r>
      </w:hyperlink>
      <w:r w:rsidR="00CB68A7" w:rsidRPr="00E312E8">
        <w:rPr>
          <w:i/>
        </w:rPr>
        <w:t xml:space="preserve"> </w:t>
      </w:r>
      <w:r w:rsidR="00CB68A7" w:rsidRPr="00E312E8">
        <w:t xml:space="preserve">is the </w:t>
      </w:r>
      <w:r w:rsidR="00CB68A7">
        <w:t>g</w:t>
      </w:r>
      <w:r w:rsidR="00CB68A7" w:rsidRPr="00E312E8">
        <w:t>overnment</w:t>
      </w:r>
      <w:r w:rsidR="00EC3578">
        <w:t>’</w:t>
      </w:r>
      <w:r w:rsidR="00CB68A7" w:rsidRPr="00E312E8">
        <w:t>s plan for improving health outcomes for Pacific peoples</w:t>
      </w:r>
      <w:r w:rsidR="00CB68A7">
        <w:t xml:space="preserve"> (Ministry of Health 2014a)</w:t>
      </w:r>
      <w:r w:rsidR="00CB68A7" w:rsidRPr="00E312E8">
        <w:t xml:space="preserve">. The long-term vision of </w:t>
      </w:r>
      <w:r w:rsidR="00901F12">
        <w:t>’A</w:t>
      </w:r>
      <w:r w:rsidR="00CB68A7" w:rsidRPr="007B36FF">
        <w:t xml:space="preserve">la </w:t>
      </w:r>
      <w:proofErr w:type="spellStart"/>
      <w:r w:rsidR="00CB68A7" w:rsidRPr="007B36FF">
        <w:t>Mo</w:t>
      </w:r>
      <w:r w:rsidR="00EC3578">
        <w:t>’</w:t>
      </w:r>
      <w:r w:rsidR="00CB68A7" w:rsidRPr="007B36FF">
        <w:t>ui</w:t>
      </w:r>
      <w:proofErr w:type="spellEnd"/>
      <w:r w:rsidR="00CB68A7" w:rsidRPr="00C10A99">
        <w:t xml:space="preserve"> is that</w:t>
      </w:r>
      <w:r w:rsidR="00CB68A7">
        <w:t xml:space="preserve">: </w:t>
      </w:r>
      <w:r w:rsidR="00EC3578">
        <w:t>‘</w:t>
      </w:r>
      <w:r w:rsidR="00CB68A7" w:rsidRPr="00C10A99">
        <w:t xml:space="preserve">Pacific </w:t>
      </w:r>
      <w:r w:rsidR="003541F1">
        <w:t>’</w:t>
      </w:r>
      <w:proofErr w:type="spellStart"/>
      <w:r w:rsidR="003541F1">
        <w:t>ā</w:t>
      </w:r>
      <w:r w:rsidR="00CB68A7" w:rsidRPr="00C10A99">
        <w:t>iga</w:t>
      </w:r>
      <w:proofErr w:type="spellEnd"/>
      <w:r w:rsidR="00CB68A7" w:rsidRPr="00C10A99">
        <w:t xml:space="preserve">, </w:t>
      </w:r>
      <w:proofErr w:type="spellStart"/>
      <w:r w:rsidR="00CB68A7" w:rsidRPr="00C10A99">
        <w:t>kāiga</w:t>
      </w:r>
      <w:proofErr w:type="spellEnd"/>
      <w:r w:rsidR="00CB68A7" w:rsidRPr="00C10A99">
        <w:t xml:space="preserve">, </w:t>
      </w:r>
      <w:proofErr w:type="spellStart"/>
      <w:r w:rsidR="00CB68A7" w:rsidRPr="00C10A99">
        <w:t>magafaoa</w:t>
      </w:r>
      <w:proofErr w:type="spellEnd"/>
      <w:r w:rsidR="00CB68A7" w:rsidRPr="00C10A99">
        <w:t xml:space="preserve">, </w:t>
      </w:r>
      <w:proofErr w:type="spellStart"/>
      <w:r w:rsidR="00CB68A7" w:rsidRPr="00C10A99">
        <w:t>kōpū</w:t>
      </w:r>
      <w:proofErr w:type="spellEnd"/>
      <w:r w:rsidR="00CB68A7" w:rsidRPr="00C10A99">
        <w:t xml:space="preserve"> </w:t>
      </w:r>
      <w:proofErr w:type="spellStart"/>
      <w:r w:rsidR="00CB68A7" w:rsidRPr="00C10A99">
        <w:t>tangata</w:t>
      </w:r>
      <w:proofErr w:type="spellEnd"/>
      <w:r w:rsidR="00CB68A7" w:rsidRPr="00C10A99">
        <w:t xml:space="preserve">, </w:t>
      </w:r>
      <w:proofErr w:type="spellStart"/>
      <w:r w:rsidR="00CB68A7" w:rsidRPr="00C10A99">
        <w:t>vuvale</w:t>
      </w:r>
      <w:proofErr w:type="spellEnd"/>
      <w:r w:rsidR="00CB68A7" w:rsidRPr="00C10A99">
        <w:t xml:space="preserve"> and </w:t>
      </w:r>
      <w:proofErr w:type="spellStart"/>
      <w:r w:rsidR="00CB68A7" w:rsidRPr="00C10A99">
        <w:t>fāmili</w:t>
      </w:r>
      <w:proofErr w:type="spellEnd"/>
      <w:r w:rsidR="00CB68A7" w:rsidRPr="00C10A99">
        <w:t xml:space="preserve"> experience equitable health outcomes and lead independent lives</w:t>
      </w:r>
      <w:r w:rsidR="00EC3578">
        <w:t>’</w:t>
      </w:r>
      <w:r w:rsidR="00CB68A7">
        <w:t xml:space="preserve"> (page 1)</w:t>
      </w:r>
      <w:r w:rsidR="00CB68A7" w:rsidRPr="00C10A99">
        <w:t xml:space="preserve">. Figure </w:t>
      </w:r>
      <w:r w:rsidR="00D35FB5">
        <w:t>5</w:t>
      </w:r>
      <w:r w:rsidR="00CB68A7" w:rsidRPr="00C10A99">
        <w:t xml:space="preserve"> summarises the 2014 (most recent) version of </w:t>
      </w:r>
      <w:r w:rsidR="00901F12">
        <w:t>’A</w:t>
      </w:r>
      <w:r w:rsidR="00CB68A7" w:rsidRPr="007B36FF">
        <w:t xml:space="preserve">la </w:t>
      </w:r>
      <w:proofErr w:type="spellStart"/>
      <w:r w:rsidR="00CB68A7" w:rsidRPr="007B36FF">
        <w:t>Mo</w:t>
      </w:r>
      <w:r w:rsidR="00EC3578">
        <w:t>’</w:t>
      </w:r>
      <w:r w:rsidR="00CB68A7" w:rsidRPr="007B36FF">
        <w:t>ui</w:t>
      </w:r>
      <w:proofErr w:type="spellEnd"/>
      <w:r w:rsidR="00CB68A7" w:rsidRPr="00C10A99">
        <w:t>.</w:t>
      </w:r>
    </w:p>
    <w:p w:rsidR="004A0A4D" w:rsidRPr="00C10A99" w:rsidRDefault="004A0A4D" w:rsidP="004A0A4D"/>
    <w:p w:rsidR="00CB68A7" w:rsidRPr="00C10A99" w:rsidRDefault="00CB68A7" w:rsidP="004A0A4D">
      <w:r w:rsidRPr="00C10A99">
        <w:t xml:space="preserve">The Ministry has aligned the draft </w:t>
      </w:r>
      <w:r>
        <w:t>s</w:t>
      </w:r>
      <w:r w:rsidRPr="00C10A99">
        <w:t xml:space="preserve">trategic plan with </w:t>
      </w:r>
      <w:r w:rsidR="00901F12">
        <w:t>’A</w:t>
      </w:r>
      <w:r w:rsidRPr="007B36FF">
        <w:t xml:space="preserve">la </w:t>
      </w:r>
      <w:proofErr w:type="spellStart"/>
      <w:r w:rsidRPr="007B36FF">
        <w:t>Mo</w:t>
      </w:r>
      <w:r w:rsidR="00EC3578">
        <w:t>’</w:t>
      </w:r>
      <w:r w:rsidRPr="007B36FF">
        <w:t>ui</w:t>
      </w:r>
      <w:proofErr w:type="spellEnd"/>
      <w:r w:rsidRPr="00C10A99">
        <w:t>, in acknowledgement of the fact that the strategy to prevent and minimise gambling harm contributes to the achievement of health equity for all Pacific peoples in New Zealand.</w:t>
      </w:r>
    </w:p>
    <w:p w:rsidR="00CB68A7" w:rsidRPr="00C10A99" w:rsidRDefault="00CB68A7" w:rsidP="004A0A4D"/>
    <w:p w:rsidR="00CB68A7" w:rsidRPr="00BC3003" w:rsidRDefault="00CB68A7" w:rsidP="004A0A4D">
      <w:pPr>
        <w:pStyle w:val="Figure"/>
      </w:pPr>
      <w:bookmarkStart w:id="97" w:name="_Toc514139886"/>
      <w:bookmarkStart w:id="98" w:name="_Toc516836148"/>
      <w:bookmarkStart w:id="99" w:name="_Toc522089426"/>
      <w:r w:rsidRPr="00227DDB">
        <w:t xml:space="preserve">Figure </w:t>
      </w:r>
      <w:r w:rsidR="00D35FB5">
        <w:t>5</w:t>
      </w:r>
      <w:r w:rsidRPr="00BC3003">
        <w:t xml:space="preserve">: The components of </w:t>
      </w:r>
      <w:r w:rsidR="00901F12">
        <w:t>’A</w:t>
      </w:r>
      <w:r w:rsidRPr="00BC3003">
        <w:t xml:space="preserve">la </w:t>
      </w:r>
      <w:proofErr w:type="spellStart"/>
      <w:r w:rsidRPr="00BC3003">
        <w:t>Mo</w:t>
      </w:r>
      <w:r w:rsidR="00EC3578">
        <w:t>’</w:t>
      </w:r>
      <w:r w:rsidRPr="00BC3003">
        <w:t>ui</w:t>
      </w:r>
      <w:bookmarkEnd w:id="97"/>
      <w:bookmarkEnd w:id="98"/>
      <w:bookmarkEnd w:id="99"/>
      <w:proofErr w:type="spellEnd"/>
    </w:p>
    <w:p w:rsidR="00CB68A7" w:rsidRDefault="00CB68A7" w:rsidP="004A0A4D">
      <w:r w:rsidRPr="00E312E8">
        <w:rPr>
          <w:noProof/>
          <w:lang w:eastAsia="en-NZ"/>
        </w:rPr>
        <w:drawing>
          <wp:inline distT="0" distB="0" distL="0" distR="0" wp14:anchorId="4B060454" wp14:editId="40E0DAFD">
            <wp:extent cx="5867269" cy="5985164"/>
            <wp:effectExtent l="0" t="0" r="635" b="0"/>
            <wp:docPr id="4" name="Picture 236" title="Figure 4: The components of ’Ala Mo’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rotWithShape="1">
                    <a:blip r:embed="rId59">
                      <a:grayscl/>
                      <a:extLst>
                        <a:ext uri="{28A0092B-C50C-407E-A947-70E740481C1C}">
                          <a14:useLocalDpi xmlns:a14="http://schemas.microsoft.com/office/drawing/2010/main" val="0"/>
                        </a:ext>
                      </a:extLst>
                    </a:blip>
                    <a:srcRect l="982" t="595" b="835"/>
                    <a:stretch/>
                  </pic:blipFill>
                  <pic:spPr bwMode="auto">
                    <a:xfrm>
                      <a:off x="0" y="0"/>
                      <a:ext cx="5865741" cy="5983605"/>
                    </a:xfrm>
                    <a:prstGeom prst="rect">
                      <a:avLst/>
                    </a:prstGeom>
                    <a:noFill/>
                    <a:ln>
                      <a:noFill/>
                    </a:ln>
                    <a:extLst>
                      <a:ext uri="{53640926-AAD7-44D8-BBD7-CCE9431645EC}">
                        <a14:shadowObscured xmlns:a14="http://schemas.microsoft.com/office/drawing/2010/main"/>
                      </a:ext>
                    </a:extLst>
                  </pic:spPr>
                </pic:pic>
              </a:graphicData>
            </a:graphic>
          </wp:inline>
        </w:drawing>
      </w:r>
    </w:p>
    <w:p w:rsidR="004A0A4D" w:rsidRPr="00E312E8" w:rsidRDefault="004A0A4D" w:rsidP="004A0A4D"/>
    <w:p w:rsidR="00CB68A7" w:rsidRPr="00C10A99" w:rsidRDefault="00CB68A7" w:rsidP="004A0A4D">
      <w:pPr>
        <w:pStyle w:val="Table"/>
      </w:pPr>
      <w:bookmarkStart w:id="100" w:name="_Toc514838701"/>
      <w:bookmarkStart w:id="101" w:name="_Toc517091238"/>
      <w:bookmarkStart w:id="102" w:name="_Toc522089442"/>
      <w:bookmarkStart w:id="103" w:name="_Toc422409751"/>
      <w:r w:rsidRPr="00C10A99">
        <w:lastRenderedPageBreak/>
        <w:t xml:space="preserve">Table </w:t>
      </w:r>
      <w:r w:rsidRPr="007F7BB3">
        <w:fldChar w:fldCharType="begin"/>
      </w:r>
      <w:r w:rsidRPr="00C10A99">
        <w:instrText xml:space="preserve"> SEQ Table \* ARABIC </w:instrText>
      </w:r>
      <w:r w:rsidRPr="007F7BB3">
        <w:fldChar w:fldCharType="separate"/>
      </w:r>
      <w:r w:rsidR="0012663D">
        <w:rPr>
          <w:noProof/>
        </w:rPr>
        <w:t>13</w:t>
      </w:r>
      <w:r w:rsidRPr="007F7BB3">
        <w:fldChar w:fldCharType="end"/>
      </w:r>
      <w:r w:rsidRPr="00C10A99">
        <w:t>: Align</w:t>
      </w:r>
      <w:r>
        <w:t>ing</w:t>
      </w:r>
      <w:r w:rsidRPr="00C10A99">
        <w:t xml:space="preserve"> the strategy with </w:t>
      </w:r>
      <w:r w:rsidR="00901F12">
        <w:t>’A</w:t>
      </w:r>
      <w:r w:rsidRPr="00C10A99">
        <w:t xml:space="preserve">la </w:t>
      </w:r>
      <w:proofErr w:type="spellStart"/>
      <w:r w:rsidRPr="00C10A99">
        <w:t>Mo</w:t>
      </w:r>
      <w:r w:rsidR="00EC3578">
        <w:t>’</w:t>
      </w:r>
      <w:r w:rsidRPr="00C10A99">
        <w:t>ui</w:t>
      </w:r>
      <w:bookmarkEnd w:id="100"/>
      <w:bookmarkEnd w:id="101"/>
      <w:bookmarkEnd w:id="102"/>
      <w:proofErr w:type="spellEnd"/>
    </w:p>
    <w:tbl>
      <w:tblPr>
        <w:tblW w:w="4940" w:type="pct"/>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521"/>
        <w:gridCol w:w="6722"/>
      </w:tblGrid>
      <w:tr w:rsidR="00CB68A7" w:rsidRPr="00AF513C" w:rsidTr="00AF513C">
        <w:trPr>
          <w:cantSplit/>
          <w:tblHeader/>
        </w:trPr>
        <w:tc>
          <w:tcPr>
            <w:tcW w:w="1364" w:type="pct"/>
            <w:tcBorders>
              <w:top w:val="single" w:sz="4" w:space="0" w:color="auto"/>
              <w:bottom w:val="single" w:sz="4" w:space="0" w:color="auto"/>
            </w:tcBorders>
            <w:shd w:val="clear" w:color="auto" w:fill="auto"/>
            <w:noWrap/>
          </w:tcPr>
          <w:bookmarkEnd w:id="103"/>
          <w:p w:rsidR="00CB68A7" w:rsidRPr="00AF513C" w:rsidRDefault="00901F12" w:rsidP="00AF513C">
            <w:pPr>
              <w:pStyle w:val="TableText"/>
              <w:ind w:right="113"/>
              <w:rPr>
                <w:b/>
                <w:lang w:eastAsia="en-US"/>
              </w:rPr>
            </w:pPr>
            <w:r w:rsidRPr="00AF513C">
              <w:rPr>
                <w:b/>
                <w:lang w:eastAsia="en-US"/>
              </w:rPr>
              <w:t>’A</w:t>
            </w:r>
            <w:r w:rsidR="00CB68A7" w:rsidRPr="00AF513C">
              <w:rPr>
                <w:b/>
                <w:lang w:eastAsia="en-US"/>
              </w:rPr>
              <w:t xml:space="preserve">la </w:t>
            </w:r>
            <w:proofErr w:type="spellStart"/>
            <w:r w:rsidR="00CB68A7" w:rsidRPr="00AF513C">
              <w:rPr>
                <w:b/>
                <w:lang w:eastAsia="en-US"/>
              </w:rPr>
              <w:t>Mo</w:t>
            </w:r>
            <w:r w:rsidR="00EC3578" w:rsidRPr="00AF513C">
              <w:rPr>
                <w:b/>
                <w:lang w:eastAsia="en-US"/>
              </w:rPr>
              <w:t>’</w:t>
            </w:r>
            <w:r w:rsidR="00CB68A7" w:rsidRPr="00AF513C">
              <w:rPr>
                <w:b/>
                <w:lang w:eastAsia="en-US"/>
              </w:rPr>
              <w:t>ui</w:t>
            </w:r>
            <w:proofErr w:type="spellEnd"/>
          </w:p>
        </w:tc>
        <w:tc>
          <w:tcPr>
            <w:tcW w:w="3636" w:type="pct"/>
            <w:tcBorders>
              <w:top w:val="single" w:sz="4" w:space="0" w:color="auto"/>
              <w:bottom w:val="single" w:sz="4" w:space="0" w:color="auto"/>
            </w:tcBorders>
            <w:shd w:val="clear" w:color="auto" w:fill="auto"/>
            <w:noWrap/>
          </w:tcPr>
          <w:p w:rsidR="00CB68A7" w:rsidRPr="00AF513C" w:rsidRDefault="00CB68A7" w:rsidP="00AF513C">
            <w:pPr>
              <w:pStyle w:val="TableText"/>
              <w:rPr>
                <w:b/>
                <w:lang w:eastAsia="en-US"/>
              </w:rPr>
            </w:pPr>
            <w:r w:rsidRPr="00AF513C">
              <w:rPr>
                <w:b/>
                <w:lang w:eastAsia="en-US"/>
              </w:rPr>
              <w:t>Examples of the strategy</w:t>
            </w:r>
            <w:r w:rsidR="00EC3578" w:rsidRPr="00AF513C">
              <w:rPr>
                <w:b/>
                <w:lang w:eastAsia="en-US"/>
              </w:rPr>
              <w:t>’</w:t>
            </w:r>
            <w:r w:rsidRPr="00AF513C">
              <w:rPr>
                <w:b/>
                <w:lang w:eastAsia="en-US"/>
              </w:rPr>
              <w:t>s alignment</w:t>
            </w:r>
          </w:p>
        </w:tc>
      </w:tr>
      <w:tr w:rsidR="00CB68A7" w:rsidRPr="00AF513C" w:rsidTr="00AF513C">
        <w:trPr>
          <w:cantSplit/>
        </w:trPr>
        <w:tc>
          <w:tcPr>
            <w:tcW w:w="1364" w:type="pct"/>
            <w:tcBorders>
              <w:top w:val="single" w:sz="4" w:space="0" w:color="auto"/>
              <w:bottom w:val="single" w:sz="4" w:space="0" w:color="A6A6A6" w:themeColor="background1" w:themeShade="A6"/>
            </w:tcBorders>
            <w:shd w:val="clear" w:color="auto" w:fill="auto"/>
            <w:noWrap/>
          </w:tcPr>
          <w:p w:rsidR="00CB68A7" w:rsidRPr="00AF513C" w:rsidRDefault="00CB68A7" w:rsidP="00AF513C">
            <w:pPr>
              <w:pStyle w:val="TableText"/>
              <w:ind w:right="113"/>
              <w:rPr>
                <w:b/>
                <w:lang w:eastAsia="en-US"/>
              </w:rPr>
            </w:pPr>
            <w:r w:rsidRPr="00AF513C">
              <w:rPr>
                <w:b/>
                <w:lang w:eastAsia="en-US"/>
              </w:rPr>
              <w:t>Overall aim</w:t>
            </w:r>
          </w:p>
        </w:tc>
        <w:tc>
          <w:tcPr>
            <w:tcW w:w="3636" w:type="pct"/>
            <w:tcBorders>
              <w:top w:val="single" w:sz="4" w:space="0" w:color="auto"/>
              <w:bottom w:val="single" w:sz="4" w:space="0" w:color="A6A6A6" w:themeColor="background1" w:themeShade="A6"/>
            </w:tcBorders>
            <w:shd w:val="clear" w:color="auto" w:fill="auto"/>
            <w:noWrap/>
          </w:tcPr>
          <w:p w:rsidR="00CB68A7" w:rsidRPr="00AF513C" w:rsidRDefault="00CB68A7" w:rsidP="00AF513C">
            <w:pPr>
              <w:pStyle w:val="TableText"/>
              <w:rPr>
                <w:b/>
                <w:lang w:eastAsia="en-US"/>
              </w:rPr>
            </w:pPr>
          </w:p>
        </w:tc>
      </w:tr>
      <w:tr w:rsidR="00CB68A7" w:rsidRPr="00C10A99" w:rsidTr="00AF513C">
        <w:trPr>
          <w:cantSplit/>
        </w:trPr>
        <w:tc>
          <w:tcPr>
            <w:tcW w:w="1364" w:type="pct"/>
            <w:tcBorders>
              <w:top w:val="single" w:sz="4" w:space="0" w:color="A6A6A6" w:themeColor="background1" w:themeShade="A6"/>
              <w:bottom w:val="single" w:sz="4" w:space="0" w:color="auto"/>
            </w:tcBorders>
            <w:shd w:val="clear" w:color="auto" w:fill="auto"/>
            <w:noWrap/>
          </w:tcPr>
          <w:p w:rsidR="00CB68A7" w:rsidRPr="00EB1F02" w:rsidRDefault="00CB68A7" w:rsidP="00AF513C">
            <w:pPr>
              <w:pStyle w:val="TableText"/>
              <w:ind w:right="113"/>
              <w:rPr>
                <w:lang w:eastAsia="en-US"/>
              </w:rPr>
            </w:pPr>
            <w:r w:rsidRPr="00EB1F02">
              <w:rPr>
                <w:lang w:eastAsia="en-US"/>
              </w:rPr>
              <w:t>Health equity for all Pacific peoples</w:t>
            </w:r>
          </w:p>
        </w:tc>
        <w:tc>
          <w:tcPr>
            <w:tcW w:w="3636" w:type="pct"/>
            <w:tcBorders>
              <w:top w:val="single" w:sz="4" w:space="0" w:color="A6A6A6" w:themeColor="background1" w:themeShade="A6"/>
              <w:bottom w:val="single" w:sz="4" w:space="0" w:color="auto"/>
            </w:tcBorders>
            <w:shd w:val="clear" w:color="auto" w:fill="auto"/>
            <w:noWrap/>
          </w:tcPr>
          <w:p w:rsidR="00CB68A7" w:rsidRPr="00EB1F02" w:rsidRDefault="00CB68A7" w:rsidP="00AF513C">
            <w:pPr>
              <w:pStyle w:val="TableText"/>
              <w:rPr>
                <w:lang w:eastAsia="en-US"/>
              </w:rPr>
            </w:pPr>
            <w:r w:rsidRPr="00EB1F02">
              <w:rPr>
                <w:rFonts w:eastAsia="Arial Unicode MS"/>
              </w:rPr>
              <w:t>Overall goal of the strategy – entails a reduction in health inequities related to gambling harm</w:t>
            </w:r>
          </w:p>
          <w:p w:rsidR="00CB68A7" w:rsidRPr="00EB1F02" w:rsidRDefault="00CB68A7" w:rsidP="00AF513C">
            <w:pPr>
              <w:pStyle w:val="TableText"/>
              <w:rPr>
                <w:lang w:eastAsia="en-US"/>
              </w:rPr>
            </w:pPr>
            <w:r w:rsidRPr="00EB1F02">
              <w:rPr>
                <w:rFonts w:eastAsia="Arial Unicode MS"/>
              </w:rPr>
              <w:t>Principles underpinning the strategy – reduce health inequities</w:t>
            </w:r>
          </w:p>
          <w:p w:rsidR="00CB68A7" w:rsidRPr="00EB1F02" w:rsidRDefault="00CB68A7" w:rsidP="00AF513C">
            <w:pPr>
              <w:pStyle w:val="TableText"/>
              <w:rPr>
                <w:lang w:eastAsia="en-US"/>
              </w:rPr>
            </w:pPr>
            <w:r w:rsidRPr="00EB1F02">
              <w:rPr>
                <w:rFonts w:eastAsia="Arial Unicode MS"/>
              </w:rPr>
              <w:t>Objective 1 – a specific health equity objective</w:t>
            </w:r>
          </w:p>
          <w:p w:rsidR="00CB68A7" w:rsidRPr="00EB1F02" w:rsidRDefault="00CB68A7" w:rsidP="00AF513C">
            <w:pPr>
              <w:pStyle w:val="TableText"/>
              <w:rPr>
                <w:rFonts w:eastAsia="Arial Unicode MS"/>
              </w:rPr>
            </w:pPr>
            <w:r w:rsidRPr="00EB1F02">
              <w:rPr>
                <w:rFonts w:eastAsia="Arial Unicode MS"/>
              </w:rPr>
              <w:t>Planning and prioritisation processes – mapping need based on population-specific prevalence and access rates</w:t>
            </w:r>
          </w:p>
        </w:tc>
      </w:tr>
      <w:tr w:rsidR="00CB68A7" w:rsidRPr="00AF513C" w:rsidTr="00AF513C">
        <w:trPr>
          <w:cantSplit/>
        </w:trPr>
        <w:tc>
          <w:tcPr>
            <w:tcW w:w="1364" w:type="pct"/>
            <w:tcBorders>
              <w:top w:val="single" w:sz="4" w:space="0" w:color="auto"/>
              <w:bottom w:val="single" w:sz="4" w:space="0" w:color="A6A6A6" w:themeColor="background1" w:themeShade="A6"/>
            </w:tcBorders>
            <w:shd w:val="clear" w:color="auto" w:fill="auto"/>
            <w:noWrap/>
          </w:tcPr>
          <w:p w:rsidR="00CB68A7" w:rsidRPr="00AF513C" w:rsidRDefault="00CB68A7" w:rsidP="00AF513C">
            <w:pPr>
              <w:pStyle w:val="TableText"/>
              <w:ind w:right="113"/>
              <w:rPr>
                <w:b/>
                <w:lang w:eastAsia="en-US"/>
              </w:rPr>
            </w:pPr>
            <w:r w:rsidRPr="00AF513C">
              <w:rPr>
                <w:b/>
                <w:lang w:eastAsia="en-US"/>
              </w:rPr>
              <w:t>Pacific principles</w:t>
            </w:r>
          </w:p>
        </w:tc>
        <w:tc>
          <w:tcPr>
            <w:tcW w:w="3636" w:type="pct"/>
            <w:tcBorders>
              <w:top w:val="single" w:sz="4" w:space="0" w:color="auto"/>
              <w:bottom w:val="single" w:sz="4" w:space="0" w:color="A6A6A6" w:themeColor="background1" w:themeShade="A6"/>
            </w:tcBorders>
            <w:shd w:val="clear" w:color="auto" w:fill="auto"/>
            <w:noWrap/>
          </w:tcPr>
          <w:p w:rsidR="00CB68A7" w:rsidRPr="00AF513C" w:rsidRDefault="00CB68A7" w:rsidP="00AF513C">
            <w:pPr>
              <w:pStyle w:val="TableText"/>
              <w:rPr>
                <w:b/>
                <w:lang w:eastAsia="en-US"/>
              </w:rPr>
            </w:pPr>
          </w:p>
        </w:tc>
      </w:tr>
      <w:tr w:rsidR="00CB68A7" w:rsidRPr="00C10A99" w:rsidTr="00AF513C">
        <w:trPr>
          <w:cantSplit/>
        </w:trPr>
        <w:tc>
          <w:tcPr>
            <w:tcW w:w="1364" w:type="pct"/>
            <w:tcBorders>
              <w:top w:val="single" w:sz="4" w:space="0" w:color="A6A6A6" w:themeColor="background1" w:themeShade="A6"/>
              <w:bottom w:val="single" w:sz="4" w:space="0" w:color="A6A6A6" w:themeColor="background1" w:themeShade="A6"/>
            </w:tcBorders>
            <w:shd w:val="clear" w:color="auto" w:fill="auto"/>
            <w:noWrap/>
          </w:tcPr>
          <w:p w:rsidR="00CB68A7" w:rsidRPr="00EB1F02" w:rsidRDefault="00CB68A7" w:rsidP="00AF513C">
            <w:pPr>
              <w:pStyle w:val="TableText"/>
              <w:ind w:right="113"/>
              <w:rPr>
                <w:lang w:eastAsia="en-US"/>
              </w:rPr>
            </w:pPr>
            <w:r w:rsidRPr="00EB1F02">
              <w:rPr>
                <w:lang w:eastAsia="en-US"/>
              </w:rPr>
              <w:t>Respecting Pacific culture</w:t>
            </w:r>
          </w:p>
        </w:tc>
        <w:tc>
          <w:tcPr>
            <w:tcW w:w="3636" w:type="pct"/>
            <w:tcBorders>
              <w:top w:val="single" w:sz="4" w:space="0" w:color="A6A6A6" w:themeColor="background1" w:themeShade="A6"/>
              <w:bottom w:val="single" w:sz="4" w:space="0" w:color="A6A6A6" w:themeColor="background1" w:themeShade="A6"/>
            </w:tcBorders>
            <w:shd w:val="clear" w:color="auto" w:fill="auto"/>
            <w:noWrap/>
          </w:tcPr>
          <w:p w:rsidR="00CB68A7" w:rsidRPr="00EB1F02" w:rsidRDefault="00CB68A7" w:rsidP="00AF513C">
            <w:pPr>
              <w:pStyle w:val="TableText"/>
              <w:rPr>
                <w:rFonts w:eastAsia="Arial Unicode MS"/>
              </w:rPr>
            </w:pPr>
            <w:r w:rsidRPr="00EB1F02">
              <w:rPr>
                <w:rFonts w:eastAsia="Arial Unicode MS"/>
              </w:rPr>
              <w:t>Objectives 5 and 7 and public health service specification purchase unit 4 (aware communities)</w:t>
            </w:r>
          </w:p>
          <w:p w:rsidR="00CB68A7" w:rsidRPr="00EB1F02" w:rsidRDefault="00CB68A7" w:rsidP="00AF513C">
            <w:pPr>
              <w:pStyle w:val="TableText"/>
              <w:rPr>
                <w:rFonts w:eastAsia="Arial Unicode MS"/>
              </w:rPr>
            </w:pPr>
            <w:r w:rsidRPr="00EB1F02">
              <w:rPr>
                <w:rFonts w:eastAsia="Arial Unicode MS"/>
              </w:rPr>
              <w:t>Public health service specification purchase unit 3 (supportive communities)</w:t>
            </w:r>
          </w:p>
          <w:p w:rsidR="00CB68A7" w:rsidRPr="00EB1F02" w:rsidRDefault="00CB68A7" w:rsidP="00AF513C">
            <w:pPr>
              <w:pStyle w:val="TableText"/>
              <w:rPr>
                <w:rFonts w:eastAsia="Arial Unicode MS"/>
              </w:rPr>
            </w:pPr>
            <w:r w:rsidRPr="00EB1F02">
              <w:rPr>
                <w:rFonts w:eastAsia="Arial Unicode MS"/>
              </w:rPr>
              <w:t>Requirements for general services –meeting cultural needs of service users and supporting them to access dedicated Pacific services where available</w:t>
            </w:r>
          </w:p>
        </w:tc>
      </w:tr>
      <w:tr w:rsidR="00CB68A7" w:rsidRPr="00C10A99" w:rsidTr="00AF513C">
        <w:trPr>
          <w:cantSplit/>
        </w:trPr>
        <w:tc>
          <w:tcPr>
            <w:tcW w:w="1364" w:type="pct"/>
            <w:tcBorders>
              <w:top w:val="single" w:sz="4" w:space="0" w:color="A6A6A6" w:themeColor="background1" w:themeShade="A6"/>
              <w:bottom w:val="single" w:sz="4" w:space="0" w:color="A6A6A6" w:themeColor="background1" w:themeShade="A6"/>
            </w:tcBorders>
            <w:shd w:val="clear" w:color="auto" w:fill="auto"/>
            <w:noWrap/>
          </w:tcPr>
          <w:p w:rsidR="00CB68A7" w:rsidRPr="00EB1F02" w:rsidRDefault="00CB68A7" w:rsidP="00AF513C">
            <w:pPr>
              <w:pStyle w:val="TableText"/>
              <w:ind w:right="113"/>
              <w:rPr>
                <w:lang w:eastAsia="en-US"/>
              </w:rPr>
            </w:pPr>
            <w:r>
              <w:rPr>
                <w:lang w:eastAsia="en-US"/>
              </w:rPr>
              <w:t xml:space="preserve">Valuing Pacific </w:t>
            </w:r>
            <w:r w:rsidR="00EC3578">
              <w:t>‘</w:t>
            </w:r>
            <w:proofErr w:type="spellStart"/>
            <w:r w:rsidRPr="00D528A0">
              <w:t>āiga</w:t>
            </w:r>
            <w:proofErr w:type="spellEnd"/>
            <w:r w:rsidRPr="00D528A0">
              <w:t xml:space="preserve">, </w:t>
            </w:r>
            <w:proofErr w:type="spellStart"/>
            <w:r w:rsidRPr="00D528A0">
              <w:t>kāiga</w:t>
            </w:r>
            <w:proofErr w:type="spellEnd"/>
            <w:r w:rsidRPr="00D528A0">
              <w:t xml:space="preserve">, </w:t>
            </w:r>
            <w:proofErr w:type="spellStart"/>
            <w:r w:rsidRPr="00D528A0">
              <w:t>magafaoa</w:t>
            </w:r>
            <w:proofErr w:type="spellEnd"/>
            <w:r w:rsidRPr="00D528A0">
              <w:t xml:space="preserve">, </w:t>
            </w:r>
            <w:proofErr w:type="spellStart"/>
            <w:r w:rsidRPr="00D528A0">
              <w:t>kōpū</w:t>
            </w:r>
            <w:proofErr w:type="spellEnd"/>
            <w:r w:rsidRPr="00D528A0">
              <w:t xml:space="preserve"> </w:t>
            </w:r>
            <w:proofErr w:type="spellStart"/>
            <w:r w:rsidRPr="00D528A0">
              <w:t>tangata</w:t>
            </w:r>
            <w:proofErr w:type="spellEnd"/>
            <w:r w:rsidRPr="00D528A0">
              <w:t xml:space="preserve">, </w:t>
            </w:r>
            <w:proofErr w:type="spellStart"/>
            <w:r w:rsidRPr="00D528A0">
              <w:t>vuvale</w:t>
            </w:r>
            <w:proofErr w:type="spellEnd"/>
            <w:r w:rsidRPr="00D528A0">
              <w:t xml:space="preserve"> and </w:t>
            </w:r>
            <w:proofErr w:type="spellStart"/>
            <w:r w:rsidRPr="00D528A0">
              <w:t>fāmili</w:t>
            </w:r>
            <w:proofErr w:type="spellEnd"/>
          </w:p>
        </w:tc>
        <w:tc>
          <w:tcPr>
            <w:tcW w:w="3636" w:type="pct"/>
            <w:tcBorders>
              <w:top w:val="single" w:sz="4" w:space="0" w:color="A6A6A6" w:themeColor="background1" w:themeShade="A6"/>
              <w:bottom w:val="single" w:sz="4" w:space="0" w:color="A6A6A6" w:themeColor="background1" w:themeShade="A6"/>
            </w:tcBorders>
            <w:shd w:val="clear" w:color="auto" w:fill="auto"/>
            <w:noWrap/>
          </w:tcPr>
          <w:p w:rsidR="00CB68A7" w:rsidRPr="00EB1F02" w:rsidRDefault="00CB68A7" w:rsidP="00AF513C">
            <w:pPr>
              <w:pStyle w:val="TableText"/>
              <w:rPr>
                <w:rFonts w:eastAsia="Arial Unicode MS"/>
              </w:rPr>
            </w:pPr>
            <w:r w:rsidRPr="00EB1F02">
              <w:rPr>
                <w:rFonts w:eastAsia="Arial Unicode MS"/>
              </w:rPr>
              <w:t>Objectives 5 and 7 and public health service specification purchase unit 4 (aware communities)</w:t>
            </w:r>
          </w:p>
          <w:p w:rsidR="00CB68A7" w:rsidRPr="00EB1F02" w:rsidRDefault="00CB68A7" w:rsidP="00AF513C">
            <w:pPr>
              <w:pStyle w:val="TableText"/>
              <w:rPr>
                <w:rFonts w:eastAsia="Arial Unicode MS"/>
              </w:rPr>
            </w:pPr>
            <w:r w:rsidRPr="00EB1F02">
              <w:rPr>
                <w:rFonts w:eastAsia="Arial Unicode MS"/>
              </w:rPr>
              <w:t>Public health service specification purchase unit 3 (supportive communities)</w:t>
            </w:r>
          </w:p>
          <w:p w:rsidR="00CB68A7" w:rsidRPr="00EB1F02" w:rsidRDefault="00CB68A7" w:rsidP="00AF513C">
            <w:pPr>
              <w:pStyle w:val="TableText"/>
              <w:rPr>
                <w:rFonts w:eastAsia="Arial Unicode MS"/>
              </w:rPr>
            </w:pPr>
            <w:r w:rsidRPr="00EB1F02">
              <w:rPr>
                <w:rFonts w:eastAsia="Arial Unicode MS"/>
              </w:rPr>
              <w:t>Free intervention services for families</w:t>
            </w:r>
          </w:p>
        </w:tc>
      </w:tr>
      <w:tr w:rsidR="00CB68A7" w:rsidRPr="00C10A99" w:rsidTr="00AF513C">
        <w:trPr>
          <w:cantSplit/>
        </w:trPr>
        <w:tc>
          <w:tcPr>
            <w:tcW w:w="1364" w:type="pct"/>
            <w:tcBorders>
              <w:top w:val="single" w:sz="4" w:space="0" w:color="A6A6A6" w:themeColor="background1" w:themeShade="A6"/>
              <w:bottom w:val="single" w:sz="4" w:space="0" w:color="A6A6A6" w:themeColor="background1" w:themeShade="A6"/>
            </w:tcBorders>
            <w:shd w:val="clear" w:color="auto" w:fill="auto"/>
            <w:noWrap/>
          </w:tcPr>
          <w:p w:rsidR="00CB68A7" w:rsidRPr="00EB1F02" w:rsidRDefault="00CB68A7" w:rsidP="00AF513C">
            <w:pPr>
              <w:pStyle w:val="TableText"/>
              <w:ind w:right="113"/>
              <w:rPr>
                <w:lang w:eastAsia="en-US"/>
              </w:rPr>
            </w:pPr>
            <w:r w:rsidRPr="00EB1F02">
              <w:rPr>
                <w:lang w:eastAsia="en-US"/>
              </w:rPr>
              <w:t>Quality health care</w:t>
            </w:r>
          </w:p>
        </w:tc>
        <w:tc>
          <w:tcPr>
            <w:tcW w:w="3636" w:type="pct"/>
            <w:tcBorders>
              <w:top w:val="single" w:sz="4" w:space="0" w:color="A6A6A6" w:themeColor="background1" w:themeShade="A6"/>
              <w:bottom w:val="single" w:sz="4" w:space="0" w:color="A6A6A6" w:themeColor="background1" w:themeShade="A6"/>
            </w:tcBorders>
            <w:shd w:val="clear" w:color="auto" w:fill="auto"/>
            <w:noWrap/>
          </w:tcPr>
          <w:p w:rsidR="00CB68A7" w:rsidRPr="00EB1F02" w:rsidRDefault="00CB68A7" w:rsidP="00AF513C">
            <w:pPr>
              <w:pStyle w:val="TableText"/>
              <w:rPr>
                <w:lang w:eastAsia="en-US"/>
              </w:rPr>
            </w:pPr>
            <w:r w:rsidRPr="00EB1F02">
              <w:rPr>
                <w:rFonts w:eastAsia="Arial Unicode MS"/>
              </w:rPr>
              <w:t>Free intervention services for individuals and families</w:t>
            </w:r>
          </w:p>
          <w:p w:rsidR="00CB68A7" w:rsidRPr="00EB1F02" w:rsidRDefault="00CB68A7" w:rsidP="00AF513C">
            <w:pPr>
              <w:pStyle w:val="TableText"/>
              <w:rPr>
                <w:lang w:eastAsia="en-US"/>
              </w:rPr>
            </w:pPr>
            <w:r w:rsidRPr="00EB1F02">
              <w:rPr>
                <w:rFonts w:eastAsia="Arial Unicode MS"/>
              </w:rPr>
              <w:t>Overall goal of the strategy, principles underpinning the strategy and objective 1</w:t>
            </w:r>
          </w:p>
          <w:p w:rsidR="00CB68A7" w:rsidRPr="00EB1F02" w:rsidRDefault="00CB68A7" w:rsidP="00AF513C">
            <w:pPr>
              <w:pStyle w:val="TableText"/>
              <w:rPr>
                <w:rFonts w:cs="Arial"/>
              </w:rPr>
            </w:pPr>
            <w:r w:rsidRPr="00EB1F02">
              <w:rPr>
                <w:rFonts w:cs="Arial"/>
              </w:rPr>
              <w:t xml:space="preserve">Dedicated Pacific services and requirements for </w:t>
            </w:r>
            <w:r w:rsidRPr="00EB1F02">
              <w:rPr>
                <w:rFonts w:eastAsia="Arial Unicode MS"/>
              </w:rPr>
              <w:t>general services – meeting cultural needs of service users and supporting them to access dedicated Pacific services where available</w:t>
            </w:r>
          </w:p>
          <w:p w:rsidR="00CB68A7" w:rsidRPr="00EB1F02" w:rsidRDefault="00CB68A7" w:rsidP="00AF513C">
            <w:pPr>
              <w:pStyle w:val="TableText"/>
              <w:rPr>
                <w:lang w:eastAsia="en-US"/>
              </w:rPr>
            </w:pPr>
            <w:r w:rsidRPr="00EB1F02">
              <w:rPr>
                <w:lang w:eastAsia="en-US"/>
              </w:rPr>
              <w:t xml:space="preserve">Infrastructure intervention and public health service specification </w:t>
            </w:r>
            <w:r w:rsidRPr="00EB1F02">
              <w:rPr>
                <w:rFonts w:eastAsia="Arial Unicode MS"/>
              </w:rPr>
              <w:t xml:space="preserve">purchase unit </w:t>
            </w:r>
            <w:r w:rsidRPr="00EB1F02">
              <w:rPr>
                <w:lang w:eastAsia="en-US"/>
              </w:rPr>
              <w:t>2 (workforce development)</w:t>
            </w:r>
          </w:p>
          <w:p w:rsidR="00CB68A7" w:rsidRPr="00EB1F02" w:rsidRDefault="00CB68A7" w:rsidP="00AF513C">
            <w:pPr>
              <w:pStyle w:val="TableText"/>
              <w:rPr>
                <w:rFonts w:eastAsia="Arial Unicode MS"/>
              </w:rPr>
            </w:pPr>
            <w:r w:rsidRPr="00EB1F02">
              <w:rPr>
                <w:lang w:eastAsia="en-US"/>
              </w:rPr>
              <w:t>Gambling Act 2003 requirements for research and evaluation – research and audit projects evaluating intervention and public health services</w:t>
            </w:r>
          </w:p>
        </w:tc>
      </w:tr>
      <w:tr w:rsidR="00CB68A7" w:rsidRPr="00C10A99" w:rsidTr="00AF513C">
        <w:trPr>
          <w:cantSplit/>
        </w:trPr>
        <w:tc>
          <w:tcPr>
            <w:tcW w:w="1364" w:type="pct"/>
            <w:tcBorders>
              <w:top w:val="single" w:sz="4" w:space="0" w:color="A6A6A6" w:themeColor="background1" w:themeShade="A6"/>
              <w:bottom w:val="single" w:sz="4" w:space="0" w:color="auto"/>
            </w:tcBorders>
            <w:shd w:val="clear" w:color="auto" w:fill="auto"/>
            <w:noWrap/>
          </w:tcPr>
          <w:p w:rsidR="00CB68A7" w:rsidRPr="00EB1F02" w:rsidRDefault="00CB68A7" w:rsidP="00AF513C">
            <w:pPr>
              <w:pStyle w:val="TableText"/>
              <w:ind w:right="113"/>
              <w:rPr>
                <w:lang w:eastAsia="en-US"/>
              </w:rPr>
            </w:pPr>
            <w:r w:rsidRPr="00EB1F02">
              <w:rPr>
                <w:lang w:eastAsia="en-US"/>
              </w:rPr>
              <w:t>Working together – integration</w:t>
            </w:r>
          </w:p>
        </w:tc>
        <w:tc>
          <w:tcPr>
            <w:tcW w:w="3636" w:type="pct"/>
            <w:tcBorders>
              <w:top w:val="single" w:sz="4" w:space="0" w:color="A6A6A6" w:themeColor="background1" w:themeShade="A6"/>
              <w:bottom w:val="single" w:sz="4" w:space="0" w:color="auto"/>
            </w:tcBorders>
            <w:shd w:val="clear" w:color="auto" w:fill="auto"/>
            <w:noWrap/>
          </w:tcPr>
          <w:p w:rsidR="00CB68A7" w:rsidRPr="00EB1F02" w:rsidRDefault="00CB68A7" w:rsidP="00AF513C">
            <w:pPr>
              <w:pStyle w:val="TableText"/>
              <w:rPr>
                <w:rFonts w:eastAsia="Arial Unicode MS"/>
              </w:rPr>
            </w:pPr>
            <w:r w:rsidRPr="00EB1F02">
              <w:rPr>
                <w:rFonts w:eastAsia="Arial Unicode MS"/>
              </w:rPr>
              <w:t xml:space="preserve">Principles underpinning the strategy – </w:t>
            </w:r>
            <w:proofErr w:type="spellStart"/>
            <w:r w:rsidRPr="00EB1F02">
              <w:rPr>
                <w:rFonts w:eastAsia="Arial Unicode MS"/>
              </w:rPr>
              <w:t>intersectoral</w:t>
            </w:r>
            <w:proofErr w:type="spellEnd"/>
            <w:r w:rsidRPr="00EB1F02">
              <w:rPr>
                <w:rFonts w:eastAsia="Arial Unicode MS"/>
              </w:rPr>
              <w:t xml:space="preserve"> approach</w:t>
            </w:r>
          </w:p>
          <w:p w:rsidR="00CB68A7" w:rsidRPr="00EB1F02" w:rsidRDefault="00CB68A7" w:rsidP="00AF513C">
            <w:pPr>
              <w:pStyle w:val="TableText"/>
              <w:rPr>
                <w:rFonts w:eastAsia="Arial Unicode MS"/>
              </w:rPr>
            </w:pPr>
            <w:r w:rsidRPr="00EB1F02">
              <w:rPr>
                <w:rFonts w:eastAsia="Arial Unicode MS"/>
              </w:rPr>
              <w:t>Objectives 4 and 5 and associated priority actions</w:t>
            </w:r>
          </w:p>
          <w:p w:rsidR="00CB68A7" w:rsidRPr="00EB1F02" w:rsidRDefault="00CB68A7" w:rsidP="00AF513C">
            <w:pPr>
              <w:pStyle w:val="TableText"/>
              <w:rPr>
                <w:rFonts w:eastAsia="Arial Unicode MS"/>
              </w:rPr>
            </w:pPr>
            <w:r w:rsidRPr="00EB1F02">
              <w:rPr>
                <w:rFonts w:eastAsia="Arial Unicode MS"/>
              </w:rPr>
              <w:t>Public health service specification purchase units 1 (policy development and implementation), 2 (safe gambling environments) and 5 (effective screening environments)</w:t>
            </w:r>
          </w:p>
          <w:p w:rsidR="00CB68A7" w:rsidRPr="00EB1F02" w:rsidRDefault="00CB68A7" w:rsidP="00AF513C">
            <w:pPr>
              <w:pStyle w:val="TableText"/>
              <w:rPr>
                <w:rFonts w:eastAsia="Arial Unicode MS"/>
              </w:rPr>
            </w:pPr>
            <w:r w:rsidRPr="00EB1F02">
              <w:rPr>
                <w:rFonts w:eastAsia="Arial Unicode MS"/>
              </w:rPr>
              <w:t>Intervention service specification purchase unit 4 (facilitation services)</w:t>
            </w:r>
          </w:p>
        </w:tc>
      </w:tr>
      <w:tr w:rsidR="00CB68A7" w:rsidRPr="00AF513C" w:rsidTr="00AF513C">
        <w:trPr>
          <w:cantSplit/>
        </w:trPr>
        <w:tc>
          <w:tcPr>
            <w:tcW w:w="1364" w:type="pct"/>
            <w:tcBorders>
              <w:top w:val="single" w:sz="4" w:space="0" w:color="auto"/>
              <w:bottom w:val="single" w:sz="4" w:space="0" w:color="A6A6A6" w:themeColor="background1" w:themeShade="A6"/>
            </w:tcBorders>
            <w:shd w:val="clear" w:color="auto" w:fill="auto"/>
            <w:noWrap/>
          </w:tcPr>
          <w:p w:rsidR="00CB68A7" w:rsidRPr="00AF513C" w:rsidRDefault="00CB68A7" w:rsidP="00AF513C">
            <w:pPr>
              <w:pStyle w:val="TableText"/>
              <w:ind w:right="113"/>
              <w:rPr>
                <w:b/>
                <w:lang w:eastAsia="en-US"/>
              </w:rPr>
            </w:pPr>
            <w:r w:rsidRPr="00AF513C">
              <w:rPr>
                <w:b/>
                <w:lang w:eastAsia="en-US"/>
              </w:rPr>
              <w:t>Enablers of outcomes</w:t>
            </w:r>
          </w:p>
        </w:tc>
        <w:tc>
          <w:tcPr>
            <w:tcW w:w="3636" w:type="pct"/>
            <w:tcBorders>
              <w:top w:val="single" w:sz="4" w:space="0" w:color="auto"/>
              <w:bottom w:val="single" w:sz="4" w:space="0" w:color="A6A6A6" w:themeColor="background1" w:themeShade="A6"/>
            </w:tcBorders>
            <w:shd w:val="clear" w:color="auto" w:fill="auto"/>
            <w:noWrap/>
          </w:tcPr>
          <w:p w:rsidR="00CB68A7" w:rsidRPr="00AF513C" w:rsidRDefault="00CB68A7" w:rsidP="00AF513C">
            <w:pPr>
              <w:pStyle w:val="TableText"/>
              <w:rPr>
                <w:b/>
                <w:lang w:eastAsia="en-US"/>
              </w:rPr>
            </w:pPr>
          </w:p>
        </w:tc>
      </w:tr>
      <w:tr w:rsidR="00CB68A7" w:rsidRPr="00C10A99" w:rsidTr="00AF513C">
        <w:trPr>
          <w:cantSplit/>
        </w:trPr>
        <w:tc>
          <w:tcPr>
            <w:tcW w:w="1364" w:type="pct"/>
            <w:tcBorders>
              <w:top w:val="single" w:sz="4" w:space="0" w:color="A6A6A6" w:themeColor="background1" w:themeShade="A6"/>
              <w:bottom w:val="single" w:sz="4" w:space="0" w:color="A6A6A6" w:themeColor="background1" w:themeShade="A6"/>
            </w:tcBorders>
            <w:shd w:val="clear" w:color="auto" w:fill="auto"/>
            <w:noWrap/>
          </w:tcPr>
          <w:p w:rsidR="00CB68A7" w:rsidRPr="00EB1F02" w:rsidRDefault="00CB68A7" w:rsidP="00AF513C">
            <w:pPr>
              <w:pStyle w:val="TableText"/>
              <w:ind w:right="113"/>
              <w:rPr>
                <w:lang w:eastAsia="en-US"/>
              </w:rPr>
            </w:pPr>
            <w:r w:rsidRPr="00EB1F02">
              <w:rPr>
                <w:lang w:eastAsia="en-US"/>
              </w:rPr>
              <w:t>Pacific workforce supply meets demand</w:t>
            </w:r>
          </w:p>
        </w:tc>
        <w:tc>
          <w:tcPr>
            <w:tcW w:w="3636" w:type="pct"/>
            <w:tcBorders>
              <w:top w:val="single" w:sz="4" w:space="0" w:color="A6A6A6" w:themeColor="background1" w:themeShade="A6"/>
              <w:bottom w:val="single" w:sz="4" w:space="0" w:color="A6A6A6" w:themeColor="background1" w:themeShade="A6"/>
            </w:tcBorders>
            <w:shd w:val="clear" w:color="auto" w:fill="auto"/>
            <w:noWrap/>
          </w:tcPr>
          <w:p w:rsidR="00CB68A7" w:rsidRPr="00EB1F02" w:rsidRDefault="00CB68A7" w:rsidP="00AF513C">
            <w:pPr>
              <w:pStyle w:val="TableText"/>
            </w:pPr>
            <w:r w:rsidRPr="00EB1F02">
              <w:t>Dedicated Pacific services based in a Pacific cultural paradigm and using Pacific-derived beliefs, values and practices</w:t>
            </w:r>
          </w:p>
          <w:p w:rsidR="00CB68A7" w:rsidRPr="00EB1F02" w:rsidRDefault="00CB68A7" w:rsidP="00AF513C">
            <w:pPr>
              <w:pStyle w:val="TableText"/>
            </w:pPr>
            <w:r w:rsidRPr="00EB1F02">
              <w:rPr>
                <w:rFonts w:eastAsia="Arial Unicode MS"/>
              </w:rPr>
              <w:t>Planning and prioritisation processes – mapping need based on population-specific prevalence and access rates</w:t>
            </w:r>
          </w:p>
          <w:p w:rsidR="00CB68A7" w:rsidRPr="00EB1F02" w:rsidRDefault="00CB68A7" w:rsidP="00AF513C">
            <w:pPr>
              <w:pStyle w:val="TableText"/>
            </w:pPr>
            <w:r w:rsidRPr="00EB1F02">
              <w:rPr>
                <w:lang w:eastAsia="en-US"/>
              </w:rPr>
              <w:t xml:space="preserve">Infrastructure intervention and public health service specification </w:t>
            </w:r>
            <w:r w:rsidRPr="00EB1F02">
              <w:rPr>
                <w:rFonts w:eastAsia="Arial Unicode MS"/>
              </w:rPr>
              <w:t xml:space="preserve">purchase unit </w:t>
            </w:r>
            <w:r w:rsidRPr="00EB1F02">
              <w:rPr>
                <w:lang w:eastAsia="en-US"/>
              </w:rPr>
              <w:t>2 (workforce development)</w:t>
            </w:r>
          </w:p>
        </w:tc>
      </w:tr>
      <w:tr w:rsidR="00CB68A7" w:rsidRPr="00C10A99" w:rsidTr="00AF513C">
        <w:trPr>
          <w:cantSplit/>
        </w:trPr>
        <w:tc>
          <w:tcPr>
            <w:tcW w:w="1364" w:type="pct"/>
            <w:tcBorders>
              <w:top w:val="single" w:sz="4" w:space="0" w:color="A6A6A6" w:themeColor="background1" w:themeShade="A6"/>
              <w:bottom w:val="single" w:sz="4" w:space="0" w:color="auto"/>
            </w:tcBorders>
            <w:shd w:val="clear" w:color="auto" w:fill="auto"/>
            <w:noWrap/>
          </w:tcPr>
          <w:p w:rsidR="00CB68A7" w:rsidRPr="00EF5F33" w:rsidRDefault="00CB68A7" w:rsidP="00AF513C">
            <w:pPr>
              <w:pStyle w:val="TableText"/>
              <w:ind w:right="113"/>
              <w:rPr>
                <w:lang w:eastAsia="en-US"/>
              </w:rPr>
            </w:pPr>
            <w:r w:rsidRPr="00EF5F33">
              <w:rPr>
                <w:lang w:eastAsia="en-US"/>
              </w:rPr>
              <w:t>Every dollar is spent in the best way to improve health outcomes</w:t>
            </w:r>
          </w:p>
        </w:tc>
        <w:tc>
          <w:tcPr>
            <w:tcW w:w="3636" w:type="pct"/>
            <w:tcBorders>
              <w:top w:val="single" w:sz="4" w:space="0" w:color="A6A6A6" w:themeColor="background1" w:themeShade="A6"/>
              <w:bottom w:val="single" w:sz="4" w:space="0" w:color="auto"/>
            </w:tcBorders>
            <w:shd w:val="clear" w:color="auto" w:fill="auto"/>
            <w:noWrap/>
          </w:tcPr>
          <w:p w:rsidR="00CB68A7" w:rsidRDefault="00CB68A7" w:rsidP="00AF513C">
            <w:pPr>
              <w:pStyle w:val="TableText"/>
            </w:pPr>
            <w:r w:rsidRPr="00EF5F33">
              <w:rPr>
                <w:lang w:eastAsia="en-US"/>
              </w:rPr>
              <w:t>Gambling Act 2003 requirements for a specified consultation process to develop the strategy and the problem gambling levy rates are intended to ensure best value for resources</w:t>
            </w:r>
          </w:p>
          <w:p w:rsidR="00CB68A7" w:rsidRPr="00EF5F33" w:rsidRDefault="00CB68A7" w:rsidP="00AF513C">
            <w:pPr>
              <w:pStyle w:val="TableText"/>
            </w:pPr>
            <w:r w:rsidRPr="00EF5F33">
              <w:rPr>
                <w:lang w:eastAsia="en-US"/>
              </w:rPr>
              <w:t>Gambling Act 2003 requirements for research and evaluation – research and audit projects evaluating intervention and public health services</w:t>
            </w:r>
          </w:p>
        </w:tc>
      </w:tr>
      <w:tr w:rsidR="00CB68A7" w:rsidRPr="00AF513C" w:rsidTr="00AF513C">
        <w:trPr>
          <w:cantSplit/>
        </w:trPr>
        <w:tc>
          <w:tcPr>
            <w:tcW w:w="1364" w:type="pct"/>
            <w:tcBorders>
              <w:top w:val="single" w:sz="4" w:space="0" w:color="auto"/>
              <w:bottom w:val="single" w:sz="4" w:space="0" w:color="A6A6A6" w:themeColor="background1" w:themeShade="A6"/>
            </w:tcBorders>
            <w:shd w:val="clear" w:color="auto" w:fill="auto"/>
            <w:noWrap/>
          </w:tcPr>
          <w:p w:rsidR="00CB68A7" w:rsidRPr="00AF513C" w:rsidRDefault="00CB68A7" w:rsidP="00AF513C">
            <w:pPr>
              <w:pStyle w:val="TableText"/>
              <w:keepNext/>
              <w:ind w:right="113"/>
              <w:rPr>
                <w:b/>
                <w:lang w:eastAsia="en-US"/>
              </w:rPr>
            </w:pPr>
            <w:r w:rsidRPr="00AF513C">
              <w:rPr>
                <w:b/>
                <w:lang w:eastAsia="en-US"/>
              </w:rPr>
              <w:lastRenderedPageBreak/>
              <w:t>Priority outcomes</w:t>
            </w:r>
          </w:p>
        </w:tc>
        <w:tc>
          <w:tcPr>
            <w:tcW w:w="3636" w:type="pct"/>
            <w:tcBorders>
              <w:top w:val="single" w:sz="4" w:space="0" w:color="auto"/>
              <w:bottom w:val="single" w:sz="4" w:space="0" w:color="A6A6A6" w:themeColor="background1" w:themeShade="A6"/>
            </w:tcBorders>
            <w:shd w:val="clear" w:color="auto" w:fill="auto"/>
            <w:noWrap/>
          </w:tcPr>
          <w:p w:rsidR="00CB68A7" w:rsidRPr="00AF513C" w:rsidRDefault="00CB68A7" w:rsidP="00AF513C">
            <w:pPr>
              <w:pStyle w:val="TableText"/>
              <w:keepNext/>
              <w:rPr>
                <w:b/>
                <w:lang w:eastAsia="en-US"/>
              </w:rPr>
            </w:pPr>
          </w:p>
        </w:tc>
      </w:tr>
      <w:tr w:rsidR="00CB68A7" w:rsidRPr="00C10A99" w:rsidTr="00AF513C">
        <w:trPr>
          <w:cantSplit/>
        </w:trPr>
        <w:tc>
          <w:tcPr>
            <w:tcW w:w="1364" w:type="pct"/>
            <w:tcBorders>
              <w:top w:val="single" w:sz="4" w:space="0" w:color="A6A6A6" w:themeColor="background1" w:themeShade="A6"/>
              <w:bottom w:val="single" w:sz="4" w:space="0" w:color="A6A6A6" w:themeColor="background1" w:themeShade="A6"/>
            </w:tcBorders>
            <w:shd w:val="clear" w:color="auto" w:fill="auto"/>
            <w:noWrap/>
          </w:tcPr>
          <w:p w:rsidR="00CB68A7" w:rsidRPr="00EF5F33" w:rsidRDefault="00CB68A7" w:rsidP="00AF513C">
            <w:pPr>
              <w:pStyle w:val="TableText"/>
              <w:keepNext/>
              <w:ind w:right="113"/>
              <w:rPr>
                <w:lang w:eastAsia="en-US"/>
              </w:rPr>
            </w:pPr>
            <w:r w:rsidRPr="00EF5F33">
              <w:rPr>
                <w:lang w:eastAsia="en-US"/>
              </w:rPr>
              <w:t>Systems and services meet the needs of Pacific peoples</w:t>
            </w:r>
          </w:p>
        </w:tc>
        <w:tc>
          <w:tcPr>
            <w:tcW w:w="3636" w:type="pct"/>
            <w:tcBorders>
              <w:top w:val="single" w:sz="4" w:space="0" w:color="A6A6A6" w:themeColor="background1" w:themeShade="A6"/>
              <w:bottom w:val="single" w:sz="4" w:space="0" w:color="A6A6A6" w:themeColor="background1" w:themeShade="A6"/>
            </w:tcBorders>
            <w:shd w:val="clear" w:color="auto" w:fill="auto"/>
            <w:noWrap/>
          </w:tcPr>
          <w:p w:rsidR="00CB68A7" w:rsidRPr="00EF5F33" w:rsidRDefault="00CB68A7" w:rsidP="00AF513C">
            <w:pPr>
              <w:pStyle w:val="TableText"/>
              <w:keepNext/>
            </w:pPr>
            <w:r w:rsidRPr="00EF5F33">
              <w:t>Dedicated Pacific services based in a Pacific cultural paradigm and using Pacific-derived beliefs, values and practices</w:t>
            </w:r>
          </w:p>
          <w:p w:rsidR="00CB68A7" w:rsidRPr="00EF5F33" w:rsidRDefault="00CB68A7" w:rsidP="00AF513C">
            <w:pPr>
              <w:pStyle w:val="TableText"/>
              <w:keepNext/>
              <w:rPr>
                <w:lang w:eastAsia="en-US"/>
              </w:rPr>
            </w:pPr>
            <w:r w:rsidRPr="00EF5F33">
              <w:rPr>
                <w:lang w:eastAsia="en-US"/>
              </w:rPr>
              <w:t>Requirements for general services –meeting cultural needs of service users and supporting them to access dedicated Pacific services where available</w:t>
            </w:r>
          </w:p>
        </w:tc>
      </w:tr>
      <w:tr w:rsidR="00CB68A7" w:rsidRPr="00C10A99" w:rsidTr="00AF513C">
        <w:trPr>
          <w:cantSplit/>
        </w:trPr>
        <w:tc>
          <w:tcPr>
            <w:tcW w:w="1364" w:type="pct"/>
            <w:tcBorders>
              <w:top w:val="single" w:sz="4" w:space="0" w:color="A6A6A6" w:themeColor="background1" w:themeShade="A6"/>
              <w:bottom w:val="single" w:sz="4" w:space="0" w:color="A6A6A6" w:themeColor="background1" w:themeShade="A6"/>
            </w:tcBorders>
            <w:shd w:val="clear" w:color="auto" w:fill="auto"/>
            <w:noWrap/>
          </w:tcPr>
          <w:p w:rsidR="00CB68A7" w:rsidRPr="00EF5F33" w:rsidRDefault="00CB68A7" w:rsidP="00AF513C">
            <w:pPr>
              <w:pStyle w:val="TableText"/>
              <w:keepNext/>
              <w:ind w:right="113"/>
              <w:rPr>
                <w:lang w:eastAsia="en-US"/>
              </w:rPr>
            </w:pPr>
            <w:r w:rsidRPr="00EF5F33">
              <w:rPr>
                <w:lang w:eastAsia="en-US"/>
              </w:rPr>
              <w:t>More services</w:t>
            </w:r>
            <w:r>
              <w:rPr>
                <w:lang w:eastAsia="en-US"/>
              </w:rPr>
              <w:t xml:space="preserve"> are</w:t>
            </w:r>
            <w:r w:rsidRPr="00EF5F33">
              <w:rPr>
                <w:lang w:eastAsia="en-US"/>
              </w:rPr>
              <w:t xml:space="preserve"> delivered locally in the community and in primary care</w:t>
            </w:r>
          </w:p>
        </w:tc>
        <w:tc>
          <w:tcPr>
            <w:tcW w:w="3636" w:type="pct"/>
            <w:tcBorders>
              <w:top w:val="single" w:sz="4" w:space="0" w:color="A6A6A6" w:themeColor="background1" w:themeShade="A6"/>
              <w:bottom w:val="single" w:sz="4" w:space="0" w:color="A6A6A6" w:themeColor="background1" w:themeShade="A6"/>
            </w:tcBorders>
            <w:shd w:val="clear" w:color="auto" w:fill="auto"/>
            <w:noWrap/>
          </w:tcPr>
          <w:p w:rsidR="00CB68A7" w:rsidRPr="00EF5F33" w:rsidRDefault="00CB68A7" w:rsidP="00AF513C">
            <w:pPr>
              <w:pStyle w:val="TableText"/>
              <w:keepNext/>
            </w:pPr>
            <w:r w:rsidRPr="00EF5F33">
              <w:rPr>
                <w:rFonts w:eastAsia="Arial Unicode MS"/>
              </w:rPr>
              <w:t>Planning and prioritisation processes – mapping need based on population-specific prevalence and access rates</w:t>
            </w:r>
          </w:p>
        </w:tc>
      </w:tr>
      <w:tr w:rsidR="00CB68A7" w:rsidRPr="00C10A99" w:rsidTr="00AF513C">
        <w:trPr>
          <w:cantSplit/>
        </w:trPr>
        <w:tc>
          <w:tcPr>
            <w:tcW w:w="1364" w:type="pct"/>
            <w:tcBorders>
              <w:top w:val="single" w:sz="4" w:space="0" w:color="A6A6A6" w:themeColor="background1" w:themeShade="A6"/>
              <w:bottom w:val="single" w:sz="4" w:space="0" w:color="A6A6A6" w:themeColor="background1" w:themeShade="A6"/>
            </w:tcBorders>
            <w:shd w:val="clear" w:color="auto" w:fill="auto"/>
            <w:noWrap/>
          </w:tcPr>
          <w:p w:rsidR="00CB68A7" w:rsidRPr="00EF5F33" w:rsidRDefault="00CB68A7" w:rsidP="00AF513C">
            <w:pPr>
              <w:pStyle w:val="TableText"/>
              <w:keepNext/>
              <w:ind w:right="113"/>
              <w:rPr>
                <w:lang w:eastAsia="en-US"/>
              </w:rPr>
            </w:pPr>
            <w:r w:rsidRPr="00EF5F33">
              <w:rPr>
                <w:lang w:eastAsia="en-US"/>
              </w:rPr>
              <w:t>Pacific peoples are better supported to be healthy</w:t>
            </w:r>
          </w:p>
        </w:tc>
        <w:tc>
          <w:tcPr>
            <w:tcW w:w="3636" w:type="pct"/>
            <w:tcBorders>
              <w:top w:val="single" w:sz="4" w:space="0" w:color="A6A6A6" w:themeColor="background1" w:themeShade="A6"/>
              <w:bottom w:val="single" w:sz="4" w:space="0" w:color="A6A6A6" w:themeColor="background1" w:themeShade="A6"/>
            </w:tcBorders>
            <w:shd w:val="clear" w:color="auto" w:fill="auto"/>
            <w:noWrap/>
          </w:tcPr>
          <w:p w:rsidR="00CB68A7" w:rsidRPr="00EF5F33" w:rsidRDefault="00CB68A7" w:rsidP="00AF513C">
            <w:pPr>
              <w:pStyle w:val="TableText"/>
              <w:keepNext/>
              <w:rPr>
                <w:lang w:eastAsia="en-US"/>
              </w:rPr>
            </w:pPr>
            <w:r w:rsidRPr="00EF5F33">
              <w:rPr>
                <w:rFonts w:eastAsia="Arial Unicode MS"/>
              </w:rPr>
              <w:t>Overall goal of the strategy, principles underpinning the strategy and objective 1</w:t>
            </w:r>
          </w:p>
        </w:tc>
      </w:tr>
      <w:tr w:rsidR="00CB68A7" w:rsidRPr="00C10A99" w:rsidTr="00AF513C">
        <w:trPr>
          <w:cantSplit/>
        </w:trPr>
        <w:tc>
          <w:tcPr>
            <w:tcW w:w="1364" w:type="pct"/>
            <w:tcBorders>
              <w:top w:val="single" w:sz="4" w:space="0" w:color="A6A6A6" w:themeColor="background1" w:themeShade="A6"/>
              <w:bottom w:val="single" w:sz="4" w:space="0" w:color="auto"/>
            </w:tcBorders>
            <w:shd w:val="clear" w:color="auto" w:fill="auto"/>
            <w:noWrap/>
          </w:tcPr>
          <w:p w:rsidR="00CB68A7" w:rsidRPr="00EF5F33" w:rsidRDefault="00CB68A7" w:rsidP="00AF513C">
            <w:pPr>
              <w:pStyle w:val="TableText"/>
              <w:ind w:right="113"/>
              <w:rPr>
                <w:lang w:eastAsia="en-US"/>
              </w:rPr>
            </w:pPr>
            <w:r w:rsidRPr="00EF5F33">
              <w:rPr>
                <w:lang w:eastAsia="en-US"/>
              </w:rPr>
              <w:t>Pacific peoples experience improved broader determinants of health</w:t>
            </w:r>
          </w:p>
        </w:tc>
        <w:tc>
          <w:tcPr>
            <w:tcW w:w="3636" w:type="pct"/>
            <w:tcBorders>
              <w:top w:val="single" w:sz="4" w:space="0" w:color="A6A6A6" w:themeColor="background1" w:themeShade="A6"/>
              <w:bottom w:val="single" w:sz="4" w:space="0" w:color="auto"/>
            </w:tcBorders>
            <w:shd w:val="clear" w:color="auto" w:fill="auto"/>
            <w:noWrap/>
          </w:tcPr>
          <w:p w:rsidR="00CB68A7" w:rsidRPr="00EF5F33" w:rsidRDefault="00CB68A7" w:rsidP="00AF513C">
            <w:pPr>
              <w:pStyle w:val="TableText"/>
              <w:rPr>
                <w:lang w:eastAsia="en-US"/>
              </w:rPr>
            </w:pPr>
            <w:r w:rsidRPr="00EF5F33">
              <w:rPr>
                <w:rFonts w:eastAsia="Arial Unicode MS"/>
              </w:rPr>
              <w:t>Overall goal of the strategy, principles underpinning the strategy and objective 1</w:t>
            </w:r>
          </w:p>
        </w:tc>
      </w:tr>
    </w:tbl>
    <w:p w:rsidR="00CB68A7" w:rsidRPr="00E312E8" w:rsidRDefault="00CB68A7" w:rsidP="00AF513C"/>
    <w:p w:rsidR="00CB68A7" w:rsidRDefault="00CB68A7" w:rsidP="00AF513C">
      <w:pPr>
        <w:pStyle w:val="BoxHeading"/>
      </w:pPr>
      <w:bookmarkStart w:id="104" w:name="_Toc421026472"/>
      <w:r>
        <w:t>Consultation qu</w:t>
      </w:r>
      <w:r w:rsidRPr="00FA3675">
        <w:t xml:space="preserve">estions – </w:t>
      </w:r>
      <w:r>
        <w:t>Sections 1 and 2: s</w:t>
      </w:r>
      <w:r w:rsidRPr="00FA3675">
        <w:t xml:space="preserve">trategic </w:t>
      </w:r>
      <w:r>
        <w:t>direction</w:t>
      </w:r>
    </w:p>
    <w:p w:rsidR="00CB68A7" w:rsidRPr="007B36FF" w:rsidRDefault="00CB68A7" w:rsidP="00AF513C">
      <w:pPr>
        <w:pStyle w:val="Box"/>
      </w:pPr>
      <w:r w:rsidRPr="007B36FF">
        <w:t>The Gambling Act 2003 defines harm, the purpose of the strategy (to prevent and minimise gambling harm) and key components that a strategy must include. Neither these legislative provisions nor the content of the other strategic documents and frameworks with which the proposed strategy is expected to align are under consideration in this consultation.</w:t>
      </w:r>
    </w:p>
    <w:p w:rsidR="00EC3578" w:rsidRDefault="00CB68A7" w:rsidP="00AF513C">
      <w:pPr>
        <w:pStyle w:val="Box"/>
      </w:pPr>
      <w:r w:rsidRPr="00682DBE">
        <w:t xml:space="preserve">In terms of the strategic direction, objectives and associated priority actions </w:t>
      </w:r>
      <w:r w:rsidR="0087646C">
        <w:t xml:space="preserve">for the Strategy </w:t>
      </w:r>
      <w:r w:rsidRPr="00682DBE">
        <w:t>(</w:t>
      </w:r>
      <w:r w:rsidR="00FC7C3E">
        <w:t>s</w:t>
      </w:r>
      <w:r w:rsidRPr="00682DBE">
        <w:t>ection</w:t>
      </w:r>
      <w:r>
        <w:t>s</w:t>
      </w:r>
      <w:r w:rsidRPr="00682DBE">
        <w:t xml:space="preserve"> </w:t>
      </w:r>
      <w:r>
        <w:t xml:space="preserve">1 and </w:t>
      </w:r>
      <w:r w:rsidRPr="00682DBE">
        <w:t>2)</w:t>
      </w:r>
      <w:r>
        <w:t>:</w:t>
      </w:r>
    </w:p>
    <w:p w:rsidR="00EC3578" w:rsidRDefault="00AF513C" w:rsidP="00AF513C">
      <w:pPr>
        <w:pStyle w:val="Box"/>
        <w:ind w:left="851" w:hanging="567"/>
      </w:pPr>
      <w:r>
        <w:t>1.</w:t>
      </w:r>
      <w:r>
        <w:tab/>
      </w:r>
      <w:r w:rsidR="00CB68A7" w:rsidRPr="00682DBE">
        <w:t>Do you support the strategic direction outlined in the proposed strategy? If not</w:t>
      </w:r>
      <w:r w:rsidR="00CB68A7">
        <w:t>,</w:t>
      </w:r>
      <w:r w:rsidR="00CB68A7" w:rsidRPr="00682DBE">
        <w:t xml:space="preserve"> please explain why.</w:t>
      </w:r>
    </w:p>
    <w:p w:rsidR="00CB68A7" w:rsidRPr="00682DBE" w:rsidRDefault="00AF513C" w:rsidP="00AF513C">
      <w:pPr>
        <w:pStyle w:val="Box"/>
        <w:ind w:left="851" w:hanging="567"/>
      </w:pPr>
      <w:r>
        <w:t>2.</w:t>
      </w:r>
      <w:r>
        <w:tab/>
      </w:r>
      <w:r w:rsidR="00CB68A7" w:rsidRPr="00682DBE">
        <w:t xml:space="preserve">Does the draft </w:t>
      </w:r>
      <w:r w:rsidR="00CB68A7">
        <w:t>s</w:t>
      </w:r>
      <w:r w:rsidR="00CB68A7" w:rsidRPr="00682DBE">
        <w:t xml:space="preserve">trategic </w:t>
      </w:r>
      <w:r w:rsidR="00CB68A7">
        <w:t>p</w:t>
      </w:r>
      <w:r w:rsidR="00CB68A7" w:rsidRPr="00682DBE">
        <w:t>lan adequately reflect changes in the gambling environment? If not</w:t>
      </w:r>
      <w:r w:rsidR="00CB68A7">
        <w:t>,</w:t>
      </w:r>
      <w:r w:rsidR="00CB68A7" w:rsidRPr="00682DBE">
        <w:t xml:space="preserve"> what else should be included and why?</w:t>
      </w:r>
    </w:p>
    <w:p w:rsidR="00EC3578" w:rsidRDefault="00B25836" w:rsidP="00AF513C">
      <w:pPr>
        <w:pStyle w:val="Box"/>
        <w:ind w:left="851" w:hanging="567"/>
      </w:pPr>
      <w:r>
        <w:t>3</w:t>
      </w:r>
      <w:r w:rsidR="00AF513C">
        <w:t>.</w:t>
      </w:r>
      <w:r w:rsidR="00AF513C">
        <w:tab/>
      </w:r>
      <w:r w:rsidR="00CB68A7" w:rsidRPr="00682DBE">
        <w:t xml:space="preserve">Are there any objectives or priority actions that you feel are more important or less important than the others? </w:t>
      </w:r>
      <w:r w:rsidR="00CB68A7" w:rsidRPr="00682DBE">
        <w:rPr>
          <w:rFonts w:cs="Arial"/>
        </w:rPr>
        <w:t xml:space="preserve">If yes, </w:t>
      </w:r>
      <w:r w:rsidR="00CB68A7" w:rsidRPr="00682DBE">
        <w:t>please identify these and explain why</w:t>
      </w:r>
      <w:r w:rsidR="00CB68A7">
        <w:t>.</w:t>
      </w:r>
    </w:p>
    <w:p w:rsidR="00CB68A7" w:rsidRPr="00682DBE" w:rsidRDefault="00B25836" w:rsidP="00AF513C">
      <w:pPr>
        <w:pStyle w:val="Box"/>
        <w:ind w:left="851" w:hanging="567"/>
      </w:pPr>
      <w:r>
        <w:t>4</w:t>
      </w:r>
      <w:r w:rsidR="00AF513C">
        <w:t>.</w:t>
      </w:r>
      <w:r w:rsidR="00AF513C">
        <w:tab/>
      </w:r>
      <w:r w:rsidR="00CB68A7" w:rsidRPr="00682DBE">
        <w:t>Do you think the inclusion of the priority actions to reduce inequality and inequity in Objective</w:t>
      </w:r>
      <w:r w:rsidR="00CB68A7">
        <w:t>s</w:t>
      </w:r>
      <w:r w:rsidR="00CB68A7" w:rsidRPr="00682DBE">
        <w:t xml:space="preserve"> 9 and 10 will help reduce gambling harm for the groups identified? </w:t>
      </w:r>
      <w:r w:rsidR="00CB68A7" w:rsidRPr="00682DBE">
        <w:rPr>
          <w:rFonts w:cs="Arial"/>
        </w:rPr>
        <w:t>If not, what suggestions do you have about how we can do this?</w:t>
      </w:r>
    </w:p>
    <w:p w:rsidR="00CB68A7" w:rsidRPr="00682DBE" w:rsidRDefault="00B25836" w:rsidP="00AF513C">
      <w:pPr>
        <w:pStyle w:val="Box"/>
        <w:ind w:left="851" w:hanging="567"/>
      </w:pPr>
      <w:r>
        <w:t>5</w:t>
      </w:r>
      <w:r w:rsidR="00AF513C">
        <w:t>.</w:t>
      </w:r>
      <w:r w:rsidR="00AF513C">
        <w:tab/>
      </w:r>
      <w:r w:rsidR="00CB68A7" w:rsidRPr="00682DBE">
        <w:t>Are there other actions to prevent and minimise gambling harm that should be included as priority action</w:t>
      </w:r>
      <w:r w:rsidR="00CB68A7">
        <w:t>s</w:t>
      </w:r>
      <w:r w:rsidR="00CB68A7" w:rsidRPr="00682DBE">
        <w:t>?</w:t>
      </w:r>
      <w:r w:rsidR="00CB68A7" w:rsidRPr="00682DBE">
        <w:rPr>
          <w:rFonts w:cs="Arial"/>
        </w:rPr>
        <w:t xml:space="preserve"> If yes</w:t>
      </w:r>
      <w:r w:rsidR="00CB68A7">
        <w:rPr>
          <w:rFonts w:cs="Arial"/>
        </w:rPr>
        <w:t>,</w:t>
      </w:r>
      <w:r w:rsidR="00CB68A7" w:rsidRPr="00682DBE">
        <w:rPr>
          <w:rFonts w:cs="Arial"/>
        </w:rPr>
        <w:t xml:space="preserve"> please explain what and why.</w:t>
      </w:r>
    </w:p>
    <w:p w:rsidR="00CB68A7" w:rsidRPr="00C10A99" w:rsidRDefault="00CB68A7" w:rsidP="00AF513C">
      <w:pPr>
        <w:rPr>
          <w:highlight w:val="green"/>
        </w:rPr>
      </w:pPr>
    </w:p>
    <w:p w:rsidR="00CB68A7" w:rsidRPr="00E312E8" w:rsidRDefault="00CB68A7" w:rsidP="00AF513C">
      <w:pPr>
        <w:pStyle w:val="Heading1"/>
      </w:pPr>
      <w:bookmarkStart w:id="105" w:name="_Toc517090900"/>
      <w:bookmarkStart w:id="106" w:name="_Toc522089402"/>
      <w:r w:rsidRPr="00E312E8">
        <w:lastRenderedPageBreak/>
        <w:t xml:space="preserve">Draft three-year </w:t>
      </w:r>
      <w:r>
        <w:t>s</w:t>
      </w:r>
      <w:r w:rsidRPr="00E312E8">
        <w:t xml:space="preserve">ervice </w:t>
      </w:r>
      <w:r>
        <w:t>p</w:t>
      </w:r>
      <w:r w:rsidRPr="00E312E8">
        <w:t>lan 2019/20 to 2021/22</w:t>
      </w:r>
      <w:bookmarkEnd w:id="42"/>
      <w:bookmarkEnd w:id="104"/>
      <w:bookmarkEnd w:id="105"/>
      <w:bookmarkEnd w:id="106"/>
    </w:p>
    <w:p w:rsidR="00EC3578" w:rsidRDefault="00CB68A7" w:rsidP="003A0F2A">
      <w:bookmarkStart w:id="107" w:name="_Toc156877682"/>
      <w:r w:rsidRPr="00C10A99">
        <w:t xml:space="preserve">This section provides some background and further context to inform development of the draft </w:t>
      </w:r>
      <w:r>
        <w:t>s</w:t>
      </w:r>
      <w:r w:rsidRPr="00C10A99">
        <w:t xml:space="preserve">ervice </w:t>
      </w:r>
      <w:r>
        <w:t>p</w:t>
      </w:r>
      <w:r w:rsidRPr="00C10A99">
        <w:t>lan</w:t>
      </w:r>
      <w:r>
        <w:t>. This introduction covers:</w:t>
      </w:r>
    </w:p>
    <w:p w:rsidR="00EC3578" w:rsidRDefault="00CB68A7" w:rsidP="003A0F2A">
      <w:pPr>
        <w:pStyle w:val="Bullet"/>
      </w:pPr>
      <w:r w:rsidRPr="00C10A99">
        <w:t xml:space="preserve">developments in the service environment </w:t>
      </w:r>
      <w:r>
        <w:t>over</w:t>
      </w:r>
      <w:r w:rsidRPr="00C10A99">
        <w:t xml:space="preserve"> the previous </w:t>
      </w:r>
      <w:r>
        <w:t>s</w:t>
      </w:r>
      <w:r w:rsidRPr="00C10A99">
        <w:t xml:space="preserve">ervice </w:t>
      </w:r>
      <w:r>
        <w:t>p</w:t>
      </w:r>
      <w:r w:rsidRPr="00C10A99">
        <w:t>lan period</w:t>
      </w:r>
    </w:p>
    <w:p w:rsidR="00EC3578" w:rsidRDefault="00CB68A7" w:rsidP="003A0F2A">
      <w:pPr>
        <w:pStyle w:val="Bullet"/>
      </w:pPr>
      <w:r w:rsidRPr="00C10A99">
        <w:t xml:space="preserve">service delivery </w:t>
      </w:r>
      <w:r>
        <w:t>points to note from</w:t>
      </w:r>
      <w:r w:rsidRPr="00C10A99">
        <w:t xml:space="preserve"> the previous </w:t>
      </w:r>
      <w:r>
        <w:t>s</w:t>
      </w:r>
      <w:r w:rsidRPr="00C10A99">
        <w:t xml:space="preserve">ervice </w:t>
      </w:r>
      <w:r>
        <w:t>p</w:t>
      </w:r>
      <w:r w:rsidRPr="00C10A99">
        <w:t>lan</w:t>
      </w:r>
    </w:p>
    <w:p w:rsidR="00CB68A7" w:rsidRDefault="00CB68A7" w:rsidP="003A0F2A">
      <w:pPr>
        <w:pStyle w:val="Bullet"/>
      </w:pPr>
      <w:proofErr w:type="gramStart"/>
      <w:r w:rsidRPr="00C10A99">
        <w:t>key</w:t>
      </w:r>
      <w:proofErr w:type="gramEnd"/>
      <w:r w:rsidRPr="00C10A99">
        <w:t xml:space="preserve"> factors contributing to the </w:t>
      </w:r>
      <w:r>
        <w:t xml:space="preserve">design of the </w:t>
      </w:r>
      <w:r w:rsidRPr="00C10A99">
        <w:t xml:space="preserve">proposed new </w:t>
      </w:r>
      <w:r>
        <w:t>s</w:t>
      </w:r>
      <w:r w:rsidRPr="00C10A99">
        <w:t xml:space="preserve">ervice </w:t>
      </w:r>
      <w:r>
        <w:t>p</w:t>
      </w:r>
      <w:r w:rsidRPr="00C10A99">
        <w:t>lan</w:t>
      </w:r>
      <w:r>
        <w:t>.</w:t>
      </w:r>
    </w:p>
    <w:p w:rsidR="00EC3578" w:rsidRDefault="00EC3578" w:rsidP="003A0F2A"/>
    <w:p w:rsidR="00CB68A7" w:rsidRPr="00E312E8" w:rsidRDefault="00CB68A7" w:rsidP="003A0F2A">
      <w:pPr>
        <w:pStyle w:val="Heading2"/>
      </w:pPr>
      <w:bookmarkStart w:id="108" w:name="_Toc229279755"/>
      <w:bookmarkStart w:id="109" w:name="_Toc230066519"/>
      <w:bookmarkStart w:id="110" w:name="_Toc329860055"/>
      <w:bookmarkStart w:id="111" w:name="_Toc517090901"/>
      <w:bookmarkStart w:id="112" w:name="_Toc522089403"/>
      <w:r w:rsidRPr="00E312E8">
        <w:t>Developments in the service environment 2016/17 to 201</w:t>
      </w:r>
      <w:bookmarkEnd w:id="107"/>
      <w:r w:rsidRPr="00E312E8">
        <w:t>8/19</w:t>
      </w:r>
      <w:bookmarkEnd w:id="108"/>
      <w:bookmarkEnd w:id="109"/>
      <w:bookmarkEnd w:id="110"/>
      <w:bookmarkEnd w:id="111"/>
      <w:bookmarkEnd w:id="112"/>
    </w:p>
    <w:p w:rsidR="00CB68A7" w:rsidRPr="00E312E8" w:rsidRDefault="00CB68A7" w:rsidP="00081C46">
      <w:r w:rsidRPr="00E312E8">
        <w:t>There were a number of significant developments in the service environment over the 2016/17 to 2018/19 period, including:</w:t>
      </w:r>
    </w:p>
    <w:p w:rsidR="00CB68A7" w:rsidRPr="00C10A99" w:rsidRDefault="00CB68A7" w:rsidP="00081C46">
      <w:pPr>
        <w:pStyle w:val="Bullet"/>
      </w:pPr>
      <w:proofErr w:type="gramStart"/>
      <w:r w:rsidRPr="00C10A99">
        <w:t>the</w:t>
      </w:r>
      <w:proofErr w:type="gramEnd"/>
      <w:r w:rsidRPr="00C10A99">
        <w:t xml:space="preserve"> total amount gamblers spent on the main forms of gambling</w:t>
      </w:r>
      <w:r>
        <w:t xml:space="preserve"> experienced a general increase. For example, total expenditure rose from $2,091 million in the 2014/15</w:t>
      </w:r>
      <w:r w:rsidRPr="00541B61">
        <w:t xml:space="preserve"> </w:t>
      </w:r>
      <w:r>
        <w:t>financial year, to $2,334 million in the 2016/17 financial year (the most recent year for all four gambling sectors)</w:t>
      </w:r>
    </w:p>
    <w:p w:rsidR="00CB68A7" w:rsidRDefault="00CB68A7" w:rsidP="00081C46">
      <w:pPr>
        <w:pStyle w:val="Bullet"/>
      </w:pPr>
      <w:r w:rsidRPr="00C10A99">
        <w:t>annual NCGM expenditure</w:t>
      </w:r>
      <w:r>
        <w:t xml:space="preserve"> continues to increase, from a low in 2013/14, with increases of around 3 percent per year since 2014/15</w:t>
      </w:r>
    </w:p>
    <w:p w:rsidR="00CB68A7" w:rsidRDefault="00CB68A7" w:rsidP="00081C46">
      <w:pPr>
        <w:pStyle w:val="Bullet"/>
      </w:pPr>
      <w:r>
        <w:t>a significant increase in expenditure on Lotto New Zealand (Lotto) products in 2016/17, after a number of years averaging smaller increases (</w:t>
      </w:r>
      <w:r w:rsidR="005C1D13">
        <w:t>n</w:t>
      </w:r>
      <w:r>
        <w:t xml:space="preserve">ote: </w:t>
      </w:r>
      <w:r w:rsidR="005C1D13">
        <w:t>a</w:t>
      </w:r>
      <w:r>
        <w:t>nnual expenditure on Lotto products can be volatile, depending on the number and size of Powerball jackpots)</w:t>
      </w:r>
    </w:p>
    <w:p w:rsidR="00CB68A7" w:rsidRDefault="00CB68A7" w:rsidP="00081C46">
      <w:pPr>
        <w:pStyle w:val="Bullet"/>
      </w:pPr>
      <w:r>
        <w:t>annual expenditure on casinos and New Zealand Racing Board (NZRB) products remained fairly steady, with both experiencing small reductions in 2016/17</w:t>
      </w:r>
    </w:p>
    <w:p w:rsidR="00CB68A7" w:rsidRDefault="00CB68A7" w:rsidP="00081C46">
      <w:pPr>
        <w:pStyle w:val="Bullet"/>
      </w:pPr>
      <w:r>
        <w:t>analysis of Pacific gambling behaviours, using the Pacific Island Families Study, identified particular areas of risk</w:t>
      </w:r>
    </w:p>
    <w:p w:rsidR="00CB68A7" w:rsidRDefault="00CB68A7" w:rsidP="00081C46">
      <w:pPr>
        <w:pStyle w:val="Bullet"/>
      </w:pPr>
      <w:proofErr w:type="gramStart"/>
      <w:r>
        <w:t>service</w:t>
      </w:r>
      <w:proofErr w:type="gramEnd"/>
      <w:r>
        <w:t xml:space="preserve"> outcome agreements, incorporating results based accountability measures, were negotiated and implemented from 1 January 2018.</w:t>
      </w:r>
    </w:p>
    <w:p w:rsidR="00CB68A7" w:rsidRDefault="00CB68A7" w:rsidP="00081C46"/>
    <w:p w:rsidR="00EC3578" w:rsidRDefault="00CB68A7" w:rsidP="00081C46">
      <w:pPr>
        <w:pStyle w:val="Heading2"/>
      </w:pPr>
      <w:bookmarkStart w:id="113" w:name="_Toc229279757"/>
      <w:bookmarkStart w:id="114" w:name="_Toc517090902"/>
      <w:bookmarkStart w:id="115" w:name="_Toc522089404"/>
      <w:r w:rsidRPr="00E0156C">
        <w:lastRenderedPageBreak/>
        <w:t>Service delivery</w:t>
      </w:r>
      <w:bookmarkEnd w:id="113"/>
      <w:r w:rsidRPr="00E0156C">
        <w:t xml:space="preserve"> in 2016/17 to 2018/19</w:t>
      </w:r>
      <w:bookmarkEnd w:id="114"/>
      <w:bookmarkEnd w:id="115"/>
    </w:p>
    <w:p w:rsidR="00CB68A7" w:rsidRDefault="00CB68A7" w:rsidP="00081C46">
      <w:pPr>
        <w:keepNext/>
      </w:pPr>
      <w:r w:rsidRPr="00E312E8">
        <w:t>This section discusses service delivery during the 2016/17 to 2018/19 period in terms of public health activity, intervention activity, accessibility for and responsiveness to the needs of Māori and Pacific peoples, and research and evaluation.</w:t>
      </w:r>
    </w:p>
    <w:p w:rsidR="00CB68A7" w:rsidRPr="00E312E8" w:rsidRDefault="00CB68A7" w:rsidP="00081C46">
      <w:pPr>
        <w:keepNext/>
      </w:pPr>
    </w:p>
    <w:p w:rsidR="00CB68A7" w:rsidRPr="00E312E8" w:rsidRDefault="00CB68A7" w:rsidP="00081C46">
      <w:pPr>
        <w:pStyle w:val="Heading3"/>
      </w:pPr>
      <w:r w:rsidRPr="00E312E8">
        <w:t>Public health</w:t>
      </w:r>
    </w:p>
    <w:p w:rsidR="00EC3578" w:rsidRPr="00081C46" w:rsidRDefault="00CB68A7" w:rsidP="00081C46">
      <w:pPr>
        <w:keepLines/>
      </w:pPr>
      <w:r w:rsidRPr="00EF5F33">
        <w:t>The HPA</w:t>
      </w:r>
      <w:r w:rsidR="00EC3578">
        <w:t>’</w:t>
      </w:r>
      <w:r w:rsidRPr="00EF5F33">
        <w:t>s health promotion programme is central to the Ministry</w:t>
      </w:r>
      <w:r w:rsidR="00EC3578">
        <w:t>’</w:t>
      </w:r>
      <w:r w:rsidRPr="00EF5F33">
        <w:t xml:space="preserve">s national public health activity. </w:t>
      </w:r>
      <w:r>
        <w:t>This programme</w:t>
      </w:r>
      <w:r w:rsidRPr="00EF5F33">
        <w:t xml:space="preserve"> focuses on encouraging positive behaviour change among at-risk gamblers</w:t>
      </w:r>
      <w:r>
        <w:t xml:space="preserve"> and raising awareness about risky gambling behaviours</w:t>
      </w:r>
      <w:r w:rsidRPr="00EF5F33">
        <w:t xml:space="preserve">. The aims are to </w:t>
      </w:r>
      <w:r>
        <w:t>encourage m</w:t>
      </w:r>
      <w:r w:rsidRPr="00EF5F33">
        <w:t xml:space="preserve">ore </w:t>
      </w:r>
      <w:r>
        <w:t xml:space="preserve">at-risk </w:t>
      </w:r>
      <w:r w:rsidRPr="00EF5F33">
        <w:t xml:space="preserve">people to check whether their gambling is </w:t>
      </w:r>
      <w:r>
        <w:t>OK</w:t>
      </w:r>
      <w:r w:rsidRPr="00EF5F33">
        <w:t xml:space="preserve"> before harm escalates in severity and to motivate </w:t>
      </w:r>
      <w:r>
        <w:t xml:space="preserve">those </w:t>
      </w:r>
      <w:r w:rsidRPr="00EF5F33">
        <w:t xml:space="preserve">who are at risk to get help earlier (or change their behaviour through self-help). The </w:t>
      </w:r>
      <w:r>
        <w:t>programme</w:t>
      </w:r>
      <w:r w:rsidRPr="00EF5F33">
        <w:t xml:space="preserve"> actively promotes the Gambling Helpline, </w:t>
      </w:r>
      <w:hyperlink r:id="rId60" w:tgtFrame="_blank" w:history="1">
        <w:r w:rsidRPr="00EF5F33">
          <w:t>Choice</w:t>
        </w:r>
        <w:r>
          <w:t xml:space="preserve"> </w:t>
        </w:r>
        <w:r w:rsidRPr="00EF5F33">
          <w:t>Not</w:t>
        </w:r>
        <w:r>
          <w:t xml:space="preserve"> C</w:t>
        </w:r>
        <w:r w:rsidRPr="00EF5F33">
          <w:t>hance</w:t>
        </w:r>
        <w:r w:rsidRPr="00081C46">
          <w:rPr>
            <w:rStyle w:val="FootnoteReference"/>
          </w:rPr>
          <w:footnoteReference w:id="5"/>
        </w:r>
        <w:r w:rsidRPr="00EF5F33">
          <w:t xml:space="preserve"> and face-to-face </w:t>
        </w:r>
        <w:r>
          <w:t xml:space="preserve">support </w:t>
        </w:r>
        <w:r w:rsidRPr="00EF5F33">
          <w:t>services.</w:t>
        </w:r>
      </w:hyperlink>
    </w:p>
    <w:p w:rsidR="00081C46" w:rsidRDefault="00081C46" w:rsidP="00081C46"/>
    <w:p w:rsidR="00CB68A7" w:rsidRPr="00EF5F33" w:rsidRDefault="00CB68A7" w:rsidP="00081C46">
      <w:r w:rsidRPr="00EF5F33">
        <w:t>During the 2016/17 to 201</w:t>
      </w:r>
      <w:r>
        <w:t>8</w:t>
      </w:r>
      <w:r w:rsidRPr="00EF5F33">
        <w:t>/19 period</w:t>
      </w:r>
      <w:r>
        <w:t>,</w:t>
      </w:r>
      <w:r w:rsidRPr="00EF5F33">
        <w:t xml:space="preserve"> the HPA extend</w:t>
      </w:r>
      <w:r w:rsidR="00F4758A">
        <w:t>ed</w:t>
      </w:r>
      <w:r w:rsidRPr="00EF5F33">
        <w:t xml:space="preserve"> its core programme of activit</w:t>
      </w:r>
      <w:r>
        <w:t>ies</w:t>
      </w:r>
      <w:r w:rsidRPr="00EF5F33">
        <w:t xml:space="preserve"> to include a component focused on promoting safer gambling environments</w:t>
      </w:r>
      <w:r w:rsidRPr="00324C22">
        <w:t xml:space="preserve"> </w:t>
      </w:r>
      <w:r>
        <w:t xml:space="preserve">in </w:t>
      </w:r>
      <w:r w:rsidRPr="00EF5F33">
        <w:t>gambling venues</w:t>
      </w:r>
      <w:r>
        <w:t>.</w:t>
      </w:r>
    </w:p>
    <w:p w:rsidR="00081C46" w:rsidRDefault="00081C46" w:rsidP="00081C46"/>
    <w:p w:rsidR="00CB68A7" w:rsidRPr="00EF5F33" w:rsidRDefault="00CB68A7" w:rsidP="00081C46">
      <w:r w:rsidRPr="00EF5F33">
        <w:t xml:space="preserve">National and regional service providers delivered a variety of health promotion activities to minimise gambling related harm in the community. These activities included advocating for healthy policies with other agencies, working with gambling venues, increasing community action and raising community awareness of gambling harm at a local and regional level. In line with the objectives of the </w:t>
      </w:r>
      <w:r>
        <w:t>s</w:t>
      </w:r>
      <w:r w:rsidRPr="00EF5F33">
        <w:t>trategy, the Ministry funded dedicated Māori, Pacific and Asian public health services to provide appropriate and relevant services within their communities.</w:t>
      </w:r>
    </w:p>
    <w:p w:rsidR="00081C46" w:rsidRDefault="00081C46" w:rsidP="00081C46"/>
    <w:p w:rsidR="00CB68A7" w:rsidRDefault="00CB68A7" w:rsidP="00081C46">
      <w:r w:rsidRPr="00EF5F33">
        <w:t>Service providers participated in reviews of national and local gambling venue policies, providing a community perspective to the three-yearly consultation process undertaken by territorial authorities. This process has resulted in a number of authorities introducing either gaming machine caps or sinking-lid policies in their regions.</w:t>
      </w:r>
    </w:p>
    <w:p w:rsidR="00CB68A7" w:rsidRPr="00EF5F33" w:rsidRDefault="00CB68A7" w:rsidP="00081C46"/>
    <w:p w:rsidR="00CB68A7" w:rsidRPr="00C10A99" w:rsidRDefault="00CB68A7" w:rsidP="00081C46">
      <w:pPr>
        <w:pStyle w:val="Heading3"/>
      </w:pPr>
      <w:r w:rsidRPr="00C10A99">
        <w:t>Intervention</w:t>
      </w:r>
    </w:p>
    <w:p w:rsidR="00CB68A7" w:rsidRPr="00EF5F33" w:rsidRDefault="00CB68A7" w:rsidP="00081C46">
      <w:r w:rsidRPr="00EF5F33">
        <w:t xml:space="preserve">In </w:t>
      </w:r>
      <w:r>
        <w:t xml:space="preserve">the </w:t>
      </w:r>
      <w:r w:rsidRPr="00EF5F33">
        <w:t>2016/17</w:t>
      </w:r>
      <w:r>
        <w:t xml:space="preserve"> year</w:t>
      </w:r>
      <w:r w:rsidRPr="00EF5F33">
        <w:t>, over 6,200 people sought help from Ministry-funded services, for problems due to their own or someone else</w:t>
      </w:r>
      <w:r w:rsidR="00EC3578">
        <w:t>’</w:t>
      </w:r>
      <w:r w:rsidRPr="00EF5F33">
        <w:t xml:space="preserve">s gambling. Most of these people were in crisis. If brief interventions in non-clinical settings </w:t>
      </w:r>
      <w:r>
        <w:t>are</w:t>
      </w:r>
      <w:r w:rsidRPr="00EF5F33">
        <w:t xml:space="preserve"> included</w:t>
      </w:r>
      <w:r>
        <w:t xml:space="preserve"> in this analysis</w:t>
      </w:r>
      <w:r w:rsidRPr="00EF5F33">
        <w:t>, the total increases to more than 11,600</w:t>
      </w:r>
      <w:r>
        <w:t xml:space="preserve"> people.</w:t>
      </w:r>
    </w:p>
    <w:p w:rsidR="00081C46" w:rsidRDefault="00081C46" w:rsidP="00081C46"/>
    <w:p w:rsidR="00EC3578" w:rsidRDefault="00CB68A7" w:rsidP="00081C46">
      <w:r>
        <w:t>In the</w:t>
      </w:r>
      <w:r w:rsidRPr="00EF5F33">
        <w:t xml:space="preserve"> three years</w:t>
      </w:r>
      <w:r>
        <w:t xml:space="preserve"> 2015/2016 to 2017/2018,</w:t>
      </w:r>
      <w:r w:rsidRPr="00EF5F33">
        <w:t xml:space="preserve"> there has been a slight decrease in the total numbers of reported interventions. The slight decline over the period is attributable to fewer new clients coming forward. The numbers of existing clients receiving interventions has been relatively static over the period. Going further </w:t>
      </w:r>
      <w:r>
        <w:t>b</w:t>
      </w:r>
      <w:r w:rsidRPr="00EF5F33">
        <w:t>ack, the number of pe</w:t>
      </w:r>
      <w:r>
        <w:t>ople</w:t>
      </w:r>
      <w:r w:rsidRPr="00EF5F33">
        <w:t xml:space="preserve"> seeking interventions has been relatively stable for five to seven years. Similarly, the proportion of pe</w:t>
      </w:r>
      <w:r>
        <w:t>ople</w:t>
      </w:r>
      <w:r w:rsidRPr="00EF5F33">
        <w:t xml:space="preserve"> reporting some form of harmful gambling behaviours </w:t>
      </w:r>
      <w:r>
        <w:t>in</w:t>
      </w:r>
      <w:r w:rsidRPr="00EF5F33">
        <w:t xml:space="preserve"> the HLS surveys remained static at 5</w:t>
      </w:r>
      <w:r>
        <w:t xml:space="preserve"> percent</w:t>
      </w:r>
      <w:r w:rsidRPr="00EF5F33">
        <w:t xml:space="preserve"> of the population, from 2012 to 2016</w:t>
      </w:r>
      <w:r>
        <w:t>. Importantly, these static rates belie the fact that the actual number of people affected by problem gambling is increasing in line with population growth, and intervention services are not keeping up.</w:t>
      </w:r>
    </w:p>
    <w:p w:rsidR="00081C46" w:rsidRDefault="00081C46" w:rsidP="00081C46"/>
    <w:p w:rsidR="00EC3578" w:rsidRDefault="00CB68A7" w:rsidP="005C1D13">
      <w:pPr>
        <w:keepLines/>
      </w:pPr>
      <w:r>
        <w:lastRenderedPageBreak/>
        <w:t xml:space="preserve">Similarly, </w:t>
      </w:r>
      <w:r w:rsidRPr="00EF5F33">
        <w:t>needs assessment and outcomes monitoring reports show there is a disconnect between potential clients for gambling support services</w:t>
      </w:r>
      <w:r>
        <w:t xml:space="preserve"> (</w:t>
      </w:r>
      <w:r w:rsidRPr="00EF5F33">
        <w:t>that is</w:t>
      </w:r>
      <w:r>
        <w:t>,</w:t>
      </w:r>
      <w:r w:rsidRPr="00EF5F33">
        <w:t xml:space="preserve"> people whose reported harm results in a moderate to high PSGI score and the number of people who actually access </w:t>
      </w:r>
      <w:r>
        <w:t xml:space="preserve">/ present at these </w:t>
      </w:r>
      <w:r w:rsidRPr="00EF5F33">
        <w:t>services</w:t>
      </w:r>
      <w:r>
        <w:t>)</w:t>
      </w:r>
      <w:r w:rsidRPr="00EF5F33">
        <w:t xml:space="preserve">. Service utilisation </w:t>
      </w:r>
      <w:r>
        <w:t xml:space="preserve">for gambling harm </w:t>
      </w:r>
      <w:r w:rsidRPr="00EF5F33">
        <w:t>is in line with utilisation rates of 25</w:t>
      </w:r>
      <w:r>
        <w:t>–</w:t>
      </w:r>
      <w:r w:rsidRPr="00EF5F33">
        <w:t>30</w:t>
      </w:r>
      <w:r>
        <w:t xml:space="preserve"> percent</w:t>
      </w:r>
      <w:r w:rsidRPr="00EF5F33">
        <w:t xml:space="preserve"> observed </w:t>
      </w:r>
      <w:r>
        <w:t xml:space="preserve">for </w:t>
      </w:r>
      <w:r w:rsidRPr="00EF5F33">
        <w:t>other forms of addicti</w:t>
      </w:r>
      <w:r>
        <w:t>on.</w:t>
      </w:r>
    </w:p>
    <w:p w:rsidR="00081C46" w:rsidRDefault="00081C46" w:rsidP="00081C46"/>
    <w:p w:rsidR="00EC3578" w:rsidRDefault="00CB68A7" w:rsidP="00081C46">
      <w:r w:rsidRPr="00EF5F33">
        <w:t>Improving intervention and service utilisations rates remains a challenge</w:t>
      </w:r>
      <w:r>
        <w:t>.</w:t>
      </w:r>
      <w:r w:rsidRPr="00EF5F33">
        <w:t xml:space="preserve"> </w:t>
      </w:r>
      <w:r>
        <w:t>It</w:t>
      </w:r>
      <w:r w:rsidRPr="00EF5F33">
        <w:t xml:space="preserve"> will require further work to address systemic or persistent barrier</w:t>
      </w:r>
      <w:r>
        <w:t>s</w:t>
      </w:r>
      <w:r w:rsidRPr="00EF5F33">
        <w:t xml:space="preserve"> to access and inequities based on ethnicity or socioeconomic factors.</w:t>
      </w:r>
    </w:p>
    <w:p w:rsidR="00CB68A7" w:rsidRPr="00EF5F33" w:rsidRDefault="00CB68A7" w:rsidP="00081C46"/>
    <w:p w:rsidR="00CB68A7" w:rsidRPr="00C10A99" w:rsidRDefault="00CB68A7" w:rsidP="00081C46">
      <w:pPr>
        <w:pStyle w:val="Heading3"/>
      </w:pPr>
      <w:r w:rsidRPr="00C10A99">
        <w:t>Accessibility for Māori</w:t>
      </w:r>
      <w:r>
        <w:t xml:space="preserve">, </w:t>
      </w:r>
      <w:r w:rsidRPr="00C10A99">
        <w:t xml:space="preserve">Pacific </w:t>
      </w:r>
      <w:r>
        <w:t>and other vulnerable grou</w:t>
      </w:r>
      <w:r w:rsidRPr="00C10A99">
        <w:t>ps</w:t>
      </w:r>
    </w:p>
    <w:p w:rsidR="00CB68A7" w:rsidRPr="00EF5F33" w:rsidRDefault="00CB68A7" w:rsidP="00081C46">
      <w:r w:rsidRPr="00EF5F33">
        <w:t>As noted above, the</w:t>
      </w:r>
      <w:r>
        <w:t>r</w:t>
      </w:r>
      <w:r w:rsidRPr="00EF5F33">
        <w:t>e are substantially fewer people accessing services than</w:t>
      </w:r>
      <w:r>
        <w:t xml:space="preserve"> one would </w:t>
      </w:r>
      <w:r w:rsidRPr="00EF5F33">
        <w:t xml:space="preserve">expect from estimates of gambling harm prevalence. Analysis of Ministry gambling service administrative data </w:t>
      </w:r>
      <w:r>
        <w:t xml:space="preserve">for 2016/17 </w:t>
      </w:r>
      <w:r w:rsidRPr="008F7AC7">
        <w:t xml:space="preserve">shows that </w:t>
      </w:r>
      <w:r w:rsidRPr="00EF5F33">
        <w:t xml:space="preserve">of the approximately </w:t>
      </w:r>
      <w:r>
        <w:t>6,300</w:t>
      </w:r>
      <w:r w:rsidRPr="00EF5F33">
        <w:t xml:space="preserve"> gamblers who sought treatment:</w:t>
      </w:r>
    </w:p>
    <w:p w:rsidR="00CB68A7" w:rsidRPr="00EF5F33" w:rsidRDefault="00CB68A7" w:rsidP="00081C46">
      <w:pPr>
        <w:pStyle w:val="Bullet"/>
      </w:pPr>
      <w:r>
        <w:t>38.1 percent</w:t>
      </w:r>
      <w:r w:rsidRPr="00EF5F33">
        <w:t xml:space="preserve"> identified as European/other</w:t>
      </w:r>
    </w:p>
    <w:p w:rsidR="00CB68A7" w:rsidRPr="00EF5F33" w:rsidRDefault="00CB68A7" w:rsidP="00081C46">
      <w:pPr>
        <w:pStyle w:val="Bullet"/>
      </w:pPr>
      <w:r>
        <w:t>33.0 percent</w:t>
      </w:r>
      <w:r w:rsidRPr="00EF5F33">
        <w:t xml:space="preserve"> identified as M</w:t>
      </w:r>
      <w:r>
        <w:t>ā</w:t>
      </w:r>
      <w:r w:rsidRPr="00EF5F33">
        <w:t>ori</w:t>
      </w:r>
    </w:p>
    <w:p w:rsidR="00CB68A7" w:rsidRPr="00EF5F33" w:rsidRDefault="00CB68A7" w:rsidP="00081C46">
      <w:pPr>
        <w:pStyle w:val="Bullet"/>
      </w:pPr>
      <w:r>
        <w:t>21.2 percent</w:t>
      </w:r>
      <w:r w:rsidRPr="00EF5F33">
        <w:t xml:space="preserve"> identified as Pacific</w:t>
      </w:r>
    </w:p>
    <w:p w:rsidR="00CB68A7" w:rsidRPr="00EF5F33" w:rsidRDefault="00CB68A7" w:rsidP="00081C46">
      <w:pPr>
        <w:pStyle w:val="Bullet"/>
      </w:pPr>
      <w:r>
        <w:t>7.7 percent</w:t>
      </w:r>
      <w:r w:rsidRPr="00EF5F33">
        <w:t xml:space="preserve"> identified as East</w:t>
      </w:r>
      <w:r>
        <w:t xml:space="preserve"> </w:t>
      </w:r>
      <w:r w:rsidRPr="00EF5F33">
        <w:t>Asian</w:t>
      </w:r>
    </w:p>
    <w:p w:rsidR="00CB68A7" w:rsidRDefault="00CB68A7" w:rsidP="00081C46">
      <w:pPr>
        <w:pStyle w:val="Bullet"/>
      </w:pPr>
      <w:r>
        <w:t>53.1 percent</w:t>
      </w:r>
      <w:r w:rsidRPr="00EF5F33">
        <w:t xml:space="preserve"> were men</w:t>
      </w:r>
      <w:r>
        <w:t>.</w:t>
      </w:r>
    </w:p>
    <w:p w:rsidR="00CB68A7" w:rsidRPr="00EF5F33" w:rsidRDefault="00CB68A7" w:rsidP="00081C46"/>
    <w:p w:rsidR="00EC3578" w:rsidRDefault="00CB68A7" w:rsidP="00081C46">
      <w:r>
        <w:t>From the review of outcomes and research noted earlier:</w:t>
      </w:r>
    </w:p>
    <w:p w:rsidR="00CB68A7" w:rsidRPr="00EF5F33" w:rsidRDefault="00CB68A7" w:rsidP="00081C46">
      <w:pPr>
        <w:pStyle w:val="Bullet"/>
      </w:pPr>
      <w:r>
        <w:t xml:space="preserve">the </w:t>
      </w:r>
      <w:r w:rsidRPr="00EF5F33">
        <w:t>number of Māori accessing intervention services has remained relatively high (in line with the relatively high vulnerability of Māori to gambling harm), as it has been since 2008</w:t>
      </w:r>
    </w:p>
    <w:p w:rsidR="00CB68A7" w:rsidRPr="00EF5F33" w:rsidRDefault="00CB68A7" w:rsidP="00081C46">
      <w:pPr>
        <w:pStyle w:val="Bullet"/>
      </w:pPr>
      <w:r w:rsidRPr="00EF5F33">
        <w:t>M</w:t>
      </w:r>
      <w:r>
        <w:t>ā</w:t>
      </w:r>
      <w:r w:rsidRPr="00EF5F33">
        <w:t>ori are accessing services at a rate roughly equivalent to their proportion of reported risky gambling behaviour and harm</w:t>
      </w:r>
    </w:p>
    <w:p w:rsidR="00CB68A7" w:rsidRPr="00EF5F33" w:rsidRDefault="00CB68A7" w:rsidP="00081C46">
      <w:pPr>
        <w:pStyle w:val="Bullet"/>
      </w:pPr>
      <w:r>
        <w:t xml:space="preserve">the </w:t>
      </w:r>
      <w:r w:rsidRPr="00EF5F33">
        <w:t>number of Pacific people accessing intervention services has increased substantially since 2012, so that the figure now more closely reflect</w:t>
      </w:r>
      <w:r>
        <w:t>s</w:t>
      </w:r>
      <w:r w:rsidRPr="00EF5F33">
        <w:t xml:space="preserve"> the relatively high vulnerability of Pacific people to gambling harm</w:t>
      </w:r>
    </w:p>
    <w:p w:rsidR="00CB68A7" w:rsidRDefault="00CB68A7" w:rsidP="00081C46">
      <w:pPr>
        <w:pStyle w:val="Bullet"/>
      </w:pPr>
      <w:proofErr w:type="gramStart"/>
      <w:r>
        <w:t>the</w:t>
      </w:r>
      <w:proofErr w:type="gramEnd"/>
      <w:r>
        <w:t xml:space="preserve"> </w:t>
      </w:r>
      <w:r w:rsidRPr="00EF5F33">
        <w:t xml:space="preserve">number of Asian people and those under 25 years of age reporting service use </w:t>
      </w:r>
      <w:r>
        <w:t>is</w:t>
      </w:r>
      <w:r w:rsidRPr="00EF5F33">
        <w:t xml:space="preserve"> lower than one might expect based on research estimates.</w:t>
      </w:r>
    </w:p>
    <w:p w:rsidR="00CB68A7" w:rsidRPr="00EF5F33" w:rsidRDefault="00CB68A7" w:rsidP="00081C46"/>
    <w:p w:rsidR="00CB68A7" w:rsidRPr="00C10A99" w:rsidRDefault="00CB68A7" w:rsidP="00081C46">
      <w:pPr>
        <w:pStyle w:val="Heading3"/>
      </w:pPr>
      <w:r w:rsidRPr="00C10A99">
        <w:t>Research and evaluation</w:t>
      </w:r>
    </w:p>
    <w:p w:rsidR="00CB68A7" w:rsidRPr="00C10A99" w:rsidRDefault="00CB68A7" w:rsidP="00081C46">
      <w:r w:rsidRPr="00C10A99">
        <w:t>In the 2016/17 to 20</w:t>
      </w:r>
      <w:r>
        <w:t>17/</w:t>
      </w:r>
      <w:r w:rsidRPr="00C10A99">
        <w:t>18 period, work in research and evaluation included:</w:t>
      </w:r>
    </w:p>
    <w:p w:rsidR="00CB68A7" w:rsidRPr="00C10A99" w:rsidRDefault="00CB68A7" w:rsidP="00081C46">
      <w:pPr>
        <w:pStyle w:val="Bullet"/>
      </w:pPr>
      <w:r>
        <w:t>completing the</w:t>
      </w:r>
      <w:r w:rsidRPr="00C10A99">
        <w:t xml:space="preserve"> four</w:t>
      </w:r>
      <w:r>
        <w:t>th</w:t>
      </w:r>
      <w:r w:rsidRPr="00C10A99">
        <w:t xml:space="preserve"> data collection wave and </w:t>
      </w:r>
      <w:r>
        <w:t xml:space="preserve">associated </w:t>
      </w:r>
      <w:r w:rsidRPr="00C10A99">
        <w:t xml:space="preserve">report for the </w:t>
      </w:r>
      <w:r>
        <w:t>NGS</w:t>
      </w:r>
      <w:r w:rsidRPr="00C10A99">
        <w:t>, which comprises a longitudinal cohort study of gambling participation and harm</w:t>
      </w:r>
    </w:p>
    <w:p w:rsidR="00CB68A7" w:rsidRPr="00C10A99" w:rsidRDefault="00CB68A7" w:rsidP="00081C46">
      <w:pPr>
        <w:pStyle w:val="Bullet"/>
      </w:pPr>
      <w:r>
        <w:t>t</w:t>
      </w:r>
      <w:r w:rsidRPr="00C10A99">
        <w:t xml:space="preserve">he biennial gambling module in the </w:t>
      </w:r>
      <w:r>
        <w:t>HPA</w:t>
      </w:r>
      <w:r w:rsidR="00EC3578">
        <w:t>’</w:t>
      </w:r>
      <w:r>
        <w:t>s HLS (</w:t>
      </w:r>
      <w:r w:rsidRPr="00C10A99">
        <w:t>Additional meta-analysis comprising analysis of pooled data, change over time and evidence for inequalities in gambling harm has been commissioned and reported.</w:t>
      </w:r>
      <w:r>
        <w:t>)</w:t>
      </w:r>
    </w:p>
    <w:p w:rsidR="00CB68A7" w:rsidRPr="00C10A99" w:rsidRDefault="00CB68A7" w:rsidP="00081C46">
      <w:pPr>
        <w:pStyle w:val="Bullet"/>
      </w:pPr>
      <w:r>
        <w:t xml:space="preserve">The University of </w:t>
      </w:r>
      <w:r w:rsidRPr="00C10A99">
        <w:t>Auckland develop</w:t>
      </w:r>
      <w:r>
        <w:t xml:space="preserve">ing and trialling </w:t>
      </w:r>
      <w:r w:rsidRPr="00C10A99">
        <w:t>a mobile</w:t>
      </w:r>
      <w:r>
        <w:t>-</w:t>
      </w:r>
      <w:r w:rsidRPr="00C10A99">
        <w:t>phone</w:t>
      </w:r>
      <w:r>
        <w:t>-</w:t>
      </w:r>
      <w:r w:rsidRPr="00C10A99">
        <w:t xml:space="preserve">based app </w:t>
      </w:r>
      <w:r>
        <w:t xml:space="preserve">that provides timely messages to at-risk gamblers who have sought help </w:t>
      </w:r>
      <w:r w:rsidRPr="00C10A99">
        <w:t xml:space="preserve">(the </w:t>
      </w:r>
      <w:proofErr w:type="spellStart"/>
      <w:r w:rsidRPr="00C10A99">
        <w:t>SPAGeTTI</w:t>
      </w:r>
      <w:proofErr w:type="spellEnd"/>
      <w:r w:rsidRPr="00C10A99">
        <w:t xml:space="preserve"> Trial)</w:t>
      </w:r>
    </w:p>
    <w:p w:rsidR="00EC3578" w:rsidRDefault="00CB68A7" w:rsidP="00081C46">
      <w:pPr>
        <w:pStyle w:val="Bullet"/>
      </w:pPr>
      <w:r>
        <w:t>c</w:t>
      </w:r>
      <w:r w:rsidRPr="00C10A99">
        <w:t xml:space="preserve">linical evaluation by </w:t>
      </w:r>
      <w:r>
        <w:t>Auckland University of Technology (</w:t>
      </w:r>
      <w:r w:rsidRPr="00C10A99">
        <w:t>AUT</w:t>
      </w:r>
      <w:r>
        <w:t xml:space="preserve">) </w:t>
      </w:r>
      <w:r w:rsidRPr="00C10A99">
        <w:t xml:space="preserve">of a range </w:t>
      </w:r>
      <w:r>
        <w:t xml:space="preserve">of </w:t>
      </w:r>
      <w:r w:rsidRPr="00C10A99">
        <w:t>interventions</w:t>
      </w:r>
    </w:p>
    <w:p w:rsidR="00CB68A7" w:rsidRPr="00C10A99" w:rsidRDefault="00081C46" w:rsidP="00081C46">
      <w:pPr>
        <w:pStyle w:val="Bullet"/>
        <w:keepLines/>
      </w:pPr>
      <w:r>
        <w:lastRenderedPageBreak/>
        <w:t>t</w:t>
      </w:r>
      <w:r w:rsidR="00CB68A7" w:rsidRPr="00C10A99">
        <w:t xml:space="preserve">he Central Queensland University </w:t>
      </w:r>
      <w:r w:rsidR="00CB68A7">
        <w:t xml:space="preserve">Australia </w:t>
      </w:r>
      <w:r w:rsidR="00CB68A7" w:rsidRPr="00C10A99">
        <w:t xml:space="preserve">and AUT study on the </w:t>
      </w:r>
      <w:r w:rsidR="00CB68A7" w:rsidRPr="007161AD">
        <w:t>Burden of Gambling Harm</w:t>
      </w:r>
      <w:r w:rsidR="00CB68A7" w:rsidRPr="00C10A99">
        <w:t xml:space="preserve">, which used the </w:t>
      </w:r>
      <w:r w:rsidR="00CB68A7" w:rsidRPr="007161AD">
        <w:t>Disability-Adjusted Life Year</w:t>
      </w:r>
      <w:r w:rsidR="00CB68A7" w:rsidRPr="00252C71">
        <w:rPr>
          <w:i/>
        </w:rPr>
        <w:t xml:space="preserve"> </w:t>
      </w:r>
      <w:r w:rsidR="00CB68A7" w:rsidRPr="00C10A99">
        <w:t xml:space="preserve">measure to understand the level of harm associated with gambling in the population </w:t>
      </w:r>
      <w:r w:rsidR="00CB68A7">
        <w:t>(</w:t>
      </w:r>
      <w:r w:rsidR="00CB68A7" w:rsidRPr="00C10A99">
        <w:t xml:space="preserve">This approach is novel to the gambling research field and provides an alternative measure of harm compared </w:t>
      </w:r>
      <w:r w:rsidR="00CB68A7">
        <w:t>with</w:t>
      </w:r>
      <w:r w:rsidR="00CB68A7" w:rsidRPr="00C10A99">
        <w:t xml:space="preserve"> the limited and more clinically orientated measure in the PGSI scale</w:t>
      </w:r>
      <w:r w:rsidR="00CB68A7">
        <w:t>.)</w:t>
      </w:r>
    </w:p>
    <w:p w:rsidR="00CB68A7" w:rsidRDefault="00CB68A7" w:rsidP="00081C46">
      <w:pPr>
        <w:pStyle w:val="Bullet"/>
      </w:pPr>
      <w:r w:rsidRPr="00C10A99">
        <w:t>Commissioning from the Pacific Island Famil</w:t>
      </w:r>
      <w:r>
        <w:t>ies</w:t>
      </w:r>
      <w:r w:rsidRPr="00C10A99">
        <w:t xml:space="preserve"> Study, a study of Pacific Island </w:t>
      </w:r>
      <w:r>
        <w:t>y</w:t>
      </w:r>
      <w:r w:rsidRPr="00C10A99">
        <w:t>outh, aged under 17 years, exposure to gambling.</w:t>
      </w:r>
    </w:p>
    <w:p w:rsidR="00CB68A7" w:rsidRPr="00C10A99" w:rsidRDefault="00CB68A7" w:rsidP="00081C46"/>
    <w:p w:rsidR="00CB68A7" w:rsidRPr="00C10A99" w:rsidRDefault="00CB68A7" w:rsidP="00081C46">
      <w:r w:rsidRPr="00C10A99">
        <w:t>Other significant evaluations that have commenced in the last 12 months include:</w:t>
      </w:r>
    </w:p>
    <w:p w:rsidR="00EC3578" w:rsidRDefault="00CB68A7" w:rsidP="00081C46">
      <w:pPr>
        <w:pStyle w:val="Bullet"/>
      </w:pPr>
      <w:r w:rsidRPr="00C10A99">
        <w:t xml:space="preserve">AUT and the </w:t>
      </w:r>
      <w:r>
        <w:t>Problem Gambling Foundation of New Zealand (</w:t>
      </w:r>
      <w:r w:rsidRPr="00C10A99">
        <w:t>PGF</w:t>
      </w:r>
      <w:r>
        <w:t>)</w:t>
      </w:r>
      <w:r w:rsidRPr="00C10A99">
        <w:t xml:space="preserve"> evaluation of the P</w:t>
      </w:r>
      <w:r>
        <w:t>artners for Change Outcome Management System</w:t>
      </w:r>
    </w:p>
    <w:p w:rsidR="00CB68A7" w:rsidRPr="00C10A99" w:rsidRDefault="00CB68A7" w:rsidP="00081C46">
      <w:pPr>
        <w:pStyle w:val="Bullet"/>
      </w:pPr>
      <w:proofErr w:type="spellStart"/>
      <w:r w:rsidRPr="00C10A99">
        <w:t>Malatest</w:t>
      </w:r>
      <w:proofErr w:type="spellEnd"/>
      <w:r w:rsidRPr="00C10A99">
        <w:t xml:space="preserve"> International evaluation of the Sorted </w:t>
      </w:r>
      <w:proofErr w:type="spellStart"/>
      <w:r w:rsidRPr="00C10A99">
        <w:t>Whānau</w:t>
      </w:r>
      <w:proofErr w:type="spellEnd"/>
      <w:r w:rsidRPr="00C10A99">
        <w:t xml:space="preserve"> financial literacy intervention with </w:t>
      </w:r>
      <w:r>
        <w:t xml:space="preserve">Maori and Pasifika </w:t>
      </w:r>
      <w:r w:rsidRPr="00C10A99">
        <w:t>at risk</w:t>
      </w:r>
      <w:r>
        <w:t>-</w:t>
      </w:r>
      <w:r w:rsidRPr="00C10A99">
        <w:t>population groups</w:t>
      </w:r>
    </w:p>
    <w:p w:rsidR="00EC3578" w:rsidRDefault="00CB68A7" w:rsidP="00081C46">
      <w:pPr>
        <w:pStyle w:val="Bullet"/>
      </w:pPr>
      <w:proofErr w:type="gramStart"/>
      <w:r>
        <w:t>the</w:t>
      </w:r>
      <w:proofErr w:type="gramEnd"/>
      <w:r>
        <w:t xml:space="preserve"> </w:t>
      </w:r>
      <w:proofErr w:type="spellStart"/>
      <w:r w:rsidRPr="00C10A99">
        <w:t>Malatest</w:t>
      </w:r>
      <w:proofErr w:type="spellEnd"/>
      <w:r w:rsidRPr="00C10A99">
        <w:t xml:space="preserve"> International evaluation of the efficacy of the Hawke</w:t>
      </w:r>
      <w:r w:rsidR="00EC3578">
        <w:t>’</w:t>
      </w:r>
      <w:r w:rsidRPr="00C10A99">
        <w:t>s</w:t>
      </w:r>
      <w:r>
        <w:t xml:space="preserve"> </w:t>
      </w:r>
      <w:r w:rsidRPr="00C10A99">
        <w:t xml:space="preserve">Bay </w:t>
      </w:r>
      <w:r>
        <w:t>m</w:t>
      </w:r>
      <w:r w:rsidRPr="00C10A99">
        <w:t xml:space="preserve">ulti-venue </w:t>
      </w:r>
      <w:r>
        <w:t>e</w:t>
      </w:r>
      <w:r w:rsidRPr="00C10A99">
        <w:t xml:space="preserve">xclusion </w:t>
      </w:r>
      <w:r>
        <w:t>p</w:t>
      </w:r>
      <w:r w:rsidRPr="00C10A99">
        <w:t>rocess for M</w:t>
      </w:r>
      <w:r>
        <w:t>ā</w:t>
      </w:r>
      <w:r w:rsidRPr="00C10A99">
        <w:t>ori and Pa</w:t>
      </w:r>
      <w:r>
        <w:t>s</w:t>
      </w:r>
      <w:r w:rsidRPr="00C10A99">
        <w:t xml:space="preserve">ifika </w:t>
      </w:r>
      <w:r w:rsidR="00EC3578">
        <w:t>‘</w:t>
      </w:r>
      <w:proofErr w:type="spellStart"/>
      <w:r w:rsidRPr="00C10A99">
        <w:t>exclude</w:t>
      </w:r>
      <w:r>
        <w:t>e</w:t>
      </w:r>
      <w:r w:rsidRPr="00C10A99">
        <w:t>s</w:t>
      </w:r>
      <w:proofErr w:type="spellEnd"/>
      <w:r w:rsidR="00EC3578">
        <w:t>’</w:t>
      </w:r>
      <w:r w:rsidRPr="00C10A99">
        <w:t xml:space="preserve"> and their affected others.</w:t>
      </w:r>
    </w:p>
    <w:p w:rsidR="00CB68A7" w:rsidRPr="00C10A99" w:rsidRDefault="00CB68A7" w:rsidP="00081C46"/>
    <w:p w:rsidR="00CB68A7" w:rsidRPr="00C10A99" w:rsidRDefault="00CB68A7" w:rsidP="00081C46">
      <w:pPr>
        <w:pStyle w:val="Heading2"/>
      </w:pPr>
      <w:bookmarkStart w:id="116" w:name="_Toc156877685"/>
      <w:bookmarkStart w:id="117" w:name="_Toc229279758"/>
      <w:bookmarkStart w:id="118" w:name="_Toc230066520"/>
      <w:bookmarkStart w:id="119" w:name="_Toc329860056"/>
      <w:bookmarkStart w:id="120" w:name="_Toc517090903"/>
      <w:bookmarkStart w:id="121" w:name="_Toc522089405"/>
      <w:r w:rsidRPr="00C10A99">
        <w:t>Factors considered for 20</w:t>
      </w:r>
      <w:bookmarkEnd w:id="116"/>
      <w:r w:rsidRPr="00C10A99">
        <w:t>19/20 to 2021</w:t>
      </w:r>
      <w:bookmarkEnd w:id="117"/>
      <w:bookmarkEnd w:id="118"/>
      <w:bookmarkEnd w:id="119"/>
      <w:r w:rsidRPr="00C10A99">
        <w:t>/22</w:t>
      </w:r>
      <w:bookmarkEnd w:id="120"/>
      <w:bookmarkEnd w:id="121"/>
    </w:p>
    <w:p w:rsidR="00CB68A7" w:rsidRDefault="00CB68A7" w:rsidP="00081C46">
      <w:r w:rsidRPr="00E312E8">
        <w:t xml:space="preserve">This section discusses a number of factors that the Ministry considered when developing the draft </w:t>
      </w:r>
      <w:r>
        <w:t>s</w:t>
      </w:r>
      <w:r w:rsidRPr="00E312E8">
        <w:t xml:space="preserve">ervice </w:t>
      </w:r>
      <w:r>
        <w:t>p</w:t>
      </w:r>
      <w:r w:rsidRPr="00E312E8">
        <w:t>lan for 2019/20 to 2021/22. Some of these factors suggest a changing environment and some potential volatility in service demand. Even so, the Ministry is confident that, overall, the proposed funding will be adequate to meet demand and deliver a high-quality service consistent with the requirements of the Gambling</w:t>
      </w:r>
      <w:r w:rsidRPr="00C10A99">
        <w:t xml:space="preserve"> Act 2003 and the Ministry</w:t>
      </w:r>
      <w:r w:rsidR="00EC3578">
        <w:t>’</w:t>
      </w:r>
      <w:r w:rsidRPr="00C10A99">
        <w:t>s service standards and strategic requirements.</w:t>
      </w:r>
    </w:p>
    <w:p w:rsidR="00CB68A7" w:rsidRPr="00C10A99" w:rsidRDefault="00CB68A7" w:rsidP="00081C46"/>
    <w:p w:rsidR="00CB68A7" w:rsidRPr="00C10A99" w:rsidRDefault="00CB68A7" w:rsidP="00081C46">
      <w:pPr>
        <w:pStyle w:val="Heading3"/>
      </w:pPr>
      <w:r w:rsidRPr="00C10A99">
        <w:t>The New Zealand Health Strategy</w:t>
      </w:r>
    </w:p>
    <w:p w:rsidR="00CB68A7" w:rsidRDefault="00CB68A7" w:rsidP="00081C46">
      <w:r w:rsidRPr="00C10A99">
        <w:t>The Ministry led the development of the New Zealand Health Strategy</w:t>
      </w:r>
      <w:r>
        <w:t>: Future Direction</w:t>
      </w:r>
      <w:r w:rsidRPr="00C10A99">
        <w:t>, which sets out</w:t>
      </w:r>
      <w:r>
        <w:t xml:space="preserve"> a vision of the future</w:t>
      </w:r>
      <w:r w:rsidRPr="00C10A99">
        <w:t xml:space="preserve"> </w:t>
      </w:r>
      <w:r>
        <w:t>for</w:t>
      </w:r>
      <w:r w:rsidRPr="00C10A99">
        <w:t xml:space="preserve"> the health sector in the 10 years from 2016 to 2026 and five strategic themes for the changes that will take the health system towards this future. These five strategic themes have been explicitly linked to each of the 11 </w:t>
      </w:r>
      <w:r>
        <w:t>strategic objectives and priority actions described i</w:t>
      </w:r>
      <w:r w:rsidR="00081C46">
        <w:t>n s</w:t>
      </w:r>
      <w:r>
        <w:t>ection 2.3</w:t>
      </w:r>
      <w:r w:rsidRPr="00C10A99">
        <w:t>.</w:t>
      </w:r>
    </w:p>
    <w:p w:rsidR="00CB68A7" w:rsidRPr="00C10A99" w:rsidRDefault="00CB68A7" w:rsidP="00081C46"/>
    <w:p w:rsidR="00CB68A7" w:rsidRPr="00C10A99" w:rsidRDefault="00CB68A7" w:rsidP="00081C46">
      <w:pPr>
        <w:pStyle w:val="Heading3"/>
      </w:pPr>
      <w:r w:rsidRPr="00C10A99">
        <w:t>Ongoing gambling-harm-related inequities</w:t>
      </w:r>
    </w:p>
    <w:p w:rsidR="00EC3578" w:rsidRDefault="00CB68A7" w:rsidP="00081C46">
      <w:r w:rsidRPr="00DA25C1">
        <w:t xml:space="preserve">The number of people presenting for </w:t>
      </w:r>
      <w:r>
        <w:t xml:space="preserve">gambling </w:t>
      </w:r>
      <w:r w:rsidRPr="00DA25C1">
        <w:t xml:space="preserve">support and treatment is </w:t>
      </w:r>
      <w:r>
        <w:t xml:space="preserve">consistently </w:t>
      </w:r>
      <w:r w:rsidRPr="00DA25C1">
        <w:t xml:space="preserve">lower than the numbers </w:t>
      </w:r>
      <w:r>
        <w:t>predicted from g</w:t>
      </w:r>
      <w:r w:rsidRPr="00DA25C1">
        <w:t>ambling s</w:t>
      </w:r>
      <w:r>
        <w:t>urveys</w:t>
      </w:r>
      <w:r w:rsidRPr="00DA25C1">
        <w:t xml:space="preserve"> </w:t>
      </w:r>
      <w:r>
        <w:t>that identify the population likely to be experiencing moderate to severe harm. Moreover, this number has</w:t>
      </w:r>
      <w:r w:rsidRPr="00DA25C1">
        <w:t xml:space="preserve"> not increased in line with population growth</w:t>
      </w:r>
      <w:r>
        <w:t xml:space="preserve"> either. Services appear to be reaching fewer people in need. This disconnect </w:t>
      </w:r>
      <w:r w:rsidRPr="00DA25C1">
        <w:t xml:space="preserve">suggests </w:t>
      </w:r>
      <w:r>
        <w:t xml:space="preserve">a </w:t>
      </w:r>
      <w:r w:rsidRPr="00DA25C1">
        <w:t xml:space="preserve">need to </w:t>
      </w:r>
      <w:r>
        <w:t>re</w:t>
      </w:r>
      <w:r w:rsidRPr="00DA25C1">
        <w:t xml:space="preserve">consider the effectiveness and accessibility of current </w:t>
      </w:r>
      <w:r>
        <w:t xml:space="preserve">service </w:t>
      </w:r>
      <w:r w:rsidRPr="00DA25C1">
        <w:t>interventions.</w:t>
      </w:r>
    </w:p>
    <w:p w:rsidR="00081C46" w:rsidRDefault="00081C46" w:rsidP="00081C46"/>
    <w:p w:rsidR="00CB68A7" w:rsidRDefault="00CB68A7" w:rsidP="00081C46">
      <w:pPr>
        <w:rPr>
          <w:shd w:val="clear" w:color="auto" w:fill="FFFFFF" w:themeFill="background1"/>
        </w:rPr>
      </w:pPr>
      <w:r w:rsidRPr="00C10A99">
        <w:t xml:space="preserve">There </w:t>
      </w:r>
      <w:r>
        <w:t>is</w:t>
      </w:r>
      <w:r w:rsidRPr="00C10A99">
        <w:t xml:space="preserve"> compelling evidence that Māori and Pacific peoples are more likely to suffer gambling harm as a result of their own or someone else</w:t>
      </w:r>
      <w:r w:rsidR="00EC3578">
        <w:t>’</w:t>
      </w:r>
      <w:r w:rsidRPr="00C10A99">
        <w:t xml:space="preserve">s gambling and are more likely to be at risk of future harm than other ethnic groups. </w:t>
      </w:r>
      <w:r w:rsidRPr="00240D28">
        <w:rPr>
          <w:shd w:val="clear" w:color="auto" w:fill="FFFFFF" w:themeFill="background1"/>
        </w:rPr>
        <w:t xml:space="preserve">The 2016 HLS shows that </w:t>
      </w:r>
      <w:r>
        <w:rPr>
          <w:shd w:val="clear" w:color="auto" w:fill="FFFFFF" w:themeFill="background1"/>
        </w:rPr>
        <w:t>inequities</w:t>
      </w:r>
      <w:r w:rsidRPr="00240D28">
        <w:rPr>
          <w:shd w:val="clear" w:color="auto" w:fill="FFFFFF" w:themeFill="background1"/>
        </w:rPr>
        <w:t xml:space="preserve"> remain</w:t>
      </w:r>
      <w:r>
        <w:rPr>
          <w:shd w:val="clear" w:color="auto" w:fill="FFFFFF" w:themeFill="background1"/>
        </w:rPr>
        <w:t>. E</w:t>
      </w:r>
      <w:r w:rsidRPr="00240D28">
        <w:rPr>
          <w:shd w:val="clear" w:color="auto" w:fill="FFFFFF" w:themeFill="background1"/>
        </w:rPr>
        <w:t>thnic and other disparities in the burden of harm have persisted since the first gambling survey was conducted in 1991. Reducing these health inequities will continue to be a focus in the 2019/20 to 2021/22 period.</w:t>
      </w:r>
    </w:p>
    <w:p w:rsidR="00081C46" w:rsidRDefault="00081C46" w:rsidP="00081C46">
      <w:pPr>
        <w:rPr>
          <w:shd w:val="clear" w:color="auto" w:fill="FFFFFF" w:themeFill="background1"/>
        </w:rPr>
      </w:pPr>
    </w:p>
    <w:p w:rsidR="00EC3578" w:rsidRDefault="00CB68A7" w:rsidP="00081C46">
      <w:pPr>
        <w:rPr>
          <w:shd w:val="clear" w:color="auto" w:fill="FFFFFF" w:themeFill="background1"/>
        </w:rPr>
      </w:pPr>
      <w:r>
        <w:rPr>
          <w:shd w:val="clear" w:color="auto" w:fill="FFFFFF" w:themeFill="background1"/>
        </w:rPr>
        <w:lastRenderedPageBreak/>
        <w:t>The Ministry proposes to reorient its strategic reporting to develop more timely and accessible data for the next strategy period to better inform the prevalence of gambling activities and harm in New Zealand, as well as information arising from the actions set out in the draft strategy.</w:t>
      </w:r>
    </w:p>
    <w:p w:rsidR="00CB68A7" w:rsidRDefault="00CB68A7" w:rsidP="00081C46">
      <w:pPr>
        <w:rPr>
          <w:shd w:val="clear" w:color="auto" w:fill="FFFFFF" w:themeFill="background1"/>
        </w:rPr>
      </w:pPr>
    </w:p>
    <w:p w:rsidR="00CB68A7" w:rsidRPr="00C10A99" w:rsidRDefault="00CB68A7" w:rsidP="00081C46">
      <w:pPr>
        <w:pStyle w:val="Heading3"/>
      </w:pPr>
      <w:r w:rsidRPr="00C10A99">
        <w:t>Alignment with other health and social services</w:t>
      </w:r>
    </w:p>
    <w:p w:rsidR="00CB68A7" w:rsidRDefault="00CB68A7" w:rsidP="00081C46">
      <w:r w:rsidRPr="00C10A99">
        <w:t>Rates of ha</w:t>
      </w:r>
      <w:r>
        <w:t xml:space="preserve">rmful </w:t>
      </w:r>
      <w:r w:rsidRPr="00C10A99">
        <w:t xml:space="preserve">drinking, tobacco use, other drug use and psychological distress tend to be much higher among problem gamblers (and to a lesser extent, among moderate- and low-risk gamblers) than </w:t>
      </w:r>
      <w:r>
        <w:t>among</w:t>
      </w:r>
      <w:r w:rsidRPr="00C10A99">
        <w:t xml:space="preserve"> the general population. Those living in more deprived areas are also more likely to experience gambling harm. Actions to </w:t>
      </w:r>
      <w:r>
        <w:t>better align</w:t>
      </w:r>
      <w:r w:rsidRPr="00C10A99">
        <w:t xml:space="preserve"> services </w:t>
      </w:r>
      <w:r>
        <w:t>that</w:t>
      </w:r>
      <w:r w:rsidRPr="00C10A99">
        <w:t xml:space="preserve"> prevent and minimise gambling harm </w:t>
      </w:r>
      <w:r>
        <w:t>with</w:t>
      </w:r>
      <w:r w:rsidRPr="00C10A99">
        <w:t xml:space="preserve"> other health and social services will continue to be a focus in the 2019/20 to 2021/22 period.</w:t>
      </w:r>
    </w:p>
    <w:p w:rsidR="00CB68A7" w:rsidRPr="00C10A99" w:rsidRDefault="00CB68A7" w:rsidP="00081C46"/>
    <w:p w:rsidR="00CB68A7" w:rsidRPr="00C10A99" w:rsidRDefault="00CB68A7" w:rsidP="00081C46">
      <w:pPr>
        <w:pStyle w:val="Heading3"/>
      </w:pPr>
      <w:r w:rsidRPr="00C10A99">
        <w:t>Outcomes-focused agreements</w:t>
      </w:r>
    </w:p>
    <w:p w:rsidR="00CB68A7" w:rsidRPr="00C10A99" w:rsidRDefault="00CB68A7" w:rsidP="00081C46">
      <w:r w:rsidRPr="00C10A99">
        <w:t xml:space="preserve">The Ministry of Business, Innovation and Employment has incorporated Results-Based Accountability™ principles </w:t>
      </w:r>
      <w:r w:rsidRPr="00C10A99">
        <w:rPr>
          <w:rStyle w:val="Hyperlink"/>
        </w:rPr>
        <w:t>into a streamlined contract framework that government agencies and NGOs can use to identify, measure and monitor achievement of outcomes.</w:t>
      </w:r>
    </w:p>
    <w:p w:rsidR="00081C46" w:rsidRDefault="00081C46" w:rsidP="00081C46"/>
    <w:p w:rsidR="00CB68A7" w:rsidRDefault="00CB68A7" w:rsidP="00081C46">
      <w:r w:rsidRPr="00C10A99">
        <w:t>The Ministry implemented outcomes-focused agreements incorporating these principles for its preventing and minimising gambling harm contracts during the 2016/17 to 2018/19 period but expects to refine the</w:t>
      </w:r>
      <w:r>
        <w:t>se based on learnings from evaluation and research.</w:t>
      </w:r>
    </w:p>
    <w:p w:rsidR="00CB68A7" w:rsidRPr="00C10A99" w:rsidRDefault="00CB68A7" w:rsidP="00081C46"/>
    <w:p w:rsidR="00CB68A7" w:rsidRPr="00E312E8" w:rsidRDefault="00CB68A7" w:rsidP="00081C46">
      <w:pPr>
        <w:pStyle w:val="Heading3"/>
      </w:pPr>
      <w:r w:rsidRPr="00C10A99">
        <w:t>Changes in gambling participation and expenditure</w:t>
      </w:r>
    </w:p>
    <w:p w:rsidR="00EC3578" w:rsidRDefault="00CB68A7" w:rsidP="00081C46">
      <w:r>
        <w:t>While the overall gambling participation rates as a percentage of the population have been static over the past five years</w:t>
      </w:r>
      <w:r w:rsidRPr="00CD3541">
        <w:t xml:space="preserve"> </w:t>
      </w:r>
      <w:r>
        <w:t xml:space="preserve">or so, the total numbers of </w:t>
      </w:r>
      <w:r w:rsidR="00EC3578">
        <w:t>‘</w:t>
      </w:r>
      <w:r>
        <w:t>at risk</w:t>
      </w:r>
      <w:r w:rsidR="00EC3578">
        <w:t>’</w:t>
      </w:r>
      <w:r>
        <w:t xml:space="preserve"> gamblers in the population have increased in line with population growth.</w:t>
      </w:r>
    </w:p>
    <w:p w:rsidR="00081C46" w:rsidRDefault="00081C46" w:rsidP="00081C46"/>
    <w:p w:rsidR="00EC3578" w:rsidRDefault="00CB68A7" w:rsidP="00081C46">
      <w:r w:rsidRPr="00E312E8">
        <w:t>Changes in gambling participation and expenditure tend to have long-term flow-on effects on the prevalence of gambling harm and the number of people seeking help for gambling problems</w:t>
      </w:r>
      <w:r>
        <w:t>, although the causes of problem gambling behaviour are complex</w:t>
      </w:r>
      <w:r w:rsidRPr="00E312E8">
        <w:t>.</w:t>
      </w:r>
    </w:p>
    <w:p w:rsidR="00081C46" w:rsidRDefault="00081C46" w:rsidP="00081C46"/>
    <w:p w:rsidR="00CB68A7" w:rsidRPr="00C10A99" w:rsidRDefault="00CB68A7" w:rsidP="00081C46">
      <w:r w:rsidRPr="00C10A99">
        <w:t xml:space="preserve">The overall amount gamblers spent on the </w:t>
      </w:r>
      <w:r>
        <w:t xml:space="preserve">four </w:t>
      </w:r>
      <w:r w:rsidRPr="00C10A99">
        <w:t>main form of gambling in New Zealand has increased each year since 2010/11, most recently from $2.209 billion in the 2015/16 financial year to $2.33</w:t>
      </w:r>
      <w:r>
        <w:t>4</w:t>
      </w:r>
      <w:r w:rsidRPr="00C10A99">
        <w:t xml:space="preserve"> billion in 2016/17. </w:t>
      </w:r>
      <w:r>
        <w:t>A</w:t>
      </w:r>
      <w:r w:rsidRPr="00C10A99">
        <w:t>djusting for the effects of inflation and changes to the New Zealand population (aged 18 years and over), this was an overall increase of 1.1 percent.</w:t>
      </w:r>
    </w:p>
    <w:p w:rsidR="00081C46" w:rsidRDefault="00081C46" w:rsidP="00081C46"/>
    <w:p w:rsidR="00CB68A7" w:rsidRDefault="00CB68A7" w:rsidP="00081C46">
      <w:r w:rsidRPr="00C10A99">
        <w:t xml:space="preserve">Changes in expenditure of each of the main forms of gambling are outlined in section </w:t>
      </w:r>
      <w:r>
        <w:t>4.4: The levy formula.</w:t>
      </w:r>
    </w:p>
    <w:p w:rsidR="00CB68A7" w:rsidRDefault="00CB68A7" w:rsidP="00081C46"/>
    <w:p w:rsidR="00CB68A7" w:rsidRPr="00C10A99" w:rsidRDefault="00CB68A7" w:rsidP="00081C46">
      <w:pPr>
        <w:pStyle w:val="Heading3"/>
      </w:pPr>
      <w:r w:rsidRPr="00C10A99">
        <w:t>Possible growth in online gambling</w:t>
      </w:r>
    </w:p>
    <w:p w:rsidR="00EC3578" w:rsidRDefault="00CB68A7" w:rsidP="00081C46">
      <w:r>
        <w:t xml:space="preserve">There are concerns about the potential opportunities for online gambling leading to increased gambling harm. A </w:t>
      </w:r>
      <w:r w:rsidRPr="00C10A99">
        <w:t>number of stakeholders have considered the patterns of online gambling in overseas jurisdictions and raised concerns about the potential for a dramatic increase in New Zealanders</w:t>
      </w:r>
      <w:r w:rsidR="00EC3578">
        <w:t>’</w:t>
      </w:r>
      <w:r w:rsidRPr="00C10A99">
        <w:t xml:space="preserve"> participation in online gambling</w:t>
      </w:r>
      <w:r>
        <w:t>;</w:t>
      </w:r>
      <w:r w:rsidRPr="00C10A99">
        <w:t xml:space="preserve"> due to an increase in online providers and products facilitated by rapid changes in technology, increasing ease of access </w:t>
      </w:r>
      <w:r>
        <w:t xml:space="preserve">to the </w:t>
      </w:r>
      <w:r w:rsidRPr="00C10A99">
        <w:t>internet and prevalence of digital devices.</w:t>
      </w:r>
    </w:p>
    <w:p w:rsidR="00081C46" w:rsidRDefault="00081C46" w:rsidP="00081C46"/>
    <w:p w:rsidR="00EC3578" w:rsidRDefault="00CB68A7" w:rsidP="00081C46">
      <w:r w:rsidRPr="00C10A99">
        <w:lastRenderedPageBreak/>
        <w:t xml:space="preserve">The Ministry commissioned </w:t>
      </w:r>
      <w:r>
        <w:t xml:space="preserve">AUT </w:t>
      </w:r>
      <w:r w:rsidRPr="00C10A99">
        <w:t xml:space="preserve">to examine New Zealanders overseas gambling patterns in the </w:t>
      </w:r>
      <w:r>
        <w:t>NGS</w:t>
      </w:r>
      <w:r w:rsidRPr="00C10A99">
        <w:t xml:space="preserve"> (2012, 2013, </w:t>
      </w:r>
      <w:proofErr w:type="gramStart"/>
      <w:r w:rsidRPr="00C10A99">
        <w:t>2014</w:t>
      </w:r>
      <w:proofErr w:type="gramEnd"/>
      <w:r w:rsidRPr="00C10A99">
        <w:t>). Overall,</w:t>
      </w:r>
      <w:r>
        <w:t xml:space="preserve"> the researchers found the proportion of </w:t>
      </w:r>
      <w:r w:rsidRPr="00C10A99">
        <w:t xml:space="preserve">the population </w:t>
      </w:r>
      <w:r>
        <w:t xml:space="preserve">that </w:t>
      </w:r>
      <w:r w:rsidRPr="00C10A99">
        <w:t>took part in offshore online/remote interactive gambling</w:t>
      </w:r>
      <w:r>
        <w:t xml:space="preserve"> in</w:t>
      </w:r>
      <w:r w:rsidRPr="00C10A99">
        <w:t xml:space="preserve"> 2012, 2013 and 2014</w:t>
      </w:r>
      <w:r>
        <w:t xml:space="preserve"> was very low (</w:t>
      </w:r>
      <w:r w:rsidRPr="00C10A99">
        <w:t xml:space="preserve">1.7%, 1.2% and 0.9% </w:t>
      </w:r>
      <w:r>
        <w:t xml:space="preserve">respectively). Similarly, </w:t>
      </w:r>
      <w:r w:rsidRPr="00C10A99">
        <w:t>of</w:t>
      </w:r>
      <w:r>
        <w:t xml:space="preserve"> the t</w:t>
      </w:r>
      <w:r w:rsidRPr="00C10A99">
        <w:t>otal population</w:t>
      </w:r>
      <w:r>
        <w:t>,</w:t>
      </w:r>
      <w:r w:rsidRPr="00C10A99">
        <w:t xml:space="preserve"> self-reported annual expenditure on offshore online/remote gambling was $47.6 million, $14.6 million and $36.2</w:t>
      </w:r>
      <w:r w:rsidR="00081C46">
        <w:t> </w:t>
      </w:r>
      <w:r w:rsidRPr="00C10A99">
        <w:t>million in 2012, 2013 and 2014 respectively</w:t>
      </w:r>
      <w:r>
        <w:t xml:space="preserve"> (</w:t>
      </w:r>
      <w:proofErr w:type="spellStart"/>
      <w:r>
        <w:t>Bellringer</w:t>
      </w:r>
      <w:proofErr w:type="spellEnd"/>
      <w:r>
        <w:t xml:space="preserve"> </w:t>
      </w:r>
      <w:proofErr w:type="gramStart"/>
      <w:r>
        <w:t>et</w:t>
      </w:r>
      <w:proofErr w:type="gramEnd"/>
      <w:r>
        <w:t xml:space="preserve"> all 2015)</w:t>
      </w:r>
      <w:r w:rsidRPr="00C10A99">
        <w:t>.</w:t>
      </w:r>
      <w:r>
        <w:t xml:space="preserve"> However, since that time, there has been a continuing increase in the availability of smart, internet-based technologies and devices that, coupled with convergence as discussed below, continues to present an emerging risk of gambling harm.</w:t>
      </w:r>
    </w:p>
    <w:p w:rsidR="00CB68A7" w:rsidRDefault="00CB68A7" w:rsidP="00081C46"/>
    <w:p w:rsidR="00CB68A7" w:rsidRPr="00F45ADF" w:rsidRDefault="00CB68A7" w:rsidP="00081C46">
      <w:pPr>
        <w:pStyle w:val="Heading3"/>
      </w:pPr>
      <w:r w:rsidRPr="00F45ADF">
        <w:t>Convergence between gambling and gaming</w:t>
      </w:r>
    </w:p>
    <w:p w:rsidR="00EC3578" w:rsidRDefault="00CB68A7" w:rsidP="00081C46">
      <w:pPr>
        <w:rPr>
          <w:lang w:eastAsia="zh-CN"/>
        </w:rPr>
      </w:pPr>
      <w:r>
        <w:rPr>
          <w:lang w:eastAsia="zh-CN"/>
        </w:rPr>
        <w:t xml:space="preserve">What is described here as the convergence of gambling and gaming includes two main </w:t>
      </w:r>
      <w:proofErr w:type="gramStart"/>
      <w:r>
        <w:rPr>
          <w:lang w:eastAsia="zh-CN"/>
        </w:rPr>
        <w:t>examples:</w:t>
      </w:r>
      <w:proofErr w:type="gramEnd"/>
    </w:p>
    <w:p w:rsidR="00CB68A7" w:rsidRDefault="00CB68A7" w:rsidP="00081C46">
      <w:pPr>
        <w:pStyle w:val="Bullet"/>
      </w:pPr>
      <w:r>
        <w:t xml:space="preserve">where video games include elements of what appears to be gambling (but does not currently meet the definition of gambling under the Gambling Act 2003), for example, loot boxes and spinning wheels to unlock </w:t>
      </w:r>
      <w:r w:rsidR="00EC3578">
        <w:t>‘</w:t>
      </w:r>
      <w:r>
        <w:t>power ups</w:t>
      </w:r>
      <w:r w:rsidR="00EC3578">
        <w:t>’</w:t>
      </w:r>
    </w:p>
    <w:p w:rsidR="00CB68A7" w:rsidRDefault="00CB68A7" w:rsidP="00081C46">
      <w:pPr>
        <w:pStyle w:val="Bullet"/>
      </w:pPr>
      <w:proofErr w:type="gramStart"/>
      <w:r>
        <w:t>where</w:t>
      </w:r>
      <w:proofErr w:type="gramEnd"/>
      <w:r>
        <w:t xml:space="preserve"> gambling takes on the visual and aural queues associated with gaming, for example, virtual reality-enabled Instant Kiwi tickets here in New Zealand (These games are also an example of continuous gambling and therefore pose an increased risk of harm).</w:t>
      </w:r>
    </w:p>
    <w:p w:rsidR="00081C46" w:rsidRDefault="00081C46" w:rsidP="00081C46"/>
    <w:p w:rsidR="00EC3578" w:rsidRDefault="00CB68A7" w:rsidP="00081C46">
      <w:r>
        <w:t xml:space="preserve">These factors, alongside </w:t>
      </w:r>
      <w:r w:rsidRPr="004D7AD1">
        <w:t>associated increased levels of advertising and internet</w:t>
      </w:r>
      <w:r>
        <w:t>-</w:t>
      </w:r>
      <w:r w:rsidRPr="004D7AD1">
        <w:t>based payment systems that make it easier to spend money on gambling products, suggest the emergence of new levels of exposure to high</w:t>
      </w:r>
      <w:r>
        <w:t>-</w:t>
      </w:r>
      <w:r w:rsidRPr="004D7AD1">
        <w:t xml:space="preserve">risk gambling products in </w:t>
      </w:r>
      <w:r>
        <w:t>New Zealand</w:t>
      </w:r>
      <w:r w:rsidRPr="004D7AD1">
        <w:t xml:space="preserve">, and the associated probability of gambling related harm. This includes potential harm from the growing opportunities to play simulated gambling </w:t>
      </w:r>
      <w:r w:rsidR="00EC3578">
        <w:t>‘</w:t>
      </w:r>
      <w:r w:rsidRPr="004D7AD1">
        <w:t>games</w:t>
      </w:r>
      <w:r w:rsidR="00EC3578">
        <w:t>’</w:t>
      </w:r>
      <w:r w:rsidRPr="004D7AD1">
        <w:t xml:space="preserve"> that look and feel like gambling but do not meet the definition under the </w:t>
      </w:r>
      <w:r>
        <w:t xml:space="preserve">Gambling </w:t>
      </w:r>
      <w:r w:rsidRPr="004D7AD1">
        <w:t xml:space="preserve">Act </w:t>
      </w:r>
      <w:r>
        <w:t>2003</w:t>
      </w:r>
      <w:r w:rsidRPr="004D7AD1">
        <w:t>(</w:t>
      </w:r>
      <w:proofErr w:type="spellStart"/>
      <w:r w:rsidRPr="004D7AD1">
        <w:t>eg</w:t>
      </w:r>
      <w:proofErr w:type="spellEnd"/>
      <w:r>
        <w:t>,</w:t>
      </w:r>
      <w:r w:rsidRPr="004D7AD1">
        <w:t xml:space="preserve"> there is no opportunity to stake, win or lose real money). </w:t>
      </w:r>
      <w:r>
        <w:t>For example, m</w:t>
      </w:r>
      <w:r w:rsidRPr="004D7AD1">
        <w:t xml:space="preserve">any online gambling websites promote their main site with free-to-play games that appear to be gambling. These free-to-play sites appear to avoid the Gambling Act </w:t>
      </w:r>
      <w:r>
        <w:t xml:space="preserve">2003 </w:t>
      </w:r>
      <w:r w:rsidRPr="004D7AD1">
        <w:t>prohibition on advertising overseas gambling as, by definition, no gambling is taking place on the site advertised. For example, SKYCITY launched a free-to-play online gaming site in 2015 with virtual gaming machines (simulated pokies) and table games.</w:t>
      </w:r>
    </w:p>
    <w:p w:rsidR="00081C46" w:rsidRDefault="00081C46" w:rsidP="00081C46"/>
    <w:p w:rsidR="00CB68A7" w:rsidRDefault="00CB68A7" w:rsidP="00081C46">
      <w:r w:rsidRPr="004D7AD1">
        <w:t xml:space="preserve">Other gambling providers in New Zealand have expressed interest in broadening their gambling products (moving online, increasing competitiveness with overseas markets, </w:t>
      </w:r>
      <w:proofErr w:type="spellStart"/>
      <w:r w:rsidRPr="004D7AD1">
        <w:t>etc</w:t>
      </w:r>
      <w:proofErr w:type="spellEnd"/>
      <w:r w:rsidRPr="004D7AD1">
        <w:t>).</w:t>
      </w:r>
    </w:p>
    <w:p w:rsidR="00CB68A7" w:rsidRPr="004D7AD1" w:rsidRDefault="00CB68A7" w:rsidP="00081C46"/>
    <w:p w:rsidR="00CB68A7" w:rsidRPr="00C10A99" w:rsidRDefault="00CB68A7" w:rsidP="00081C46">
      <w:pPr>
        <w:pStyle w:val="Heading3"/>
      </w:pPr>
      <w:r w:rsidRPr="00C10A99">
        <w:t>Technology-based and other innovative interventions</w:t>
      </w:r>
    </w:p>
    <w:p w:rsidR="00CB68A7" w:rsidRPr="00C10A99" w:rsidRDefault="00CB68A7" w:rsidP="00081C46">
      <w:r w:rsidRPr="00C10A99">
        <w:t>In previous years, the Ministry commissioned a feasibility study on a smart-phone application to prevent and minimise gambling harm, which was followed in the 2016/17 to 2018/19 period by a clinical trial of the app. The Ministry has also funded a multi-venue exclusion (MVE) service, part of the remit of which is to manage a secure database for all MVEs.</w:t>
      </w:r>
    </w:p>
    <w:p w:rsidR="00081C46" w:rsidRDefault="00081C46" w:rsidP="00081C46"/>
    <w:p w:rsidR="00CB68A7" w:rsidRDefault="00CB68A7" w:rsidP="00081C46">
      <w:r w:rsidRPr="00C10A99">
        <w:t xml:space="preserve">During the 2019/20 to 2021/22 period, the Ministry will continue to pilot technology-based and other innovative interventions and implement them, if pilot projects show that </w:t>
      </w:r>
      <w:r>
        <w:t>such interventions</w:t>
      </w:r>
      <w:r w:rsidRPr="00C10A99">
        <w:t xml:space="preserve"> are cost</w:t>
      </w:r>
      <w:r>
        <w:t xml:space="preserve"> </w:t>
      </w:r>
      <w:r w:rsidRPr="00C10A99">
        <w:t xml:space="preserve">effective. In particular, </w:t>
      </w:r>
      <w:r>
        <w:t xml:space="preserve">industry </w:t>
      </w:r>
      <w:r w:rsidRPr="00C10A99">
        <w:t xml:space="preserve">support has grown for facial recognition software to be incorporated into MVE processes within </w:t>
      </w:r>
      <w:r>
        <w:t xml:space="preserve">NCGM </w:t>
      </w:r>
      <w:r w:rsidRPr="00C10A99">
        <w:t xml:space="preserve">venues. The Ministry will </w:t>
      </w:r>
      <w:r>
        <w:t xml:space="preserve">monitor developments </w:t>
      </w:r>
      <w:r w:rsidRPr="00C10A99">
        <w:t>and evaluate its effectiveness at preventing and minimising gambling harm.</w:t>
      </w:r>
    </w:p>
    <w:p w:rsidR="00CB68A7" w:rsidRPr="00C10A99" w:rsidRDefault="00CB68A7" w:rsidP="00081C46"/>
    <w:p w:rsidR="00CB68A7" w:rsidRPr="00C10A99" w:rsidRDefault="00CB68A7" w:rsidP="00081C46">
      <w:pPr>
        <w:pStyle w:val="Heading3"/>
      </w:pPr>
      <w:r w:rsidRPr="00C10A99">
        <w:lastRenderedPageBreak/>
        <w:t>Legislative changes</w:t>
      </w:r>
    </w:p>
    <w:p w:rsidR="00EC3578" w:rsidRDefault="00CB68A7" w:rsidP="00081C46">
      <w:r w:rsidRPr="00226CF6">
        <w:t>There have been no recent amendments to the Gambling Act 2003</w:t>
      </w:r>
      <w:r>
        <w:t>,</w:t>
      </w:r>
      <w:r w:rsidRPr="00226CF6">
        <w:t xml:space="preserve"> and none are yet pending for the 2019/20 to 2021/22 period.</w:t>
      </w:r>
    </w:p>
    <w:p w:rsidR="00081C46" w:rsidRDefault="00081C46" w:rsidP="00081C46"/>
    <w:p w:rsidR="00EC3578" w:rsidRDefault="00CB68A7" w:rsidP="00081C46">
      <w:r w:rsidRPr="00226CF6">
        <w:t>Proposed changes to the Racing Act 2003 introduced in the Racing Amendment Bill 2017 seek to implement a range of provisions to en</w:t>
      </w:r>
      <w:r>
        <w:t>hance</w:t>
      </w:r>
      <w:r w:rsidRPr="00226CF6">
        <w:t xml:space="preserve"> the</w:t>
      </w:r>
      <w:r>
        <w:t xml:space="preserve"> ability of the</w:t>
      </w:r>
      <w:r w:rsidRPr="00226CF6">
        <w:t xml:space="preserve"> </w:t>
      </w:r>
      <w:r>
        <w:t xml:space="preserve">NZRB </w:t>
      </w:r>
      <w:r w:rsidRPr="00226CF6">
        <w:t>to compete with offshore betting operators. The Bill is currently on hold pending a review of the New Zealand racing industry</w:t>
      </w:r>
      <w:r w:rsidR="00EC3578">
        <w:t>’</w:t>
      </w:r>
      <w:r w:rsidRPr="00226CF6">
        <w:t>s governance structures</w:t>
      </w:r>
      <w:r>
        <w:t>.</w:t>
      </w:r>
    </w:p>
    <w:p w:rsidR="00CB68A7" w:rsidRPr="00E312E8" w:rsidRDefault="00CB68A7" w:rsidP="00081C46"/>
    <w:p w:rsidR="00CB68A7" w:rsidRPr="00E0156C" w:rsidRDefault="00CB68A7" w:rsidP="00081C46">
      <w:pPr>
        <w:pStyle w:val="Heading2"/>
      </w:pPr>
      <w:bookmarkStart w:id="122" w:name="_Toc156877688"/>
      <w:bookmarkStart w:id="123" w:name="_Toc229279759"/>
      <w:bookmarkStart w:id="124" w:name="_Toc230066521"/>
      <w:bookmarkStart w:id="125" w:name="_Toc329860057"/>
      <w:bookmarkStart w:id="126" w:name="_Toc421026474"/>
      <w:bookmarkStart w:id="127" w:name="_Toc517090904"/>
      <w:bookmarkStart w:id="128" w:name="_Toc522089406"/>
      <w:r w:rsidRPr="00C10A99">
        <w:t xml:space="preserve">Proposed </w:t>
      </w:r>
      <w:r>
        <w:t>s</w:t>
      </w:r>
      <w:r w:rsidRPr="00E0156C">
        <w:t xml:space="preserve">ervice </w:t>
      </w:r>
      <w:r>
        <w:t>p</w:t>
      </w:r>
      <w:r w:rsidRPr="00E0156C">
        <w:t xml:space="preserve">lan and </w:t>
      </w:r>
      <w:r>
        <w:t>f</w:t>
      </w:r>
      <w:r w:rsidRPr="00E0156C">
        <w:t>unding for 2019/20 to 2021/22</w:t>
      </w:r>
      <w:bookmarkEnd w:id="122"/>
      <w:bookmarkEnd w:id="123"/>
      <w:bookmarkEnd w:id="124"/>
      <w:bookmarkEnd w:id="125"/>
      <w:bookmarkEnd w:id="126"/>
      <w:bookmarkEnd w:id="127"/>
      <w:bookmarkEnd w:id="128"/>
    </w:p>
    <w:p w:rsidR="00CB68A7" w:rsidRPr="00C10A99" w:rsidRDefault="00CB68A7" w:rsidP="00081C46">
      <w:r w:rsidRPr="00E312E8">
        <w:rPr>
          <w:lang w:eastAsia="en-US"/>
        </w:rPr>
        <w:t xml:space="preserve">The </w:t>
      </w:r>
      <w:r>
        <w:rPr>
          <w:lang w:eastAsia="en-US"/>
        </w:rPr>
        <w:t>needs a</w:t>
      </w:r>
      <w:r w:rsidRPr="00E312E8">
        <w:rPr>
          <w:lang w:eastAsia="en-US"/>
        </w:rPr>
        <w:t xml:space="preserve">ssessment and </w:t>
      </w:r>
      <w:r>
        <w:rPr>
          <w:lang w:eastAsia="en-US"/>
        </w:rPr>
        <w:t>insights from the 2016 HLS and 2018 NGS reports h</w:t>
      </w:r>
      <w:r w:rsidRPr="00E312E8">
        <w:rPr>
          <w:lang w:eastAsia="en-US"/>
        </w:rPr>
        <w:t xml:space="preserve">ave informed the development of this draft </w:t>
      </w:r>
      <w:r>
        <w:rPr>
          <w:lang w:eastAsia="en-US"/>
        </w:rPr>
        <w:t>s</w:t>
      </w:r>
      <w:r w:rsidRPr="00E312E8">
        <w:rPr>
          <w:lang w:eastAsia="en-US"/>
        </w:rPr>
        <w:t xml:space="preserve">ervice </w:t>
      </w:r>
      <w:r>
        <w:rPr>
          <w:lang w:eastAsia="en-US"/>
        </w:rPr>
        <w:t>p</w:t>
      </w:r>
      <w:r w:rsidRPr="00E312E8">
        <w:rPr>
          <w:lang w:eastAsia="en-US"/>
        </w:rPr>
        <w:t xml:space="preserve">lan. </w:t>
      </w:r>
      <w:r w:rsidRPr="00C10A99">
        <w:rPr>
          <w:lang w:eastAsia="en-US"/>
        </w:rPr>
        <w:t>T</w:t>
      </w:r>
      <w:r w:rsidRPr="00C10A99">
        <w:t>he research and evaluation programme was also informed by a review of the Ministry</w:t>
      </w:r>
      <w:r w:rsidR="00EC3578">
        <w:t>’</w:t>
      </w:r>
      <w:r w:rsidRPr="00C10A99">
        <w:t xml:space="preserve">s research agenda (see section </w:t>
      </w:r>
      <w:r>
        <w:t>3.7: Research and evaluation</w:t>
      </w:r>
      <w:r w:rsidRPr="00C10A99">
        <w:t>)</w:t>
      </w:r>
      <w:r>
        <w:t xml:space="preserve"> and changes in the operating environment.</w:t>
      </w:r>
    </w:p>
    <w:p w:rsidR="00081C46" w:rsidRDefault="00081C46" w:rsidP="00081C46"/>
    <w:p w:rsidR="00CB68A7" w:rsidRDefault="00CB68A7" w:rsidP="00081C46">
      <w:r>
        <w:t xml:space="preserve">The needs assessment makes the case for changes in service delivery. </w:t>
      </w:r>
      <w:r w:rsidR="00907B85">
        <w:t>During this period t</w:t>
      </w:r>
      <w:r>
        <w:t xml:space="preserve">he Ministry will </w:t>
      </w:r>
      <w:r w:rsidR="00907B85">
        <w:t xml:space="preserve">introduce two new models of care into the service mix: residential care and peer support. It will also </w:t>
      </w:r>
      <w:r>
        <w:t xml:space="preserve">use opportunities to address gaps in current service provision to pilot </w:t>
      </w:r>
      <w:r w:rsidR="00907B85">
        <w:t xml:space="preserve">other </w:t>
      </w:r>
      <w:r>
        <w:t>new service models. The pilots will include both public health and intervention components and will be evaluated to inform future service provision and address areas of systemic, persistent gambling harm. To support this work, the Ministry also intends to support the establishment of a consumer network, which will inform service design and delivery.</w:t>
      </w:r>
    </w:p>
    <w:p w:rsidR="00081C46" w:rsidRDefault="00081C46" w:rsidP="00081C46"/>
    <w:p w:rsidR="00CB68A7" w:rsidRPr="00C10A99" w:rsidRDefault="00CB68A7" w:rsidP="00081C46">
      <w:r>
        <w:t>In addition, t</w:t>
      </w:r>
      <w:r w:rsidRPr="0096291A">
        <w:t xml:space="preserve">he Ministry proposes to refocus the mix of services for 2018/19 to 2021/22 to increase awareness and engagement by those at risk </w:t>
      </w:r>
      <w:r>
        <w:t>(</w:t>
      </w:r>
      <w:r w:rsidRPr="0096291A">
        <w:t>for example</w:t>
      </w:r>
      <w:r>
        <w:t>,</w:t>
      </w:r>
      <w:r w:rsidRPr="0096291A">
        <w:t xml:space="preserve"> with a greater focus on health literacy, service responsiveness and gambling host responsibility</w:t>
      </w:r>
      <w:r>
        <w:t>)</w:t>
      </w:r>
      <w:r w:rsidRPr="0096291A">
        <w:t xml:space="preserve"> and to explore new intervention initiatives, based on learning about what works from current activities, evaluation and research</w:t>
      </w:r>
      <w:r>
        <w:t>.</w:t>
      </w:r>
      <w:r w:rsidR="00F4758A">
        <w:t xml:space="preserve"> This will include an emphasis on addressing long-standing inequities for Māori and other ethnicities, both through culturally-specific services and through ‘mainstream’ services.</w:t>
      </w:r>
    </w:p>
    <w:p w:rsidR="00081C46" w:rsidRDefault="00081C46" w:rsidP="00081C46"/>
    <w:p w:rsidR="00CB68A7" w:rsidRDefault="00CB68A7" w:rsidP="00081C46">
      <w:r w:rsidRPr="00C10A99">
        <w:t xml:space="preserve">The draft </w:t>
      </w:r>
      <w:r>
        <w:t>s</w:t>
      </w:r>
      <w:r w:rsidRPr="00C10A99">
        <w:t xml:space="preserve">ervice </w:t>
      </w:r>
      <w:r>
        <w:t>p</w:t>
      </w:r>
      <w:r w:rsidRPr="00C10A99">
        <w:t xml:space="preserve">lan below </w:t>
      </w:r>
      <w:r>
        <w:t xml:space="preserve">also </w:t>
      </w:r>
      <w:r w:rsidRPr="00C10A99">
        <w:t>maintains the existing emphasis on an outcomes</w:t>
      </w:r>
      <w:r>
        <w:t>-</w:t>
      </w:r>
      <w:r w:rsidRPr="00C10A99">
        <w:t xml:space="preserve"> and results-based approach to funding services to prevent and minimise gambling harm, with a focus on achieving value for money alongside optimal service coverage. These will be further refined as findings become available from </w:t>
      </w:r>
      <w:r>
        <w:t xml:space="preserve">ongoing outcomes monitoring, </w:t>
      </w:r>
      <w:r w:rsidRPr="00C10A99">
        <w:t xml:space="preserve">relevant research and evaluation </w:t>
      </w:r>
      <w:r>
        <w:t>as noted above</w:t>
      </w:r>
      <w:r w:rsidRPr="00C10A99">
        <w:t>.</w:t>
      </w:r>
    </w:p>
    <w:p w:rsidR="00CB68A7" w:rsidRDefault="00CB68A7" w:rsidP="00081C46"/>
    <w:p w:rsidR="00EC3578" w:rsidRDefault="00CB68A7" w:rsidP="00081C46">
      <w:pPr>
        <w:pStyle w:val="Heading3"/>
      </w:pPr>
      <w:bookmarkStart w:id="129" w:name="_Toc156877681"/>
      <w:r w:rsidRPr="00C10A99">
        <w:t>Indicative budget for 2019/20 to 2021/22</w:t>
      </w:r>
    </w:p>
    <w:p w:rsidR="00CB68A7" w:rsidRPr="00C10A99" w:rsidRDefault="00CB68A7" w:rsidP="00081C46">
      <w:r w:rsidRPr="00C10A99">
        <w:t xml:space="preserve">The draft </w:t>
      </w:r>
      <w:r>
        <w:t>s</w:t>
      </w:r>
      <w:r w:rsidRPr="00C10A99">
        <w:t xml:space="preserve">ervice </w:t>
      </w:r>
      <w:r>
        <w:t>p</w:t>
      </w:r>
      <w:r w:rsidRPr="00C10A99">
        <w:t xml:space="preserve">lan outlines the services that the Ministry considers it will require for the 2019/20 to 2021/22 period to make further progress towards the objectives in the </w:t>
      </w:r>
      <w:r>
        <w:t>s</w:t>
      </w:r>
      <w:r w:rsidRPr="00C10A99">
        <w:t xml:space="preserve">trategic </w:t>
      </w:r>
      <w:r>
        <w:t>p</w:t>
      </w:r>
      <w:r w:rsidRPr="00C10A99">
        <w:t>lan. It also sets out indicative budgets for preventi</w:t>
      </w:r>
      <w:r>
        <w:t>ng</w:t>
      </w:r>
      <w:r w:rsidRPr="00C10A99">
        <w:t xml:space="preserve"> and minimis</w:t>
      </w:r>
      <w:r>
        <w:t>ing</w:t>
      </w:r>
      <w:r w:rsidRPr="00C10A99">
        <w:t xml:space="preserve"> gambling harm under the Ministry</w:t>
      </w:r>
      <w:r w:rsidR="00EC3578">
        <w:t>’</w:t>
      </w:r>
      <w:r w:rsidRPr="00C10A99">
        <w:t>s four main budget lines</w:t>
      </w:r>
      <w:r>
        <w:t xml:space="preserve"> (listed under Service Area)</w:t>
      </w:r>
      <w:r w:rsidRPr="00C10A99">
        <w:t>:</w:t>
      </w:r>
    </w:p>
    <w:p w:rsidR="00CB68A7" w:rsidRPr="00C10A99" w:rsidRDefault="00CB68A7" w:rsidP="00081C46">
      <w:pPr>
        <w:pStyle w:val="Bullet"/>
      </w:pPr>
      <w:r w:rsidRPr="00C10A99">
        <w:t>public health services</w:t>
      </w:r>
    </w:p>
    <w:p w:rsidR="00CB68A7" w:rsidRPr="00C10A99" w:rsidRDefault="00CB68A7" w:rsidP="00081C46">
      <w:pPr>
        <w:pStyle w:val="Bullet"/>
      </w:pPr>
      <w:r w:rsidRPr="00C10A99">
        <w:t>intervention services</w:t>
      </w:r>
    </w:p>
    <w:p w:rsidR="00CB68A7" w:rsidRPr="00C10A99" w:rsidRDefault="00CB68A7" w:rsidP="00081C46">
      <w:pPr>
        <w:pStyle w:val="Bullet"/>
      </w:pPr>
      <w:r w:rsidRPr="00C10A99">
        <w:t>research and evaluation</w:t>
      </w:r>
    </w:p>
    <w:p w:rsidR="00CB68A7" w:rsidRPr="00C10A99" w:rsidRDefault="00CB68A7" w:rsidP="00081C46">
      <w:pPr>
        <w:pStyle w:val="Bullet"/>
      </w:pPr>
      <w:r w:rsidRPr="00C10A99">
        <w:t>Ministry operating costs.</w:t>
      </w:r>
    </w:p>
    <w:p w:rsidR="00CB68A7" w:rsidRPr="00C10A99" w:rsidRDefault="00CB68A7" w:rsidP="005C1D13">
      <w:pPr>
        <w:spacing w:before="240"/>
      </w:pPr>
      <w:bookmarkStart w:id="130" w:name="_Toc156877700"/>
      <w:bookmarkStart w:id="131" w:name="_Toc229197708"/>
      <w:bookmarkStart w:id="132" w:name="_Toc229197715"/>
      <w:bookmarkStart w:id="133" w:name="_Toc230066541"/>
      <w:bookmarkStart w:id="134" w:name="_Toc86049958"/>
      <w:bookmarkStart w:id="135" w:name="_Toc67802933"/>
      <w:bookmarkStart w:id="136" w:name="_Toc56522591"/>
      <w:bookmarkEnd w:id="129"/>
      <w:r w:rsidRPr="00D528A0">
        <w:lastRenderedPageBreak/>
        <w:t>Table 1</w:t>
      </w:r>
      <w:r w:rsidRPr="00DF2546">
        <w:t>4</w:t>
      </w:r>
      <w:r w:rsidRPr="00C10A99">
        <w:t xml:space="preserve"> shows indicative 2019/20 to 2021/22 budgets. </w:t>
      </w:r>
      <w:r>
        <w:t>The s</w:t>
      </w:r>
      <w:r w:rsidRPr="00C10A99">
        <w:t xml:space="preserve">ections </w:t>
      </w:r>
      <w:r>
        <w:t xml:space="preserve">that follow </w:t>
      </w:r>
      <w:r w:rsidRPr="00C10A99">
        <w:t>discuss each budget line in more detail.</w:t>
      </w:r>
    </w:p>
    <w:p w:rsidR="008D0326" w:rsidRDefault="008D0326" w:rsidP="008D0326"/>
    <w:p w:rsidR="00CB68A7" w:rsidRPr="00CB41EF" w:rsidRDefault="00CB68A7" w:rsidP="008D0326">
      <w:r w:rsidRPr="00AB4396">
        <w:t>The draft three-year service plan proposes that the Ministry be appropriated $5</w:t>
      </w:r>
      <w:r w:rsidR="00F907B0">
        <w:t>5</w:t>
      </w:r>
      <w:r w:rsidRPr="00AB4396">
        <w:t xml:space="preserve">.339 million for the strategy to address each of the four elements specified in the </w:t>
      </w:r>
      <w:r>
        <w:t xml:space="preserve">Gambling </w:t>
      </w:r>
      <w:r w:rsidRPr="00AB4396">
        <w:t>Act</w:t>
      </w:r>
      <w:r>
        <w:t xml:space="preserve"> 2003</w:t>
      </w:r>
      <w:r w:rsidRPr="00AB4396">
        <w:t>, as set out in Table</w:t>
      </w:r>
      <w:r w:rsidR="00081C46">
        <w:t> </w:t>
      </w:r>
      <w:r>
        <w:t>14</w:t>
      </w:r>
      <w:r w:rsidRPr="00AB4396">
        <w:t xml:space="preserve">. This proposed level of funding </w:t>
      </w:r>
      <w:r w:rsidR="00F907B0">
        <w:t xml:space="preserve">remains the same </w:t>
      </w:r>
      <w:proofErr w:type="gramStart"/>
      <w:r w:rsidR="00F907B0">
        <w:t xml:space="preserve">as </w:t>
      </w:r>
      <w:r>
        <w:t xml:space="preserve"> </w:t>
      </w:r>
      <w:r w:rsidR="00F907B0">
        <w:t>the</w:t>
      </w:r>
      <w:proofErr w:type="gramEnd"/>
      <w:r w:rsidR="00F907B0">
        <w:t xml:space="preserve"> amount </w:t>
      </w:r>
      <w:r w:rsidRPr="00AB4396">
        <w:t>appropriat</w:t>
      </w:r>
      <w:r>
        <w:t xml:space="preserve">ed </w:t>
      </w:r>
      <w:r w:rsidRPr="00AB4396">
        <w:t xml:space="preserve">for </w:t>
      </w:r>
      <w:r w:rsidRPr="00CB41EF">
        <w:t xml:space="preserve">the 2016/17 to 2018/19 service plan. </w:t>
      </w:r>
      <w:r w:rsidR="00F907B0" w:rsidRPr="00CB41EF">
        <w:t xml:space="preserve">However the Ministry will increase the total level of funding for its </w:t>
      </w:r>
      <w:proofErr w:type="spellStart"/>
      <w:r w:rsidR="00F907B0" w:rsidRPr="00CB41EF">
        <w:t>workplan</w:t>
      </w:r>
      <w:proofErr w:type="spellEnd"/>
      <w:r w:rsidR="00F907B0" w:rsidRPr="00CB41EF">
        <w:t xml:space="preserve"> by</w:t>
      </w:r>
      <w:r w:rsidR="00BC4EBD" w:rsidRPr="00CB41EF">
        <w:t xml:space="preserve"> carrying over underspent funding of approximately $5 million</w:t>
      </w:r>
      <w:r w:rsidR="00F907B0" w:rsidRPr="00CB41EF">
        <w:t xml:space="preserve"> from the current appropriation. The </w:t>
      </w:r>
      <w:r w:rsidRPr="00CB41EF">
        <w:t>increase</w:t>
      </w:r>
      <w:r w:rsidR="00F907B0" w:rsidRPr="00CB41EF">
        <w:t xml:space="preserve"> in</w:t>
      </w:r>
      <w:r w:rsidR="00BC4EBD" w:rsidRPr="00CB41EF">
        <w:t xml:space="preserve"> total</w:t>
      </w:r>
      <w:r w:rsidR="00F907B0" w:rsidRPr="00CB41EF">
        <w:t xml:space="preserve"> funding</w:t>
      </w:r>
      <w:r w:rsidRPr="00CB41EF">
        <w:t xml:space="preserve"> is proposed because:</w:t>
      </w:r>
    </w:p>
    <w:p w:rsidR="00CB68A7" w:rsidRPr="007269AE" w:rsidRDefault="00CB68A7" w:rsidP="00081C46">
      <w:pPr>
        <w:pStyle w:val="Bullet"/>
      </w:pPr>
      <w:r w:rsidRPr="007269AE">
        <w:t xml:space="preserve">service funding levels and appropriations have remained largely unchanged since </w:t>
      </w:r>
      <w:r>
        <w:t xml:space="preserve">the </w:t>
      </w:r>
      <w:r w:rsidRPr="007269AE">
        <w:t>2008/09</w:t>
      </w:r>
      <w:r>
        <w:t xml:space="preserve"> year,</w:t>
      </w:r>
      <w:r w:rsidRPr="007269AE">
        <w:t xml:space="preserve"> but the number of </w:t>
      </w:r>
      <w:r>
        <w:t>people</w:t>
      </w:r>
      <w:r w:rsidRPr="007269AE">
        <w:t xml:space="preserve"> affected has increased in line with population growth over the past seven years</w:t>
      </w:r>
    </w:p>
    <w:p w:rsidR="00EC3578" w:rsidRDefault="00CB68A7" w:rsidP="00081C46">
      <w:pPr>
        <w:pStyle w:val="Bullet"/>
      </w:pPr>
      <w:proofErr w:type="gramStart"/>
      <w:r w:rsidRPr="007269AE">
        <w:t>for</w:t>
      </w:r>
      <w:proofErr w:type="gramEnd"/>
      <w:r w:rsidRPr="007269AE">
        <w:t xml:space="preserve"> the next levy period the Ministry proposes to change the service mix to address matters and priorities noted above.</w:t>
      </w:r>
    </w:p>
    <w:p w:rsidR="00CB68A7" w:rsidRPr="00782C8B" w:rsidRDefault="00CB68A7" w:rsidP="00081C46">
      <w:pPr>
        <w:pStyle w:val="Bullet"/>
      </w:pPr>
      <w:proofErr w:type="gramStart"/>
      <w:r w:rsidRPr="00782C8B">
        <w:t>additional</w:t>
      </w:r>
      <w:proofErr w:type="gramEnd"/>
      <w:r w:rsidRPr="00782C8B">
        <w:t xml:space="preserve"> funding will help sustain and strengthen the new interventions to address areas of systemic, persistent gambling harm and hard</w:t>
      </w:r>
      <w:r>
        <w:t>-</w:t>
      </w:r>
      <w:r w:rsidRPr="00782C8B">
        <w:t>to</w:t>
      </w:r>
      <w:r>
        <w:t>-</w:t>
      </w:r>
      <w:r w:rsidRPr="00782C8B">
        <w:t>reach communities; targeted at the priority areas indicted in the strategy.</w:t>
      </w:r>
    </w:p>
    <w:p w:rsidR="00CB68A7" w:rsidRDefault="00CB68A7" w:rsidP="00081C46"/>
    <w:p w:rsidR="00CB68A7" w:rsidRDefault="00CB68A7" w:rsidP="00081C46">
      <w:r>
        <w:t>The Ministry will consider whether this increase should be maintained in full or part in future years.</w:t>
      </w:r>
      <w:r w:rsidR="00BC4EBD">
        <w:t xml:space="preserve"> However, should the pilots proposed below </w:t>
      </w:r>
      <w:r w:rsidR="00961442">
        <w:t xml:space="preserve">during the next levy period </w:t>
      </w:r>
      <w:r w:rsidR="00BC4EBD">
        <w:t xml:space="preserve">be evaluated as being </w:t>
      </w:r>
      <w:r w:rsidR="00A37CFB">
        <w:t>successful, the Ministry will seek an increase in the appropriation accordingly</w:t>
      </w:r>
      <w:r w:rsidR="00961442">
        <w:t xml:space="preserve"> for the 2022/23</w:t>
      </w:r>
      <w:r w:rsidR="005C1D13">
        <w:t>–</w:t>
      </w:r>
      <w:r w:rsidR="00961442">
        <w:t>2025</w:t>
      </w:r>
      <w:r w:rsidR="005C1D13">
        <w:t>/</w:t>
      </w:r>
      <w:r w:rsidR="00961442">
        <w:t>26 levy period</w:t>
      </w:r>
      <w:r w:rsidR="00A37CFB">
        <w:t>.</w:t>
      </w:r>
    </w:p>
    <w:p w:rsidR="00081C46" w:rsidRDefault="00081C46" w:rsidP="00081C46"/>
    <w:p w:rsidR="00CB68A7" w:rsidRDefault="00CB68A7" w:rsidP="00081C46">
      <w:r>
        <w:t xml:space="preserve">Please note that for transparency, the underspend has not been included in the indicative budget below, and, aside from the indicative cost of the consumer network establishment  the </w:t>
      </w:r>
      <w:r w:rsidR="00961442">
        <w:t xml:space="preserve">carried over funding </w:t>
      </w:r>
      <w:r>
        <w:t xml:space="preserve"> will likely be split between public health, intervention and evaluation budgets</w:t>
      </w:r>
      <w:r w:rsidR="00961442">
        <w:t xml:space="preserve"> in the work programme for next levy period</w:t>
      </w:r>
      <w:r>
        <w:t>.</w:t>
      </w:r>
    </w:p>
    <w:p w:rsidR="00CB68A7" w:rsidRPr="007269AE" w:rsidRDefault="00CB68A7" w:rsidP="00081C46"/>
    <w:p w:rsidR="00CB68A7" w:rsidRPr="00340A98" w:rsidRDefault="00CB68A7" w:rsidP="00081C46">
      <w:pPr>
        <w:pStyle w:val="Table"/>
      </w:pPr>
      <w:bookmarkStart w:id="137" w:name="_Toc517091239"/>
      <w:bookmarkStart w:id="138" w:name="_Toc522089443"/>
      <w:r w:rsidRPr="00BC3003">
        <w:t>T</w:t>
      </w:r>
      <w:r w:rsidR="00081C46">
        <w:t>able</w:t>
      </w:r>
      <w:r w:rsidRPr="00BC3003">
        <w:t xml:space="preserve"> 14</w:t>
      </w:r>
      <w:r>
        <w:t>:</w:t>
      </w:r>
      <w:r w:rsidRPr="00BC3003">
        <w:t xml:space="preserve"> Indicative budget to prevent and minimise gambling harm (GST exclusive), 2019/20</w:t>
      </w:r>
      <w:r>
        <w:t>–20</w:t>
      </w:r>
      <w:r w:rsidRPr="00BC3003">
        <w:t>21/22</w:t>
      </w:r>
      <w:bookmarkEnd w:id="137"/>
      <w:bookmarkEnd w:id="138"/>
    </w:p>
    <w:tbl>
      <w:tblPr>
        <w:tblW w:w="9356" w:type="dxa"/>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4338"/>
        <w:gridCol w:w="1254"/>
        <w:gridCol w:w="1255"/>
        <w:gridCol w:w="1254"/>
        <w:gridCol w:w="1255"/>
      </w:tblGrid>
      <w:tr w:rsidR="00CB68A7" w:rsidRPr="00081C46" w:rsidTr="00FB3858">
        <w:trPr>
          <w:cantSplit/>
        </w:trPr>
        <w:tc>
          <w:tcPr>
            <w:tcW w:w="4338" w:type="dxa"/>
            <w:tcBorders>
              <w:top w:val="single" w:sz="4" w:space="0" w:color="auto"/>
              <w:bottom w:val="single" w:sz="4" w:space="0" w:color="auto"/>
            </w:tcBorders>
            <w:shd w:val="clear" w:color="auto" w:fill="auto"/>
            <w:noWrap/>
          </w:tcPr>
          <w:p w:rsidR="00CB68A7" w:rsidRPr="00081C46" w:rsidRDefault="00CB68A7" w:rsidP="00081C46">
            <w:pPr>
              <w:pStyle w:val="TableText"/>
              <w:rPr>
                <w:b/>
              </w:rPr>
            </w:pPr>
            <w:r w:rsidRPr="00081C46">
              <w:rPr>
                <w:b/>
              </w:rPr>
              <w:t xml:space="preserve">Service </w:t>
            </w:r>
            <w:r w:rsidR="00081C46" w:rsidRPr="00081C46">
              <w:rPr>
                <w:b/>
              </w:rPr>
              <w:t>a</w:t>
            </w:r>
            <w:r w:rsidRPr="00081C46">
              <w:rPr>
                <w:b/>
              </w:rPr>
              <w:t>rea</w:t>
            </w:r>
          </w:p>
        </w:tc>
        <w:tc>
          <w:tcPr>
            <w:tcW w:w="1254" w:type="dxa"/>
            <w:tcBorders>
              <w:top w:val="single" w:sz="4" w:space="0" w:color="auto"/>
              <w:bottom w:val="single" w:sz="4" w:space="0" w:color="auto"/>
            </w:tcBorders>
            <w:shd w:val="clear" w:color="auto" w:fill="auto"/>
            <w:noWrap/>
          </w:tcPr>
          <w:p w:rsidR="00CB68A7" w:rsidRPr="00081C46" w:rsidRDefault="00CB68A7" w:rsidP="00081C46">
            <w:pPr>
              <w:pStyle w:val="TableText"/>
              <w:jc w:val="center"/>
              <w:rPr>
                <w:b/>
              </w:rPr>
            </w:pPr>
            <w:r w:rsidRPr="00081C46">
              <w:rPr>
                <w:b/>
              </w:rPr>
              <w:t>2019/20</w:t>
            </w:r>
            <w:r w:rsidR="00081C46">
              <w:rPr>
                <w:b/>
              </w:rPr>
              <w:br/>
            </w:r>
            <w:r w:rsidRPr="00081C46">
              <w:rPr>
                <w:b/>
              </w:rPr>
              <w:t>($m)</w:t>
            </w:r>
          </w:p>
        </w:tc>
        <w:tc>
          <w:tcPr>
            <w:tcW w:w="1255" w:type="dxa"/>
            <w:tcBorders>
              <w:top w:val="single" w:sz="4" w:space="0" w:color="auto"/>
              <w:bottom w:val="single" w:sz="4" w:space="0" w:color="auto"/>
            </w:tcBorders>
            <w:shd w:val="clear" w:color="auto" w:fill="auto"/>
            <w:noWrap/>
          </w:tcPr>
          <w:p w:rsidR="00CB68A7" w:rsidRPr="00081C46" w:rsidRDefault="00CB68A7" w:rsidP="00081C46">
            <w:pPr>
              <w:pStyle w:val="TableText"/>
              <w:jc w:val="center"/>
              <w:rPr>
                <w:b/>
              </w:rPr>
            </w:pPr>
            <w:r w:rsidRPr="00081C46">
              <w:rPr>
                <w:b/>
              </w:rPr>
              <w:t>2020/21</w:t>
            </w:r>
            <w:r w:rsidR="00081C46">
              <w:rPr>
                <w:b/>
              </w:rPr>
              <w:br/>
            </w:r>
            <w:r w:rsidRPr="00081C46">
              <w:rPr>
                <w:b/>
              </w:rPr>
              <w:t>($m)</w:t>
            </w:r>
          </w:p>
        </w:tc>
        <w:tc>
          <w:tcPr>
            <w:tcW w:w="1254" w:type="dxa"/>
            <w:tcBorders>
              <w:top w:val="single" w:sz="4" w:space="0" w:color="auto"/>
              <w:bottom w:val="single" w:sz="4" w:space="0" w:color="auto"/>
            </w:tcBorders>
            <w:shd w:val="clear" w:color="auto" w:fill="auto"/>
            <w:noWrap/>
          </w:tcPr>
          <w:p w:rsidR="00CB68A7" w:rsidRPr="00081C46" w:rsidRDefault="00CB68A7" w:rsidP="00081C46">
            <w:pPr>
              <w:pStyle w:val="TableText"/>
              <w:jc w:val="center"/>
              <w:rPr>
                <w:b/>
              </w:rPr>
            </w:pPr>
            <w:r w:rsidRPr="00081C46">
              <w:rPr>
                <w:b/>
              </w:rPr>
              <w:t>2021/22</w:t>
            </w:r>
            <w:r w:rsidR="00081C46">
              <w:rPr>
                <w:b/>
              </w:rPr>
              <w:br/>
            </w:r>
            <w:r w:rsidRPr="00081C46">
              <w:rPr>
                <w:b/>
              </w:rPr>
              <w:t>($m)</w:t>
            </w:r>
          </w:p>
        </w:tc>
        <w:tc>
          <w:tcPr>
            <w:tcW w:w="1255" w:type="dxa"/>
            <w:tcBorders>
              <w:top w:val="single" w:sz="4" w:space="0" w:color="auto"/>
              <w:bottom w:val="single" w:sz="4" w:space="0" w:color="auto"/>
            </w:tcBorders>
            <w:shd w:val="clear" w:color="auto" w:fill="auto"/>
          </w:tcPr>
          <w:p w:rsidR="00CB68A7" w:rsidRPr="00081C46" w:rsidRDefault="00CB68A7" w:rsidP="00081C46">
            <w:pPr>
              <w:pStyle w:val="TableText"/>
              <w:jc w:val="center"/>
              <w:rPr>
                <w:b/>
              </w:rPr>
            </w:pPr>
            <w:r w:rsidRPr="00081C46">
              <w:rPr>
                <w:b/>
              </w:rPr>
              <w:t>Total</w:t>
            </w:r>
            <w:r w:rsidR="00081C46">
              <w:rPr>
                <w:b/>
              </w:rPr>
              <w:br/>
            </w:r>
            <w:r w:rsidRPr="00081C46">
              <w:rPr>
                <w:b/>
              </w:rPr>
              <w:t>($m)</w:t>
            </w:r>
          </w:p>
        </w:tc>
      </w:tr>
      <w:tr w:rsidR="00C641C0" w:rsidRPr="00722D81" w:rsidTr="00B30A95">
        <w:trPr>
          <w:cantSplit/>
        </w:trPr>
        <w:tc>
          <w:tcPr>
            <w:tcW w:w="4338" w:type="dxa"/>
            <w:tcBorders>
              <w:top w:val="single" w:sz="4" w:space="0" w:color="auto"/>
              <w:bottom w:val="single" w:sz="4" w:space="0" w:color="A6A6A6" w:themeColor="background1" w:themeShade="A6"/>
            </w:tcBorders>
            <w:shd w:val="clear" w:color="auto" w:fill="auto"/>
            <w:noWrap/>
          </w:tcPr>
          <w:p w:rsidR="00C641C0" w:rsidRPr="00722D81" w:rsidRDefault="00C641C0" w:rsidP="00C641C0">
            <w:pPr>
              <w:pStyle w:val="TableText"/>
            </w:pPr>
            <w:r w:rsidRPr="00722D81">
              <w:t>Public health services</w:t>
            </w:r>
            <w:r>
              <w:t xml:space="preserve"> (harm prevention and minimisation)</w:t>
            </w:r>
          </w:p>
        </w:tc>
        <w:tc>
          <w:tcPr>
            <w:tcW w:w="1254" w:type="dxa"/>
            <w:tcBorders>
              <w:top w:val="single" w:sz="4" w:space="0" w:color="auto"/>
              <w:left w:val="nil"/>
              <w:bottom w:val="single" w:sz="4" w:space="0" w:color="A6A6A6" w:themeColor="background1" w:themeShade="A6"/>
              <w:right w:val="nil"/>
            </w:tcBorders>
            <w:shd w:val="clear" w:color="auto" w:fill="auto"/>
            <w:noWrap/>
          </w:tcPr>
          <w:p w:rsidR="00C641C0" w:rsidRPr="001C426D" w:rsidRDefault="00C641C0" w:rsidP="00B30A95">
            <w:pPr>
              <w:pStyle w:val="TableText"/>
              <w:tabs>
                <w:tab w:val="decimal" w:pos="425"/>
              </w:tabs>
              <w:rPr>
                <w:rFonts w:eastAsia="Arial Unicode MS"/>
                <w:lang w:eastAsia="en-NZ"/>
              </w:rPr>
            </w:pPr>
            <w:r w:rsidRPr="00FB3858">
              <w:t>6.870</w:t>
            </w:r>
          </w:p>
        </w:tc>
        <w:tc>
          <w:tcPr>
            <w:tcW w:w="1255" w:type="dxa"/>
            <w:tcBorders>
              <w:top w:val="single" w:sz="4" w:space="0" w:color="auto"/>
              <w:left w:val="nil"/>
              <w:bottom w:val="single" w:sz="4" w:space="0" w:color="A6A6A6" w:themeColor="background1" w:themeShade="A6"/>
              <w:right w:val="nil"/>
            </w:tcBorders>
            <w:shd w:val="clear" w:color="auto" w:fill="auto"/>
            <w:noWrap/>
          </w:tcPr>
          <w:p w:rsidR="00C641C0" w:rsidRPr="00CB41EF" w:rsidRDefault="00C641C0" w:rsidP="00B30A95">
            <w:pPr>
              <w:pStyle w:val="TableText"/>
              <w:tabs>
                <w:tab w:val="decimal" w:pos="425"/>
              </w:tabs>
              <w:rPr>
                <w:rFonts w:eastAsia="Arial Unicode MS"/>
                <w:lang w:eastAsia="en-NZ"/>
              </w:rPr>
            </w:pPr>
            <w:r w:rsidRPr="00FB3858">
              <w:t>6.840</w:t>
            </w:r>
          </w:p>
        </w:tc>
        <w:tc>
          <w:tcPr>
            <w:tcW w:w="1254" w:type="dxa"/>
            <w:tcBorders>
              <w:top w:val="single" w:sz="4" w:space="0" w:color="auto"/>
              <w:left w:val="nil"/>
              <w:bottom w:val="single" w:sz="4" w:space="0" w:color="A6A6A6" w:themeColor="background1" w:themeShade="A6"/>
              <w:right w:val="nil"/>
            </w:tcBorders>
            <w:shd w:val="clear" w:color="auto" w:fill="auto"/>
            <w:noWrap/>
          </w:tcPr>
          <w:p w:rsidR="00C641C0" w:rsidRPr="00CB41EF" w:rsidRDefault="00C641C0" w:rsidP="00B30A95">
            <w:pPr>
              <w:pStyle w:val="TableText"/>
              <w:tabs>
                <w:tab w:val="decimal" w:pos="425"/>
              </w:tabs>
              <w:rPr>
                <w:rFonts w:eastAsia="Arial Unicode MS"/>
                <w:lang w:eastAsia="en-NZ"/>
              </w:rPr>
            </w:pPr>
            <w:r w:rsidRPr="00FB3858">
              <w:t>6.880</w:t>
            </w:r>
          </w:p>
        </w:tc>
        <w:tc>
          <w:tcPr>
            <w:tcW w:w="1255" w:type="dxa"/>
            <w:tcBorders>
              <w:top w:val="single" w:sz="4" w:space="0" w:color="auto"/>
              <w:left w:val="nil"/>
              <w:bottom w:val="single" w:sz="4" w:space="0" w:color="A6A6A6" w:themeColor="background1" w:themeShade="A6"/>
              <w:right w:val="nil"/>
            </w:tcBorders>
            <w:shd w:val="clear" w:color="auto" w:fill="auto"/>
          </w:tcPr>
          <w:p w:rsidR="00C641C0" w:rsidRPr="001C426D" w:rsidRDefault="00C641C0" w:rsidP="00B30A95">
            <w:pPr>
              <w:pStyle w:val="TableText"/>
              <w:tabs>
                <w:tab w:val="decimal" w:pos="425"/>
              </w:tabs>
              <w:rPr>
                <w:rFonts w:eastAsia="Arial Unicode MS"/>
                <w:lang w:eastAsia="en-NZ"/>
              </w:rPr>
            </w:pPr>
            <w:r>
              <w:t>20.590</w:t>
            </w:r>
          </w:p>
        </w:tc>
      </w:tr>
      <w:tr w:rsidR="00C641C0" w:rsidRPr="00722D81" w:rsidTr="00B30A95">
        <w:trPr>
          <w:cantSplit/>
        </w:trPr>
        <w:tc>
          <w:tcPr>
            <w:tcW w:w="4338" w:type="dxa"/>
            <w:tcBorders>
              <w:top w:val="single" w:sz="4" w:space="0" w:color="A6A6A6" w:themeColor="background1" w:themeShade="A6"/>
              <w:bottom w:val="single" w:sz="4" w:space="0" w:color="A6A6A6" w:themeColor="background1" w:themeShade="A6"/>
            </w:tcBorders>
            <w:shd w:val="clear" w:color="auto" w:fill="auto"/>
            <w:noWrap/>
          </w:tcPr>
          <w:p w:rsidR="00C641C0" w:rsidRPr="00722D81" w:rsidRDefault="00C641C0" w:rsidP="00C641C0">
            <w:pPr>
              <w:pStyle w:val="TableText"/>
            </w:pPr>
            <w:r w:rsidRPr="00722D81">
              <w:t>Intervention services</w:t>
            </w:r>
            <w:r>
              <w:t xml:space="preserve"> (treat and help problem gamblers and their families/</w:t>
            </w:r>
            <w:proofErr w:type="spellStart"/>
            <w:r>
              <w:t>wh</w:t>
            </w:r>
            <w:r>
              <w:rPr>
                <w:rFonts w:cs="Arial"/>
              </w:rPr>
              <w:t>ā</w:t>
            </w:r>
            <w:r>
              <w:t>nau</w:t>
            </w:r>
            <w:proofErr w:type="spellEnd"/>
            <w:r>
              <w:t>)</w:t>
            </w:r>
          </w:p>
        </w:tc>
        <w:tc>
          <w:tcPr>
            <w:tcW w:w="1254" w:type="dxa"/>
            <w:tcBorders>
              <w:top w:val="single" w:sz="4" w:space="0" w:color="A6A6A6" w:themeColor="background1" w:themeShade="A6"/>
              <w:left w:val="nil"/>
              <w:bottom w:val="single" w:sz="4" w:space="0" w:color="A6A6A6" w:themeColor="background1" w:themeShade="A6"/>
              <w:right w:val="nil"/>
            </w:tcBorders>
            <w:shd w:val="clear" w:color="auto" w:fill="auto"/>
            <w:noWrap/>
          </w:tcPr>
          <w:p w:rsidR="00C641C0" w:rsidRPr="001C426D" w:rsidRDefault="00C641C0" w:rsidP="00B30A95">
            <w:pPr>
              <w:pStyle w:val="TableText"/>
              <w:tabs>
                <w:tab w:val="decimal" w:pos="425"/>
              </w:tabs>
              <w:rPr>
                <w:rFonts w:eastAsia="Arial Unicode MS"/>
                <w:lang w:eastAsia="en-NZ"/>
              </w:rPr>
            </w:pPr>
            <w:r>
              <w:t>8.461</w:t>
            </w:r>
          </w:p>
        </w:tc>
        <w:tc>
          <w:tcPr>
            <w:tcW w:w="1255" w:type="dxa"/>
            <w:tcBorders>
              <w:top w:val="single" w:sz="4" w:space="0" w:color="A6A6A6" w:themeColor="background1" w:themeShade="A6"/>
              <w:left w:val="nil"/>
              <w:bottom w:val="single" w:sz="4" w:space="0" w:color="A6A6A6" w:themeColor="background1" w:themeShade="A6"/>
              <w:right w:val="nil"/>
            </w:tcBorders>
            <w:shd w:val="clear" w:color="auto" w:fill="auto"/>
            <w:noWrap/>
          </w:tcPr>
          <w:p w:rsidR="00C641C0" w:rsidRPr="00CB41EF" w:rsidRDefault="00C641C0" w:rsidP="00B30A95">
            <w:pPr>
              <w:pStyle w:val="TableText"/>
              <w:tabs>
                <w:tab w:val="decimal" w:pos="425"/>
              </w:tabs>
              <w:rPr>
                <w:rFonts w:eastAsia="Arial Unicode MS"/>
                <w:lang w:eastAsia="en-NZ"/>
              </w:rPr>
            </w:pPr>
            <w:r w:rsidRPr="00FB3858">
              <w:t>8.361</w:t>
            </w:r>
          </w:p>
        </w:tc>
        <w:tc>
          <w:tcPr>
            <w:tcW w:w="1254" w:type="dxa"/>
            <w:tcBorders>
              <w:top w:val="single" w:sz="4" w:space="0" w:color="A6A6A6" w:themeColor="background1" w:themeShade="A6"/>
              <w:left w:val="nil"/>
              <w:bottom w:val="single" w:sz="4" w:space="0" w:color="A6A6A6" w:themeColor="background1" w:themeShade="A6"/>
              <w:right w:val="nil"/>
            </w:tcBorders>
            <w:shd w:val="clear" w:color="auto" w:fill="auto"/>
            <w:noWrap/>
          </w:tcPr>
          <w:p w:rsidR="00C641C0" w:rsidRPr="00CB41EF" w:rsidRDefault="00C641C0" w:rsidP="00B30A95">
            <w:pPr>
              <w:pStyle w:val="TableText"/>
              <w:tabs>
                <w:tab w:val="decimal" w:pos="425"/>
              </w:tabs>
              <w:rPr>
                <w:rFonts w:eastAsia="Arial Unicode MS"/>
                <w:lang w:eastAsia="en-NZ"/>
              </w:rPr>
            </w:pPr>
            <w:r w:rsidRPr="00FB3858">
              <w:t>8.361</w:t>
            </w:r>
          </w:p>
        </w:tc>
        <w:tc>
          <w:tcPr>
            <w:tcW w:w="1255" w:type="dxa"/>
            <w:tcBorders>
              <w:top w:val="single" w:sz="4" w:space="0" w:color="A6A6A6" w:themeColor="background1" w:themeShade="A6"/>
              <w:left w:val="nil"/>
              <w:bottom w:val="single" w:sz="4" w:space="0" w:color="A6A6A6" w:themeColor="background1" w:themeShade="A6"/>
              <w:right w:val="nil"/>
            </w:tcBorders>
            <w:shd w:val="clear" w:color="auto" w:fill="auto"/>
          </w:tcPr>
          <w:p w:rsidR="00C641C0" w:rsidRPr="001C426D" w:rsidRDefault="00C641C0" w:rsidP="00B30A95">
            <w:pPr>
              <w:pStyle w:val="TableText"/>
              <w:tabs>
                <w:tab w:val="decimal" w:pos="425"/>
              </w:tabs>
              <w:rPr>
                <w:rFonts w:eastAsia="Arial Unicode MS"/>
                <w:lang w:eastAsia="en-NZ"/>
              </w:rPr>
            </w:pPr>
            <w:r>
              <w:t>25.183</w:t>
            </w:r>
          </w:p>
        </w:tc>
      </w:tr>
      <w:tr w:rsidR="00C641C0" w:rsidRPr="00722D81" w:rsidTr="00B30A95">
        <w:trPr>
          <w:cantSplit/>
        </w:trPr>
        <w:tc>
          <w:tcPr>
            <w:tcW w:w="4338" w:type="dxa"/>
            <w:tcBorders>
              <w:top w:val="single" w:sz="4" w:space="0" w:color="A6A6A6" w:themeColor="background1" w:themeShade="A6"/>
              <w:bottom w:val="single" w:sz="4" w:space="0" w:color="A6A6A6" w:themeColor="background1" w:themeShade="A6"/>
            </w:tcBorders>
            <w:shd w:val="clear" w:color="auto" w:fill="auto"/>
            <w:noWrap/>
          </w:tcPr>
          <w:p w:rsidR="00C641C0" w:rsidRPr="00722D81" w:rsidRDefault="00C641C0" w:rsidP="00C641C0">
            <w:pPr>
              <w:pStyle w:val="TableText"/>
            </w:pPr>
            <w:r w:rsidRPr="00722D81">
              <w:t>Research and evaluation</w:t>
            </w:r>
          </w:p>
        </w:tc>
        <w:tc>
          <w:tcPr>
            <w:tcW w:w="1254" w:type="dxa"/>
            <w:tcBorders>
              <w:top w:val="single" w:sz="4" w:space="0" w:color="A6A6A6" w:themeColor="background1" w:themeShade="A6"/>
              <w:left w:val="nil"/>
              <w:bottom w:val="single" w:sz="4" w:space="0" w:color="A6A6A6" w:themeColor="background1" w:themeShade="A6"/>
              <w:right w:val="nil"/>
            </w:tcBorders>
            <w:shd w:val="clear" w:color="auto" w:fill="auto"/>
            <w:noWrap/>
          </w:tcPr>
          <w:p w:rsidR="00C641C0" w:rsidRPr="001C426D" w:rsidRDefault="00C641C0" w:rsidP="00B30A95">
            <w:pPr>
              <w:pStyle w:val="TableText"/>
              <w:tabs>
                <w:tab w:val="decimal" w:pos="425"/>
              </w:tabs>
              <w:rPr>
                <w:rFonts w:eastAsia="Arial Unicode MS"/>
                <w:lang w:eastAsia="en-NZ"/>
              </w:rPr>
            </w:pPr>
            <w:r>
              <w:t>2.209</w:t>
            </w:r>
          </w:p>
        </w:tc>
        <w:tc>
          <w:tcPr>
            <w:tcW w:w="1255" w:type="dxa"/>
            <w:tcBorders>
              <w:top w:val="single" w:sz="4" w:space="0" w:color="A6A6A6" w:themeColor="background1" w:themeShade="A6"/>
              <w:left w:val="nil"/>
              <w:bottom w:val="single" w:sz="4" w:space="0" w:color="A6A6A6" w:themeColor="background1" w:themeShade="A6"/>
              <w:right w:val="nil"/>
            </w:tcBorders>
            <w:shd w:val="clear" w:color="auto" w:fill="auto"/>
            <w:noWrap/>
          </w:tcPr>
          <w:p w:rsidR="00C641C0" w:rsidRPr="001C426D" w:rsidRDefault="00C641C0" w:rsidP="00B30A95">
            <w:pPr>
              <w:pStyle w:val="TableText"/>
              <w:tabs>
                <w:tab w:val="decimal" w:pos="425"/>
              </w:tabs>
              <w:rPr>
                <w:rFonts w:eastAsia="Arial Unicode MS"/>
                <w:lang w:eastAsia="en-NZ"/>
              </w:rPr>
            </w:pPr>
            <w:r>
              <w:t>2.210</w:t>
            </w:r>
          </w:p>
        </w:tc>
        <w:tc>
          <w:tcPr>
            <w:tcW w:w="1254" w:type="dxa"/>
            <w:tcBorders>
              <w:top w:val="single" w:sz="4" w:space="0" w:color="A6A6A6" w:themeColor="background1" w:themeShade="A6"/>
              <w:left w:val="nil"/>
              <w:bottom w:val="single" w:sz="4" w:space="0" w:color="A6A6A6" w:themeColor="background1" w:themeShade="A6"/>
              <w:right w:val="nil"/>
            </w:tcBorders>
            <w:shd w:val="clear" w:color="auto" w:fill="auto"/>
            <w:noWrap/>
          </w:tcPr>
          <w:p w:rsidR="00C641C0" w:rsidRPr="001C426D" w:rsidRDefault="00C641C0" w:rsidP="00B30A95">
            <w:pPr>
              <w:pStyle w:val="TableText"/>
              <w:tabs>
                <w:tab w:val="decimal" w:pos="425"/>
              </w:tabs>
              <w:rPr>
                <w:rFonts w:eastAsia="Arial Unicode MS"/>
                <w:lang w:eastAsia="en-NZ"/>
              </w:rPr>
            </w:pPr>
            <w:r>
              <w:t>2.210</w:t>
            </w:r>
          </w:p>
        </w:tc>
        <w:tc>
          <w:tcPr>
            <w:tcW w:w="1255" w:type="dxa"/>
            <w:tcBorders>
              <w:top w:val="single" w:sz="4" w:space="0" w:color="A6A6A6" w:themeColor="background1" w:themeShade="A6"/>
              <w:left w:val="nil"/>
              <w:bottom w:val="single" w:sz="4" w:space="0" w:color="A6A6A6" w:themeColor="background1" w:themeShade="A6"/>
              <w:right w:val="nil"/>
            </w:tcBorders>
            <w:shd w:val="clear" w:color="auto" w:fill="auto"/>
          </w:tcPr>
          <w:p w:rsidR="00C641C0" w:rsidRPr="001C426D" w:rsidRDefault="00C641C0" w:rsidP="00B30A95">
            <w:pPr>
              <w:pStyle w:val="TableText"/>
              <w:tabs>
                <w:tab w:val="decimal" w:pos="425"/>
              </w:tabs>
              <w:rPr>
                <w:rFonts w:eastAsia="Arial Unicode MS"/>
                <w:lang w:eastAsia="en-NZ"/>
              </w:rPr>
            </w:pPr>
            <w:r>
              <w:t>6.629</w:t>
            </w:r>
          </w:p>
        </w:tc>
      </w:tr>
      <w:tr w:rsidR="00C641C0" w:rsidRPr="00722D81" w:rsidTr="00B30A95">
        <w:trPr>
          <w:cantSplit/>
        </w:trPr>
        <w:tc>
          <w:tcPr>
            <w:tcW w:w="4338" w:type="dxa"/>
            <w:tcBorders>
              <w:top w:val="single" w:sz="4" w:space="0" w:color="A6A6A6" w:themeColor="background1" w:themeShade="A6"/>
              <w:bottom w:val="single" w:sz="4" w:space="0" w:color="auto"/>
            </w:tcBorders>
            <w:shd w:val="clear" w:color="auto" w:fill="auto"/>
            <w:noWrap/>
          </w:tcPr>
          <w:p w:rsidR="00C641C0" w:rsidRPr="00722D81" w:rsidRDefault="00C641C0" w:rsidP="00C641C0">
            <w:pPr>
              <w:pStyle w:val="TableText"/>
            </w:pPr>
            <w:r w:rsidRPr="00722D81">
              <w:t>Ministry operating costs</w:t>
            </w:r>
          </w:p>
        </w:tc>
        <w:tc>
          <w:tcPr>
            <w:tcW w:w="1254" w:type="dxa"/>
            <w:tcBorders>
              <w:top w:val="single" w:sz="4" w:space="0" w:color="A6A6A6" w:themeColor="background1" w:themeShade="A6"/>
              <w:left w:val="nil"/>
              <w:bottom w:val="single" w:sz="4" w:space="0" w:color="auto"/>
              <w:right w:val="nil"/>
            </w:tcBorders>
            <w:shd w:val="clear" w:color="auto" w:fill="auto"/>
            <w:noWrap/>
          </w:tcPr>
          <w:p w:rsidR="00C641C0" w:rsidRPr="001C426D" w:rsidRDefault="00C641C0" w:rsidP="00B30A95">
            <w:pPr>
              <w:pStyle w:val="TableText"/>
              <w:tabs>
                <w:tab w:val="decimal" w:pos="425"/>
              </w:tabs>
              <w:rPr>
                <w:rFonts w:eastAsia="Arial Unicode MS"/>
                <w:lang w:eastAsia="en-NZ"/>
              </w:rPr>
            </w:pPr>
            <w:r>
              <w:t>0.957</w:t>
            </w:r>
          </w:p>
        </w:tc>
        <w:tc>
          <w:tcPr>
            <w:tcW w:w="1255" w:type="dxa"/>
            <w:tcBorders>
              <w:top w:val="single" w:sz="4" w:space="0" w:color="A6A6A6" w:themeColor="background1" w:themeShade="A6"/>
              <w:left w:val="nil"/>
              <w:bottom w:val="single" w:sz="4" w:space="0" w:color="auto"/>
              <w:right w:val="nil"/>
            </w:tcBorders>
            <w:shd w:val="clear" w:color="auto" w:fill="auto"/>
            <w:noWrap/>
          </w:tcPr>
          <w:p w:rsidR="00C641C0" w:rsidRPr="001C426D" w:rsidRDefault="00C641C0" w:rsidP="00B30A95">
            <w:pPr>
              <w:pStyle w:val="TableText"/>
              <w:tabs>
                <w:tab w:val="decimal" w:pos="425"/>
              </w:tabs>
              <w:rPr>
                <w:rFonts w:eastAsia="Arial Unicode MS"/>
                <w:lang w:eastAsia="en-NZ"/>
              </w:rPr>
            </w:pPr>
            <w:r>
              <w:t>0.990</w:t>
            </w:r>
          </w:p>
        </w:tc>
        <w:tc>
          <w:tcPr>
            <w:tcW w:w="1254" w:type="dxa"/>
            <w:tcBorders>
              <w:top w:val="single" w:sz="4" w:space="0" w:color="A6A6A6" w:themeColor="background1" w:themeShade="A6"/>
              <w:left w:val="nil"/>
              <w:bottom w:val="single" w:sz="4" w:space="0" w:color="auto"/>
              <w:right w:val="nil"/>
            </w:tcBorders>
            <w:shd w:val="clear" w:color="auto" w:fill="auto"/>
            <w:noWrap/>
          </w:tcPr>
          <w:p w:rsidR="00C641C0" w:rsidRPr="001C426D" w:rsidRDefault="00C641C0" w:rsidP="00B30A95">
            <w:pPr>
              <w:pStyle w:val="TableText"/>
              <w:tabs>
                <w:tab w:val="decimal" w:pos="425"/>
              </w:tabs>
              <w:rPr>
                <w:rFonts w:eastAsia="Arial Unicode MS"/>
                <w:lang w:eastAsia="en-NZ"/>
              </w:rPr>
            </w:pPr>
            <w:r>
              <w:t>0.990</w:t>
            </w:r>
          </w:p>
        </w:tc>
        <w:tc>
          <w:tcPr>
            <w:tcW w:w="1255" w:type="dxa"/>
            <w:tcBorders>
              <w:top w:val="single" w:sz="4" w:space="0" w:color="A6A6A6" w:themeColor="background1" w:themeShade="A6"/>
              <w:left w:val="nil"/>
              <w:bottom w:val="single" w:sz="4" w:space="0" w:color="auto"/>
              <w:right w:val="nil"/>
            </w:tcBorders>
            <w:shd w:val="clear" w:color="auto" w:fill="auto"/>
          </w:tcPr>
          <w:p w:rsidR="00C641C0" w:rsidRPr="001C426D" w:rsidRDefault="00C641C0" w:rsidP="00B30A95">
            <w:pPr>
              <w:pStyle w:val="TableText"/>
              <w:tabs>
                <w:tab w:val="decimal" w:pos="425"/>
              </w:tabs>
              <w:rPr>
                <w:rFonts w:eastAsia="Arial Unicode MS"/>
                <w:lang w:eastAsia="en-NZ"/>
              </w:rPr>
            </w:pPr>
            <w:r>
              <w:t>2.937</w:t>
            </w:r>
          </w:p>
        </w:tc>
      </w:tr>
      <w:tr w:rsidR="00C641C0" w:rsidRPr="00081C46" w:rsidTr="00B30A95">
        <w:trPr>
          <w:cantSplit/>
        </w:trPr>
        <w:tc>
          <w:tcPr>
            <w:tcW w:w="4338" w:type="dxa"/>
            <w:tcBorders>
              <w:top w:val="single" w:sz="4" w:space="0" w:color="auto"/>
            </w:tcBorders>
            <w:shd w:val="clear" w:color="auto" w:fill="auto"/>
            <w:noWrap/>
          </w:tcPr>
          <w:p w:rsidR="00C641C0" w:rsidRPr="00081C46" w:rsidRDefault="00C641C0" w:rsidP="00C641C0">
            <w:pPr>
              <w:pStyle w:val="TableText"/>
              <w:rPr>
                <w:b/>
              </w:rPr>
            </w:pPr>
            <w:r w:rsidRPr="00081C46">
              <w:rPr>
                <w:b/>
              </w:rPr>
              <w:t>Total ($m)</w:t>
            </w:r>
          </w:p>
        </w:tc>
        <w:tc>
          <w:tcPr>
            <w:tcW w:w="1254" w:type="dxa"/>
            <w:tcBorders>
              <w:top w:val="single" w:sz="4" w:space="0" w:color="auto"/>
              <w:left w:val="nil"/>
              <w:bottom w:val="single" w:sz="4" w:space="0" w:color="auto"/>
              <w:right w:val="nil"/>
            </w:tcBorders>
            <w:shd w:val="clear" w:color="auto" w:fill="auto"/>
            <w:noWrap/>
          </w:tcPr>
          <w:p w:rsidR="00C641C0" w:rsidRPr="00B30A95" w:rsidRDefault="00C641C0" w:rsidP="00B30A95">
            <w:pPr>
              <w:pStyle w:val="TableText"/>
              <w:tabs>
                <w:tab w:val="decimal" w:pos="425"/>
              </w:tabs>
              <w:rPr>
                <w:rFonts w:eastAsia="Arial Unicode MS"/>
                <w:b/>
                <w:lang w:eastAsia="en-NZ"/>
              </w:rPr>
            </w:pPr>
            <w:r w:rsidRPr="00B30A95">
              <w:rPr>
                <w:b/>
              </w:rPr>
              <w:t>18.497</w:t>
            </w:r>
          </w:p>
        </w:tc>
        <w:tc>
          <w:tcPr>
            <w:tcW w:w="1255" w:type="dxa"/>
            <w:tcBorders>
              <w:top w:val="single" w:sz="4" w:space="0" w:color="auto"/>
              <w:left w:val="nil"/>
              <w:bottom w:val="single" w:sz="4" w:space="0" w:color="auto"/>
              <w:right w:val="nil"/>
            </w:tcBorders>
            <w:shd w:val="clear" w:color="auto" w:fill="auto"/>
            <w:noWrap/>
          </w:tcPr>
          <w:p w:rsidR="00C641C0" w:rsidRPr="00B30A95" w:rsidRDefault="00C641C0" w:rsidP="00B30A95">
            <w:pPr>
              <w:pStyle w:val="TableText"/>
              <w:tabs>
                <w:tab w:val="decimal" w:pos="425"/>
              </w:tabs>
              <w:rPr>
                <w:rFonts w:eastAsia="Arial Unicode MS"/>
                <w:b/>
                <w:lang w:eastAsia="en-NZ"/>
              </w:rPr>
            </w:pPr>
            <w:r w:rsidRPr="00B30A95">
              <w:rPr>
                <w:b/>
              </w:rPr>
              <w:t>18.401</w:t>
            </w:r>
          </w:p>
        </w:tc>
        <w:tc>
          <w:tcPr>
            <w:tcW w:w="1254" w:type="dxa"/>
            <w:tcBorders>
              <w:top w:val="single" w:sz="4" w:space="0" w:color="auto"/>
              <w:left w:val="nil"/>
              <w:bottom w:val="single" w:sz="4" w:space="0" w:color="auto"/>
              <w:right w:val="nil"/>
            </w:tcBorders>
            <w:shd w:val="clear" w:color="auto" w:fill="auto"/>
            <w:noWrap/>
          </w:tcPr>
          <w:p w:rsidR="00C641C0" w:rsidRPr="00B30A95" w:rsidRDefault="00C641C0" w:rsidP="00B30A95">
            <w:pPr>
              <w:pStyle w:val="TableText"/>
              <w:tabs>
                <w:tab w:val="decimal" w:pos="425"/>
              </w:tabs>
              <w:rPr>
                <w:rFonts w:eastAsia="Arial Unicode MS"/>
                <w:b/>
                <w:lang w:eastAsia="en-NZ"/>
              </w:rPr>
            </w:pPr>
            <w:r w:rsidRPr="00B30A95">
              <w:rPr>
                <w:b/>
              </w:rPr>
              <w:t>18.441</w:t>
            </w:r>
          </w:p>
        </w:tc>
        <w:tc>
          <w:tcPr>
            <w:tcW w:w="1255" w:type="dxa"/>
            <w:tcBorders>
              <w:top w:val="single" w:sz="4" w:space="0" w:color="auto"/>
              <w:left w:val="nil"/>
              <w:bottom w:val="single" w:sz="4" w:space="0" w:color="auto"/>
              <w:right w:val="nil"/>
            </w:tcBorders>
            <w:shd w:val="clear" w:color="auto" w:fill="auto"/>
          </w:tcPr>
          <w:p w:rsidR="00C641C0" w:rsidRPr="00B30A95" w:rsidRDefault="00C641C0" w:rsidP="00B30A95">
            <w:pPr>
              <w:pStyle w:val="TableText"/>
              <w:tabs>
                <w:tab w:val="decimal" w:pos="425"/>
              </w:tabs>
              <w:rPr>
                <w:rFonts w:eastAsia="Arial Unicode MS"/>
                <w:b/>
                <w:lang w:eastAsia="en-NZ"/>
              </w:rPr>
            </w:pPr>
            <w:r w:rsidRPr="00B30A95">
              <w:rPr>
                <w:b/>
              </w:rPr>
              <w:t>55.339</w:t>
            </w:r>
          </w:p>
        </w:tc>
      </w:tr>
    </w:tbl>
    <w:p w:rsidR="00CB68A7" w:rsidRPr="00E312E8" w:rsidRDefault="00CB68A7" w:rsidP="00081C46">
      <w:bookmarkStart w:id="139" w:name="_Toc86049953"/>
      <w:bookmarkStart w:id="140" w:name="_Toc67802931"/>
      <w:bookmarkStart w:id="141" w:name="_Toc130094859"/>
    </w:p>
    <w:p w:rsidR="00CB68A7" w:rsidRPr="00C10A99" w:rsidRDefault="00CB68A7" w:rsidP="00081C46">
      <w:pPr>
        <w:pStyle w:val="Heading2"/>
      </w:pPr>
      <w:bookmarkStart w:id="142" w:name="_Toc59414782"/>
      <w:bookmarkStart w:id="143" w:name="_Toc56522595"/>
      <w:bookmarkStart w:id="144" w:name="_Toc229279764"/>
      <w:bookmarkStart w:id="145" w:name="_Toc517090905"/>
      <w:bookmarkStart w:id="146" w:name="_Toc522089407"/>
      <w:bookmarkEnd w:id="139"/>
      <w:bookmarkEnd w:id="140"/>
      <w:bookmarkEnd w:id="141"/>
      <w:r w:rsidRPr="00C10A99">
        <w:t>Public health</w:t>
      </w:r>
      <w:bookmarkEnd w:id="142"/>
      <w:bookmarkEnd w:id="143"/>
      <w:r w:rsidRPr="00C10A99">
        <w:t xml:space="preserve"> services</w:t>
      </w:r>
      <w:bookmarkEnd w:id="144"/>
      <w:bookmarkEnd w:id="145"/>
      <w:bookmarkEnd w:id="146"/>
    </w:p>
    <w:p w:rsidR="00CB68A7" w:rsidRPr="00E312E8" w:rsidRDefault="00CB68A7" w:rsidP="00B30A95">
      <w:r w:rsidRPr="00E312E8">
        <w:t xml:space="preserve">Internationally, </w:t>
      </w:r>
      <w:r>
        <w:t>New Zealand</w:t>
      </w:r>
      <w:r w:rsidR="00EC3578">
        <w:t>’</w:t>
      </w:r>
      <w:r>
        <w:t>s</w:t>
      </w:r>
      <w:r w:rsidRPr="00E312E8">
        <w:t xml:space="preserve"> public health approach to preventing and minimising gambling harm is seen as a strength of </w:t>
      </w:r>
      <w:r>
        <w:t>our</w:t>
      </w:r>
      <w:r w:rsidRPr="00E312E8">
        <w:t xml:space="preserve"> integrated strategy.</w:t>
      </w:r>
    </w:p>
    <w:p w:rsidR="00081C46" w:rsidRDefault="00081C46" w:rsidP="00B30A95"/>
    <w:p w:rsidR="00EC3578" w:rsidRDefault="00CB68A7" w:rsidP="00B30A95">
      <w:r w:rsidRPr="00E312E8">
        <w:t xml:space="preserve">The indicative budget for public health services for the 2019/20 to 2021/22 period is largely unchanged from the previous </w:t>
      </w:r>
      <w:r>
        <w:t xml:space="preserve">funding </w:t>
      </w:r>
      <w:r w:rsidRPr="00E312E8">
        <w:t>period (</w:t>
      </w:r>
      <w:r w:rsidRPr="00D528A0">
        <w:t>see Table 1</w:t>
      </w:r>
      <w:r w:rsidRPr="006E0391">
        <w:t>5</w:t>
      </w:r>
      <w:r w:rsidRPr="00C10A99">
        <w:t>). However, within that overall budget, the Ministry intends to explore the potential for different ways of delivering public health services</w:t>
      </w:r>
      <w:r>
        <w:t xml:space="preserve"> (for example, using</w:t>
      </w:r>
      <w:r w:rsidRPr="00C10A99">
        <w:t xml:space="preserve"> a community mobilisation approach</w:t>
      </w:r>
      <w:r>
        <w:t>) and how contracts are funded (the budget currently assumes the use of full-time equivalent employees, FTEs).</w:t>
      </w:r>
    </w:p>
    <w:p w:rsidR="00081C46" w:rsidRDefault="00081C46" w:rsidP="00081C46"/>
    <w:p w:rsidR="00CB68A7" w:rsidRPr="00C10A99" w:rsidRDefault="00CB68A7" w:rsidP="00081C46">
      <w:pPr>
        <w:keepNext/>
      </w:pPr>
      <w:r w:rsidRPr="00C10A99">
        <w:lastRenderedPageBreak/>
        <w:t>Indicative priority areas for 2019/20 to 2021/22 are</w:t>
      </w:r>
      <w:r>
        <w:t xml:space="preserve"> as follows.</w:t>
      </w:r>
    </w:p>
    <w:p w:rsidR="00EC3578" w:rsidRPr="00EC3578" w:rsidRDefault="00CB68A7" w:rsidP="00081C46">
      <w:pPr>
        <w:pStyle w:val="Bullet"/>
      </w:pPr>
      <w:r w:rsidRPr="00EC3578">
        <w:t>Review and apply knowledge from successful local models of public health service delivery, including methods such as community mobilisation, and the wealth of health services research available to provide smarter services that deliver improved health outcomes.</w:t>
      </w:r>
    </w:p>
    <w:p w:rsidR="00EC3578" w:rsidRPr="00EC3578" w:rsidRDefault="00CB68A7" w:rsidP="00081C46">
      <w:pPr>
        <w:pStyle w:val="Bullet"/>
      </w:pPr>
      <w:r w:rsidRPr="00EC3578">
        <w:t xml:space="preserve">Increase screening as a key tool for: promoting awareness of the harm caused by gambling, early identification of harmful addictive </w:t>
      </w:r>
      <w:r w:rsidR="003541F1" w:rsidRPr="00EC3578">
        <w:t>behaviour</w:t>
      </w:r>
      <w:r w:rsidRPr="00EC3578">
        <w:t xml:space="preserve"> patterns and identifying appropriate forms of treatment.</w:t>
      </w:r>
    </w:p>
    <w:p w:rsidR="00CB68A7" w:rsidRPr="00EC3578" w:rsidRDefault="00CB68A7" w:rsidP="00081C46">
      <w:pPr>
        <w:pStyle w:val="Bullet"/>
      </w:pPr>
      <w:r w:rsidRPr="00EC3578">
        <w:t>Consider future proofing our approaches, for example, assessing whether new screening tools are more appropriate for New Zealand</w:t>
      </w:r>
      <w:r w:rsidR="00EC3578" w:rsidRPr="00EC3578">
        <w:t>’</w:t>
      </w:r>
      <w:r w:rsidRPr="00EC3578">
        <w:t>s public health needs. This could include the short gambling harms scale (SGHS), which has been suggested as a better way of measuring the harm caused by gambling.</w:t>
      </w:r>
    </w:p>
    <w:p w:rsidR="00CB68A7" w:rsidRPr="00D528A0" w:rsidRDefault="00CB68A7" w:rsidP="00081C46">
      <w:pPr>
        <w:pStyle w:val="Bullet"/>
      </w:pPr>
      <w:r w:rsidRPr="00EC3578">
        <w:t>Work to improve the infrastructure that connects the gambling sector in order to: increase cohesion and collaboration; share best practices; boost coordination; increase transparency; support the whole gambling sector workforce, including venue staff; and share learnings and data across the wider health sector – such as mental health and other addictions.</w:t>
      </w:r>
    </w:p>
    <w:p w:rsidR="00CB68A7" w:rsidRPr="00C10A99" w:rsidRDefault="00CB68A7" w:rsidP="0018208E"/>
    <w:p w:rsidR="00CB68A7" w:rsidRPr="00FF734C" w:rsidRDefault="00CB68A7" w:rsidP="0018208E">
      <w:pPr>
        <w:pStyle w:val="Table"/>
      </w:pPr>
      <w:bookmarkStart w:id="147" w:name="_Toc517091240"/>
      <w:bookmarkStart w:id="148" w:name="_Toc522089444"/>
      <w:r w:rsidRPr="00FF734C">
        <w:t>Table 15: Indicative public health budget (GST exclusive), by service area, 2019/20 to 2021/22</w:t>
      </w:r>
      <w:bookmarkEnd w:id="147"/>
      <w:bookmarkEnd w:id="148"/>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3969"/>
        <w:gridCol w:w="1346"/>
        <w:gridCol w:w="1347"/>
        <w:gridCol w:w="1347"/>
        <w:gridCol w:w="1347"/>
      </w:tblGrid>
      <w:tr w:rsidR="00CB68A7" w:rsidRPr="0018208E" w:rsidTr="00BB5C45">
        <w:trPr>
          <w:cantSplit/>
        </w:trPr>
        <w:tc>
          <w:tcPr>
            <w:tcW w:w="3969" w:type="dxa"/>
            <w:tcBorders>
              <w:top w:val="single" w:sz="4" w:space="0" w:color="auto"/>
              <w:bottom w:val="single" w:sz="4" w:space="0" w:color="auto"/>
            </w:tcBorders>
            <w:shd w:val="clear" w:color="auto" w:fill="auto"/>
            <w:noWrap/>
          </w:tcPr>
          <w:bookmarkEnd w:id="130"/>
          <w:bookmarkEnd w:id="131"/>
          <w:bookmarkEnd w:id="132"/>
          <w:bookmarkEnd w:id="133"/>
          <w:p w:rsidR="00CB68A7" w:rsidRPr="0018208E" w:rsidRDefault="00CB68A7" w:rsidP="0018208E">
            <w:pPr>
              <w:pStyle w:val="TableText"/>
              <w:rPr>
                <w:b/>
                <w:lang w:eastAsia="en-US"/>
              </w:rPr>
            </w:pPr>
            <w:r w:rsidRPr="0018208E">
              <w:rPr>
                <w:b/>
                <w:lang w:eastAsia="en-US"/>
              </w:rPr>
              <w:t>Service area</w:t>
            </w:r>
          </w:p>
        </w:tc>
        <w:tc>
          <w:tcPr>
            <w:tcW w:w="1346" w:type="dxa"/>
            <w:tcBorders>
              <w:top w:val="single" w:sz="4" w:space="0" w:color="auto"/>
              <w:bottom w:val="single" w:sz="4" w:space="0" w:color="auto"/>
            </w:tcBorders>
            <w:shd w:val="clear" w:color="auto" w:fill="auto"/>
            <w:noWrap/>
          </w:tcPr>
          <w:p w:rsidR="00CB68A7" w:rsidRPr="0018208E" w:rsidRDefault="00CB68A7" w:rsidP="00BB5C45">
            <w:pPr>
              <w:pStyle w:val="TableText"/>
              <w:jc w:val="center"/>
              <w:rPr>
                <w:b/>
                <w:lang w:eastAsia="en-US"/>
              </w:rPr>
            </w:pPr>
            <w:r w:rsidRPr="0018208E">
              <w:rPr>
                <w:b/>
                <w:lang w:eastAsia="en-US"/>
              </w:rPr>
              <w:t>2019/20</w:t>
            </w:r>
            <w:r w:rsidR="00BB5C45">
              <w:rPr>
                <w:b/>
                <w:lang w:eastAsia="en-US"/>
              </w:rPr>
              <w:br/>
            </w:r>
            <w:r w:rsidRPr="0018208E">
              <w:rPr>
                <w:b/>
                <w:lang w:eastAsia="en-US"/>
              </w:rPr>
              <w:t>$m)</w:t>
            </w:r>
          </w:p>
        </w:tc>
        <w:tc>
          <w:tcPr>
            <w:tcW w:w="1347" w:type="dxa"/>
            <w:tcBorders>
              <w:top w:val="single" w:sz="4" w:space="0" w:color="auto"/>
              <w:bottom w:val="single" w:sz="4" w:space="0" w:color="auto"/>
            </w:tcBorders>
            <w:shd w:val="clear" w:color="auto" w:fill="auto"/>
            <w:noWrap/>
          </w:tcPr>
          <w:p w:rsidR="00CB68A7" w:rsidRPr="0018208E" w:rsidRDefault="00CB68A7" w:rsidP="00BB5C45">
            <w:pPr>
              <w:pStyle w:val="TableText"/>
              <w:jc w:val="center"/>
              <w:rPr>
                <w:b/>
                <w:lang w:eastAsia="en-US"/>
              </w:rPr>
            </w:pPr>
            <w:r w:rsidRPr="0018208E">
              <w:rPr>
                <w:b/>
                <w:lang w:eastAsia="en-US"/>
              </w:rPr>
              <w:t>2020/21</w:t>
            </w:r>
            <w:r w:rsidR="00BB5C45">
              <w:rPr>
                <w:b/>
                <w:lang w:eastAsia="en-US"/>
              </w:rPr>
              <w:br/>
            </w:r>
            <w:r w:rsidRPr="0018208E">
              <w:rPr>
                <w:b/>
                <w:lang w:eastAsia="en-US"/>
              </w:rPr>
              <w:t>($m)</w:t>
            </w:r>
          </w:p>
        </w:tc>
        <w:tc>
          <w:tcPr>
            <w:tcW w:w="1347" w:type="dxa"/>
            <w:tcBorders>
              <w:top w:val="single" w:sz="4" w:space="0" w:color="auto"/>
              <w:bottom w:val="single" w:sz="4" w:space="0" w:color="auto"/>
            </w:tcBorders>
            <w:shd w:val="clear" w:color="auto" w:fill="auto"/>
            <w:noWrap/>
          </w:tcPr>
          <w:p w:rsidR="00CB68A7" w:rsidRPr="0018208E" w:rsidRDefault="00CB68A7" w:rsidP="00BB5C45">
            <w:pPr>
              <w:pStyle w:val="TableText"/>
              <w:jc w:val="center"/>
              <w:rPr>
                <w:b/>
                <w:lang w:eastAsia="en-US"/>
              </w:rPr>
            </w:pPr>
            <w:r w:rsidRPr="0018208E">
              <w:rPr>
                <w:b/>
                <w:lang w:eastAsia="en-US"/>
              </w:rPr>
              <w:t>2021/22</w:t>
            </w:r>
            <w:r w:rsidR="00BB5C45">
              <w:rPr>
                <w:b/>
                <w:lang w:eastAsia="en-US"/>
              </w:rPr>
              <w:br/>
            </w:r>
            <w:r w:rsidRPr="0018208E">
              <w:rPr>
                <w:b/>
                <w:lang w:eastAsia="en-US"/>
              </w:rPr>
              <w:t>($m)</w:t>
            </w:r>
          </w:p>
        </w:tc>
        <w:tc>
          <w:tcPr>
            <w:tcW w:w="1347" w:type="dxa"/>
            <w:tcBorders>
              <w:top w:val="single" w:sz="4" w:space="0" w:color="auto"/>
              <w:bottom w:val="single" w:sz="4" w:space="0" w:color="auto"/>
            </w:tcBorders>
            <w:shd w:val="clear" w:color="auto" w:fill="auto"/>
          </w:tcPr>
          <w:p w:rsidR="00CB68A7" w:rsidRPr="0018208E" w:rsidRDefault="00CB68A7" w:rsidP="00BB5C45">
            <w:pPr>
              <w:pStyle w:val="TableText"/>
              <w:jc w:val="center"/>
              <w:rPr>
                <w:b/>
                <w:lang w:eastAsia="en-US"/>
              </w:rPr>
            </w:pPr>
            <w:r w:rsidRPr="0018208E">
              <w:rPr>
                <w:b/>
                <w:lang w:eastAsia="en-US"/>
              </w:rPr>
              <w:t>Total</w:t>
            </w:r>
            <w:r w:rsidR="00BB5C45">
              <w:rPr>
                <w:b/>
                <w:lang w:eastAsia="en-US"/>
              </w:rPr>
              <w:br/>
            </w:r>
            <w:r w:rsidRPr="0018208E">
              <w:rPr>
                <w:b/>
                <w:lang w:eastAsia="en-US"/>
              </w:rPr>
              <w:t>($m)</w:t>
            </w:r>
          </w:p>
        </w:tc>
      </w:tr>
      <w:tr w:rsidR="00CB68A7" w:rsidRPr="00C93BE4" w:rsidTr="00BB5C45">
        <w:trPr>
          <w:cantSplit/>
        </w:trPr>
        <w:tc>
          <w:tcPr>
            <w:tcW w:w="3969" w:type="dxa"/>
            <w:tcBorders>
              <w:top w:val="single" w:sz="4" w:space="0" w:color="auto"/>
              <w:bottom w:val="single" w:sz="4" w:space="0" w:color="A6A6A6" w:themeColor="background1" w:themeShade="A6"/>
            </w:tcBorders>
            <w:shd w:val="clear" w:color="auto" w:fill="auto"/>
            <w:noWrap/>
          </w:tcPr>
          <w:p w:rsidR="00CB68A7" w:rsidRPr="001C426D" w:rsidRDefault="00CB68A7" w:rsidP="00BB5C45">
            <w:pPr>
              <w:pStyle w:val="TableText"/>
              <w:rPr>
                <w:lang w:eastAsia="en-US"/>
              </w:rPr>
            </w:pPr>
            <w:r w:rsidRPr="001C426D">
              <w:t>Primary prevention</w:t>
            </w:r>
            <w:r w:rsidR="00BB5C45">
              <w:t xml:space="preserve"> </w:t>
            </w:r>
            <w:r w:rsidRPr="001C426D">
              <w:t>(public health action)</w:t>
            </w:r>
          </w:p>
        </w:tc>
        <w:tc>
          <w:tcPr>
            <w:tcW w:w="1346" w:type="dxa"/>
            <w:tcBorders>
              <w:top w:val="single" w:sz="4" w:space="0" w:color="auto"/>
              <w:bottom w:val="single" w:sz="4" w:space="0" w:color="A6A6A6" w:themeColor="background1" w:themeShade="A6"/>
            </w:tcBorders>
            <w:shd w:val="clear" w:color="auto" w:fill="auto"/>
            <w:noWrap/>
          </w:tcPr>
          <w:p w:rsidR="00CB68A7" w:rsidRPr="001C426D" w:rsidRDefault="00CB68A7" w:rsidP="008979BA">
            <w:pPr>
              <w:pStyle w:val="TableText"/>
              <w:jc w:val="center"/>
              <w:rPr>
                <w:rFonts w:eastAsia="Arial Unicode MS"/>
              </w:rPr>
            </w:pPr>
            <w:r w:rsidRPr="001C426D">
              <w:rPr>
                <w:color w:val="000000"/>
              </w:rPr>
              <w:t>4.69</w:t>
            </w:r>
            <w:r w:rsidR="008979BA">
              <w:rPr>
                <w:color w:val="000000"/>
              </w:rPr>
              <w:t>0</w:t>
            </w:r>
          </w:p>
        </w:tc>
        <w:tc>
          <w:tcPr>
            <w:tcW w:w="1347" w:type="dxa"/>
            <w:tcBorders>
              <w:top w:val="single" w:sz="4" w:space="0" w:color="auto"/>
              <w:bottom w:val="single" w:sz="4" w:space="0" w:color="A6A6A6" w:themeColor="background1" w:themeShade="A6"/>
            </w:tcBorders>
            <w:shd w:val="clear" w:color="auto" w:fill="auto"/>
            <w:noWrap/>
          </w:tcPr>
          <w:p w:rsidR="00CB68A7" w:rsidRPr="001C426D" w:rsidRDefault="00CB68A7" w:rsidP="008979BA">
            <w:pPr>
              <w:pStyle w:val="TableText"/>
              <w:jc w:val="center"/>
              <w:rPr>
                <w:rFonts w:eastAsia="Arial Unicode MS"/>
              </w:rPr>
            </w:pPr>
            <w:r w:rsidRPr="001C426D">
              <w:rPr>
                <w:color w:val="000000"/>
              </w:rPr>
              <w:t>4.</w:t>
            </w:r>
            <w:r w:rsidR="008979BA">
              <w:rPr>
                <w:color w:val="000000"/>
              </w:rPr>
              <w:t>700</w:t>
            </w:r>
          </w:p>
        </w:tc>
        <w:tc>
          <w:tcPr>
            <w:tcW w:w="1347" w:type="dxa"/>
            <w:tcBorders>
              <w:top w:val="single" w:sz="4" w:space="0" w:color="auto"/>
              <w:bottom w:val="single" w:sz="4" w:space="0" w:color="A6A6A6" w:themeColor="background1" w:themeShade="A6"/>
            </w:tcBorders>
            <w:shd w:val="clear" w:color="auto" w:fill="auto"/>
            <w:noWrap/>
          </w:tcPr>
          <w:p w:rsidR="00CB68A7" w:rsidRPr="001C426D" w:rsidRDefault="00CB68A7" w:rsidP="00BB5C45">
            <w:pPr>
              <w:pStyle w:val="TableText"/>
              <w:jc w:val="center"/>
              <w:rPr>
                <w:rFonts w:eastAsia="Arial Unicode MS"/>
              </w:rPr>
            </w:pPr>
            <w:r w:rsidRPr="001C426D">
              <w:rPr>
                <w:color w:val="000000"/>
              </w:rPr>
              <w:t>4.700</w:t>
            </w:r>
          </w:p>
        </w:tc>
        <w:tc>
          <w:tcPr>
            <w:tcW w:w="1347" w:type="dxa"/>
            <w:tcBorders>
              <w:top w:val="single" w:sz="4" w:space="0" w:color="auto"/>
              <w:bottom w:val="single" w:sz="4" w:space="0" w:color="A6A6A6" w:themeColor="background1" w:themeShade="A6"/>
            </w:tcBorders>
            <w:shd w:val="clear" w:color="auto" w:fill="auto"/>
          </w:tcPr>
          <w:p w:rsidR="00CB68A7" w:rsidRPr="001C426D" w:rsidRDefault="00CB68A7" w:rsidP="00BB5C45">
            <w:pPr>
              <w:pStyle w:val="TableText"/>
              <w:tabs>
                <w:tab w:val="decimal" w:pos="581"/>
              </w:tabs>
              <w:rPr>
                <w:rFonts w:eastAsia="Arial Unicode MS"/>
              </w:rPr>
            </w:pPr>
            <w:r w:rsidRPr="001C426D">
              <w:rPr>
                <w:color w:val="000000"/>
              </w:rPr>
              <w:t>14.090</w:t>
            </w:r>
          </w:p>
        </w:tc>
      </w:tr>
      <w:tr w:rsidR="00CB68A7" w:rsidRPr="00C93BE4" w:rsidTr="00BB5C45">
        <w:trPr>
          <w:cantSplit/>
        </w:trPr>
        <w:tc>
          <w:tcPr>
            <w:tcW w:w="3969" w:type="dxa"/>
            <w:tcBorders>
              <w:top w:val="single" w:sz="4" w:space="0" w:color="A6A6A6" w:themeColor="background1" w:themeShade="A6"/>
              <w:bottom w:val="single" w:sz="4" w:space="0" w:color="A6A6A6" w:themeColor="background1" w:themeShade="A6"/>
            </w:tcBorders>
            <w:shd w:val="clear" w:color="auto" w:fill="auto"/>
            <w:noWrap/>
          </w:tcPr>
          <w:p w:rsidR="00CB68A7" w:rsidRPr="001C426D" w:rsidRDefault="00CB68A7" w:rsidP="0018208E">
            <w:pPr>
              <w:pStyle w:val="TableText"/>
              <w:rPr>
                <w:lang w:eastAsia="en-US"/>
              </w:rPr>
            </w:pPr>
            <w:r w:rsidRPr="001C426D">
              <w:t>Workforce development</w:t>
            </w:r>
            <w:r>
              <w:t xml:space="preserve"> (public health)</w:t>
            </w:r>
          </w:p>
        </w:tc>
        <w:tc>
          <w:tcPr>
            <w:tcW w:w="1346" w:type="dxa"/>
            <w:tcBorders>
              <w:top w:val="single" w:sz="4" w:space="0" w:color="A6A6A6" w:themeColor="background1" w:themeShade="A6"/>
              <w:bottom w:val="single" w:sz="4" w:space="0" w:color="A6A6A6" w:themeColor="background1" w:themeShade="A6"/>
            </w:tcBorders>
            <w:shd w:val="clear" w:color="auto" w:fill="auto"/>
            <w:noWrap/>
          </w:tcPr>
          <w:p w:rsidR="00CB68A7" w:rsidRPr="001C426D" w:rsidRDefault="00CB68A7" w:rsidP="00BB5C45">
            <w:pPr>
              <w:pStyle w:val="TableText"/>
              <w:jc w:val="center"/>
              <w:rPr>
                <w:rFonts w:eastAsia="Arial Unicode MS"/>
              </w:rPr>
            </w:pPr>
            <w:r w:rsidRPr="001C426D">
              <w:rPr>
                <w:color w:val="000000"/>
              </w:rPr>
              <w:t>0.180</w:t>
            </w:r>
          </w:p>
        </w:tc>
        <w:tc>
          <w:tcPr>
            <w:tcW w:w="1347" w:type="dxa"/>
            <w:tcBorders>
              <w:top w:val="single" w:sz="4" w:space="0" w:color="A6A6A6" w:themeColor="background1" w:themeShade="A6"/>
              <w:bottom w:val="single" w:sz="4" w:space="0" w:color="A6A6A6" w:themeColor="background1" w:themeShade="A6"/>
            </w:tcBorders>
            <w:shd w:val="clear" w:color="auto" w:fill="auto"/>
            <w:noWrap/>
          </w:tcPr>
          <w:p w:rsidR="00CB68A7" w:rsidRPr="001C426D" w:rsidRDefault="00CB68A7" w:rsidP="00BB5C45">
            <w:pPr>
              <w:pStyle w:val="TableText"/>
              <w:jc w:val="center"/>
              <w:rPr>
                <w:rFonts w:eastAsia="Arial Unicode MS"/>
              </w:rPr>
            </w:pPr>
            <w:r w:rsidRPr="001C426D">
              <w:rPr>
                <w:color w:val="000000"/>
              </w:rPr>
              <w:t>0.180</w:t>
            </w:r>
          </w:p>
        </w:tc>
        <w:tc>
          <w:tcPr>
            <w:tcW w:w="1347" w:type="dxa"/>
            <w:tcBorders>
              <w:top w:val="single" w:sz="4" w:space="0" w:color="A6A6A6" w:themeColor="background1" w:themeShade="A6"/>
              <w:bottom w:val="single" w:sz="4" w:space="0" w:color="A6A6A6" w:themeColor="background1" w:themeShade="A6"/>
            </w:tcBorders>
            <w:shd w:val="clear" w:color="auto" w:fill="auto"/>
            <w:noWrap/>
          </w:tcPr>
          <w:p w:rsidR="00CB68A7" w:rsidRPr="001C426D" w:rsidRDefault="00CB68A7" w:rsidP="00BB5C45">
            <w:pPr>
              <w:pStyle w:val="TableText"/>
              <w:jc w:val="center"/>
              <w:rPr>
                <w:rFonts w:eastAsia="Arial Unicode MS"/>
              </w:rPr>
            </w:pPr>
            <w:r w:rsidRPr="001C426D">
              <w:rPr>
                <w:color w:val="000000"/>
              </w:rPr>
              <w:t>0.180</w:t>
            </w:r>
          </w:p>
        </w:tc>
        <w:tc>
          <w:tcPr>
            <w:tcW w:w="1347" w:type="dxa"/>
            <w:tcBorders>
              <w:top w:val="single" w:sz="4" w:space="0" w:color="A6A6A6" w:themeColor="background1" w:themeShade="A6"/>
              <w:bottom w:val="single" w:sz="4" w:space="0" w:color="A6A6A6" w:themeColor="background1" w:themeShade="A6"/>
            </w:tcBorders>
            <w:shd w:val="clear" w:color="auto" w:fill="auto"/>
          </w:tcPr>
          <w:p w:rsidR="00CB68A7" w:rsidRPr="001C426D" w:rsidRDefault="00CB68A7" w:rsidP="00BB5C45">
            <w:pPr>
              <w:pStyle w:val="TableText"/>
              <w:tabs>
                <w:tab w:val="decimal" w:pos="581"/>
              </w:tabs>
              <w:rPr>
                <w:rFonts w:eastAsia="Arial Unicode MS"/>
              </w:rPr>
            </w:pPr>
            <w:r w:rsidRPr="001C426D">
              <w:rPr>
                <w:color w:val="000000"/>
              </w:rPr>
              <w:t>0.540</w:t>
            </w:r>
          </w:p>
        </w:tc>
      </w:tr>
      <w:tr w:rsidR="00CB68A7" w:rsidRPr="00C93BE4" w:rsidTr="00BB5C45">
        <w:trPr>
          <w:cantSplit/>
        </w:trPr>
        <w:tc>
          <w:tcPr>
            <w:tcW w:w="3969" w:type="dxa"/>
            <w:tcBorders>
              <w:top w:val="single" w:sz="4" w:space="0" w:color="A6A6A6" w:themeColor="background1" w:themeShade="A6"/>
              <w:bottom w:val="single" w:sz="4" w:space="0" w:color="A6A6A6" w:themeColor="background1" w:themeShade="A6"/>
            </w:tcBorders>
            <w:shd w:val="clear" w:color="auto" w:fill="auto"/>
            <w:noWrap/>
          </w:tcPr>
          <w:p w:rsidR="00CB68A7" w:rsidRPr="001C426D" w:rsidRDefault="00CB68A7" w:rsidP="0018208E">
            <w:pPr>
              <w:pStyle w:val="TableText"/>
              <w:rPr>
                <w:lang w:eastAsia="en-US"/>
              </w:rPr>
            </w:pPr>
            <w:r w:rsidRPr="001C426D">
              <w:t>Awareness and education programme</w:t>
            </w:r>
          </w:p>
        </w:tc>
        <w:tc>
          <w:tcPr>
            <w:tcW w:w="1346" w:type="dxa"/>
            <w:tcBorders>
              <w:top w:val="single" w:sz="4" w:space="0" w:color="A6A6A6" w:themeColor="background1" w:themeShade="A6"/>
              <w:bottom w:val="single" w:sz="4" w:space="0" w:color="A6A6A6" w:themeColor="background1" w:themeShade="A6"/>
            </w:tcBorders>
            <w:shd w:val="clear" w:color="auto" w:fill="auto"/>
            <w:noWrap/>
          </w:tcPr>
          <w:p w:rsidR="00CB68A7" w:rsidRPr="001C426D" w:rsidRDefault="00CB68A7" w:rsidP="00BB5C45">
            <w:pPr>
              <w:pStyle w:val="TableText"/>
              <w:jc w:val="center"/>
              <w:rPr>
                <w:rFonts w:eastAsia="Arial Unicode MS"/>
              </w:rPr>
            </w:pPr>
            <w:r w:rsidRPr="001C426D">
              <w:rPr>
                <w:color w:val="000000"/>
              </w:rPr>
              <w:t>1.680</w:t>
            </w:r>
          </w:p>
        </w:tc>
        <w:tc>
          <w:tcPr>
            <w:tcW w:w="1347" w:type="dxa"/>
            <w:tcBorders>
              <w:top w:val="single" w:sz="4" w:space="0" w:color="A6A6A6" w:themeColor="background1" w:themeShade="A6"/>
              <w:bottom w:val="single" w:sz="4" w:space="0" w:color="A6A6A6" w:themeColor="background1" w:themeShade="A6"/>
            </w:tcBorders>
            <w:shd w:val="clear" w:color="auto" w:fill="auto"/>
            <w:noWrap/>
          </w:tcPr>
          <w:p w:rsidR="00CB68A7" w:rsidRPr="001C426D" w:rsidRDefault="00CB68A7" w:rsidP="00BB5C45">
            <w:pPr>
              <w:pStyle w:val="TableText"/>
              <w:jc w:val="center"/>
              <w:rPr>
                <w:rFonts w:eastAsia="Arial Unicode MS"/>
              </w:rPr>
            </w:pPr>
            <w:r w:rsidRPr="001C426D">
              <w:rPr>
                <w:color w:val="000000"/>
              </w:rPr>
              <w:t>1.680</w:t>
            </w:r>
          </w:p>
        </w:tc>
        <w:tc>
          <w:tcPr>
            <w:tcW w:w="1347" w:type="dxa"/>
            <w:tcBorders>
              <w:top w:val="single" w:sz="4" w:space="0" w:color="A6A6A6" w:themeColor="background1" w:themeShade="A6"/>
              <w:bottom w:val="single" w:sz="4" w:space="0" w:color="A6A6A6" w:themeColor="background1" w:themeShade="A6"/>
            </w:tcBorders>
            <w:shd w:val="clear" w:color="auto" w:fill="auto"/>
            <w:noWrap/>
          </w:tcPr>
          <w:p w:rsidR="00CB68A7" w:rsidRPr="001C426D" w:rsidRDefault="00CB68A7" w:rsidP="00BB5C45">
            <w:pPr>
              <w:pStyle w:val="TableText"/>
              <w:jc w:val="center"/>
              <w:rPr>
                <w:rFonts w:eastAsia="Arial Unicode MS"/>
              </w:rPr>
            </w:pPr>
            <w:r w:rsidRPr="001C426D">
              <w:rPr>
                <w:color w:val="000000"/>
              </w:rPr>
              <w:t>1.680</w:t>
            </w:r>
          </w:p>
        </w:tc>
        <w:tc>
          <w:tcPr>
            <w:tcW w:w="1347" w:type="dxa"/>
            <w:tcBorders>
              <w:top w:val="single" w:sz="4" w:space="0" w:color="A6A6A6" w:themeColor="background1" w:themeShade="A6"/>
              <w:bottom w:val="single" w:sz="4" w:space="0" w:color="A6A6A6" w:themeColor="background1" w:themeShade="A6"/>
            </w:tcBorders>
            <w:shd w:val="clear" w:color="auto" w:fill="auto"/>
          </w:tcPr>
          <w:p w:rsidR="00CB68A7" w:rsidRPr="001C426D" w:rsidRDefault="00CB68A7" w:rsidP="00BB5C45">
            <w:pPr>
              <w:pStyle w:val="TableText"/>
              <w:tabs>
                <w:tab w:val="decimal" w:pos="581"/>
              </w:tabs>
              <w:rPr>
                <w:rFonts w:eastAsia="Arial Unicode MS"/>
              </w:rPr>
            </w:pPr>
            <w:r w:rsidRPr="001C426D">
              <w:rPr>
                <w:color w:val="000000"/>
              </w:rPr>
              <w:t>5.040</w:t>
            </w:r>
          </w:p>
        </w:tc>
      </w:tr>
      <w:tr w:rsidR="00CB68A7" w:rsidRPr="00C93BE4" w:rsidTr="00BB5C45">
        <w:trPr>
          <w:cantSplit/>
        </w:trPr>
        <w:tc>
          <w:tcPr>
            <w:tcW w:w="3969" w:type="dxa"/>
            <w:tcBorders>
              <w:top w:val="single" w:sz="4" w:space="0" w:color="A6A6A6" w:themeColor="background1" w:themeShade="A6"/>
              <w:bottom w:val="single" w:sz="4" w:space="0" w:color="A6A6A6" w:themeColor="background1" w:themeShade="A6"/>
            </w:tcBorders>
            <w:shd w:val="clear" w:color="auto" w:fill="auto"/>
            <w:noWrap/>
          </w:tcPr>
          <w:p w:rsidR="00CB68A7" w:rsidRPr="001C426D" w:rsidRDefault="00CB68A7" w:rsidP="0018208E">
            <w:pPr>
              <w:pStyle w:val="TableText"/>
              <w:rPr>
                <w:lang w:eastAsia="en-US"/>
              </w:rPr>
            </w:pPr>
            <w:r w:rsidRPr="001C426D">
              <w:t>National coordination service</w:t>
            </w:r>
          </w:p>
        </w:tc>
        <w:tc>
          <w:tcPr>
            <w:tcW w:w="1346" w:type="dxa"/>
            <w:tcBorders>
              <w:top w:val="single" w:sz="4" w:space="0" w:color="A6A6A6" w:themeColor="background1" w:themeShade="A6"/>
              <w:bottom w:val="single" w:sz="4" w:space="0" w:color="A6A6A6" w:themeColor="background1" w:themeShade="A6"/>
            </w:tcBorders>
            <w:shd w:val="clear" w:color="auto" w:fill="auto"/>
            <w:noWrap/>
          </w:tcPr>
          <w:p w:rsidR="00CB68A7" w:rsidRPr="001C426D" w:rsidRDefault="00CB68A7" w:rsidP="00BB5C45">
            <w:pPr>
              <w:pStyle w:val="TableText"/>
              <w:jc w:val="center"/>
              <w:rPr>
                <w:rFonts w:eastAsia="Arial Unicode MS"/>
              </w:rPr>
            </w:pPr>
            <w:r w:rsidRPr="001C426D">
              <w:rPr>
                <w:color w:val="000000"/>
              </w:rPr>
              <w:t>0.130</w:t>
            </w:r>
          </w:p>
        </w:tc>
        <w:tc>
          <w:tcPr>
            <w:tcW w:w="1347" w:type="dxa"/>
            <w:tcBorders>
              <w:top w:val="single" w:sz="4" w:space="0" w:color="A6A6A6" w:themeColor="background1" w:themeShade="A6"/>
              <w:bottom w:val="single" w:sz="4" w:space="0" w:color="A6A6A6" w:themeColor="background1" w:themeShade="A6"/>
            </w:tcBorders>
            <w:shd w:val="clear" w:color="auto" w:fill="auto"/>
            <w:noWrap/>
          </w:tcPr>
          <w:p w:rsidR="00CB68A7" w:rsidRPr="001C426D" w:rsidRDefault="00CB68A7" w:rsidP="00BB5C45">
            <w:pPr>
              <w:pStyle w:val="TableText"/>
              <w:jc w:val="center"/>
              <w:rPr>
                <w:rFonts w:eastAsia="Arial Unicode MS"/>
              </w:rPr>
            </w:pPr>
            <w:r w:rsidRPr="001C426D">
              <w:rPr>
                <w:color w:val="000000"/>
              </w:rPr>
              <w:t>0.130</w:t>
            </w:r>
          </w:p>
        </w:tc>
        <w:tc>
          <w:tcPr>
            <w:tcW w:w="1347" w:type="dxa"/>
            <w:tcBorders>
              <w:top w:val="single" w:sz="4" w:space="0" w:color="A6A6A6" w:themeColor="background1" w:themeShade="A6"/>
              <w:bottom w:val="single" w:sz="4" w:space="0" w:color="A6A6A6" w:themeColor="background1" w:themeShade="A6"/>
            </w:tcBorders>
            <w:shd w:val="clear" w:color="auto" w:fill="auto"/>
            <w:noWrap/>
          </w:tcPr>
          <w:p w:rsidR="00CB68A7" w:rsidRPr="001C426D" w:rsidRDefault="00CB68A7" w:rsidP="00BB5C45">
            <w:pPr>
              <w:pStyle w:val="TableText"/>
              <w:jc w:val="center"/>
              <w:rPr>
                <w:rFonts w:eastAsia="Arial Unicode MS"/>
              </w:rPr>
            </w:pPr>
            <w:r w:rsidRPr="001C426D">
              <w:rPr>
                <w:color w:val="000000"/>
              </w:rPr>
              <w:t>0.130</w:t>
            </w:r>
          </w:p>
        </w:tc>
        <w:tc>
          <w:tcPr>
            <w:tcW w:w="1347" w:type="dxa"/>
            <w:tcBorders>
              <w:top w:val="single" w:sz="4" w:space="0" w:color="A6A6A6" w:themeColor="background1" w:themeShade="A6"/>
              <w:bottom w:val="single" w:sz="4" w:space="0" w:color="A6A6A6" w:themeColor="background1" w:themeShade="A6"/>
            </w:tcBorders>
            <w:shd w:val="clear" w:color="auto" w:fill="auto"/>
          </w:tcPr>
          <w:p w:rsidR="00CB68A7" w:rsidRPr="001C426D" w:rsidRDefault="00CB68A7" w:rsidP="00BB5C45">
            <w:pPr>
              <w:pStyle w:val="TableText"/>
              <w:tabs>
                <w:tab w:val="decimal" w:pos="581"/>
              </w:tabs>
              <w:rPr>
                <w:rFonts w:eastAsia="Arial Unicode MS"/>
              </w:rPr>
            </w:pPr>
            <w:r w:rsidRPr="001C426D">
              <w:rPr>
                <w:color w:val="000000"/>
              </w:rPr>
              <w:t>0.390</w:t>
            </w:r>
          </w:p>
        </w:tc>
      </w:tr>
      <w:tr w:rsidR="00CB68A7" w:rsidRPr="00C93BE4" w:rsidTr="00BB5C45">
        <w:trPr>
          <w:cantSplit/>
        </w:trPr>
        <w:tc>
          <w:tcPr>
            <w:tcW w:w="3969" w:type="dxa"/>
            <w:tcBorders>
              <w:top w:val="single" w:sz="4" w:space="0" w:color="A6A6A6" w:themeColor="background1" w:themeShade="A6"/>
              <w:bottom w:val="single" w:sz="4" w:space="0" w:color="A6A6A6" w:themeColor="background1" w:themeShade="A6"/>
            </w:tcBorders>
            <w:shd w:val="clear" w:color="auto" w:fill="auto"/>
            <w:noWrap/>
          </w:tcPr>
          <w:p w:rsidR="00CB68A7" w:rsidRPr="001C426D" w:rsidRDefault="00CB68A7" w:rsidP="0018208E">
            <w:pPr>
              <w:pStyle w:val="TableText"/>
            </w:pPr>
            <w:r w:rsidRPr="001C426D">
              <w:t xml:space="preserve">Consumer </w:t>
            </w:r>
            <w:r>
              <w:t>n</w:t>
            </w:r>
            <w:r w:rsidRPr="001C426D">
              <w:t>etwork</w:t>
            </w:r>
            <w:r>
              <w:t>s</w:t>
            </w:r>
          </w:p>
        </w:tc>
        <w:tc>
          <w:tcPr>
            <w:tcW w:w="1346" w:type="dxa"/>
            <w:tcBorders>
              <w:top w:val="single" w:sz="4" w:space="0" w:color="A6A6A6" w:themeColor="background1" w:themeShade="A6"/>
              <w:bottom w:val="single" w:sz="4" w:space="0" w:color="A6A6A6" w:themeColor="background1" w:themeShade="A6"/>
            </w:tcBorders>
            <w:shd w:val="clear" w:color="auto" w:fill="auto"/>
            <w:noWrap/>
          </w:tcPr>
          <w:p w:rsidR="00CB68A7" w:rsidRPr="001C426D" w:rsidRDefault="00CB68A7" w:rsidP="00BB5C45">
            <w:pPr>
              <w:pStyle w:val="TableText"/>
              <w:jc w:val="center"/>
              <w:rPr>
                <w:rFonts w:eastAsia="Arial Unicode MS"/>
              </w:rPr>
            </w:pPr>
            <w:r w:rsidRPr="001C426D">
              <w:rPr>
                <w:color w:val="000000"/>
              </w:rPr>
              <w:t>0.100</w:t>
            </w:r>
          </w:p>
        </w:tc>
        <w:tc>
          <w:tcPr>
            <w:tcW w:w="1347" w:type="dxa"/>
            <w:tcBorders>
              <w:top w:val="single" w:sz="4" w:space="0" w:color="A6A6A6" w:themeColor="background1" w:themeShade="A6"/>
              <w:bottom w:val="single" w:sz="4" w:space="0" w:color="A6A6A6" w:themeColor="background1" w:themeShade="A6"/>
            </w:tcBorders>
            <w:shd w:val="clear" w:color="auto" w:fill="auto"/>
            <w:noWrap/>
          </w:tcPr>
          <w:p w:rsidR="00CB68A7" w:rsidRPr="001C426D" w:rsidRDefault="00CB68A7" w:rsidP="00BB5C45">
            <w:pPr>
              <w:pStyle w:val="TableText"/>
              <w:jc w:val="center"/>
              <w:rPr>
                <w:rFonts w:eastAsia="Arial Unicode MS"/>
              </w:rPr>
            </w:pPr>
            <w:r w:rsidRPr="001C426D">
              <w:rPr>
                <w:color w:val="000000"/>
              </w:rPr>
              <w:t>0.100</w:t>
            </w:r>
          </w:p>
        </w:tc>
        <w:tc>
          <w:tcPr>
            <w:tcW w:w="1347" w:type="dxa"/>
            <w:tcBorders>
              <w:top w:val="single" w:sz="4" w:space="0" w:color="A6A6A6" w:themeColor="background1" w:themeShade="A6"/>
              <w:bottom w:val="single" w:sz="4" w:space="0" w:color="A6A6A6" w:themeColor="background1" w:themeShade="A6"/>
            </w:tcBorders>
            <w:shd w:val="clear" w:color="auto" w:fill="auto"/>
            <w:noWrap/>
          </w:tcPr>
          <w:p w:rsidR="00CB68A7" w:rsidRPr="001C426D" w:rsidRDefault="00CB68A7" w:rsidP="00BB5C45">
            <w:pPr>
              <w:pStyle w:val="TableText"/>
              <w:jc w:val="center"/>
              <w:rPr>
                <w:rFonts w:eastAsia="Arial Unicode MS"/>
              </w:rPr>
            </w:pPr>
            <w:r w:rsidRPr="001C426D">
              <w:rPr>
                <w:color w:val="000000"/>
              </w:rPr>
              <w:t>0.100</w:t>
            </w:r>
          </w:p>
        </w:tc>
        <w:tc>
          <w:tcPr>
            <w:tcW w:w="1347" w:type="dxa"/>
            <w:tcBorders>
              <w:top w:val="single" w:sz="4" w:space="0" w:color="A6A6A6" w:themeColor="background1" w:themeShade="A6"/>
              <w:bottom w:val="single" w:sz="4" w:space="0" w:color="A6A6A6" w:themeColor="background1" w:themeShade="A6"/>
            </w:tcBorders>
            <w:shd w:val="clear" w:color="auto" w:fill="auto"/>
          </w:tcPr>
          <w:p w:rsidR="00CB68A7" w:rsidRPr="001C426D" w:rsidRDefault="00CB68A7" w:rsidP="00BB5C45">
            <w:pPr>
              <w:pStyle w:val="TableText"/>
              <w:tabs>
                <w:tab w:val="decimal" w:pos="581"/>
              </w:tabs>
              <w:rPr>
                <w:rFonts w:eastAsia="Arial Unicode MS"/>
              </w:rPr>
            </w:pPr>
            <w:r w:rsidRPr="001C426D">
              <w:rPr>
                <w:color w:val="000000"/>
              </w:rPr>
              <w:t>0.300</w:t>
            </w:r>
          </w:p>
        </w:tc>
      </w:tr>
      <w:tr w:rsidR="00CB68A7" w:rsidRPr="00C93BE4" w:rsidTr="00BB5C45">
        <w:trPr>
          <w:cantSplit/>
        </w:trPr>
        <w:tc>
          <w:tcPr>
            <w:tcW w:w="3969" w:type="dxa"/>
            <w:tcBorders>
              <w:top w:val="single" w:sz="4" w:space="0" w:color="A6A6A6" w:themeColor="background1" w:themeShade="A6"/>
              <w:bottom w:val="single" w:sz="4" w:space="0" w:color="A6A6A6" w:themeColor="background1" w:themeShade="A6"/>
            </w:tcBorders>
            <w:shd w:val="clear" w:color="auto" w:fill="auto"/>
            <w:noWrap/>
          </w:tcPr>
          <w:p w:rsidR="00CB68A7" w:rsidRPr="001C426D" w:rsidRDefault="00CB68A7" w:rsidP="0018208E">
            <w:pPr>
              <w:pStyle w:val="TableText"/>
            </w:pPr>
            <w:r w:rsidRPr="001C426D">
              <w:t>Conference support</w:t>
            </w:r>
          </w:p>
        </w:tc>
        <w:tc>
          <w:tcPr>
            <w:tcW w:w="1346" w:type="dxa"/>
            <w:tcBorders>
              <w:top w:val="single" w:sz="4" w:space="0" w:color="A6A6A6" w:themeColor="background1" w:themeShade="A6"/>
              <w:bottom w:val="single" w:sz="4" w:space="0" w:color="A6A6A6" w:themeColor="background1" w:themeShade="A6"/>
            </w:tcBorders>
            <w:shd w:val="clear" w:color="auto" w:fill="auto"/>
            <w:noWrap/>
          </w:tcPr>
          <w:p w:rsidR="00CB68A7" w:rsidRPr="001C426D" w:rsidRDefault="00CB68A7" w:rsidP="00BB5C45">
            <w:pPr>
              <w:pStyle w:val="TableText"/>
              <w:jc w:val="center"/>
              <w:rPr>
                <w:rFonts w:eastAsia="Arial Unicode MS"/>
              </w:rPr>
            </w:pPr>
            <w:r w:rsidRPr="001C426D">
              <w:rPr>
                <w:color w:val="000000"/>
              </w:rPr>
              <w:t>0.040</w:t>
            </w:r>
          </w:p>
        </w:tc>
        <w:tc>
          <w:tcPr>
            <w:tcW w:w="1347" w:type="dxa"/>
            <w:tcBorders>
              <w:top w:val="single" w:sz="4" w:space="0" w:color="A6A6A6" w:themeColor="background1" w:themeShade="A6"/>
              <w:bottom w:val="single" w:sz="4" w:space="0" w:color="A6A6A6" w:themeColor="background1" w:themeShade="A6"/>
            </w:tcBorders>
            <w:shd w:val="clear" w:color="auto" w:fill="auto"/>
            <w:noWrap/>
          </w:tcPr>
          <w:p w:rsidR="00CB68A7" w:rsidRPr="001C426D" w:rsidRDefault="00CB68A7" w:rsidP="00BB5C45">
            <w:pPr>
              <w:pStyle w:val="TableText"/>
              <w:jc w:val="center"/>
              <w:rPr>
                <w:rFonts w:eastAsia="Arial Unicode MS"/>
              </w:rPr>
            </w:pPr>
            <w:r>
              <w:rPr>
                <w:color w:val="000000"/>
              </w:rPr>
              <w:t>–</w:t>
            </w:r>
          </w:p>
        </w:tc>
        <w:tc>
          <w:tcPr>
            <w:tcW w:w="1347" w:type="dxa"/>
            <w:tcBorders>
              <w:top w:val="single" w:sz="4" w:space="0" w:color="A6A6A6" w:themeColor="background1" w:themeShade="A6"/>
              <w:bottom w:val="single" w:sz="4" w:space="0" w:color="A6A6A6" w:themeColor="background1" w:themeShade="A6"/>
            </w:tcBorders>
            <w:shd w:val="clear" w:color="auto" w:fill="auto"/>
            <w:noWrap/>
          </w:tcPr>
          <w:p w:rsidR="00CB68A7" w:rsidRPr="001C426D" w:rsidRDefault="00CB68A7" w:rsidP="00BB5C45">
            <w:pPr>
              <w:pStyle w:val="TableText"/>
              <w:jc w:val="center"/>
              <w:rPr>
                <w:rFonts w:eastAsia="Arial Unicode MS"/>
              </w:rPr>
            </w:pPr>
            <w:r w:rsidRPr="001C426D">
              <w:rPr>
                <w:color w:val="000000"/>
              </w:rPr>
              <w:t>0.040</w:t>
            </w:r>
          </w:p>
        </w:tc>
        <w:tc>
          <w:tcPr>
            <w:tcW w:w="1347" w:type="dxa"/>
            <w:tcBorders>
              <w:top w:val="single" w:sz="4" w:space="0" w:color="A6A6A6" w:themeColor="background1" w:themeShade="A6"/>
              <w:bottom w:val="single" w:sz="4" w:space="0" w:color="A6A6A6" w:themeColor="background1" w:themeShade="A6"/>
            </w:tcBorders>
            <w:shd w:val="clear" w:color="auto" w:fill="auto"/>
          </w:tcPr>
          <w:p w:rsidR="00CB68A7" w:rsidRPr="001C426D" w:rsidRDefault="00CB68A7" w:rsidP="00BB5C45">
            <w:pPr>
              <w:pStyle w:val="TableText"/>
              <w:tabs>
                <w:tab w:val="decimal" w:pos="581"/>
              </w:tabs>
              <w:rPr>
                <w:rFonts w:eastAsia="Arial Unicode MS"/>
              </w:rPr>
            </w:pPr>
            <w:r w:rsidRPr="001C426D">
              <w:rPr>
                <w:color w:val="000000"/>
              </w:rPr>
              <w:t>0.080</w:t>
            </w:r>
          </w:p>
        </w:tc>
      </w:tr>
      <w:tr w:rsidR="00CB68A7" w:rsidRPr="00C93BE4" w:rsidTr="00BB5C45">
        <w:trPr>
          <w:cantSplit/>
        </w:trPr>
        <w:tc>
          <w:tcPr>
            <w:tcW w:w="3969" w:type="dxa"/>
            <w:tcBorders>
              <w:top w:val="single" w:sz="4" w:space="0" w:color="A6A6A6" w:themeColor="background1" w:themeShade="A6"/>
              <w:bottom w:val="single" w:sz="4" w:space="0" w:color="auto"/>
            </w:tcBorders>
            <w:shd w:val="clear" w:color="auto" w:fill="auto"/>
            <w:noWrap/>
          </w:tcPr>
          <w:p w:rsidR="00CB68A7" w:rsidRPr="001C426D" w:rsidRDefault="00CB68A7" w:rsidP="0018208E">
            <w:pPr>
              <w:pStyle w:val="TableText"/>
            </w:pPr>
            <w:r w:rsidRPr="001C426D">
              <w:t>Audit activities</w:t>
            </w:r>
          </w:p>
        </w:tc>
        <w:tc>
          <w:tcPr>
            <w:tcW w:w="1346" w:type="dxa"/>
            <w:tcBorders>
              <w:top w:val="single" w:sz="4" w:space="0" w:color="A6A6A6" w:themeColor="background1" w:themeShade="A6"/>
              <w:bottom w:val="single" w:sz="4" w:space="0" w:color="auto"/>
            </w:tcBorders>
            <w:shd w:val="clear" w:color="auto" w:fill="auto"/>
            <w:noWrap/>
          </w:tcPr>
          <w:p w:rsidR="00CB68A7" w:rsidRPr="001C426D" w:rsidRDefault="00CB68A7" w:rsidP="00BB5C45">
            <w:pPr>
              <w:pStyle w:val="TableText"/>
              <w:jc w:val="center"/>
              <w:rPr>
                <w:rFonts w:eastAsia="Arial Unicode MS"/>
              </w:rPr>
            </w:pPr>
            <w:r w:rsidRPr="001C426D">
              <w:rPr>
                <w:color w:val="000000"/>
              </w:rPr>
              <w:t>0.050</w:t>
            </w:r>
          </w:p>
        </w:tc>
        <w:tc>
          <w:tcPr>
            <w:tcW w:w="1347" w:type="dxa"/>
            <w:tcBorders>
              <w:top w:val="single" w:sz="4" w:space="0" w:color="A6A6A6" w:themeColor="background1" w:themeShade="A6"/>
              <w:bottom w:val="single" w:sz="4" w:space="0" w:color="auto"/>
            </w:tcBorders>
            <w:shd w:val="clear" w:color="auto" w:fill="auto"/>
            <w:noWrap/>
          </w:tcPr>
          <w:p w:rsidR="00CB68A7" w:rsidRPr="001C426D" w:rsidRDefault="00CB68A7" w:rsidP="00BB5C45">
            <w:pPr>
              <w:pStyle w:val="TableText"/>
              <w:jc w:val="center"/>
              <w:rPr>
                <w:rFonts w:eastAsia="Arial Unicode MS"/>
              </w:rPr>
            </w:pPr>
            <w:r w:rsidRPr="001C426D">
              <w:rPr>
                <w:color w:val="000000"/>
              </w:rPr>
              <w:t>0.050</w:t>
            </w:r>
          </w:p>
        </w:tc>
        <w:tc>
          <w:tcPr>
            <w:tcW w:w="1347" w:type="dxa"/>
            <w:tcBorders>
              <w:top w:val="single" w:sz="4" w:space="0" w:color="A6A6A6" w:themeColor="background1" w:themeShade="A6"/>
              <w:bottom w:val="single" w:sz="4" w:space="0" w:color="auto"/>
            </w:tcBorders>
            <w:shd w:val="clear" w:color="auto" w:fill="auto"/>
            <w:noWrap/>
          </w:tcPr>
          <w:p w:rsidR="00CB68A7" w:rsidRPr="001C426D" w:rsidRDefault="00CB68A7" w:rsidP="00BB5C45">
            <w:pPr>
              <w:pStyle w:val="TableText"/>
              <w:jc w:val="center"/>
              <w:rPr>
                <w:rFonts w:eastAsia="Arial Unicode MS"/>
              </w:rPr>
            </w:pPr>
            <w:r w:rsidRPr="001C426D">
              <w:rPr>
                <w:color w:val="000000"/>
              </w:rPr>
              <w:t>0.050</w:t>
            </w:r>
          </w:p>
        </w:tc>
        <w:tc>
          <w:tcPr>
            <w:tcW w:w="1347" w:type="dxa"/>
            <w:tcBorders>
              <w:top w:val="single" w:sz="4" w:space="0" w:color="A6A6A6" w:themeColor="background1" w:themeShade="A6"/>
              <w:bottom w:val="single" w:sz="4" w:space="0" w:color="auto"/>
            </w:tcBorders>
            <w:shd w:val="clear" w:color="auto" w:fill="auto"/>
          </w:tcPr>
          <w:p w:rsidR="00CB68A7" w:rsidRPr="001C426D" w:rsidRDefault="00CB68A7" w:rsidP="00BB5C45">
            <w:pPr>
              <w:pStyle w:val="TableText"/>
              <w:tabs>
                <w:tab w:val="decimal" w:pos="581"/>
              </w:tabs>
              <w:rPr>
                <w:rFonts w:eastAsia="Arial Unicode MS"/>
              </w:rPr>
            </w:pPr>
            <w:r w:rsidRPr="001C426D">
              <w:rPr>
                <w:color w:val="000000"/>
              </w:rPr>
              <w:t>0.150</w:t>
            </w:r>
          </w:p>
        </w:tc>
      </w:tr>
      <w:tr w:rsidR="00CB68A7" w:rsidRPr="00C93BE4" w:rsidTr="00BB5C45">
        <w:trPr>
          <w:cantSplit/>
        </w:trPr>
        <w:tc>
          <w:tcPr>
            <w:tcW w:w="3969" w:type="dxa"/>
            <w:tcBorders>
              <w:top w:val="single" w:sz="4" w:space="0" w:color="auto"/>
            </w:tcBorders>
            <w:shd w:val="clear" w:color="auto" w:fill="auto"/>
            <w:noWrap/>
          </w:tcPr>
          <w:p w:rsidR="00CB68A7" w:rsidRPr="00091C98" w:rsidRDefault="00CB68A7" w:rsidP="0018208E">
            <w:pPr>
              <w:pStyle w:val="TableText"/>
              <w:rPr>
                <w:b/>
                <w:lang w:eastAsia="en-US"/>
              </w:rPr>
            </w:pPr>
            <w:r w:rsidRPr="00091C98">
              <w:rPr>
                <w:b/>
                <w:lang w:eastAsia="en-US"/>
              </w:rPr>
              <w:t>Total ($m)</w:t>
            </w:r>
          </w:p>
        </w:tc>
        <w:tc>
          <w:tcPr>
            <w:tcW w:w="1346" w:type="dxa"/>
            <w:tcBorders>
              <w:top w:val="single" w:sz="4" w:space="0" w:color="auto"/>
            </w:tcBorders>
            <w:shd w:val="clear" w:color="auto" w:fill="auto"/>
            <w:noWrap/>
          </w:tcPr>
          <w:p w:rsidR="00CB68A7" w:rsidRPr="00091C98" w:rsidRDefault="00CB68A7" w:rsidP="008979BA">
            <w:pPr>
              <w:pStyle w:val="TableText"/>
              <w:jc w:val="center"/>
              <w:rPr>
                <w:rFonts w:eastAsia="Arial Unicode MS"/>
                <w:b/>
              </w:rPr>
            </w:pPr>
            <w:r w:rsidRPr="00091C98">
              <w:rPr>
                <w:b/>
                <w:bCs/>
                <w:color w:val="000000"/>
              </w:rPr>
              <w:t>6.87</w:t>
            </w:r>
            <w:r w:rsidR="008979BA" w:rsidRPr="00091C98">
              <w:rPr>
                <w:b/>
                <w:bCs/>
                <w:color w:val="000000"/>
              </w:rPr>
              <w:t>0</w:t>
            </w:r>
          </w:p>
        </w:tc>
        <w:tc>
          <w:tcPr>
            <w:tcW w:w="1347" w:type="dxa"/>
            <w:tcBorders>
              <w:top w:val="single" w:sz="4" w:space="0" w:color="auto"/>
            </w:tcBorders>
            <w:shd w:val="clear" w:color="auto" w:fill="auto"/>
            <w:noWrap/>
          </w:tcPr>
          <w:p w:rsidR="00CB68A7" w:rsidRPr="00091C98" w:rsidRDefault="00CB68A7" w:rsidP="008979BA">
            <w:pPr>
              <w:pStyle w:val="TableText"/>
              <w:jc w:val="center"/>
              <w:rPr>
                <w:rFonts w:eastAsia="Arial Unicode MS"/>
                <w:b/>
              </w:rPr>
            </w:pPr>
            <w:r w:rsidRPr="00091C98">
              <w:rPr>
                <w:b/>
                <w:bCs/>
                <w:color w:val="000000"/>
              </w:rPr>
              <w:t>6.8</w:t>
            </w:r>
            <w:r w:rsidR="008979BA" w:rsidRPr="00091C98">
              <w:rPr>
                <w:b/>
                <w:bCs/>
                <w:color w:val="000000"/>
              </w:rPr>
              <w:t>40</w:t>
            </w:r>
          </w:p>
        </w:tc>
        <w:tc>
          <w:tcPr>
            <w:tcW w:w="1347" w:type="dxa"/>
            <w:tcBorders>
              <w:top w:val="single" w:sz="4" w:space="0" w:color="auto"/>
            </w:tcBorders>
            <w:shd w:val="clear" w:color="auto" w:fill="auto"/>
            <w:noWrap/>
          </w:tcPr>
          <w:p w:rsidR="00CB68A7" w:rsidRPr="00091C98" w:rsidRDefault="00CB68A7" w:rsidP="00BB5C45">
            <w:pPr>
              <w:pStyle w:val="TableText"/>
              <w:jc w:val="center"/>
              <w:rPr>
                <w:rFonts w:eastAsia="Arial Unicode MS"/>
                <w:b/>
              </w:rPr>
            </w:pPr>
            <w:r w:rsidRPr="00091C98">
              <w:rPr>
                <w:b/>
                <w:bCs/>
                <w:color w:val="000000"/>
              </w:rPr>
              <w:t>6.880</w:t>
            </w:r>
          </w:p>
        </w:tc>
        <w:tc>
          <w:tcPr>
            <w:tcW w:w="1347" w:type="dxa"/>
            <w:tcBorders>
              <w:top w:val="single" w:sz="4" w:space="0" w:color="auto"/>
            </w:tcBorders>
            <w:shd w:val="clear" w:color="auto" w:fill="auto"/>
          </w:tcPr>
          <w:p w:rsidR="00CB68A7" w:rsidRPr="00091C98" w:rsidRDefault="00CB68A7" w:rsidP="00BB5C45">
            <w:pPr>
              <w:pStyle w:val="TableText"/>
              <w:tabs>
                <w:tab w:val="decimal" w:pos="581"/>
              </w:tabs>
              <w:rPr>
                <w:rFonts w:eastAsia="Arial Unicode MS"/>
                <w:b/>
              </w:rPr>
            </w:pPr>
            <w:r w:rsidRPr="00091C98">
              <w:rPr>
                <w:b/>
                <w:bCs/>
                <w:color w:val="000000"/>
              </w:rPr>
              <w:t>20.590</w:t>
            </w:r>
          </w:p>
        </w:tc>
      </w:tr>
    </w:tbl>
    <w:p w:rsidR="00CB68A7" w:rsidRDefault="00CB68A7" w:rsidP="0018208E">
      <w:pPr>
        <w:pStyle w:val="Note"/>
      </w:pPr>
      <w:r w:rsidRPr="008C498B">
        <w:t>Note: All service areas include provision for dedicated Māori, Pacific and Asian services and activities.</w:t>
      </w:r>
    </w:p>
    <w:p w:rsidR="00CB68A7" w:rsidRPr="006E0391" w:rsidRDefault="00CB68A7" w:rsidP="0018208E"/>
    <w:p w:rsidR="00CB68A7" w:rsidRPr="00E312E8" w:rsidRDefault="00CB68A7" w:rsidP="0018208E">
      <w:pPr>
        <w:pStyle w:val="Heading3"/>
      </w:pPr>
      <w:bookmarkStart w:id="149" w:name="_Toc59414783"/>
      <w:bookmarkStart w:id="150" w:name="_Toc56522599"/>
      <w:bookmarkEnd w:id="134"/>
      <w:bookmarkEnd w:id="135"/>
      <w:r w:rsidRPr="00E312E8">
        <w:t>Primary prevention (public health action)</w:t>
      </w:r>
    </w:p>
    <w:p w:rsidR="00CB68A7" w:rsidRDefault="00CB68A7" w:rsidP="00B30A95">
      <w:r w:rsidRPr="00C10A99">
        <w:t xml:space="preserve">Primary prevention services </w:t>
      </w:r>
      <w:r>
        <w:t>cover</w:t>
      </w:r>
      <w:r w:rsidRPr="00C10A99">
        <w:t xml:space="preserve"> health promotion, increasing community action, raising community awareness about gambling and problem gambling, working with territorial authorities on their gambling venue policies and supporting the HPA</w:t>
      </w:r>
      <w:r w:rsidR="00EC3578">
        <w:t>’</w:t>
      </w:r>
      <w:r w:rsidRPr="00C10A99">
        <w:t>s awareness and education programme at a local and regional level.</w:t>
      </w:r>
    </w:p>
    <w:p w:rsidR="0018208E" w:rsidRPr="00C10A99" w:rsidRDefault="0018208E" w:rsidP="00B30A95"/>
    <w:p w:rsidR="00CB68A7" w:rsidRDefault="00CB68A7" w:rsidP="0018208E">
      <w:r w:rsidRPr="00C10A99">
        <w:t>The Ministry will continue to fund dedicated Māori, Pacific and Asian providers to offer primary prevention services.</w:t>
      </w:r>
    </w:p>
    <w:p w:rsidR="0018208E" w:rsidRPr="00C10A99" w:rsidRDefault="0018208E" w:rsidP="0018208E"/>
    <w:p w:rsidR="00CB68A7" w:rsidRPr="00E312E8" w:rsidRDefault="00CB68A7" w:rsidP="008D0326">
      <w:r w:rsidRPr="00C10A99">
        <w:t>The</w:t>
      </w:r>
      <w:r>
        <w:t xml:space="preserve"> Ministry intends that services work across the five general domains listed below. However, it is clear that some innovation is required, and further advice will be sought before any tender process is instigated during this levy period.</w:t>
      </w:r>
    </w:p>
    <w:p w:rsidR="00CB68A7" w:rsidRPr="00C10A99" w:rsidRDefault="00CB68A7" w:rsidP="008D0326">
      <w:pPr>
        <w:pStyle w:val="Number"/>
      </w:pPr>
      <w:r>
        <w:rPr>
          <w:b/>
        </w:rPr>
        <w:t>P</w:t>
      </w:r>
      <w:r w:rsidRPr="00E312E8">
        <w:rPr>
          <w:b/>
        </w:rPr>
        <w:t>olicy development and implementation:</w:t>
      </w:r>
      <w:r w:rsidRPr="00E312E8">
        <w:t xml:space="preserve"> </w:t>
      </w:r>
      <w:r>
        <w:t>The Ministry engages</w:t>
      </w:r>
      <w:r w:rsidRPr="00C10A99">
        <w:t xml:space="preserve"> with </w:t>
      </w:r>
      <w:r>
        <w:t xml:space="preserve">other </w:t>
      </w:r>
      <w:r w:rsidRPr="00C10A99">
        <w:t>government agencies, social organisations</w:t>
      </w:r>
      <w:r>
        <w:t xml:space="preserve"> and</w:t>
      </w:r>
      <w:r w:rsidRPr="00C10A99">
        <w:t xml:space="preserve"> private industr</w:t>
      </w:r>
      <w:r>
        <w:t>ies</w:t>
      </w:r>
      <w:r w:rsidRPr="00C10A99">
        <w:t xml:space="preserve"> and businesses to reduce gambling harm</w:t>
      </w:r>
      <w:r>
        <w:t>.</w:t>
      </w:r>
    </w:p>
    <w:p w:rsidR="00CB68A7" w:rsidRPr="00C10A99" w:rsidRDefault="00CB68A7" w:rsidP="008D0326">
      <w:pPr>
        <w:pStyle w:val="Number"/>
      </w:pPr>
      <w:r>
        <w:rPr>
          <w:b/>
        </w:rPr>
        <w:lastRenderedPageBreak/>
        <w:t>S</w:t>
      </w:r>
      <w:r w:rsidRPr="00C10A99">
        <w:rPr>
          <w:b/>
        </w:rPr>
        <w:t xml:space="preserve">afe gambling environments: </w:t>
      </w:r>
      <w:r>
        <w:t>E</w:t>
      </w:r>
      <w:r w:rsidRPr="00C10A99">
        <w:t>nvironments that provide gambling opportunities are encouraged to actively minimise harm</w:t>
      </w:r>
      <w:r>
        <w:t>,</w:t>
      </w:r>
      <w:r w:rsidRPr="00C10A99">
        <w:t xml:space="preserve"> and individuals are supported to recognise and seek support to minimise gambling harm</w:t>
      </w:r>
      <w:r>
        <w:t>.</w:t>
      </w:r>
    </w:p>
    <w:p w:rsidR="00CB68A7" w:rsidRPr="00C10A99" w:rsidRDefault="00CB68A7" w:rsidP="008D0326">
      <w:pPr>
        <w:pStyle w:val="Number"/>
      </w:pPr>
      <w:r>
        <w:rPr>
          <w:b/>
        </w:rPr>
        <w:t>S</w:t>
      </w:r>
      <w:r w:rsidRPr="00C10A99">
        <w:rPr>
          <w:b/>
        </w:rPr>
        <w:t>upportive communities:</w:t>
      </w:r>
      <w:r w:rsidRPr="00C10A99">
        <w:t xml:space="preserve"> </w:t>
      </w:r>
      <w:r>
        <w:t>P</w:t>
      </w:r>
      <w:r w:rsidRPr="00C10A99">
        <w:t>eople live in communities that provide strong protective factors and that support individuals</w:t>
      </w:r>
      <w:r w:rsidR="00EC3578">
        <w:t>’</w:t>
      </w:r>
      <w:r w:rsidRPr="00C10A99">
        <w:t xml:space="preserve"> and family resilience</w:t>
      </w:r>
      <w:r>
        <w:t>.</w:t>
      </w:r>
    </w:p>
    <w:p w:rsidR="00CB68A7" w:rsidRPr="00C10A99" w:rsidRDefault="00CB68A7" w:rsidP="008D0326">
      <w:pPr>
        <w:pStyle w:val="Number"/>
      </w:pPr>
      <w:r>
        <w:rPr>
          <w:b/>
        </w:rPr>
        <w:t>A</w:t>
      </w:r>
      <w:r w:rsidRPr="00C10A99">
        <w:rPr>
          <w:b/>
        </w:rPr>
        <w:t xml:space="preserve">ware communities: </w:t>
      </w:r>
      <w:r>
        <w:t>A</w:t>
      </w:r>
      <w:r w:rsidRPr="00C10A99">
        <w:t>gencies, communities, families and individuals are aware of the range of harms arising from gambling</w:t>
      </w:r>
      <w:r>
        <w:t>.</w:t>
      </w:r>
    </w:p>
    <w:p w:rsidR="00CB68A7" w:rsidRPr="00C10A99" w:rsidRDefault="00CB68A7" w:rsidP="008D0326">
      <w:pPr>
        <w:pStyle w:val="Number"/>
      </w:pPr>
      <w:r>
        <w:rPr>
          <w:b/>
        </w:rPr>
        <w:t>E</w:t>
      </w:r>
      <w:r w:rsidRPr="00C10A99">
        <w:rPr>
          <w:b/>
        </w:rPr>
        <w:t>ffective screening environments:</w:t>
      </w:r>
      <w:r w:rsidRPr="00C10A99">
        <w:t xml:space="preserve"> </w:t>
      </w:r>
      <w:r>
        <w:t>I</w:t>
      </w:r>
      <w:r w:rsidRPr="00C10A99">
        <w:t>ndividuals at risk of experiencing harm from gambling are identified as early as possible</w:t>
      </w:r>
      <w:r>
        <w:t>,</w:t>
      </w:r>
      <w:r w:rsidRPr="00C10A99">
        <w:t xml:space="preserve"> and they are made aware of where to access appropriate minimising gambling harm intervention services.</w:t>
      </w:r>
    </w:p>
    <w:bookmarkEnd w:id="149"/>
    <w:bookmarkEnd w:id="150"/>
    <w:p w:rsidR="00CB68A7" w:rsidRDefault="00CB68A7" w:rsidP="0018208E"/>
    <w:p w:rsidR="00CB68A7" w:rsidRDefault="00CB68A7" w:rsidP="0018208E">
      <w:r w:rsidRPr="00C10A99">
        <w:t xml:space="preserve">Based on its current experience and the </w:t>
      </w:r>
      <w:r>
        <w:t>n</w:t>
      </w:r>
      <w:r w:rsidRPr="00C10A99">
        <w:t xml:space="preserve">eeds </w:t>
      </w:r>
      <w:r>
        <w:t>a</w:t>
      </w:r>
      <w:r w:rsidRPr="00C10A99">
        <w:t xml:space="preserve">ssessment, the Ministry </w:t>
      </w:r>
      <w:r>
        <w:t xml:space="preserve">intends to maintain funding for existing services </w:t>
      </w:r>
      <w:r w:rsidRPr="00C10A99">
        <w:t xml:space="preserve">at broadly the same level as in the previous </w:t>
      </w:r>
      <w:r>
        <w:t xml:space="preserve">funding </w:t>
      </w:r>
      <w:r w:rsidRPr="00C10A99">
        <w:t>period. However, it intends to explore the potential for innovation within that overall budget, particularly taking a community mobilisation</w:t>
      </w:r>
      <w:r>
        <w:t xml:space="preserve"> </w:t>
      </w:r>
      <w:r w:rsidRPr="00C10A99">
        <w:t>approach</w:t>
      </w:r>
      <w:r w:rsidR="0090215A">
        <w:t xml:space="preserve">, and drawing on successful models </w:t>
      </w:r>
      <w:r w:rsidR="00F907B0">
        <w:t>across the wider health system.</w:t>
      </w:r>
    </w:p>
    <w:p w:rsidR="00CB68A7" w:rsidRPr="00C10A99" w:rsidRDefault="00CB68A7" w:rsidP="0018208E"/>
    <w:p w:rsidR="00CB68A7" w:rsidRPr="00C10A99" w:rsidRDefault="00CB68A7" w:rsidP="0018208E">
      <w:pPr>
        <w:pStyle w:val="Heading3"/>
      </w:pPr>
      <w:r w:rsidRPr="00C10A99">
        <w:t>Workforce development (public health)</w:t>
      </w:r>
    </w:p>
    <w:p w:rsidR="00CB68A7" w:rsidRDefault="00CB68A7" w:rsidP="0018208E">
      <w:r w:rsidRPr="00C10A99">
        <w:t>In the 2013/14 to 2015/16 period, the Ministry</w:t>
      </w:r>
      <w:r w:rsidR="00EC3578">
        <w:t>’</w:t>
      </w:r>
      <w:r w:rsidRPr="00C10A99">
        <w:t xml:space="preserve">s gambling harm public health workforce development provider identified the core competencies (including the cultural competencies) required for that workforce. </w:t>
      </w:r>
      <w:r>
        <w:t xml:space="preserve">In the most recent period, a website was built that contains the e-learning packages for each of the competencies to support other training opportunities. </w:t>
      </w:r>
      <w:r w:rsidRPr="00C10A99">
        <w:t xml:space="preserve">The focus in </w:t>
      </w:r>
      <w:r>
        <w:t xml:space="preserve">the </w:t>
      </w:r>
      <w:r w:rsidRPr="00C10A99">
        <w:t xml:space="preserve">2019/20 to 2021/22 </w:t>
      </w:r>
      <w:r>
        <w:t xml:space="preserve">period </w:t>
      </w:r>
      <w:r w:rsidRPr="00C10A99">
        <w:t xml:space="preserve">will be increasing uptake of a training programme to </w:t>
      </w:r>
      <w:r>
        <w:t>help the workforce</w:t>
      </w:r>
      <w:r w:rsidRPr="00C10A99">
        <w:t xml:space="preserve"> </w:t>
      </w:r>
      <w:r>
        <w:t>identify</w:t>
      </w:r>
      <w:r w:rsidRPr="00C10A99">
        <w:t xml:space="preserve"> </w:t>
      </w:r>
      <w:r>
        <w:t xml:space="preserve">and achieve </w:t>
      </w:r>
      <w:r w:rsidRPr="00C10A99">
        <w:t>appropriate formal qualifications</w:t>
      </w:r>
      <w:r>
        <w:t>.</w:t>
      </w:r>
    </w:p>
    <w:p w:rsidR="00CB68A7" w:rsidRPr="00C10A99" w:rsidRDefault="00CB68A7" w:rsidP="0018208E"/>
    <w:p w:rsidR="00CB68A7" w:rsidRPr="00A66817" w:rsidRDefault="00CB68A7" w:rsidP="0018208E">
      <w:pPr>
        <w:pStyle w:val="Heading3"/>
      </w:pPr>
      <w:r w:rsidRPr="00A66817">
        <w:t>Awareness and education programme</w:t>
      </w:r>
    </w:p>
    <w:p w:rsidR="00EC3578" w:rsidRDefault="00CB68A7" w:rsidP="0018208E">
      <w:r w:rsidRPr="003F5E34">
        <w:t>The HPA</w:t>
      </w:r>
      <w:r w:rsidR="00EC3578">
        <w:t>’</w:t>
      </w:r>
      <w:r w:rsidRPr="003F5E34">
        <w:t>s health promotion programme focuses on encouraging positive behaviour change among at-risk gamblers. The</w:t>
      </w:r>
      <w:r>
        <w:t xml:space="preserve"> HPA will continue to </w:t>
      </w:r>
      <w:r w:rsidRPr="003F5E34">
        <w:t xml:space="preserve">actively promote the Gambling Helpline, </w:t>
      </w:r>
      <w:hyperlink w:history="1">
        <w:r w:rsidRPr="00307A94">
          <w:rPr>
            <w:rStyle w:val="Hyperlink"/>
          </w:rPr>
          <w:t xml:space="preserve">Choice Not Chance (www.choicenotchance.org.nz) and face-to-face services, with key messages </w:t>
        </w:r>
      </w:hyperlink>
      <w:r w:rsidRPr="003F5E34">
        <w:t xml:space="preserve">to target Māori, Pacific </w:t>
      </w:r>
      <w:r>
        <w:t xml:space="preserve">and Asian </w:t>
      </w:r>
      <w:r w:rsidRPr="003F5E34">
        <w:t>audiences, and other vulnerable groups for the 2019/20 to 2021/22 period.</w:t>
      </w:r>
    </w:p>
    <w:p w:rsidR="0018208E" w:rsidRDefault="0018208E" w:rsidP="0018208E"/>
    <w:p w:rsidR="00EC3578" w:rsidRDefault="00CB68A7" w:rsidP="0018208E">
      <w:r>
        <w:t xml:space="preserve">The </w:t>
      </w:r>
      <w:r w:rsidRPr="00C748D1">
        <w:t xml:space="preserve">HPA will develop </w:t>
      </w:r>
      <w:r>
        <w:t xml:space="preserve">and </w:t>
      </w:r>
      <w:r w:rsidRPr="00C748D1">
        <w:t>promote self-help digital tools to increase accessibility to help and provide online support information to prevent and minimise gambling harm</w:t>
      </w:r>
      <w:r>
        <w:t>. It will also</w:t>
      </w:r>
      <w:r w:rsidRPr="003F5E34">
        <w:t xml:space="preserve"> continue to work in partnership with </w:t>
      </w:r>
      <w:r>
        <w:t xml:space="preserve">the </w:t>
      </w:r>
      <w:r w:rsidRPr="003F5E34">
        <w:t>DIA and the Ministry to promote safer gambling environments and gambling host responsibilities, including embedding work with class 4 venues and expanding these activities to address other modes of gambling.</w:t>
      </w:r>
    </w:p>
    <w:p w:rsidR="0018208E" w:rsidRDefault="0018208E" w:rsidP="0018208E"/>
    <w:p w:rsidR="00CB68A7" w:rsidRPr="003F5E34" w:rsidRDefault="00CB68A7" w:rsidP="008D0326">
      <w:r w:rsidRPr="003F5E34">
        <w:t xml:space="preserve">National and regional service providers </w:t>
      </w:r>
      <w:r>
        <w:t xml:space="preserve">will continue to provide </w:t>
      </w:r>
      <w:r w:rsidRPr="003F5E34">
        <w:t xml:space="preserve">a variety of health promotion activities to minimise gambling related harm in the community. These activities include advocating for healthy policies with other agencies, working with gambling venues, increasing community action and raising community awareness of gambling harm at a local and regional level. In line with the </w:t>
      </w:r>
      <w:r>
        <w:t>strategy</w:t>
      </w:r>
      <w:r w:rsidR="00EC3578">
        <w:t>’</w:t>
      </w:r>
      <w:r>
        <w:t xml:space="preserve">s </w:t>
      </w:r>
      <w:r w:rsidRPr="003F5E34">
        <w:t>objectives, dedicated Māori, Pacific and Asian public health service</w:t>
      </w:r>
      <w:r>
        <w:t xml:space="preserve"> providers will be supported to </w:t>
      </w:r>
      <w:r w:rsidRPr="003F5E34">
        <w:t>provide appropriate and relevant services within their communities.</w:t>
      </w:r>
    </w:p>
    <w:p w:rsidR="0018208E" w:rsidRDefault="0018208E" w:rsidP="0018208E"/>
    <w:p w:rsidR="00CB68A7" w:rsidRDefault="00CB68A7" w:rsidP="00B30A95">
      <w:pPr>
        <w:keepLines/>
      </w:pPr>
      <w:r w:rsidRPr="003F5E34">
        <w:lastRenderedPageBreak/>
        <w:t>Service providers</w:t>
      </w:r>
      <w:r>
        <w:t xml:space="preserve">, and the gambling sector generally, will be encouraged to </w:t>
      </w:r>
      <w:r w:rsidRPr="003F5E34">
        <w:t xml:space="preserve">participate in reviews of national and local </w:t>
      </w:r>
      <w:r>
        <w:t xml:space="preserve">council </w:t>
      </w:r>
      <w:r w:rsidRPr="003F5E34">
        <w:t xml:space="preserve">gambling venue policies, providing a community perspective to the three-yearly consultation process undertaken by territorial authorities. </w:t>
      </w:r>
      <w:r>
        <w:t>Previously, t</w:t>
      </w:r>
      <w:r w:rsidRPr="003F5E34">
        <w:t>his process has resulted in a number of authorities introducing either gaming machine caps or sinking-lid policies in their regions.</w:t>
      </w:r>
    </w:p>
    <w:p w:rsidR="00CB68A7" w:rsidRDefault="00CB68A7" w:rsidP="0018208E"/>
    <w:p w:rsidR="00CB68A7" w:rsidRPr="00C10A99" w:rsidRDefault="00CB68A7" w:rsidP="0018208E">
      <w:pPr>
        <w:pStyle w:val="Heading3"/>
      </w:pPr>
      <w:r w:rsidRPr="00E312E8">
        <w:t>National coordination</w:t>
      </w:r>
      <w:r>
        <w:t>, consumer networks</w:t>
      </w:r>
      <w:r w:rsidRPr="00E312E8">
        <w:t xml:space="preserve"> and conference support</w:t>
      </w:r>
    </w:p>
    <w:p w:rsidR="00CB68A7" w:rsidRDefault="00CB68A7" w:rsidP="0018208E">
      <w:r w:rsidRPr="00C10A99">
        <w:t>National coordination and conference support services support both public health and intervention service capacity and capability. The</w:t>
      </w:r>
      <w:r>
        <w:t xml:space="preserve">se services </w:t>
      </w:r>
      <w:r w:rsidRPr="00C10A99">
        <w:t>have been included under public health expenditure because they align with public health principles.</w:t>
      </w:r>
    </w:p>
    <w:p w:rsidR="00CB68A7" w:rsidRDefault="00CB68A7" w:rsidP="0018208E"/>
    <w:p w:rsidR="00CB68A7" w:rsidRPr="00C10A99" w:rsidRDefault="00CB68A7" w:rsidP="0018208E">
      <w:pPr>
        <w:pStyle w:val="Heading4"/>
        <w:rPr>
          <w:rFonts w:cs="Arial"/>
        </w:rPr>
      </w:pPr>
      <w:r w:rsidRPr="00C10A99">
        <w:t>National coordination</w:t>
      </w:r>
      <w:r>
        <w:t xml:space="preserve"> service</w:t>
      </w:r>
    </w:p>
    <w:p w:rsidR="00EC3578" w:rsidRDefault="00CB68A7" w:rsidP="0018208E">
      <w:r w:rsidRPr="00C10A99">
        <w:t xml:space="preserve">The national coordination service (NCS) is a key support </w:t>
      </w:r>
      <w:r>
        <w:t>for the</w:t>
      </w:r>
      <w:r w:rsidRPr="00C10A99">
        <w:t xml:space="preserve"> </w:t>
      </w:r>
      <w:r>
        <w:t xml:space="preserve">services </w:t>
      </w:r>
      <w:r w:rsidRPr="00C10A99">
        <w:t>preventi</w:t>
      </w:r>
      <w:r>
        <w:t>ng</w:t>
      </w:r>
      <w:r w:rsidRPr="00C10A99">
        <w:t xml:space="preserve"> and minimising gambling harm. The NCS informs all service providers of significant developments, facilitates training opportunities</w:t>
      </w:r>
      <w:r>
        <w:t>,</w:t>
      </w:r>
      <w:r w:rsidRPr="00C10A99">
        <w:t xml:space="preserve"> provides regular updates and administers the National Preventing and Minimising Gambling Harm Advisory Group.</w:t>
      </w:r>
    </w:p>
    <w:p w:rsidR="00CB68A7" w:rsidRPr="00C10A99" w:rsidRDefault="00CB68A7" w:rsidP="0018208E"/>
    <w:p w:rsidR="00CB68A7" w:rsidRDefault="00CB68A7" w:rsidP="0018208E">
      <w:pPr>
        <w:pStyle w:val="Heading4"/>
      </w:pPr>
      <w:r>
        <w:t>Consumer network</w:t>
      </w:r>
    </w:p>
    <w:p w:rsidR="00CB68A7" w:rsidRDefault="00CB68A7" w:rsidP="0018208E">
      <w:r>
        <w:t>The Ministry will provide funding and support for a national consumer network during this levy period. The network will inform service design and evaluation, particularly when innovative services are being piloted, and will assist with laying the foundations for introducing peer support into intervention services over time.</w:t>
      </w:r>
    </w:p>
    <w:p w:rsidR="00CB68A7" w:rsidRPr="00C10A99" w:rsidRDefault="00CB68A7" w:rsidP="0018208E"/>
    <w:p w:rsidR="00EC3578" w:rsidRDefault="00CB68A7" w:rsidP="0018208E">
      <w:pPr>
        <w:pStyle w:val="Heading4"/>
      </w:pPr>
      <w:r w:rsidRPr="00C10A99">
        <w:t>Conference support</w:t>
      </w:r>
    </w:p>
    <w:p w:rsidR="00CB68A7" w:rsidRPr="00C10A99" w:rsidRDefault="00CB68A7" w:rsidP="0018208E">
      <w:r w:rsidRPr="00C10A99">
        <w:t>The Ministry contributes funding to a biennial international gambling conference held in New Zealand, and an international think</w:t>
      </w:r>
      <w:r>
        <w:t xml:space="preserve"> </w:t>
      </w:r>
      <w:r w:rsidRPr="00C10A99">
        <w:t xml:space="preserve">tank. The conference will take place twice in the 2019/20 to 2021/22 period, in February 2020 and 2022. The Ministry is budgeting for an $80,000 contribution towards the costs of </w:t>
      </w:r>
      <w:r>
        <w:t>each</w:t>
      </w:r>
      <w:r w:rsidRPr="00C10A99">
        <w:t xml:space="preserve"> conference and think</w:t>
      </w:r>
      <w:r>
        <w:t xml:space="preserve"> </w:t>
      </w:r>
      <w:r w:rsidRPr="00C10A99">
        <w:t>tank.</w:t>
      </w:r>
    </w:p>
    <w:p w:rsidR="0018208E" w:rsidRDefault="0018208E" w:rsidP="0018208E"/>
    <w:p w:rsidR="00CB68A7" w:rsidRDefault="00CB68A7" w:rsidP="0018208E">
      <w:r w:rsidRPr="00C10A99">
        <w:t xml:space="preserve">Holding international conferences in New Zealand promotes </w:t>
      </w:r>
      <w:r>
        <w:t>us</w:t>
      </w:r>
      <w:r w:rsidRPr="00C10A99">
        <w:t xml:space="preserve"> as a world leader in preventing and minimising gambling harm. The conference enables practitioners, researchers, industry representatives and government officials from around the world to meet and exchange ideas specific to gambling harm.</w:t>
      </w:r>
    </w:p>
    <w:p w:rsidR="00CB68A7" w:rsidRPr="00C10A99" w:rsidRDefault="00CB68A7" w:rsidP="0018208E"/>
    <w:bookmarkEnd w:id="136"/>
    <w:p w:rsidR="00CB68A7" w:rsidRPr="00C10A99" w:rsidRDefault="00CB68A7" w:rsidP="0018208E">
      <w:pPr>
        <w:pStyle w:val="Heading3"/>
      </w:pPr>
      <w:r w:rsidRPr="00C10A99">
        <w:t>Audit activities</w:t>
      </w:r>
    </w:p>
    <w:p w:rsidR="00EC3578" w:rsidRDefault="00CB68A7" w:rsidP="008D0326">
      <w:r w:rsidRPr="00C10A99">
        <w:t>The Ministry audits its services periodically. The audits allow for independent review and continuous quality improvement. A governance and financial audit of intervention and public health preventing and minimising gambling harm providers was undertaken during the 2017/2018 financial year</w:t>
      </w:r>
      <w:r>
        <w:t xml:space="preserve"> and provides a baseline for assessing progress to strengthen the governance of funding agreements and future audits</w:t>
      </w:r>
      <w:r w:rsidRPr="00C10A99">
        <w:t xml:space="preserve">. </w:t>
      </w:r>
      <w:r>
        <w:t>Lessons learned will be implemented and future audits are likely, in line with the Ministry</w:t>
      </w:r>
      <w:r w:rsidR="00EC3578">
        <w:t>’</w:t>
      </w:r>
      <w:r>
        <w:t>s audit policies.</w:t>
      </w:r>
    </w:p>
    <w:p w:rsidR="00CB68A7" w:rsidRPr="00C10A99" w:rsidRDefault="00CB68A7" w:rsidP="0018208E"/>
    <w:p w:rsidR="00CB68A7" w:rsidRDefault="00CB68A7" w:rsidP="0018208E">
      <w:pPr>
        <w:pStyle w:val="Heading2"/>
      </w:pPr>
      <w:bookmarkStart w:id="151" w:name="_Toc229279765"/>
      <w:bookmarkStart w:id="152" w:name="_Toc517090906"/>
      <w:bookmarkStart w:id="153" w:name="_Toc522089408"/>
      <w:bookmarkStart w:id="154" w:name="_Toc59414781"/>
      <w:r w:rsidRPr="00C10A99">
        <w:lastRenderedPageBreak/>
        <w:t>Interv</w:t>
      </w:r>
      <w:r w:rsidRPr="00E0156C">
        <w:t>ention services</w:t>
      </w:r>
      <w:bookmarkEnd w:id="151"/>
      <w:bookmarkEnd w:id="152"/>
      <w:bookmarkEnd w:id="153"/>
    </w:p>
    <w:bookmarkEnd w:id="154"/>
    <w:p w:rsidR="00CB68A7" w:rsidRPr="00E312E8" w:rsidRDefault="00CB68A7" w:rsidP="00267262">
      <w:r w:rsidRPr="00E312E8">
        <w:t xml:space="preserve">The indicative budget for intervention services for the 2019/20 to 2021/22 period </w:t>
      </w:r>
      <w:r>
        <w:t>has</w:t>
      </w:r>
      <w:r w:rsidRPr="00E312E8">
        <w:t xml:space="preserve"> </w:t>
      </w:r>
      <w:r>
        <w:t xml:space="preserve">increased </w:t>
      </w:r>
      <w:r w:rsidRPr="00E312E8">
        <w:t xml:space="preserve">from the previous period </w:t>
      </w:r>
      <w:r>
        <w:t xml:space="preserve">to accommodate an increased focus on evaluation and service development to address persistent gambling harm </w:t>
      </w:r>
      <w:r w:rsidRPr="00E312E8">
        <w:t xml:space="preserve">(see Table 16). </w:t>
      </w:r>
      <w:r>
        <w:t>W</w:t>
      </w:r>
      <w:r w:rsidRPr="00E312E8">
        <w:t>ithin th</w:t>
      </w:r>
      <w:r>
        <w:t xml:space="preserve">e indicative </w:t>
      </w:r>
      <w:r w:rsidRPr="00E312E8">
        <w:t xml:space="preserve">budget, the Ministry intends to explore the potential for more innovative intervention services. </w:t>
      </w:r>
      <w:r>
        <w:t>In particular, it will seek to fund or develop services that are patient-centred and enhance the mana of consumers. New approaches will be based on successful regional or local models, where they exist, and will be co-designed with stakeholders and particularly with consumers.</w:t>
      </w:r>
    </w:p>
    <w:p w:rsidR="00267262" w:rsidRDefault="00267262" w:rsidP="00267262"/>
    <w:p w:rsidR="00CB68A7" w:rsidRPr="00E312E8" w:rsidRDefault="00CB68A7" w:rsidP="00267262">
      <w:r w:rsidRPr="00E312E8">
        <w:t>Indicative priority areas for 2019/20 to 2021/22 are</w:t>
      </w:r>
      <w:r>
        <w:t xml:space="preserve"> to:</w:t>
      </w:r>
    </w:p>
    <w:p w:rsidR="00907B85" w:rsidRDefault="00907B85" w:rsidP="00907B85">
      <w:pPr>
        <w:pStyle w:val="Bullet"/>
      </w:pPr>
      <w:r>
        <w:t>introduce residential care for gambling harm</w:t>
      </w:r>
    </w:p>
    <w:p w:rsidR="00907B85" w:rsidRDefault="00907B85" w:rsidP="00907B85">
      <w:pPr>
        <w:pStyle w:val="Bullet"/>
      </w:pPr>
      <w:r w:rsidRPr="00EC3578">
        <w:t>explore innovative ways to treat the whole person through joined-up gambling, drug, alcohol and mental health services</w:t>
      </w:r>
    </w:p>
    <w:p w:rsidR="00CB68A7" w:rsidRPr="00EC3578" w:rsidRDefault="00CB68A7" w:rsidP="00267262">
      <w:pPr>
        <w:pStyle w:val="Bullet"/>
      </w:pPr>
      <w:proofErr w:type="gramStart"/>
      <w:r w:rsidRPr="00EC3578">
        <w:t>pilot</w:t>
      </w:r>
      <w:proofErr w:type="gramEnd"/>
      <w:r w:rsidRPr="00EC3578">
        <w:t xml:space="preserve"> and evaluate new service models to address gaps in current service provision</w:t>
      </w:r>
      <w:r w:rsidR="00B66331">
        <w:t>. Th</w:t>
      </w:r>
      <w:r w:rsidR="00775592">
        <w:t>e pilots w</w:t>
      </w:r>
      <w:r w:rsidR="00F907B0">
        <w:t>ill focus on delivering both public health and intervention services across regions,</w:t>
      </w:r>
      <w:r w:rsidR="0090215A">
        <w:t xml:space="preserve"> particularly </w:t>
      </w:r>
      <w:r w:rsidR="00F907B0">
        <w:t>rural regions, and responsiveness to</w:t>
      </w:r>
      <w:r w:rsidR="00775592">
        <w:t xml:space="preserve"> M</w:t>
      </w:r>
      <w:r w:rsidR="00F907B0">
        <w:t>āori</w:t>
      </w:r>
    </w:p>
    <w:p w:rsidR="00CB68A7" w:rsidRPr="00EC3578" w:rsidRDefault="00A37CFB" w:rsidP="00267262">
      <w:pPr>
        <w:pStyle w:val="Bullet"/>
      </w:pPr>
      <w:r>
        <w:t>lay</w:t>
      </w:r>
      <w:r w:rsidR="00F907B0">
        <w:t xml:space="preserve"> the foundations for the eventual introduction of </w:t>
      </w:r>
      <w:r w:rsidR="00CB68A7" w:rsidRPr="00EC3578">
        <w:t>peer support into the intervention service mix in the medium term</w:t>
      </w:r>
    </w:p>
    <w:p w:rsidR="0051304C" w:rsidRDefault="0051304C" w:rsidP="00267262">
      <w:pPr>
        <w:pStyle w:val="Bullet"/>
      </w:pPr>
      <w:r>
        <w:t>develop the range online self-help available</w:t>
      </w:r>
    </w:p>
    <w:p w:rsidR="00CB68A7" w:rsidRPr="00EC3578" w:rsidRDefault="00CB68A7" w:rsidP="00267262">
      <w:pPr>
        <w:pStyle w:val="Bullet"/>
      </w:pPr>
      <w:proofErr w:type="gramStart"/>
      <w:r w:rsidRPr="00EC3578">
        <w:t>deliver</w:t>
      </w:r>
      <w:proofErr w:type="gramEnd"/>
      <w:r w:rsidRPr="00EC3578">
        <w:t xml:space="preserve"> services that are responsive to the needs of different population groups, in particular, those groups where there is strong evidence of inequality and inequity in gambling harm that need to be addressed</w:t>
      </w:r>
      <w:r w:rsidR="00907B85">
        <w:t>.</w:t>
      </w:r>
    </w:p>
    <w:p w:rsidR="00CB68A7" w:rsidRDefault="00CB68A7" w:rsidP="00267262">
      <w:bookmarkStart w:id="155" w:name="_Toc514838702"/>
      <w:bookmarkStart w:id="156" w:name="_Toc517091241"/>
    </w:p>
    <w:p w:rsidR="00CB68A7" w:rsidRPr="00BC3003" w:rsidRDefault="00CB68A7" w:rsidP="00267262">
      <w:pPr>
        <w:pStyle w:val="Table"/>
      </w:pPr>
      <w:bookmarkStart w:id="157" w:name="_Toc522089445"/>
      <w:r w:rsidRPr="00BC3003">
        <w:t xml:space="preserve">Table </w:t>
      </w:r>
      <w:r>
        <w:t>16</w:t>
      </w:r>
      <w:r w:rsidRPr="00BC3003">
        <w:t>: Indicative intervention budget (GST exclusive), by service area, 2019/20 to 2021/22</w:t>
      </w:r>
      <w:bookmarkEnd w:id="155"/>
      <w:bookmarkEnd w:id="156"/>
      <w:bookmarkEnd w:id="157"/>
    </w:p>
    <w:tbl>
      <w:tblPr>
        <w:tblW w:w="9356" w:type="dxa"/>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4253"/>
        <w:gridCol w:w="1275"/>
        <w:gridCol w:w="1276"/>
        <w:gridCol w:w="1276"/>
        <w:gridCol w:w="1276"/>
      </w:tblGrid>
      <w:tr w:rsidR="00CB68A7" w:rsidRPr="00267262" w:rsidTr="00AB4C8A">
        <w:trPr>
          <w:cantSplit/>
        </w:trPr>
        <w:tc>
          <w:tcPr>
            <w:tcW w:w="4253" w:type="dxa"/>
            <w:tcBorders>
              <w:top w:val="single" w:sz="4" w:space="0" w:color="auto"/>
              <w:bottom w:val="single" w:sz="4" w:space="0" w:color="auto"/>
            </w:tcBorders>
            <w:shd w:val="clear" w:color="auto" w:fill="auto"/>
            <w:noWrap/>
          </w:tcPr>
          <w:p w:rsidR="00CB68A7" w:rsidRPr="00267262" w:rsidRDefault="00CB68A7" w:rsidP="00267262">
            <w:pPr>
              <w:pStyle w:val="TableText"/>
              <w:rPr>
                <w:b/>
                <w:lang w:eastAsia="en-US"/>
              </w:rPr>
            </w:pPr>
            <w:r w:rsidRPr="00267262">
              <w:rPr>
                <w:b/>
                <w:lang w:eastAsia="en-US"/>
              </w:rPr>
              <w:t>Service area</w:t>
            </w:r>
          </w:p>
        </w:tc>
        <w:tc>
          <w:tcPr>
            <w:tcW w:w="1275" w:type="dxa"/>
            <w:tcBorders>
              <w:top w:val="single" w:sz="4" w:space="0" w:color="auto"/>
              <w:bottom w:val="single" w:sz="4" w:space="0" w:color="auto"/>
            </w:tcBorders>
            <w:shd w:val="clear" w:color="auto" w:fill="auto"/>
            <w:noWrap/>
          </w:tcPr>
          <w:p w:rsidR="00CB68A7" w:rsidRPr="00267262" w:rsidRDefault="00CB68A7" w:rsidP="00267262">
            <w:pPr>
              <w:pStyle w:val="TableText"/>
              <w:jc w:val="center"/>
              <w:rPr>
                <w:b/>
                <w:lang w:eastAsia="en-US"/>
              </w:rPr>
            </w:pPr>
            <w:r w:rsidRPr="00267262">
              <w:rPr>
                <w:b/>
                <w:lang w:eastAsia="en-US"/>
              </w:rPr>
              <w:t>2019/20</w:t>
            </w:r>
            <w:r w:rsidR="00267262">
              <w:rPr>
                <w:b/>
                <w:lang w:eastAsia="en-US"/>
              </w:rPr>
              <w:br/>
            </w:r>
            <w:r w:rsidRPr="00267262">
              <w:rPr>
                <w:b/>
                <w:lang w:eastAsia="en-US"/>
              </w:rPr>
              <w:t>($m)</w:t>
            </w:r>
          </w:p>
        </w:tc>
        <w:tc>
          <w:tcPr>
            <w:tcW w:w="1276" w:type="dxa"/>
            <w:tcBorders>
              <w:top w:val="single" w:sz="4" w:space="0" w:color="auto"/>
              <w:bottom w:val="single" w:sz="4" w:space="0" w:color="auto"/>
            </w:tcBorders>
            <w:shd w:val="clear" w:color="auto" w:fill="auto"/>
            <w:noWrap/>
          </w:tcPr>
          <w:p w:rsidR="00CB68A7" w:rsidRPr="00267262" w:rsidRDefault="00CB68A7" w:rsidP="00267262">
            <w:pPr>
              <w:pStyle w:val="TableText"/>
              <w:jc w:val="center"/>
              <w:rPr>
                <w:b/>
                <w:lang w:eastAsia="en-US"/>
              </w:rPr>
            </w:pPr>
            <w:r w:rsidRPr="00267262">
              <w:rPr>
                <w:b/>
                <w:lang w:eastAsia="en-US"/>
              </w:rPr>
              <w:t>2020/21</w:t>
            </w:r>
            <w:r w:rsidR="00267262">
              <w:rPr>
                <w:b/>
                <w:lang w:eastAsia="en-US"/>
              </w:rPr>
              <w:br/>
            </w:r>
            <w:r w:rsidRPr="00267262">
              <w:rPr>
                <w:b/>
                <w:lang w:eastAsia="en-US"/>
              </w:rPr>
              <w:t>($m)</w:t>
            </w:r>
          </w:p>
        </w:tc>
        <w:tc>
          <w:tcPr>
            <w:tcW w:w="1276" w:type="dxa"/>
            <w:tcBorders>
              <w:top w:val="single" w:sz="4" w:space="0" w:color="auto"/>
              <w:bottom w:val="single" w:sz="4" w:space="0" w:color="auto"/>
            </w:tcBorders>
            <w:shd w:val="clear" w:color="auto" w:fill="auto"/>
            <w:noWrap/>
          </w:tcPr>
          <w:p w:rsidR="00CB68A7" w:rsidRPr="00267262" w:rsidRDefault="00CB68A7" w:rsidP="00267262">
            <w:pPr>
              <w:pStyle w:val="TableText"/>
              <w:jc w:val="center"/>
              <w:rPr>
                <w:b/>
                <w:lang w:eastAsia="en-US"/>
              </w:rPr>
            </w:pPr>
            <w:r w:rsidRPr="00267262">
              <w:rPr>
                <w:b/>
                <w:lang w:eastAsia="en-US"/>
              </w:rPr>
              <w:t>2021/22</w:t>
            </w:r>
            <w:r w:rsidR="00267262">
              <w:rPr>
                <w:b/>
                <w:lang w:eastAsia="en-US"/>
              </w:rPr>
              <w:br/>
            </w:r>
            <w:r w:rsidRPr="00267262">
              <w:rPr>
                <w:b/>
                <w:lang w:eastAsia="en-US"/>
              </w:rPr>
              <w:t>($m)</w:t>
            </w:r>
          </w:p>
        </w:tc>
        <w:tc>
          <w:tcPr>
            <w:tcW w:w="1276" w:type="dxa"/>
            <w:tcBorders>
              <w:top w:val="single" w:sz="4" w:space="0" w:color="auto"/>
              <w:bottom w:val="single" w:sz="4" w:space="0" w:color="auto"/>
            </w:tcBorders>
            <w:shd w:val="clear" w:color="auto" w:fill="auto"/>
          </w:tcPr>
          <w:p w:rsidR="00CB68A7" w:rsidRPr="00267262" w:rsidRDefault="00CB68A7" w:rsidP="00267262">
            <w:pPr>
              <w:pStyle w:val="TableText"/>
              <w:jc w:val="center"/>
              <w:rPr>
                <w:b/>
                <w:lang w:eastAsia="en-US"/>
              </w:rPr>
            </w:pPr>
            <w:r w:rsidRPr="00267262">
              <w:rPr>
                <w:b/>
                <w:lang w:eastAsia="en-US"/>
              </w:rPr>
              <w:t>Total</w:t>
            </w:r>
            <w:r w:rsidR="00267262">
              <w:rPr>
                <w:b/>
                <w:lang w:eastAsia="en-US"/>
              </w:rPr>
              <w:br/>
            </w:r>
            <w:r w:rsidRPr="00267262">
              <w:rPr>
                <w:b/>
                <w:lang w:eastAsia="en-US"/>
              </w:rPr>
              <w:t>($m)</w:t>
            </w:r>
          </w:p>
        </w:tc>
      </w:tr>
      <w:tr w:rsidR="00C641C0" w:rsidRPr="008E3950" w:rsidTr="00B30A95">
        <w:trPr>
          <w:cantSplit/>
        </w:trPr>
        <w:tc>
          <w:tcPr>
            <w:tcW w:w="4253" w:type="dxa"/>
            <w:tcBorders>
              <w:top w:val="single" w:sz="4" w:space="0" w:color="auto"/>
              <w:bottom w:val="single" w:sz="4" w:space="0" w:color="A6A6A6" w:themeColor="background1" w:themeShade="A6"/>
            </w:tcBorders>
            <w:shd w:val="clear" w:color="auto" w:fill="auto"/>
            <w:noWrap/>
          </w:tcPr>
          <w:p w:rsidR="00C641C0" w:rsidRPr="00EF5446" w:rsidRDefault="00C641C0" w:rsidP="00C641C0">
            <w:pPr>
              <w:pStyle w:val="TableText"/>
              <w:rPr>
                <w:lang w:eastAsia="en-US"/>
              </w:rPr>
            </w:pPr>
            <w:r w:rsidRPr="00EF5446">
              <w:t>Helpline and web-based services</w:t>
            </w:r>
          </w:p>
        </w:tc>
        <w:tc>
          <w:tcPr>
            <w:tcW w:w="1275" w:type="dxa"/>
            <w:tcBorders>
              <w:top w:val="nil"/>
              <w:left w:val="nil"/>
              <w:bottom w:val="single" w:sz="4" w:space="0" w:color="A6A6A6" w:themeColor="background1" w:themeShade="A6"/>
              <w:right w:val="nil"/>
            </w:tcBorders>
            <w:shd w:val="clear" w:color="auto" w:fill="auto"/>
            <w:noWrap/>
          </w:tcPr>
          <w:p w:rsidR="00C641C0" w:rsidRPr="00EF5446" w:rsidRDefault="00C641C0" w:rsidP="00B30A95">
            <w:pPr>
              <w:pStyle w:val="TableText"/>
              <w:jc w:val="center"/>
              <w:rPr>
                <w:rFonts w:eastAsia="Arial Unicode MS"/>
              </w:rPr>
            </w:pPr>
            <w:r>
              <w:t>1.1</w:t>
            </w:r>
            <w:r w:rsidR="00091C98">
              <w:t>67</w:t>
            </w:r>
          </w:p>
        </w:tc>
        <w:tc>
          <w:tcPr>
            <w:tcW w:w="1276" w:type="dxa"/>
            <w:tcBorders>
              <w:top w:val="nil"/>
              <w:left w:val="nil"/>
              <w:bottom w:val="single" w:sz="4" w:space="0" w:color="A6A6A6" w:themeColor="background1" w:themeShade="A6"/>
              <w:right w:val="nil"/>
            </w:tcBorders>
            <w:shd w:val="clear" w:color="auto" w:fill="auto"/>
            <w:noWrap/>
          </w:tcPr>
          <w:p w:rsidR="00C641C0" w:rsidRPr="00EF5446" w:rsidRDefault="00C641C0" w:rsidP="00B30A95">
            <w:pPr>
              <w:pStyle w:val="TableText"/>
              <w:jc w:val="center"/>
              <w:rPr>
                <w:rFonts w:eastAsia="Arial Unicode MS"/>
              </w:rPr>
            </w:pPr>
            <w:r>
              <w:t>1.</w:t>
            </w:r>
            <w:r w:rsidR="00091C98">
              <w:t>067</w:t>
            </w:r>
          </w:p>
        </w:tc>
        <w:tc>
          <w:tcPr>
            <w:tcW w:w="1276" w:type="dxa"/>
            <w:tcBorders>
              <w:top w:val="nil"/>
              <w:left w:val="nil"/>
              <w:bottom w:val="single" w:sz="4" w:space="0" w:color="A6A6A6" w:themeColor="background1" w:themeShade="A6"/>
              <w:right w:val="nil"/>
            </w:tcBorders>
            <w:shd w:val="clear" w:color="auto" w:fill="auto"/>
            <w:noWrap/>
          </w:tcPr>
          <w:p w:rsidR="00C641C0" w:rsidRPr="00EF5446" w:rsidRDefault="00C641C0" w:rsidP="00B30A95">
            <w:pPr>
              <w:pStyle w:val="TableText"/>
              <w:jc w:val="center"/>
              <w:rPr>
                <w:rFonts w:eastAsia="Arial Unicode MS"/>
              </w:rPr>
            </w:pPr>
            <w:r>
              <w:t>1.</w:t>
            </w:r>
            <w:r w:rsidR="00091C98">
              <w:t>066</w:t>
            </w:r>
          </w:p>
        </w:tc>
        <w:tc>
          <w:tcPr>
            <w:tcW w:w="1276" w:type="dxa"/>
            <w:tcBorders>
              <w:top w:val="nil"/>
              <w:left w:val="nil"/>
              <w:bottom w:val="single" w:sz="4" w:space="0" w:color="A6A6A6" w:themeColor="background1" w:themeShade="A6"/>
              <w:right w:val="nil"/>
            </w:tcBorders>
            <w:shd w:val="clear" w:color="auto" w:fill="auto"/>
          </w:tcPr>
          <w:p w:rsidR="00C641C0" w:rsidRPr="00EF5446" w:rsidRDefault="00C641C0" w:rsidP="00B30A95">
            <w:pPr>
              <w:pStyle w:val="TableText"/>
              <w:tabs>
                <w:tab w:val="decimal" w:pos="510"/>
              </w:tabs>
              <w:rPr>
                <w:rFonts w:eastAsia="Arial Unicode MS"/>
              </w:rPr>
            </w:pPr>
            <w:r>
              <w:t>3.300</w:t>
            </w:r>
          </w:p>
        </w:tc>
      </w:tr>
      <w:tr w:rsidR="00C641C0" w:rsidRPr="008E3950" w:rsidTr="00B30A95">
        <w:trPr>
          <w:cantSplit/>
        </w:trPr>
        <w:tc>
          <w:tcPr>
            <w:tcW w:w="4253" w:type="dxa"/>
            <w:tcBorders>
              <w:top w:val="single" w:sz="4" w:space="0" w:color="A6A6A6" w:themeColor="background1" w:themeShade="A6"/>
              <w:bottom w:val="single" w:sz="4" w:space="0" w:color="A6A6A6" w:themeColor="background1" w:themeShade="A6"/>
            </w:tcBorders>
            <w:shd w:val="clear" w:color="auto" w:fill="auto"/>
            <w:noWrap/>
          </w:tcPr>
          <w:p w:rsidR="00C641C0" w:rsidRPr="00EF5446" w:rsidRDefault="00C641C0" w:rsidP="00C641C0">
            <w:pPr>
              <w:pStyle w:val="TableText"/>
              <w:rPr>
                <w:lang w:eastAsia="en-US"/>
              </w:rPr>
            </w:pPr>
            <w:r w:rsidRPr="00EF5446">
              <w:t>Psychosocial interventions and support</w:t>
            </w:r>
          </w:p>
        </w:tc>
        <w:tc>
          <w:tcPr>
            <w:tcW w:w="1275" w:type="dxa"/>
            <w:tcBorders>
              <w:top w:val="single" w:sz="4" w:space="0" w:color="A6A6A6" w:themeColor="background1" w:themeShade="A6"/>
              <w:left w:val="nil"/>
              <w:bottom w:val="single" w:sz="4" w:space="0" w:color="A6A6A6" w:themeColor="background1" w:themeShade="A6"/>
              <w:right w:val="nil"/>
            </w:tcBorders>
            <w:shd w:val="clear" w:color="auto" w:fill="auto"/>
            <w:noWrap/>
          </w:tcPr>
          <w:p w:rsidR="00C641C0" w:rsidRPr="00EF5446" w:rsidRDefault="00C641C0" w:rsidP="00B30A95">
            <w:pPr>
              <w:pStyle w:val="TableText"/>
              <w:jc w:val="center"/>
              <w:rPr>
                <w:rFonts w:eastAsia="Arial Unicode MS"/>
              </w:rPr>
            </w:pPr>
            <w:r>
              <w:t>7.079</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noWrap/>
          </w:tcPr>
          <w:p w:rsidR="00C641C0" w:rsidRPr="00EF5446" w:rsidRDefault="00C641C0" w:rsidP="00B30A95">
            <w:pPr>
              <w:pStyle w:val="TableText"/>
              <w:jc w:val="center"/>
              <w:rPr>
                <w:rFonts w:eastAsia="Arial Unicode MS"/>
              </w:rPr>
            </w:pPr>
            <w:r>
              <w:t>7.079</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noWrap/>
          </w:tcPr>
          <w:p w:rsidR="00C641C0" w:rsidRPr="00EF5446" w:rsidRDefault="00C641C0" w:rsidP="00B30A95">
            <w:pPr>
              <w:pStyle w:val="TableText"/>
              <w:jc w:val="center"/>
              <w:rPr>
                <w:rFonts w:eastAsia="Arial Unicode MS"/>
              </w:rPr>
            </w:pPr>
            <w:r>
              <w:t>7.080</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tcPr>
          <w:p w:rsidR="00C641C0" w:rsidRPr="00EF5446" w:rsidRDefault="00C641C0" w:rsidP="00B30A95">
            <w:pPr>
              <w:pStyle w:val="TableText"/>
              <w:tabs>
                <w:tab w:val="decimal" w:pos="510"/>
              </w:tabs>
              <w:rPr>
                <w:rFonts w:eastAsia="Arial Unicode MS"/>
              </w:rPr>
            </w:pPr>
            <w:r>
              <w:t>21.238</w:t>
            </w:r>
          </w:p>
        </w:tc>
      </w:tr>
      <w:tr w:rsidR="00C641C0" w:rsidRPr="008E3950" w:rsidTr="00B30A95">
        <w:trPr>
          <w:cantSplit/>
        </w:trPr>
        <w:tc>
          <w:tcPr>
            <w:tcW w:w="4253" w:type="dxa"/>
            <w:tcBorders>
              <w:top w:val="single" w:sz="4" w:space="0" w:color="A6A6A6" w:themeColor="background1" w:themeShade="A6"/>
              <w:bottom w:val="single" w:sz="4" w:space="0" w:color="A6A6A6" w:themeColor="background1" w:themeShade="A6"/>
            </w:tcBorders>
            <w:shd w:val="clear" w:color="auto" w:fill="auto"/>
            <w:noWrap/>
          </w:tcPr>
          <w:p w:rsidR="00C641C0" w:rsidRPr="00EF5446" w:rsidRDefault="00C641C0" w:rsidP="00C641C0">
            <w:pPr>
              <w:pStyle w:val="TableText"/>
              <w:rPr>
                <w:lang w:eastAsia="en-US"/>
              </w:rPr>
            </w:pPr>
            <w:r w:rsidRPr="00EF5446">
              <w:t>Data collection and reporting</w:t>
            </w:r>
          </w:p>
        </w:tc>
        <w:tc>
          <w:tcPr>
            <w:tcW w:w="1275" w:type="dxa"/>
            <w:tcBorders>
              <w:top w:val="single" w:sz="4" w:space="0" w:color="A6A6A6" w:themeColor="background1" w:themeShade="A6"/>
              <w:left w:val="nil"/>
              <w:bottom w:val="single" w:sz="4" w:space="0" w:color="A6A6A6" w:themeColor="background1" w:themeShade="A6"/>
              <w:right w:val="nil"/>
            </w:tcBorders>
            <w:shd w:val="clear" w:color="auto" w:fill="auto"/>
            <w:noWrap/>
          </w:tcPr>
          <w:p w:rsidR="00C641C0" w:rsidRPr="00EF5446" w:rsidRDefault="00C641C0" w:rsidP="00B30A95">
            <w:pPr>
              <w:pStyle w:val="TableText"/>
              <w:jc w:val="center"/>
              <w:rPr>
                <w:rFonts w:eastAsia="Arial Unicode MS"/>
              </w:rPr>
            </w:pPr>
            <w:r>
              <w:t>0.015</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noWrap/>
          </w:tcPr>
          <w:p w:rsidR="00C641C0" w:rsidRPr="00EF5446" w:rsidRDefault="00C641C0" w:rsidP="00B30A95">
            <w:pPr>
              <w:pStyle w:val="TableText"/>
              <w:jc w:val="center"/>
              <w:rPr>
                <w:rFonts w:eastAsia="Arial Unicode MS"/>
              </w:rPr>
            </w:pPr>
            <w:r>
              <w:t>0.015</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noWrap/>
          </w:tcPr>
          <w:p w:rsidR="00C641C0" w:rsidRPr="00EF5446" w:rsidRDefault="00C641C0" w:rsidP="00B30A95">
            <w:pPr>
              <w:pStyle w:val="TableText"/>
              <w:jc w:val="center"/>
              <w:rPr>
                <w:rFonts w:eastAsia="Arial Unicode MS"/>
              </w:rPr>
            </w:pPr>
            <w:r>
              <w:t>0.015</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tcPr>
          <w:p w:rsidR="00C641C0" w:rsidRPr="00EF5446" w:rsidRDefault="00C641C0" w:rsidP="00B30A95">
            <w:pPr>
              <w:pStyle w:val="TableText"/>
              <w:tabs>
                <w:tab w:val="decimal" w:pos="510"/>
              </w:tabs>
              <w:rPr>
                <w:rFonts w:eastAsia="Arial Unicode MS"/>
              </w:rPr>
            </w:pPr>
            <w:r>
              <w:t>0.045</w:t>
            </w:r>
          </w:p>
        </w:tc>
      </w:tr>
      <w:tr w:rsidR="00C641C0" w:rsidRPr="008E3950" w:rsidTr="00B30A95">
        <w:trPr>
          <w:cantSplit/>
        </w:trPr>
        <w:tc>
          <w:tcPr>
            <w:tcW w:w="4253" w:type="dxa"/>
            <w:tcBorders>
              <w:top w:val="single" w:sz="4" w:space="0" w:color="A6A6A6" w:themeColor="background1" w:themeShade="A6"/>
              <w:bottom w:val="single" w:sz="4" w:space="0" w:color="A6A6A6" w:themeColor="background1" w:themeShade="A6"/>
            </w:tcBorders>
            <w:shd w:val="clear" w:color="auto" w:fill="auto"/>
            <w:noWrap/>
          </w:tcPr>
          <w:p w:rsidR="00C641C0" w:rsidRPr="00EF5446" w:rsidRDefault="00C641C0" w:rsidP="00C641C0">
            <w:pPr>
              <w:pStyle w:val="TableText"/>
              <w:rPr>
                <w:lang w:eastAsia="en-US"/>
              </w:rPr>
            </w:pPr>
            <w:r w:rsidRPr="00EF5446">
              <w:t>Workforce development (intervention)</w:t>
            </w:r>
          </w:p>
        </w:tc>
        <w:tc>
          <w:tcPr>
            <w:tcW w:w="1275" w:type="dxa"/>
            <w:tcBorders>
              <w:top w:val="single" w:sz="4" w:space="0" w:color="A6A6A6" w:themeColor="background1" w:themeShade="A6"/>
              <w:left w:val="nil"/>
              <w:bottom w:val="single" w:sz="4" w:space="0" w:color="A6A6A6" w:themeColor="background1" w:themeShade="A6"/>
              <w:right w:val="nil"/>
            </w:tcBorders>
            <w:shd w:val="clear" w:color="auto" w:fill="auto"/>
            <w:noWrap/>
          </w:tcPr>
          <w:p w:rsidR="00C641C0" w:rsidRPr="00EF5446" w:rsidRDefault="00C641C0" w:rsidP="00B30A95">
            <w:pPr>
              <w:pStyle w:val="TableText"/>
              <w:jc w:val="center"/>
              <w:rPr>
                <w:rFonts w:eastAsia="Arial Unicode MS"/>
              </w:rPr>
            </w:pPr>
            <w:r>
              <w:t>0.150</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noWrap/>
          </w:tcPr>
          <w:p w:rsidR="00C641C0" w:rsidRPr="00EF5446" w:rsidRDefault="00C641C0" w:rsidP="00B30A95">
            <w:pPr>
              <w:pStyle w:val="TableText"/>
              <w:jc w:val="center"/>
              <w:rPr>
                <w:rFonts w:eastAsia="Arial Unicode MS"/>
              </w:rPr>
            </w:pPr>
            <w:r>
              <w:t>0.150</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noWrap/>
          </w:tcPr>
          <w:p w:rsidR="00C641C0" w:rsidRPr="00EF5446" w:rsidRDefault="00C641C0" w:rsidP="00B30A95">
            <w:pPr>
              <w:pStyle w:val="TableText"/>
              <w:jc w:val="center"/>
              <w:rPr>
                <w:rFonts w:eastAsia="Arial Unicode MS"/>
              </w:rPr>
            </w:pPr>
            <w:r>
              <w:t>0.150</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tcPr>
          <w:p w:rsidR="00C641C0" w:rsidRPr="00EF5446" w:rsidRDefault="00C641C0" w:rsidP="00B30A95">
            <w:pPr>
              <w:pStyle w:val="TableText"/>
              <w:tabs>
                <w:tab w:val="decimal" w:pos="510"/>
              </w:tabs>
              <w:rPr>
                <w:rFonts w:eastAsia="Arial Unicode MS"/>
              </w:rPr>
            </w:pPr>
            <w:r>
              <w:t>0.450</w:t>
            </w:r>
          </w:p>
        </w:tc>
      </w:tr>
      <w:tr w:rsidR="00C641C0" w:rsidRPr="008E3950" w:rsidTr="00B30A95">
        <w:trPr>
          <w:cantSplit/>
        </w:trPr>
        <w:tc>
          <w:tcPr>
            <w:tcW w:w="4253" w:type="dxa"/>
            <w:tcBorders>
              <w:top w:val="single" w:sz="4" w:space="0" w:color="A6A6A6" w:themeColor="background1" w:themeShade="A6"/>
              <w:bottom w:val="single" w:sz="4" w:space="0" w:color="A6A6A6" w:themeColor="background1" w:themeShade="A6"/>
            </w:tcBorders>
            <w:shd w:val="clear" w:color="auto" w:fill="auto"/>
            <w:noWrap/>
          </w:tcPr>
          <w:p w:rsidR="00C641C0" w:rsidRPr="00EF5446" w:rsidRDefault="00C641C0" w:rsidP="00C641C0">
            <w:pPr>
              <w:pStyle w:val="TableText"/>
            </w:pPr>
            <w:r w:rsidRPr="00EF5446">
              <w:t>Audit</w:t>
            </w:r>
          </w:p>
        </w:tc>
        <w:tc>
          <w:tcPr>
            <w:tcW w:w="1275" w:type="dxa"/>
            <w:tcBorders>
              <w:top w:val="single" w:sz="4" w:space="0" w:color="A6A6A6" w:themeColor="background1" w:themeShade="A6"/>
              <w:left w:val="nil"/>
              <w:bottom w:val="single" w:sz="4" w:space="0" w:color="auto"/>
              <w:right w:val="nil"/>
            </w:tcBorders>
            <w:shd w:val="clear" w:color="auto" w:fill="auto"/>
            <w:noWrap/>
          </w:tcPr>
          <w:p w:rsidR="00C641C0" w:rsidRPr="00EF5446" w:rsidRDefault="00C641C0" w:rsidP="00B30A95">
            <w:pPr>
              <w:pStyle w:val="TableText"/>
              <w:jc w:val="center"/>
              <w:rPr>
                <w:rFonts w:eastAsia="Arial Unicode MS"/>
              </w:rPr>
            </w:pPr>
            <w:r>
              <w:t>0.050</w:t>
            </w:r>
          </w:p>
        </w:tc>
        <w:tc>
          <w:tcPr>
            <w:tcW w:w="1276" w:type="dxa"/>
            <w:tcBorders>
              <w:top w:val="single" w:sz="4" w:space="0" w:color="A6A6A6" w:themeColor="background1" w:themeShade="A6"/>
              <w:left w:val="nil"/>
              <w:bottom w:val="single" w:sz="4" w:space="0" w:color="auto"/>
              <w:right w:val="nil"/>
            </w:tcBorders>
            <w:shd w:val="clear" w:color="auto" w:fill="auto"/>
            <w:noWrap/>
          </w:tcPr>
          <w:p w:rsidR="00C641C0" w:rsidRPr="00EF5446" w:rsidRDefault="00C641C0" w:rsidP="00B30A95">
            <w:pPr>
              <w:pStyle w:val="TableText"/>
              <w:jc w:val="center"/>
              <w:rPr>
                <w:rFonts w:eastAsia="Arial Unicode MS"/>
              </w:rPr>
            </w:pPr>
            <w:r>
              <w:t>0.050</w:t>
            </w:r>
          </w:p>
        </w:tc>
        <w:tc>
          <w:tcPr>
            <w:tcW w:w="1276" w:type="dxa"/>
            <w:tcBorders>
              <w:top w:val="single" w:sz="4" w:space="0" w:color="A6A6A6" w:themeColor="background1" w:themeShade="A6"/>
              <w:left w:val="nil"/>
              <w:bottom w:val="single" w:sz="4" w:space="0" w:color="auto"/>
              <w:right w:val="nil"/>
            </w:tcBorders>
            <w:shd w:val="clear" w:color="auto" w:fill="auto"/>
            <w:noWrap/>
          </w:tcPr>
          <w:p w:rsidR="00C641C0" w:rsidRPr="00EF5446" w:rsidRDefault="00C641C0" w:rsidP="00B30A95">
            <w:pPr>
              <w:pStyle w:val="TableText"/>
              <w:jc w:val="center"/>
              <w:rPr>
                <w:rFonts w:eastAsia="Arial Unicode MS"/>
              </w:rPr>
            </w:pPr>
            <w:r>
              <w:t>0.050</w:t>
            </w:r>
          </w:p>
        </w:tc>
        <w:tc>
          <w:tcPr>
            <w:tcW w:w="1276" w:type="dxa"/>
            <w:tcBorders>
              <w:top w:val="single" w:sz="4" w:space="0" w:color="A6A6A6" w:themeColor="background1" w:themeShade="A6"/>
              <w:left w:val="nil"/>
              <w:bottom w:val="single" w:sz="4" w:space="0" w:color="auto"/>
              <w:right w:val="nil"/>
            </w:tcBorders>
            <w:shd w:val="clear" w:color="auto" w:fill="auto"/>
          </w:tcPr>
          <w:p w:rsidR="00C641C0" w:rsidRPr="00EF5446" w:rsidRDefault="00C641C0" w:rsidP="00B30A95">
            <w:pPr>
              <w:pStyle w:val="TableText"/>
              <w:tabs>
                <w:tab w:val="decimal" w:pos="510"/>
              </w:tabs>
              <w:rPr>
                <w:rFonts w:eastAsia="Arial Unicode MS"/>
              </w:rPr>
            </w:pPr>
            <w:r>
              <w:t>0.150</w:t>
            </w:r>
          </w:p>
        </w:tc>
      </w:tr>
      <w:tr w:rsidR="00C641C0" w:rsidRPr="00091C98" w:rsidTr="00B30A95">
        <w:trPr>
          <w:cantSplit/>
        </w:trPr>
        <w:tc>
          <w:tcPr>
            <w:tcW w:w="4253" w:type="dxa"/>
            <w:tcBorders>
              <w:top w:val="single" w:sz="4" w:space="0" w:color="auto"/>
            </w:tcBorders>
            <w:shd w:val="clear" w:color="auto" w:fill="auto"/>
            <w:noWrap/>
          </w:tcPr>
          <w:p w:rsidR="00C641C0" w:rsidRPr="00091C98" w:rsidRDefault="00C641C0" w:rsidP="00091C98">
            <w:pPr>
              <w:pStyle w:val="TableText"/>
              <w:rPr>
                <w:b/>
                <w:szCs w:val="18"/>
              </w:rPr>
            </w:pPr>
            <w:r w:rsidRPr="00091C98">
              <w:rPr>
                <w:b/>
                <w:szCs w:val="18"/>
              </w:rPr>
              <w:t>Total ($m)</w:t>
            </w:r>
          </w:p>
        </w:tc>
        <w:tc>
          <w:tcPr>
            <w:tcW w:w="1275" w:type="dxa"/>
            <w:tcBorders>
              <w:top w:val="single" w:sz="4" w:space="0" w:color="auto"/>
              <w:left w:val="nil"/>
              <w:bottom w:val="single" w:sz="8" w:space="0" w:color="auto"/>
              <w:right w:val="nil"/>
            </w:tcBorders>
            <w:shd w:val="clear" w:color="auto" w:fill="auto"/>
            <w:noWrap/>
          </w:tcPr>
          <w:p w:rsidR="00C641C0" w:rsidRPr="00091C98" w:rsidRDefault="00C641C0" w:rsidP="00B30A95">
            <w:pPr>
              <w:pStyle w:val="TableText"/>
              <w:jc w:val="center"/>
              <w:rPr>
                <w:b/>
                <w:szCs w:val="18"/>
              </w:rPr>
            </w:pPr>
            <w:r w:rsidRPr="00091C98">
              <w:rPr>
                <w:b/>
                <w:szCs w:val="18"/>
              </w:rPr>
              <w:t>8.</w:t>
            </w:r>
            <w:r w:rsidR="00091C98" w:rsidRPr="00091C98">
              <w:rPr>
                <w:b/>
                <w:szCs w:val="18"/>
              </w:rPr>
              <w:t>461</w:t>
            </w:r>
          </w:p>
        </w:tc>
        <w:tc>
          <w:tcPr>
            <w:tcW w:w="1276" w:type="dxa"/>
            <w:tcBorders>
              <w:top w:val="single" w:sz="4" w:space="0" w:color="auto"/>
              <w:left w:val="nil"/>
              <w:bottom w:val="single" w:sz="8" w:space="0" w:color="auto"/>
              <w:right w:val="nil"/>
            </w:tcBorders>
            <w:shd w:val="clear" w:color="auto" w:fill="auto"/>
            <w:noWrap/>
          </w:tcPr>
          <w:p w:rsidR="00C641C0" w:rsidRPr="00091C98" w:rsidRDefault="00C641C0" w:rsidP="00B30A95">
            <w:pPr>
              <w:pStyle w:val="TableText"/>
              <w:jc w:val="center"/>
              <w:rPr>
                <w:b/>
                <w:szCs w:val="18"/>
              </w:rPr>
            </w:pPr>
            <w:r w:rsidRPr="00091C98">
              <w:rPr>
                <w:b/>
                <w:szCs w:val="18"/>
              </w:rPr>
              <w:t>8.</w:t>
            </w:r>
            <w:r w:rsidR="00091C98" w:rsidRPr="00091C98">
              <w:rPr>
                <w:b/>
                <w:szCs w:val="18"/>
              </w:rPr>
              <w:t>361</w:t>
            </w:r>
          </w:p>
        </w:tc>
        <w:tc>
          <w:tcPr>
            <w:tcW w:w="1276" w:type="dxa"/>
            <w:tcBorders>
              <w:top w:val="single" w:sz="4" w:space="0" w:color="auto"/>
              <w:left w:val="nil"/>
              <w:bottom w:val="single" w:sz="8" w:space="0" w:color="auto"/>
              <w:right w:val="nil"/>
            </w:tcBorders>
            <w:shd w:val="clear" w:color="auto" w:fill="auto"/>
            <w:noWrap/>
          </w:tcPr>
          <w:p w:rsidR="00C641C0" w:rsidRPr="00091C98" w:rsidRDefault="00C641C0" w:rsidP="00B30A95">
            <w:pPr>
              <w:pStyle w:val="TableText"/>
              <w:jc w:val="center"/>
              <w:rPr>
                <w:b/>
                <w:szCs w:val="18"/>
              </w:rPr>
            </w:pPr>
            <w:r w:rsidRPr="00091C98">
              <w:rPr>
                <w:b/>
                <w:szCs w:val="18"/>
              </w:rPr>
              <w:t>8.3</w:t>
            </w:r>
            <w:r w:rsidR="00091C98" w:rsidRPr="00091C98">
              <w:rPr>
                <w:b/>
                <w:szCs w:val="18"/>
              </w:rPr>
              <w:t>61</w:t>
            </w:r>
          </w:p>
        </w:tc>
        <w:tc>
          <w:tcPr>
            <w:tcW w:w="1276" w:type="dxa"/>
            <w:tcBorders>
              <w:top w:val="single" w:sz="4" w:space="0" w:color="auto"/>
            </w:tcBorders>
            <w:shd w:val="clear" w:color="auto" w:fill="auto"/>
          </w:tcPr>
          <w:p w:rsidR="00C641C0" w:rsidRPr="00091C98" w:rsidRDefault="00C641C0" w:rsidP="00B30A95">
            <w:pPr>
              <w:pStyle w:val="TableText"/>
              <w:tabs>
                <w:tab w:val="decimal" w:pos="510"/>
              </w:tabs>
              <w:rPr>
                <w:b/>
                <w:szCs w:val="18"/>
              </w:rPr>
            </w:pPr>
            <w:r w:rsidRPr="00091C98">
              <w:rPr>
                <w:b/>
                <w:szCs w:val="18"/>
              </w:rPr>
              <w:t>2</w:t>
            </w:r>
            <w:r w:rsidR="00DD53E8" w:rsidRPr="00091C98">
              <w:rPr>
                <w:b/>
                <w:szCs w:val="18"/>
              </w:rPr>
              <w:t>5</w:t>
            </w:r>
            <w:r w:rsidRPr="00091C98">
              <w:rPr>
                <w:b/>
                <w:szCs w:val="18"/>
              </w:rPr>
              <w:t>.183</w:t>
            </w:r>
          </w:p>
        </w:tc>
      </w:tr>
    </w:tbl>
    <w:p w:rsidR="00CB68A7" w:rsidRDefault="00CB68A7" w:rsidP="00267262">
      <w:pPr>
        <w:pStyle w:val="Note"/>
      </w:pPr>
      <w:r w:rsidRPr="008E3950">
        <w:t>Note: All service areas include provision for dedicated Māori, Pacific and Asian services and activities.</w:t>
      </w:r>
    </w:p>
    <w:p w:rsidR="00CB68A7" w:rsidRPr="00594674" w:rsidRDefault="00CB68A7" w:rsidP="00267262"/>
    <w:p w:rsidR="00CB68A7" w:rsidRPr="00E312E8" w:rsidRDefault="00CB68A7" w:rsidP="00267262">
      <w:pPr>
        <w:pStyle w:val="Heading3"/>
      </w:pPr>
      <w:r w:rsidRPr="00E312E8">
        <w:t>Helpline and web-based services</w:t>
      </w:r>
    </w:p>
    <w:p w:rsidR="00CB68A7" w:rsidRPr="00E312E8" w:rsidRDefault="00CB68A7" w:rsidP="00B30A95">
      <w:r w:rsidRPr="00E312E8">
        <w:t>Helpline and web-based services provide:</w:t>
      </w:r>
    </w:p>
    <w:p w:rsidR="00CB68A7" w:rsidRPr="00C10A99" w:rsidRDefault="00CB68A7" w:rsidP="00B30A95">
      <w:pPr>
        <w:pStyle w:val="Bullet"/>
      </w:pPr>
      <w:r w:rsidRPr="00C10A99">
        <w:t>information</w:t>
      </w:r>
    </w:p>
    <w:p w:rsidR="00CB68A7" w:rsidRPr="00C10A99" w:rsidRDefault="00CB68A7" w:rsidP="00B30A95">
      <w:pPr>
        <w:pStyle w:val="Bullet"/>
      </w:pPr>
      <w:r w:rsidRPr="00C10A99">
        <w:t>access to intervention services for people unable to access face-to-face services</w:t>
      </w:r>
    </w:p>
    <w:p w:rsidR="00CB68A7" w:rsidRPr="00C10A99" w:rsidRDefault="00CB68A7" w:rsidP="00267262">
      <w:pPr>
        <w:pStyle w:val="Bullet"/>
      </w:pPr>
      <w:r w:rsidRPr="00C10A99">
        <w:t>referral to other gambling harm service providers</w:t>
      </w:r>
    </w:p>
    <w:p w:rsidR="00CB68A7" w:rsidRPr="00C10A99" w:rsidRDefault="00CB68A7" w:rsidP="00267262">
      <w:pPr>
        <w:pStyle w:val="Bullet"/>
      </w:pPr>
      <w:proofErr w:type="gramStart"/>
      <w:r w:rsidRPr="00C10A99">
        <w:t>information</w:t>
      </w:r>
      <w:proofErr w:type="gramEnd"/>
      <w:r w:rsidRPr="00C10A99">
        <w:t xml:space="preserve"> on self-help, peer-to-peer support options and assessment guides.</w:t>
      </w:r>
    </w:p>
    <w:p w:rsidR="00CB68A7" w:rsidRDefault="00CB68A7" w:rsidP="00267262"/>
    <w:p w:rsidR="00CB68A7" w:rsidRDefault="00CB68A7" w:rsidP="00B30A95">
      <w:pPr>
        <w:keepLines/>
      </w:pPr>
      <w:r w:rsidRPr="00C10A99">
        <w:lastRenderedPageBreak/>
        <w:t xml:space="preserve">The Gambling Helpline provides a free 24-hour, 7-day-a-week service and is a first contact point for people in crisis as a result of problem gambling. It provides a back-up for other services that are not </w:t>
      </w:r>
      <w:r>
        <w:t xml:space="preserve">available </w:t>
      </w:r>
      <w:r w:rsidRPr="00C10A99">
        <w:t>24/7. It also ensures coverage in rural areas, where there are no face-to-face services. It is critical to the Ministry</w:t>
      </w:r>
      <w:r w:rsidR="00EC3578">
        <w:t>’</w:t>
      </w:r>
      <w:r w:rsidRPr="00C10A99">
        <w:t>s service delivery model.</w:t>
      </w:r>
    </w:p>
    <w:p w:rsidR="00267262" w:rsidRPr="00C10A99" w:rsidRDefault="00267262" w:rsidP="00267262"/>
    <w:p w:rsidR="00CB68A7" w:rsidRDefault="00CB68A7" w:rsidP="00267262">
      <w:r w:rsidRPr="00C10A99">
        <w:t>An Asian Gambling H</w:t>
      </w:r>
      <w:r>
        <w:t>elpline</w:t>
      </w:r>
      <w:r w:rsidRPr="00C10A99">
        <w:t xml:space="preserve"> is currently provided by the </w:t>
      </w:r>
      <w:r>
        <w:t>PGF (</w:t>
      </w:r>
      <w:r w:rsidRPr="00C10A99">
        <w:t xml:space="preserve">funding for that </w:t>
      </w:r>
      <w:r>
        <w:t>helpline i</w:t>
      </w:r>
      <w:r w:rsidRPr="00C10A99">
        <w:t xml:space="preserve">s included within the psychosocial interventions and support </w:t>
      </w:r>
      <w:r>
        <w:t>service area)</w:t>
      </w:r>
      <w:r w:rsidRPr="00C10A99">
        <w:t>.</w:t>
      </w:r>
    </w:p>
    <w:p w:rsidR="00CB68A7" w:rsidRPr="00E312E8" w:rsidRDefault="00CB68A7" w:rsidP="00267262"/>
    <w:p w:rsidR="00CB68A7" w:rsidRPr="00C10A99" w:rsidRDefault="00CB68A7" w:rsidP="00267262">
      <w:pPr>
        <w:pStyle w:val="Heading3"/>
      </w:pPr>
      <w:bookmarkStart w:id="158" w:name="_Toc130094899"/>
      <w:bookmarkStart w:id="159" w:name="_Toc130094875"/>
      <w:bookmarkStart w:id="160" w:name="_Toc86049946"/>
      <w:bookmarkStart w:id="161" w:name="_Toc67802908"/>
      <w:bookmarkStart w:id="162" w:name="_Toc59414791"/>
      <w:bookmarkStart w:id="163" w:name="_Toc56522635"/>
      <w:r w:rsidRPr="00C10A99">
        <w:t>Psychosocial interventions and support</w:t>
      </w:r>
    </w:p>
    <w:p w:rsidR="00CB68A7" w:rsidRPr="00C10A99" w:rsidRDefault="00CB68A7" w:rsidP="00267262">
      <w:r w:rsidRPr="00C10A99">
        <w:t>Psychosocial intervention and support services include a range of interventions delivered to individuals or groups in a variety of settings (including prisons). People affected by a family/</w:t>
      </w:r>
      <w:proofErr w:type="spellStart"/>
      <w:r w:rsidRPr="00C10A99">
        <w:t>whānau</w:t>
      </w:r>
      <w:proofErr w:type="spellEnd"/>
      <w:r w:rsidRPr="00C10A99">
        <w:t xml:space="preserve"> member</w:t>
      </w:r>
      <w:r w:rsidR="00EC3578">
        <w:t>’</w:t>
      </w:r>
      <w:r w:rsidRPr="00C10A99">
        <w:t>s gambling can access the same range of services that is available to the gamblers themselves.</w:t>
      </w:r>
    </w:p>
    <w:p w:rsidR="00267262" w:rsidRDefault="00267262" w:rsidP="00267262"/>
    <w:p w:rsidR="00D05BF8" w:rsidRDefault="00CB68A7" w:rsidP="00267262">
      <w:r w:rsidRPr="00C10A99">
        <w:t>The four core intervention areas are</w:t>
      </w:r>
      <w:r>
        <w:t>:</w:t>
      </w:r>
      <w:r w:rsidRPr="00C10A99">
        <w:t xml:space="preserve"> brief intervention, full intervention, facilitation and follow</w:t>
      </w:r>
      <w:r w:rsidRPr="00C10A99">
        <w:noBreakHyphen/>
        <w:t xml:space="preserve">up services. </w:t>
      </w:r>
      <w:r w:rsidR="00EC3578">
        <w:t>‘</w:t>
      </w:r>
      <w:r w:rsidRPr="00C10A99">
        <w:t>Brief intervention</w:t>
      </w:r>
      <w:r w:rsidR="00EC3578">
        <w:t>’</w:t>
      </w:r>
      <w:r w:rsidRPr="00C10A99">
        <w:t xml:space="preserve"> in this context refers to brief screening for problems, typically in a non-clinical environment.</w:t>
      </w:r>
      <w:r>
        <w:t xml:space="preserve"> This </w:t>
      </w:r>
      <w:r w:rsidRPr="00C10A99">
        <w:t xml:space="preserve">should not be confused with brief clinical interventions, for example </w:t>
      </w:r>
      <w:r>
        <w:t xml:space="preserve">via </w:t>
      </w:r>
      <w:r w:rsidRPr="00C10A99">
        <w:t>telephone.</w:t>
      </w:r>
    </w:p>
    <w:p w:rsidR="00D05BF8" w:rsidRDefault="00D05BF8" w:rsidP="00267262"/>
    <w:p w:rsidR="00CB68A7" w:rsidRDefault="00F4758A" w:rsidP="00267262">
      <w:r>
        <w:t>During this period, the Ministry intends to add residential care and peer support to the service mix.</w:t>
      </w:r>
      <w:r w:rsidR="006F34B4">
        <w:t xml:space="preserve"> The Ministry currently funds </w:t>
      </w:r>
      <w:r w:rsidR="00D05BF8">
        <w:t xml:space="preserve">some </w:t>
      </w:r>
      <w:r w:rsidR="006F34B4">
        <w:t>gambling harm support to people in Alcohol and Other Drug residential t</w:t>
      </w:r>
      <w:r w:rsidR="00D05BF8">
        <w:t>reatment, however demand does exist for gambling support first and foremost in a residential setting. The Ministry will work with providers to develop an appropriate model of care, based on intensive treatment for people experiencing severe gambling harm, but likely allowing for support for co-existing issues in addition.</w:t>
      </w:r>
    </w:p>
    <w:p w:rsidR="00D05BF8" w:rsidRDefault="00D05BF8" w:rsidP="00267262"/>
    <w:p w:rsidR="00D05BF8" w:rsidRPr="00C10A99" w:rsidRDefault="00D05BF8" w:rsidP="00267262">
      <w:r>
        <w:t>The formal evidence for peer support (</w:t>
      </w:r>
      <w:r w:rsidR="00DF079A">
        <w:t>‘</w:t>
      </w:r>
      <w:r>
        <w:t>peer</w:t>
      </w:r>
      <w:r w:rsidR="00DF079A">
        <w:t>’ in this context</w:t>
      </w:r>
      <w:r>
        <w:t xml:space="preserve"> meaning </w:t>
      </w:r>
      <w:r w:rsidR="00DF079A">
        <w:t>a person who has had a similar kind of experience to another person or people, that has had a significant impact on their lives)</w:t>
      </w:r>
      <w:r>
        <w:t xml:space="preserve"> in mental health and addiction is growing</w:t>
      </w:r>
      <w:r w:rsidR="00DF079A">
        <w:t xml:space="preserve">, and </w:t>
      </w:r>
      <w:r>
        <w:t>shows high satisfaction from services that use all kinds of peer support as well as positive outcomes for people who receive peer services</w:t>
      </w:r>
      <w:r w:rsidR="00DF079A">
        <w:t>. Outcomes from peer services are as good if not better than conventional services. There are currently no funded peer support positions within gambling harm services. The Ministry proposes to encourage training and support the introduction of peer services during this levy period.</w:t>
      </w:r>
    </w:p>
    <w:p w:rsidR="00267262" w:rsidRDefault="00267262" w:rsidP="00267262"/>
    <w:p w:rsidR="00CB68A7" w:rsidRPr="00C10A99" w:rsidRDefault="00CB68A7" w:rsidP="00267262">
      <w:pPr>
        <w:rPr>
          <w:strike/>
        </w:rPr>
      </w:pPr>
      <w:r w:rsidRPr="00C10A99">
        <w:t>The Ministry is committed to improving access to services for all people adversely affected by gambling. Services and activities designed to identify people</w:t>
      </w:r>
      <w:r>
        <w:t xml:space="preserve"> who are</w:t>
      </w:r>
      <w:r w:rsidRPr="00C10A99">
        <w:t xml:space="preserve"> experiencing harm are crucial in providing early prevention and intervention treatment. </w:t>
      </w:r>
      <w:r>
        <w:t>T</w:t>
      </w:r>
      <w:r w:rsidRPr="00C10A99">
        <w:t xml:space="preserve">his approach </w:t>
      </w:r>
      <w:r>
        <w:t>enables the Ministry to work</w:t>
      </w:r>
      <w:r w:rsidRPr="00C10A99">
        <w:t xml:space="preserve"> actively to minimise the impact harmful gambling has on individuals and/or their families</w:t>
      </w:r>
      <w:r>
        <w:t>/</w:t>
      </w:r>
      <w:r w:rsidRPr="00651FF9">
        <w:t xml:space="preserve"> </w:t>
      </w:r>
      <w:proofErr w:type="spellStart"/>
      <w:r w:rsidRPr="00C10A99">
        <w:t>whānau</w:t>
      </w:r>
      <w:proofErr w:type="spellEnd"/>
      <w:r w:rsidRPr="00C10A99">
        <w:t xml:space="preserve"> and affected others.</w:t>
      </w:r>
    </w:p>
    <w:p w:rsidR="00267262" w:rsidRDefault="00267262" w:rsidP="00267262"/>
    <w:p w:rsidR="00CB68A7" w:rsidRPr="00C10A99" w:rsidRDefault="00CB68A7" w:rsidP="00267262">
      <w:r>
        <w:t xml:space="preserve">Many people of all ethnicities will access </w:t>
      </w:r>
      <w:r w:rsidR="00EC3578">
        <w:t>‘</w:t>
      </w:r>
      <w:r>
        <w:t>mainstream</w:t>
      </w:r>
      <w:r w:rsidR="00EC3578">
        <w:t>’</w:t>
      </w:r>
      <w:r>
        <w:t xml:space="preserve"> services, rather than culturally-specific services. </w:t>
      </w:r>
      <w:r w:rsidR="00FF5F6B">
        <w:t xml:space="preserve">Given the long-standing inequities for Māori, and the Crown’s responsibilities under </w:t>
      </w:r>
      <w:proofErr w:type="spellStart"/>
      <w:r w:rsidR="00FF5F6B">
        <w:t>Te</w:t>
      </w:r>
      <w:proofErr w:type="spellEnd"/>
      <w:r w:rsidR="00FF5F6B">
        <w:t xml:space="preserve"> </w:t>
      </w:r>
      <w:proofErr w:type="spellStart"/>
      <w:r w:rsidR="00FF5F6B">
        <w:t>Tiriti</w:t>
      </w:r>
      <w:proofErr w:type="spellEnd"/>
      <w:r w:rsidR="00FF5F6B">
        <w:t xml:space="preserve"> o Waitangi, the Ministry will consider how it can ensure that ‘mainstream’ services go beyond</w:t>
      </w:r>
      <w:r w:rsidRPr="00C10A99">
        <w:t xml:space="preserve"> cultural compete</w:t>
      </w:r>
      <w:r w:rsidR="00FF5F6B">
        <w:t>nce</w:t>
      </w:r>
      <w:r>
        <w:t>,</w:t>
      </w:r>
      <w:r w:rsidR="00FF5F6B">
        <w:t xml:space="preserve"> and actively</w:t>
      </w:r>
      <w:r>
        <w:t xml:space="preserve"> </w:t>
      </w:r>
      <w:r w:rsidR="00FF5F6B">
        <w:t xml:space="preserve">imbed </w:t>
      </w:r>
      <w:proofErr w:type="spellStart"/>
      <w:r>
        <w:t>Te</w:t>
      </w:r>
      <w:proofErr w:type="spellEnd"/>
      <w:r>
        <w:t xml:space="preserve"> </w:t>
      </w:r>
      <w:proofErr w:type="spellStart"/>
      <w:r>
        <w:t>Ao</w:t>
      </w:r>
      <w:proofErr w:type="spellEnd"/>
      <w:r>
        <w:t xml:space="preserve"> Māori concepts </w:t>
      </w:r>
      <w:r w:rsidR="00FF5F6B">
        <w:t xml:space="preserve">into </w:t>
      </w:r>
      <w:r w:rsidR="00091C98">
        <w:t>their clinical</w:t>
      </w:r>
      <w:r>
        <w:t xml:space="preserve"> interventions.</w:t>
      </w:r>
      <w:r w:rsidRPr="00C10A99">
        <w:t xml:space="preserve"> In addition, dedicated Māori, Pacific and Asian services will continue to </w:t>
      </w:r>
      <w:r>
        <w:t xml:space="preserve">provide culturally appropriate interventions and support </w:t>
      </w:r>
      <w:r w:rsidRPr="00C10A99">
        <w:t>for those population groups.</w:t>
      </w:r>
      <w:r w:rsidR="00F907B0">
        <w:t xml:space="preserve"> </w:t>
      </w:r>
      <w:r w:rsidR="00F907B0" w:rsidRPr="00C10A99">
        <w:t xml:space="preserve">The Ministry expects all services to be </w:t>
      </w:r>
      <w:r w:rsidR="00F907B0">
        <w:t>clinically safe.</w:t>
      </w:r>
    </w:p>
    <w:p w:rsidR="00267262" w:rsidRDefault="00267262" w:rsidP="00267262"/>
    <w:p w:rsidR="00CB68A7" w:rsidRDefault="00CB68A7" w:rsidP="00267262">
      <w:r w:rsidRPr="00C10A99">
        <w:t xml:space="preserve">The Ministry considers it appropriate to </w:t>
      </w:r>
      <w:r w:rsidR="00C641C0">
        <w:t>pilot</w:t>
      </w:r>
      <w:r w:rsidRPr="00C10A99">
        <w:t xml:space="preserve"> psychosocial interventions and support </w:t>
      </w:r>
      <w:r w:rsidR="00C641C0">
        <w:t xml:space="preserve">to address areas highlighted by the needs assessment. </w:t>
      </w:r>
      <w:r w:rsidR="00F15D54">
        <w:t xml:space="preserve">.For example to develop pilot </w:t>
      </w:r>
      <w:r>
        <w:t xml:space="preserve">services in areas that currently have limited access and explore innovation </w:t>
      </w:r>
      <w:r w:rsidRPr="00C10A99">
        <w:t>within</w:t>
      </w:r>
      <w:r>
        <w:t xml:space="preserve"> those services</w:t>
      </w:r>
      <w:r w:rsidR="00F15D54">
        <w:t>.</w:t>
      </w:r>
    </w:p>
    <w:p w:rsidR="00CB68A7" w:rsidRPr="00C10A99" w:rsidRDefault="00CB68A7" w:rsidP="00B30A95">
      <w:pPr>
        <w:pStyle w:val="Heading3"/>
        <w:spacing w:before="480"/>
      </w:pPr>
      <w:r w:rsidRPr="00C10A99">
        <w:lastRenderedPageBreak/>
        <w:t>Data collection and reporting</w:t>
      </w:r>
    </w:p>
    <w:p w:rsidR="00CB68A7" w:rsidRPr="00C10A99" w:rsidRDefault="00CB68A7" w:rsidP="00B30A95">
      <w:r w:rsidRPr="00C10A99">
        <w:t>The Ministry largely carries out data collection and reporting internally. The small sum specifically budgeted each year for collecti</w:t>
      </w:r>
      <w:r>
        <w:t>ng</w:t>
      </w:r>
      <w:r w:rsidRPr="00C10A99">
        <w:t xml:space="preserve"> and reporting </w:t>
      </w:r>
      <w:r>
        <w:t xml:space="preserve">on </w:t>
      </w:r>
      <w:r w:rsidRPr="00C10A99">
        <w:t xml:space="preserve">data allows for an external provider to address data collection issues </w:t>
      </w:r>
      <w:r>
        <w:t>that require</w:t>
      </w:r>
      <w:r w:rsidRPr="00C10A99">
        <w:t xml:space="preserve"> institutional knowledge and to make small technical adjustments, if required.</w:t>
      </w:r>
    </w:p>
    <w:p w:rsidR="00267262" w:rsidRDefault="00267262" w:rsidP="00267262"/>
    <w:p w:rsidR="00CB68A7" w:rsidRDefault="00CB68A7" w:rsidP="00267262">
      <w:pPr>
        <w:rPr>
          <w:lang w:val="en"/>
        </w:rPr>
      </w:pPr>
      <w:r w:rsidRPr="00C10A99">
        <w:t xml:space="preserve">As of 2018, intervention service providers are </w:t>
      </w:r>
      <w:r w:rsidRPr="00E312E8">
        <w:t xml:space="preserve">required to record and report clients </w:t>
      </w:r>
      <w:r>
        <w:t>National Health Index (</w:t>
      </w:r>
      <w:r w:rsidRPr="00E312E8">
        <w:t>NHI</w:t>
      </w:r>
      <w:r>
        <w:t>)</w:t>
      </w:r>
      <w:r w:rsidRPr="00E312E8">
        <w:t xml:space="preserve"> numbers to the Ministry. </w:t>
      </w:r>
      <w:r w:rsidRPr="00E312E8">
        <w:rPr>
          <w:lang w:val="en"/>
        </w:rPr>
        <w:t>These identifiers</w:t>
      </w:r>
      <w:r w:rsidR="00267262">
        <w:rPr>
          <w:lang w:val="en"/>
        </w:rPr>
        <w:t xml:space="preserve"> </w:t>
      </w:r>
      <w:r w:rsidRPr="00E312E8">
        <w:rPr>
          <w:lang w:val="en"/>
        </w:rPr>
        <w:t>allow individual patients to be positively and uniquely identified for the purposes of treatment and care and for maintaining medical records.</w:t>
      </w:r>
      <w:r w:rsidRPr="00C10A99">
        <w:rPr>
          <w:lang w:val="en"/>
        </w:rPr>
        <w:t xml:space="preserve"> This will also help provide better data about </w:t>
      </w:r>
      <w:r>
        <w:rPr>
          <w:lang w:val="en"/>
        </w:rPr>
        <w:t xml:space="preserve">services provided, </w:t>
      </w:r>
      <w:r w:rsidRPr="00C10A99">
        <w:rPr>
          <w:lang w:val="en"/>
        </w:rPr>
        <w:t>treatment efficacy and outcomes.</w:t>
      </w:r>
    </w:p>
    <w:p w:rsidR="00CB68A7" w:rsidRPr="00E312E8" w:rsidRDefault="00CB68A7" w:rsidP="00267262"/>
    <w:p w:rsidR="00CB68A7" w:rsidRPr="00C10A99" w:rsidRDefault="00CB68A7" w:rsidP="00267262">
      <w:pPr>
        <w:pStyle w:val="Heading3"/>
      </w:pPr>
      <w:r w:rsidRPr="00C10A99">
        <w:t>Workforce development (intervention)</w:t>
      </w:r>
    </w:p>
    <w:p w:rsidR="00CB68A7" w:rsidRPr="00C10A99" w:rsidRDefault="00CB68A7" w:rsidP="00267262">
      <w:r w:rsidRPr="00C10A99">
        <w:t>Workforce development will continue to be an important component to support psychosocial intervention services.</w:t>
      </w:r>
    </w:p>
    <w:p w:rsidR="00267262" w:rsidRDefault="00267262" w:rsidP="00267262"/>
    <w:p w:rsidR="00CB68A7" w:rsidRDefault="00CB68A7" w:rsidP="00267262">
      <w:r w:rsidRPr="00C10A99">
        <w:t>The Ministry will continue to suppor</w:t>
      </w:r>
      <w:r>
        <w:t>t intervention practitioners to either:</w:t>
      </w:r>
    </w:p>
    <w:p w:rsidR="00CB68A7" w:rsidRPr="00E312E8" w:rsidRDefault="00CB68A7" w:rsidP="00267262">
      <w:pPr>
        <w:pStyle w:val="Bullet"/>
      </w:pPr>
      <w:r w:rsidRPr="00C10A99">
        <w:t xml:space="preserve">register </w:t>
      </w:r>
      <w:r>
        <w:t xml:space="preserve">as </w:t>
      </w:r>
      <w:r w:rsidRPr="00E312E8">
        <w:t>health practitioner</w:t>
      </w:r>
      <w:r>
        <w:t>s</w:t>
      </w:r>
      <w:r w:rsidRPr="00E312E8">
        <w:t xml:space="preserve"> permitted to practise within a relevant scope of practice under </w:t>
      </w:r>
      <w:r w:rsidRPr="00C10A99">
        <w:t>the Health Practitioners Competence Assurance Act 2003</w:t>
      </w:r>
      <w:r>
        <w:t>, or</w:t>
      </w:r>
    </w:p>
    <w:p w:rsidR="00EC3578" w:rsidRDefault="00CB68A7" w:rsidP="00267262">
      <w:pPr>
        <w:pStyle w:val="Bullet"/>
      </w:pPr>
      <w:r w:rsidRPr="00C10A99">
        <w:t xml:space="preserve">register </w:t>
      </w:r>
      <w:r>
        <w:t xml:space="preserve">with </w:t>
      </w:r>
      <w:r w:rsidRPr="00C10A99">
        <w:t xml:space="preserve">or </w:t>
      </w:r>
      <w:r>
        <w:t xml:space="preserve">be </w:t>
      </w:r>
      <w:r w:rsidRPr="00C10A99">
        <w:t>endorsed by DAPAANZ as having demonstrated the relevant specific competencies, or</w:t>
      </w:r>
    </w:p>
    <w:p w:rsidR="00CB68A7" w:rsidRPr="00C10A99" w:rsidRDefault="00CB68A7" w:rsidP="00267262">
      <w:pPr>
        <w:pStyle w:val="Bullet"/>
      </w:pPr>
      <w:proofErr w:type="gramStart"/>
      <w:r w:rsidRPr="00C10A99">
        <w:t>be</w:t>
      </w:r>
      <w:proofErr w:type="gramEnd"/>
      <w:r w:rsidRPr="00C10A99">
        <w:t xml:space="preserve"> equivalently registered with another relevant health professional body and hold at least six months</w:t>
      </w:r>
      <w:r w:rsidR="00267262">
        <w:t>’</w:t>
      </w:r>
      <w:r w:rsidRPr="00C10A99">
        <w:t xml:space="preserve"> post-qualification experience as an addiction practitioner.</w:t>
      </w:r>
    </w:p>
    <w:p w:rsidR="00CB68A7" w:rsidRDefault="00CB68A7" w:rsidP="00267262"/>
    <w:p w:rsidR="00EC3578" w:rsidRDefault="00CB68A7" w:rsidP="00267262">
      <w:r w:rsidRPr="00C10A99">
        <w:t>A key focus is to align the gambling harm intervention workforce with</w:t>
      </w:r>
      <w:r>
        <w:t xml:space="preserve"> the wider addiction workforce. </w:t>
      </w:r>
      <w:r w:rsidRPr="00C10A99">
        <w:t xml:space="preserve">Research shows that alcohol and other drug problems are often an issue for those experiencing harm from gambling. </w:t>
      </w:r>
      <w:r>
        <w:t>Adopting workforce standards with comparable standards across the broader addiction workforce will provide greater career mobility and pathways and help build a more resilient and sustainable workforce.</w:t>
      </w:r>
    </w:p>
    <w:p w:rsidR="00CB68A7" w:rsidRPr="00C10A99" w:rsidRDefault="00CB68A7" w:rsidP="00267262"/>
    <w:p w:rsidR="00CB68A7" w:rsidRPr="00C10A99" w:rsidRDefault="00CB68A7" w:rsidP="00267262">
      <w:pPr>
        <w:pStyle w:val="Heading3"/>
      </w:pPr>
      <w:r w:rsidRPr="00C10A99">
        <w:t>Audit</w:t>
      </w:r>
    </w:p>
    <w:p w:rsidR="00CB68A7" w:rsidRPr="00C10A99" w:rsidRDefault="00CB68A7" w:rsidP="00267262">
      <w:r w:rsidRPr="00C10A99">
        <w:t>The Ministry audits its services periodically. The audits allow for independent review and continuous quality improvement.</w:t>
      </w:r>
      <w:r>
        <w:t xml:space="preserve"> Where appropriate, lessons learned from the service funding audits noted above will also be applied to managing intervention service funding (and vice versa).</w:t>
      </w:r>
    </w:p>
    <w:p w:rsidR="00CB68A7" w:rsidRPr="00C10A99" w:rsidRDefault="00CB68A7" w:rsidP="00267262"/>
    <w:p w:rsidR="00CB68A7" w:rsidRPr="00C10A99" w:rsidRDefault="00CB68A7" w:rsidP="00267262">
      <w:pPr>
        <w:pStyle w:val="Heading2"/>
      </w:pPr>
      <w:bookmarkStart w:id="164" w:name="_Toc229279766"/>
      <w:bookmarkStart w:id="165" w:name="_Toc517090907"/>
      <w:bookmarkStart w:id="166" w:name="_Toc522089409"/>
      <w:r w:rsidRPr="00C10A99">
        <w:t>Research and evaluation</w:t>
      </w:r>
      <w:bookmarkEnd w:id="164"/>
      <w:bookmarkEnd w:id="165"/>
      <w:bookmarkEnd w:id="166"/>
    </w:p>
    <w:p w:rsidR="00CB68A7" w:rsidRPr="00E312E8" w:rsidRDefault="00CB68A7" w:rsidP="00267262">
      <w:r w:rsidRPr="00E312E8">
        <w:t xml:space="preserve">The </w:t>
      </w:r>
      <w:r>
        <w:t xml:space="preserve">Gambling </w:t>
      </w:r>
      <w:r w:rsidRPr="00E312E8">
        <w:t xml:space="preserve">Act </w:t>
      </w:r>
      <w:r>
        <w:t xml:space="preserve">2003 Section 317 specifies that the </w:t>
      </w:r>
      <w:r w:rsidRPr="00E312E8">
        <w:t>strategy must include independent scientific research associated with gambling, including (for example) longitudinal research on the social and economic impacts of gambling, particularly the impacts on different cultural groups. It must also include evaluation.</w:t>
      </w:r>
    </w:p>
    <w:p w:rsidR="00267262" w:rsidRDefault="00267262" w:rsidP="00267262">
      <w:bookmarkStart w:id="167" w:name="_Toc229279767"/>
      <w:bookmarkStart w:id="168" w:name="_Toc230066524"/>
      <w:bookmarkStart w:id="169" w:name="_Toc329860060"/>
      <w:bookmarkEnd w:id="158"/>
      <w:bookmarkEnd w:id="159"/>
      <w:bookmarkEnd w:id="160"/>
      <w:bookmarkEnd w:id="161"/>
      <w:bookmarkEnd w:id="162"/>
      <w:bookmarkEnd w:id="163"/>
    </w:p>
    <w:p w:rsidR="00EC3578" w:rsidRDefault="00CB68A7" w:rsidP="00267262">
      <w:r w:rsidRPr="00E312E8">
        <w:t xml:space="preserve">Over the 2019/20 to 2021/22 period, the Ministry will review and fund specific projects that it believes </w:t>
      </w:r>
      <w:proofErr w:type="gramStart"/>
      <w:r w:rsidRPr="00E312E8">
        <w:t>best</w:t>
      </w:r>
      <w:proofErr w:type="gramEnd"/>
      <w:r w:rsidRPr="00E312E8">
        <w:t xml:space="preserve"> ad</w:t>
      </w:r>
      <w:r w:rsidRPr="00C10A99">
        <w:t>dress the objectives of the strategy.</w:t>
      </w:r>
    </w:p>
    <w:p w:rsidR="00267262" w:rsidRDefault="00267262" w:rsidP="00267262"/>
    <w:p w:rsidR="00EC3578" w:rsidRPr="00EC3578" w:rsidRDefault="00CB68A7" w:rsidP="00267262">
      <w:pPr>
        <w:keepNext/>
      </w:pPr>
      <w:r w:rsidRPr="00EC3578">
        <w:lastRenderedPageBreak/>
        <w:t>Indicative priority areas for 2019/20</w:t>
      </w:r>
      <w:r w:rsidR="00267262">
        <w:t>–</w:t>
      </w:r>
      <w:r w:rsidRPr="00EC3578">
        <w:t>21/22 are:</w:t>
      </w:r>
    </w:p>
    <w:p w:rsidR="00EC3578" w:rsidRDefault="00CB68A7" w:rsidP="00267262">
      <w:pPr>
        <w:pStyle w:val="Bullet"/>
      </w:pPr>
      <w:r>
        <w:t>r</w:t>
      </w:r>
      <w:r w:rsidRPr="00F45ADF">
        <w:t>esearch</w:t>
      </w:r>
      <w:r>
        <w:t>ing</w:t>
      </w:r>
      <w:r w:rsidRPr="00F45ADF">
        <w:t xml:space="preserve"> vulnerable at</w:t>
      </w:r>
      <w:r>
        <w:t>-</w:t>
      </w:r>
      <w:r w:rsidRPr="00F45ADF">
        <w:t>risk populations, particularly M</w:t>
      </w:r>
      <w:r>
        <w:t>ā</w:t>
      </w:r>
      <w:r w:rsidRPr="00F45ADF">
        <w:t>ori</w:t>
      </w:r>
      <w:r>
        <w:t xml:space="preserve">, </w:t>
      </w:r>
      <w:r w:rsidRPr="00F45ADF">
        <w:t>Pacific</w:t>
      </w:r>
      <w:r>
        <w:t xml:space="preserve"> peoples,</w:t>
      </w:r>
      <w:r w:rsidRPr="00F45ADF">
        <w:t xml:space="preserve"> Asian</w:t>
      </w:r>
      <w:r>
        <w:t xml:space="preserve"> </w:t>
      </w:r>
      <w:r w:rsidRPr="00F45ADF">
        <w:t xml:space="preserve">and </w:t>
      </w:r>
      <w:r>
        <w:t>youth/children, including ways to strengthen their participation</w:t>
      </w:r>
    </w:p>
    <w:p w:rsidR="00EC3578" w:rsidRDefault="00CB68A7" w:rsidP="00267262">
      <w:pPr>
        <w:pStyle w:val="Bullet"/>
        <w:rPr>
          <w:rFonts w:cs="Arial"/>
        </w:rPr>
      </w:pPr>
      <w:r>
        <w:rPr>
          <w:rFonts w:cs="Arial"/>
        </w:rPr>
        <w:t>i</w:t>
      </w:r>
      <w:r w:rsidRPr="00F45ADF">
        <w:rPr>
          <w:rFonts w:cs="Arial"/>
        </w:rPr>
        <w:t>ntroduc</w:t>
      </w:r>
      <w:r>
        <w:rPr>
          <w:rFonts w:cs="Arial"/>
        </w:rPr>
        <w:t>ing</w:t>
      </w:r>
      <w:r w:rsidRPr="00F45ADF">
        <w:rPr>
          <w:rFonts w:cs="Arial"/>
        </w:rPr>
        <w:t xml:space="preserve"> programme evaluation more widely into activities funded by the </w:t>
      </w:r>
      <w:r w:rsidRPr="0005733E">
        <w:rPr>
          <w:rFonts w:cs="Arial"/>
        </w:rPr>
        <w:t>Ministry</w:t>
      </w:r>
    </w:p>
    <w:p w:rsidR="00CB68A7" w:rsidRPr="00C10A99" w:rsidRDefault="00CB68A7" w:rsidP="00267262">
      <w:pPr>
        <w:pStyle w:val="Bullet"/>
      </w:pPr>
      <w:proofErr w:type="gramStart"/>
      <w:r w:rsidRPr="00C10A99">
        <w:rPr>
          <w:rFonts w:cs="Arial"/>
          <w:kern w:val="24"/>
        </w:rPr>
        <w:t>research</w:t>
      </w:r>
      <w:r>
        <w:rPr>
          <w:rFonts w:cs="Arial"/>
          <w:kern w:val="24"/>
        </w:rPr>
        <w:t>ing</w:t>
      </w:r>
      <w:proofErr w:type="gramEnd"/>
      <w:r w:rsidRPr="00C10A99">
        <w:rPr>
          <w:rFonts w:cs="Arial"/>
          <w:kern w:val="24"/>
        </w:rPr>
        <w:t xml:space="preserve"> the convergence of gaming and gambling</w:t>
      </w:r>
      <w:r>
        <w:rPr>
          <w:rFonts w:cs="Arial"/>
          <w:kern w:val="24"/>
        </w:rPr>
        <w:t>,</w:t>
      </w:r>
      <w:r w:rsidRPr="00C10A99">
        <w:rPr>
          <w:rFonts w:cs="Arial"/>
          <w:kern w:val="24"/>
        </w:rPr>
        <w:t xml:space="preserve"> </w:t>
      </w:r>
      <w:r>
        <w:rPr>
          <w:rFonts w:cs="Arial"/>
          <w:kern w:val="24"/>
        </w:rPr>
        <w:t>i</w:t>
      </w:r>
      <w:r w:rsidRPr="00C10A99">
        <w:rPr>
          <w:rFonts w:cs="Arial"/>
          <w:kern w:val="24"/>
        </w:rPr>
        <w:t xml:space="preserve">n particular, how this may impact in the next </w:t>
      </w:r>
      <w:r>
        <w:rPr>
          <w:rFonts w:cs="Arial"/>
          <w:kern w:val="24"/>
        </w:rPr>
        <w:t>two to three</w:t>
      </w:r>
      <w:r w:rsidRPr="00C10A99">
        <w:rPr>
          <w:rFonts w:cs="Arial"/>
          <w:kern w:val="24"/>
        </w:rPr>
        <w:t xml:space="preserve"> years as opportunities to gamble online from traditional providers increase (</w:t>
      </w:r>
      <w:proofErr w:type="spellStart"/>
      <w:r w:rsidRPr="00C10A99">
        <w:rPr>
          <w:rFonts w:cs="Arial"/>
          <w:kern w:val="24"/>
        </w:rPr>
        <w:t>eg</w:t>
      </w:r>
      <w:proofErr w:type="spellEnd"/>
      <w:r>
        <w:rPr>
          <w:rFonts w:cs="Arial"/>
          <w:kern w:val="24"/>
        </w:rPr>
        <w:t>,</w:t>
      </w:r>
      <w:r w:rsidRPr="00C10A99">
        <w:rPr>
          <w:rFonts w:cs="Arial"/>
          <w:kern w:val="24"/>
        </w:rPr>
        <w:t xml:space="preserve"> Lotto</w:t>
      </w:r>
      <w:r w:rsidR="00EC3578">
        <w:rPr>
          <w:rFonts w:cs="Arial"/>
          <w:kern w:val="24"/>
        </w:rPr>
        <w:t>’</w:t>
      </w:r>
      <w:r w:rsidRPr="00C10A99">
        <w:rPr>
          <w:rFonts w:cs="Arial"/>
          <w:kern w:val="24"/>
        </w:rPr>
        <w:t>s online instant win and online offerings</w:t>
      </w:r>
      <w:r>
        <w:rPr>
          <w:rFonts w:cs="Arial"/>
          <w:kern w:val="24"/>
        </w:rPr>
        <w:t>)</w:t>
      </w:r>
      <w:r w:rsidRPr="00C10A99">
        <w:rPr>
          <w:rFonts w:cs="Arial"/>
          <w:kern w:val="24"/>
        </w:rPr>
        <w:t>.</w:t>
      </w:r>
    </w:p>
    <w:p w:rsidR="00CB68A7" w:rsidRPr="00EC3578" w:rsidRDefault="00CB68A7" w:rsidP="00267262"/>
    <w:p w:rsidR="00CB68A7" w:rsidRPr="008E3950" w:rsidRDefault="00CB68A7" w:rsidP="00267262">
      <w:pPr>
        <w:pStyle w:val="Table"/>
        <w:rPr>
          <w:rFonts w:cs="Arial"/>
        </w:rPr>
      </w:pPr>
      <w:bookmarkStart w:id="170" w:name="_Toc514838703"/>
      <w:bookmarkStart w:id="171" w:name="_Toc517091242"/>
      <w:bookmarkStart w:id="172" w:name="_Toc522089446"/>
      <w:r w:rsidRPr="00C10A99">
        <w:t>Table</w:t>
      </w:r>
      <w:r>
        <w:t xml:space="preserve"> 17</w:t>
      </w:r>
      <w:r w:rsidRPr="00C10A99">
        <w:t>: Indicative research and evaluation budget (GST exclusive), 2019/20 to 2021/22</w:t>
      </w:r>
      <w:bookmarkEnd w:id="170"/>
      <w:bookmarkEnd w:id="171"/>
      <w:bookmarkEnd w:id="172"/>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4111"/>
        <w:gridCol w:w="1311"/>
        <w:gridCol w:w="1311"/>
        <w:gridCol w:w="1311"/>
        <w:gridCol w:w="1312"/>
      </w:tblGrid>
      <w:tr w:rsidR="00CB68A7" w:rsidRPr="00267262" w:rsidTr="00267262">
        <w:trPr>
          <w:cantSplit/>
        </w:trPr>
        <w:tc>
          <w:tcPr>
            <w:tcW w:w="4111" w:type="dxa"/>
            <w:tcBorders>
              <w:top w:val="single" w:sz="4" w:space="0" w:color="auto"/>
              <w:bottom w:val="single" w:sz="4" w:space="0" w:color="auto"/>
            </w:tcBorders>
            <w:shd w:val="clear" w:color="auto" w:fill="auto"/>
          </w:tcPr>
          <w:p w:rsidR="00CB68A7" w:rsidRPr="00267262" w:rsidRDefault="00CB68A7" w:rsidP="00267262">
            <w:pPr>
              <w:pStyle w:val="TableText"/>
              <w:rPr>
                <w:b/>
              </w:rPr>
            </w:pPr>
            <w:r w:rsidRPr="00267262">
              <w:rPr>
                <w:b/>
              </w:rPr>
              <w:t>Service area</w:t>
            </w:r>
          </w:p>
        </w:tc>
        <w:tc>
          <w:tcPr>
            <w:tcW w:w="1311" w:type="dxa"/>
            <w:tcBorders>
              <w:top w:val="single" w:sz="4" w:space="0" w:color="auto"/>
              <w:bottom w:val="single" w:sz="4" w:space="0" w:color="auto"/>
            </w:tcBorders>
            <w:shd w:val="clear" w:color="auto" w:fill="auto"/>
          </w:tcPr>
          <w:p w:rsidR="00CB68A7" w:rsidRPr="00267262" w:rsidRDefault="00CB68A7" w:rsidP="00267262">
            <w:pPr>
              <w:pStyle w:val="TableText"/>
              <w:jc w:val="center"/>
              <w:rPr>
                <w:b/>
                <w:lang w:eastAsia="en-US"/>
              </w:rPr>
            </w:pPr>
            <w:r w:rsidRPr="00267262">
              <w:rPr>
                <w:b/>
                <w:lang w:eastAsia="en-US"/>
              </w:rPr>
              <w:t>2019/20</w:t>
            </w:r>
            <w:r w:rsidR="00267262">
              <w:rPr>
                <w:b/>
                <w:lang w:eastAsia="en-US"/>
              </w:rPr>
              <w:br/>
            </w:r>
            <w:r w:rsidRPr="00267262">
              <w:rPr>
                <w:b/>
                <w:lang w:eastAsia="en-US"/>
              </w:rPr>
              <w:t>($m)</w:t>
            </w:r>
          </w:p>
        </w:tc>
        <w:tc>
          <w:tcPr>
            <w:tcW w:w="1311" w:type="dxa"/>
            <w:tcBorders>
              <w:top w:val="single" w:sz="4" w:space="0" w:color="auto"/>
              <w:bottom w:val="single" w:sz="4" w:space="0" w:color="auto"/>
            </w:tcBorders>
            <w:shd w:val="clear" w:color="auto" w:fill="auto"/>
          </w:tcPr>
          <w:p w:rsidR="00CB68A7" w:rsidRPr="00267262" w:rsidRDefault="00CB68A7" w:rsidP="00267262">
            <w:pPr>
              <w:pStyle w:val="TableText"/>
              <w:jc w:val="center"/>
              <w:rPr>
                <w:b/>
                <w:lang w:eastAsia="en-US"/>
              </w:rPr>
            </w:pPr>
            <w:r w:rsidRPr="00267262">
              <w:rPr>
                <w:b/>
                <w:lang w:eastAsia="en-US"/>
              </w:rPr>
              <w:t>2020/21</w:t>
            </w:r>
            <w:r w:rsidR="00267262">
              <w:rPr>
                <w:b/>
                <w:lang w:eastAsia="en-US"/>
              </w:rPr>
              <w:br/>
            </w:r>
            <w:r w:rsidRPr="00267262">
              <w:rPr>
                <w:b/>
                <w:lang w:eastAsia="en-US"/>
              </w:rPr>
              <w:t>($m)</w:t>
            </w:r>
          </w:p>
        </w:tc>
        <w:tc>
          <w:tcPr>
            <w:tcW w:w="1311" w:type="dxa"/>
            <w:tcBorders>
              <w:top w:val="single" w:sz="4" w:space="0" w:color="auto"/>
              <w:bottom w:val="single" w:sz="4" w:space="0" w:color="auto"/>
            </w:tcBorders>
            <w:shd w:val="clear" w:color="auto" w:fill="auto"/>
          </w:tcPr>
          <w:p w:rsidR="00CB68A7" w:rsidRPr="00267262" w:rsidRDefault="00CB68A7" w:rsidP="00267262">
            <w:pPr>
              <w:pStyle w:val="TableText"/>
              <w:jc w:val="center"/>
              <w:rPr>
                <w:b/>
                <w:lang w:eastAsia="en-US"/>
              </w:rPr>
            </w:pPr>
            <w:r w:rsidRPr="00267262">
              <w:rPr>
                <w:b/>
                <w:lang w:eastAsia="en-US"/>
              </w:rPr>
              <w:t>2021/22</w:t>
            </w:r>
            <w:r w:rsidR="00267262">
              <w:rPr>
                <w:b/>
                <w:lang w:eastAsia="en-US"/>
              </w:rPr>
              <w:br/>
            </w:r>
            <w:r w:rsidRPr="00267262">
              <w:rPr>
                <w:b/>
                <w:lang w:eastAsia="en-US"/>
              </w:rPr>
              <w:t>($m)</w:t>
            </w:r>
          </w:p>
        </w:tc>
        <w:tc>
          <w:tcPr>
            <w:tcW w:w="1312" w:type="dxa"/>
            <w:tcBorders>
              <w:top w:val="single" w:sz="4" w:space="0" w:color="auto"/>
              <w:bottom w:val="single" w:sz="4" w:space="0" w:color="auto"/>
            </w:tcBorders>
            <w:shd w:val="clear" w:color="auto" w:fill="auto"/>
          </w:tcPr>
          <w:p w:rsidR="00CB68A7" w:rsidRPr="00267262" w:rsidRDefault="00CB68A7" w:rsidP="00267262">
            <w:pPr>
              <w:pStyle w:val="TableText"/>
              <w:jc w:val="center"/>
              <w:rPr>
                <w:b/>
              </w:rPr>
            </w:pPr>
            <w:r w:rsidRPr="00267262">
              <w:rPr>
                <w:b/>
              </w:rPr>
              <w:t>Total</w:t>
            </w:r>
            <w:r w:rsidR="00267262">
              <w:rPr>
                <w:b/>
              </w:rPr>
              <w:br/>
            </w:r>
            <w:r w:rsidRPr="00267262">
              <w:rPr>
                <w:b/>
              </w:rPr>
              <w:t>($m)</w:t>
            </w:r>
          </w:p>
        </w:tc>
      </w:tr>
      <w:tr w:rsidR="00CB68A7" w:rsidRPr="008E3950" w:rsidTr="00267262">
        <w:trPr>
          <w:cantSplit/>
        </w:trPr>
        <w:tc>
          <w:tcPr>
            <w:tcW w:w="4111" w:type="dxa"/>
            <w:tcBorders>
              <w:top w:val="single" w:sz="4" w:space="0" w:color="auto"/>
              <w:bottom w:val="single" w:sz="4" w:space="0" w:color="A6A6A6" w:themeColor="background1" w:themeShade="A6"/>
            </w:tcBorders>
            <w:shd w:val="clear" w:color="auto" w:fill="auto"/>
          </w:tcPr>
          <w:p w:rsidR="00CB68A7" w:rsidRPr="008E3950" w:rsidRDefault="00CB68A7" w:rsidP="00267262">
            <w:pPr>
              <w:pStyle w:val="TableText"/>
            </w:pPr>
            <w:r w:rsidRPr="008E3950">
              <w:t>Research</w:t>
            </w:r>
          </w:p>
        </w:tc>
        <w:tc>
          <w:tcPr>
            <w:tcW w:w="1311" w:type="dxa"/>
            <w:tcBorders>
              <w:top w:val="single" w:sz="4" w:space="0" w:color="auto"/>
              <w:bottom w:val="single" w:sz="4" w:space="0" w:color="A6A6A6" w:themeColor="background1" w:themeShade="A6"/>
            </w:tcBorders>
            <w:shd w:val="clear" w:color="auto" w:fill="auto"/>
            <w:noWrap/>
          </w:tcPr>
          <w:p w:rsidR="00CB68A7" w:rsidRPr="008E3950" w:rsidRDefault="00CB68A7" w:rsidP="00267262">
            <w:pPr>
              <w:pStyle w:val="TableText"/>
              <w:jc w:val="center"/>
              <w:rPr>
                <w:rFonts w:cs="Arial"/>
              </w:rPr>
            </w:pPr>
            <w:r w:rsidRPr="008E3950">
              <w:rPr>
                <w:rFonts w:cs="Arial"/>
              </w:rPr>
              <w:t>1.989</w:t>
            </w:r>
          </w:p>
        </w:tc>
        <w:tc>
          <w:tcPr>
            <w:tcW w:w="1311" w:type="dxa"/>
            <w:tcBorders>
              <w:top w:val="single" w:sz="4" w:space="0" w:color="auto"/>
              <w:bottom w:val="single" w:sz="4" w:space="0" w:color="A6A6A6" w:themeColor="background1" w:themeShade="A6"/>
            </w:tcBorders>
            <w:shd w:val="clear" w:color="auto" w:fill="auto"/>
            <w:noWrap/>
          </w:tcPr>
          <w:p w:rsidR="00CB68A7" w:rsidRPr="008E3950" w:rsidRDefault="00CB68A7" w:rsidP="00267262">
            <w:pPr>
              <w:pStyle w:val="TableText"/>
              <w:jc w:val="center"/>
              <w:rPr>
                <w:rFonts w:cs="Arial"/>
              </w:rPr>
            </w:pPr>
            <w:r w:rsidRPr="008E3950">
              <w:rPr>
                <w:rFonts w:cs="Arial"/>
              </w:rPr>
              <w:t>1.990</w:t>
            </w:r>
          </w:p>
        </w:tc>
        <w:tc>
          <w:tcPr>
            <w:tcW w:w="1311" w:type="dxa"/>
            <w:tcBorders>
              <w:top w:val="single" w:sz="4" w:space="0" w:color="auto"/>
              <w:bottom w:val="single" w:sz="4" w:space="0" w:color="A6A6A6" w:themeColor="background1" w:themeShade="A6"/>
            </w:tcBorders>
            <w:shd w:val="clear" w:color="auto" w:fill="auto"/>
            <w:noWrap/>
          </w:tcPr>
          <w:p w:rsidR="00CB68A7" w:rsidRPr="008E3950" w:rsidRDefault="00CB68A7" w:rsidP="00267262">
            <w:pPr>
              <w:pStyle w:val="TableText"/>
              <w:jc w:val="center"/>
              <w:rPr>
                <w:rFonts w:cs="Arial"/>
              </w:rPr>
            </w:pPr>
            <w:r w:rsidRPr="008E3950">
              <w:rPr>
                <w:rFonts w:cs="Arial"/>
              </w:rPr>
              <w:t>1.990</w:t>
            </w:r>
          </w:p>
        </w:tc>
        <w:tc>
          <w:tcPr>
            <w:tcW w:w="1312" w:type="dxa"/>
            <w:tcBorders>
              <w:top w:val="single" w:sz="4" w:space="0" w:color="auto"/>
              <w:bottom w:val="single" w:sz="4" w:space="0" w:color="A6A6A6" w:themeColor="background1" w:themeShade="A6"/>
            </w:tcBorders>
            <w:shd w:val="clear" w:color="auto" w:fill="auto"/>
            <w:noWrap/>
          </w:tcPr>
          <w:p w:rsidR="00CB68A7" w:rsidRPr="008E3950" w:rsidRDefault="00CB68A7" w:rsidP="00267262">
            <w:pPr>
              <w:pStyle w:val="TableText"/>
              <w:jc w:val="center"/>
              <w:rPr>
                <w:rFonts w:cs="Arial"/>
              </w:rPr>
            </w:pPr>
            <w:r w:rsidRPr="008E3950">
              <w:rPr>
                <w:rFonts w:cs="Arial"/>
              </w:rPr>
              <w:t>5.969</w:t>
            </w:r>
          </w:p>
        </w:tc>
      </w:tr>
      <w:tr w:rsidR="00CB68A7" w:rsidRPr="008E3950" w:rsidTr="00267262">
        <w:trPr>
          <w:cantSplit/>
        </w:trPr>
        <w:tc>
          <w:tcPr>
            <w:tcW w:w="4111" w:type="dxa"/>
            <w:tcBorders>
              <w:top w:val="single" w:sz="4" w:space="0" w:color="A6A6A6" w:themeColor="background1" w:themeShade="A6"/>
              <w:bottom w:val="single" w:sz="4" w:space="0" w:color="auto"/>
            </w:tcBorders>
            <w:shd w:val="clear" w:color="auto" w:fill="auto"/>
          </w:tcPr>
          <w:p w:rsidR="00CB68A7" w:rsidRPr="008E3950" w:rsidRDefault="00CB68A7" w:rsidP="00267262">
            <w:pPr>
              <w:pStyle w:val="TableText"/>
            </w:pPr>
            <w:r w:rsidRPr="008E3950">
              <w:t>Evaluation (including outcomes reporting)</w:t>
            </w:r>
          </w:p>
        </w:tc>
        <w:tc>
          <w:tcPr>
            <w:tcW w:w="1311" w:type="dxa"/>
            <w:tcBorders>
              <w:top w:val="single" w:sz="4" w:space="0" w:color="A6A6A6" w:themeColor="background1" w:themeShade="A6"/>
              <w:bottom w:val="single" w:sz="4" w:space="0" w:color="auto"/>
            </w:tcBorders>
            <w:shd w:val="clear" w:color="auto" w:fill="auto"/>
            <w:noWrap/>
          </w:tcPr>
          <w:p w:rsidR="00CB68A7" w:rsidRPr="008E3950" w:rsidRDefault="00CB68A7" w:rsidP="00267262">
            <w:pPr>
              <w:pStyle w:val="TableText"/>
              <w:jc w:val="center"/>
              <w:rPr>
                <w:rFonts w:cs="Arial"/>
              </w:rPr>
            </w:pPr>
            <w:r w:rsidRPr="008E3950">
              <w:rPr>
                <w:rFonts w:cs="Arial"/>
              </w:rPr>
              <w:t>0.220</w:t>
            </w:r>
          </w:p>
        </w:tc>
        <w:tc>
          <w:tcPr>
            <w:tcW w:w="1311" w:type="dxa"/>
            <w:tcBorders>
              <w:top w:val="single" w:sz="4" w:space="0" w:color="A6A6A6" w:themeColor="background1" w:themeShade="A6"/>
              <w:bottom w:val="single" w:sz="4" w:space="0" w:color="auto"/>
            </w:tcBorders>
            <w:shd w:val="clear" w:color="auto" w:fill="auto"/>
            <w:noWrap/>
          </w:tcPr>
          <w:p w:rsidR="00CB68A7" w:rsidRPr="008E3950" w:rsidRDefault="00CB68A7" w:rsidP="00267262">
            <w:pPr>
              <w:pStyle w:val="TableText"/>
              <w:jc w:val="center"/>
              <w:rPr>
                <w:rFonts w:cs="Arial"/>
              </w:rPr>
            </w:pPr>
            <w:r w:rsidRPr="008E3950">
              <w:rPr>
                <w:rFonts w:cs="Arial"/>
              </w:rPr>
              <w:t>0.220</w:t>
            </w:r>
          </w:p>
        </w:tc>
        <w:tc>
          <w:tcPr>
            <w:tcW w:w="1311" w:type="dxa"/>
            <w:tcBorders>
              <w:top w:val="single" w:sz="4" w:space="0" w:color="A6A6A6" w:themeColor="background1" w:themeShade="A6"/>
              <w:bottom w:val="single" w:sz="4" w:space="0" w:color="auto"/>
            </w:tcBorders>
            <w:shd w:val="clear" w:color="auto" w:fill="auto"/>
            <w:noWrap/>
          </w:tcPr>
          <w:p w:rsidR="00CB68A7" w:rsidRPr="008E3950" w:rsidRDefault="00CB68A7" w:rsidP="00267262">
            <w:pPr>
              <w:pStyle w:val="TableText"/>
              <w:jc w:val="center"/>
              <w:rPr>
                <w:rFonts w:cs="Arial"/>
              </w:rPr>
            </w:pPr>
            <w:r w:rsidRPr="008E3950">
              <w:rPr>
                <w:rFonts w:cs="Arial"/>
              </w:rPr>
              <w:t>0.220</w:t>
            </w:r>
          </w:p>
        </w:tc>
        <w:tc>
          <w:tcPr>
            <w:tcW w:w="1312" w:type="dxa"/>
            <w:tcBorders>
              <w:top w:val="single" w:sz="4" w:space="0" w:color="A6A6A6" w:themeColor="background1" w:themeShade="A6"/>
              <w:bottom w:val="single" w:sz="4" w:space="0" w:color="auto"/>
            </w:tcBorders>
            <w:shd w:val="clear" w:color="auto" w:fill="auto"/>
            <w:noWrap/>
          </w:tcPr>
          <w:p w:rsidR="00CB68A7" w:rsidRPr="008E3950" w:rsidRDefault="00CB68A7" w:rsidP="00267262">
            <w:pPr>
              <w:pStyle w:val="TableText"/>
              <w:jc w:val="center"/>
              <w:rPr>
                <w:rFonts w:cs="Arial"/>
              </w:rPr>
            </w:pPr>
            <w:r w:rsidRPr="008E3950">
              <w:rPr>
                <w:rFonts w:cs="Arial"/>
              </w:rPr>
              <w:t>0.660</w:t>
            </w:r>
          </w:p>
        </w:tc>
      </w:tr>
      <w:tr w:rsidR="00CB68A7" w:rsidRPr="00267262" w:rsidTr="00267262">
        <w:trPr>
          <w:cantSplit/>
        </w:trPr>
        <w:tc>
          <w:tcPr>
            <w:tcW w:w="4111" w:type="dxa"/>
            <w:tcBorders>
              <w:top w:val="single" w:sz="4" w:space="0" w:color="auto"/>
              <w:bottom w:val="single" w:sz="4" w:space="0" w:color="auto"/>
            </w:tcBorders>
            <w:shd w:val="clear" w:color="auto" w:fill="auto"/>
          </w:tcPr>
          <w:p w:rsidR="00CB68A7" w:rsidRPr="00267262" w:rsidRDefault="00CB68A7" w:rsidP="00267262">
            <w:pPr>
              <w:pStyle w:val="TableText"/>
              <w:rPr>
                <w:b/>
              </w:rPr>
            </w:pPr>
            <w:r w:rsidRPr="00267262">
              <w:rPr>
                <w:b/>
              </w:rPr>
              <w:t>Total ($m)</w:t>
            </w:r>
          </w:p>
        </w:tc>
        <w:tc>
          <w:tcPr>
            <w:tcW w:w="1311" w:type="dxa"/>
            <w:tcBorders>
              <w:top w:val="single" w:sz="4" w:space="0" w:color="auto"/>
              <w:bottom w:val="single" w:sz="4" w:space="0" w:color="auto"/>
            </w:tcBorders>
            <w:shd w:val="clear" w:color="auto" w:fill="auto"/>
          </w:tcPr>
          <w:p w:rsidR="00CB68A7" w:rsidRPr="00267262" w:rsidRDefault="00CB68A7" w:rsidP="00267262">
            <w:pPr>
              <w:pStyle w:val="TableText"/>
              <w:jc w:val="center"/>
              <w:rPr>
                <w:rFonts w:cs="Arial"/>
                <w:b/>
                <w:bCs/>
              </w:rPr>
            </w:pPr>
            <w:r w:rsidRPr="00267262">
              <w:rPr>
                <w:rFonts w:cs="Arial"/>
                <w:b/>
                <w:bCs/>
              </w:rPr>
              <w:t>2.209</w:t>
            </w:r>
          </w:p>
        </w:tc>
        <w:tc>
          <w:tcPr>
            <w:tcW w:w="1311" w:type="dxa"/>
            <w:tcBorders>
              <w:top w:val="single" w:sz="4" w:space="0" w:color="auto"/>
              <w:bottom w:val="single" w:sz="4" w:space="0" w:color="auto"/>
            </w:tcBorders>
            <w:shd w:val="clear" w:color="auto" w:fill="auto"/>
          </w:tcPr>
          <w:p w:rsidR="00CB68A7" w:rsidRPr="00267262" w:rsidRDefault="00CB68A7" w:rsidP="00267262">
            <w:pPr>
              <w:pStyle w:val="TableText"/>
              <w:jc w:val="center"/>
              <w:rPr>
                <w:rFonts w:cs="Arial"/>
                <w:b/>
                <w:bCs/>
              </w:rPr>
            </w:pPr>
            <w:r w:rsidRPr="00267262">
              <w:rPr>
                <w:rFonts w:cs="Arial"/>
                <w:b/>
                <w:bCs/>
              </w:rPr>
              <w:t>2.210</w:t>
            </w:r>
          </w:p>
        </w:tc>
        <w:tc>
          <w:tcPr>
            <w:tcW w:w="1311" w:type="dxa"/>
            <w:tcBorders>
              <w:top w:val="single" w:sz="4" w:space="0" w:color="auto"/>
              <w:bottom w:val="single" w:sz="4" w:space="0" w:color="auto"/>
            </w:tcBorders>
            <w:shd w:val="clear" w:color="auto" w:fill="auto"/>
          </w:tcPr>
          <w:p w:rsidR="00CB68A7" w:rsidRPr="00267262" w:rsidRDefault="00CB68A7" w:rsidP="00267262">
            <w:pPr>
              <w:pStyle w:val="TableText"/>
              <w:jc w:val="center"/>
              <w:rPr>
                <w:rFonts w:cs="Arial"/>
                <w:b/>
                <w:bCs/>
              </w:rPr>
            </w:pPr>
            <w:r w:rsidRPr="00267262">
              <w:rPr>
                <w:rFonts w:cs="Arial"/>
                <w:b/>
                <w:bCs/>
              </w:rPr>
              <w:t>2.210</w:t>
            </w:r>
          </w:p>
        </w:tc>
        <w:tc>
          <w:tcPr>
            <w:tcW w:w="1312" w:type="dxa"/>
            <w:tcBorders>
              <w:top w:val="single" w:sz="4" w:space="0" w:color="auto"/>
              <w:bottom w:val="single" w:sz="4" w:space="0" w:color="auto"/>
            </w:tcBorders>
            <w:shd w:val="clear" w:color="auto" w:fill="auto"/>
          </w:tcPr>
          <w:p w:rsidR="00CB68A7" w:rsidRPr="00267262" w:rsidRDefault="00CB68A7" w:rsidP="00267262">
            <w:pPr>
              <w:pStyle w:val="TableText"/>
              <w:jc w:val="center"/>
              <w:rPr>
                <w:rFonts w:cs="Arial"/>
                <w:b/>
              </w:rPr>
            </w:pPr>
            <w:r w:rsidRPr="00267262">
              <w:rPr>
                <w:rFonts w:cs="Arial"/>
                <w:b/>
              </w:rPr>
              <w:t>6.629</w:t>
            </w:r>
          </w:p>
        </w:tc>
      </w:tr>
    </w:tbl>
    <w:p w:rsidR="00CB68A7" w:rsidRPr="00E312E8" w:rsidRDefault="00CB68A7" w:rsidP="00267262"/>
    <w:p w:rsidR="00CB68A7" w:rsidRPr="00E312E8" w:rsidRDefault="00CB68A7" w:rsidP="00267262">
      <w:pPr>
        <w:pStyle w:val="Heading3"/>
      </w:pPr>
      <w:r w:rsidRPr="00E312E8">
        <w:t>The research and evaluation work programme</w:t>
      </w:r>
    </w:p>
    <w:p w:rsidR="00CB68A7" w:rsidRPr="00C10A99" w:rsidRDefault="00CB68A7" w:rsidP="00267262">
      <w:r w:rsidRPr="00C10A99">
        <w:t>The Ministry work programme to inform the research and evaluation priorities noted above will be based around the following key themes</w:t>
      </w:r>
      <w:r w:rsidR="00267262">
        <w:t>:</w:t>
      </w:r>
    </w:p>
    <w:p w:rsidR="00CB68A7" w:rsidRPr="00C10A99" w:rsidRDefault="00267262" w:rsidP="00267262">
      <w:pPr>
        <w:pStyle w:val="Bullet"/>
      </w:pPr>
      <w:r>
        <w:t>t</w:t>
      </w:r>
      <w:r w:rsidR="00CB68A7" w:rsidRPr="00C10A99">
        <w:t>he prevalence and incidence of problem gambling and gambling-related harms and risk factors</w:t>
      </w:r>
    </w:p>
    <w:p w:rsidR="00CB68A7" w:rsidRPr="00C10A99" w:rsidRDefault="00267262" w:rsidP="00267262">
      <w:pPr>
        <w:pStyle w:val="Bullet"/>
      </w:pPr>
      <w:r>
        <w:t>i</w:t>
      </w:r>
      <w:r w:rsidR="00CB68A7" w:rsidRPr="00C10A99">
        <w:t xml:space="preserve">nequality and inequity: what drives the differences among and between population groups and how </w:t>
      </w:r>
      <w:r w:rsidR="00CB68A7">
        <w:t>these differences are</w:t>
      </w:r>
      <w:r w:rsidR="00CB68A7" w:rsidRPr="00C10A99">
        <w:t xml:space="preserve"> changing</w:t>
      </w:r>
    </w:p>
    <w:p w:rsidR="00CB68A7" w:rsidRDefault="00267262" w:rsidP="00267262">
      <w:pPr>
        <w:pStyle w:val="Bullet"/>
      </w:pPr>
      <w:r>
        <w:t>e</w:t>
      </w:r>
      <w:r w:rsidR="00CB68A7" w:rsidRPr="00C10A99">
        <w:t>valuation to identify what works and why; what works best; and based on learnings from past activities</w:t>
      </w:r>
      <w:r w:rsidR="00CB68A7">
        <w:t>,</w:t>
      </w:r>
      <w:r w:rsidR="00CB68A7" w:rsidRPr="00C10A99">
        <w:t xml:space="preserve"> how to improve and innovate services, research and intervention</w:t>
      </w:r>
    </w:p>
    <w:p w:rsidR="00CB68A7" w:rsidRPr="00C10A99" w:rsidRDefault="00267262" w:rsidP="00267262">
      <w:pPr>
        <w:pStyle w:val="Bullet"/>
      </w:pPr>
      <w:r>
        <w:t>r</w:t>
      </w:r>
      <w:r w:rsidR="00CB68A7">
        <w:t>esearch into relapse prevention (</w:t>
      </w:r>
      <w:r>
        <w:t>t</w:t>
      </w:r>
      <w:r w:rsidR="00CB68A7">
        <w:t>his research is intended to cover gambling addiction specifically in the first instance, however, further work could be commissioned to inform treatment of other addictions)</w:t>
      </w:r>
    </w:p>
    <w:p w:rsidR="00CB68A7" w:rsidRDefault="00267262" w:rsidP="00267262">
      <w:pPr>
        <w:pStyle w:val="Bullet"/>
      </w:pPr>
      <w:proofErr w:type="gramStart"/>
      <w:r>
        <w:t>e</w:t>
      </w:r>
      <w:r w:rsidR="00CB68A7" w:rsidRPr="00C10A99">
        <w:t>merging</w:t>
      </w:r>
      <w:proofErr w:type="gramEnd"/>
      <w:r w:rsidR="00CB68A7" w:rsidRPr="00C10A99">
        <w:t xml:space="preserve"> issues such as the convergence of gambling and gaming, and the use of </w:t>
      </w:r>
      <w:r w:rsidR="00CB68A7">
        <w:t xml:space="preserve">the </w:t>
      </w:r>
      <w:r w:rsidR="00CB68A7" w:rsidRPr="00C10A99">
        <w:t>internet or other digital distribution platforms to provide access to gambling opportunities</w:t>
      </w:r>
      <w:r w:rsidR="00CB68A7">
        <w:t>.</w:t>
      </w:r>
    </w:p>
    <w:p w:rsidR="009670FE" w:rsidRDefault="001C71D3" w:rsidP="00907B85">
      <w:pPr>
        <w:pStyle w:val="Bullet"/>
      </w:pPr>
      <w:r>
        <w:t>I</w:t>
      </w:r>
      <w:r w:rsidRPr="005F09D9">
        <w:t xml:space="preserve">nvestigate the effects of the range of </w:t>
      </w:r>
      <w:r>
        <w:t>t</w:t>
      </w:r>
      <w:r w:rsidRPr="005F09D9">
        <w:t xml:space="preserve">erritorial </w:t>
      </w:r>
      <w:r>
        <w:t>a</w:t>
      </w:r>
      <w:r w:rsidRPr="005F09D9">
        <w:t>uthority policies</w:t>
      </w:r>
      <w:r w:rsidR="005142BD">
        <w:t xml:space="preserve"> and venue licence conditions</w:t>
      </w:r>
      <w:r w:rsidRPr="005F09D9">
        <w:t xml:space="preserve"> on gambling harm minimisation</w:t>
      </w:r>
      <w:r w:rsidR="005142BD">
        <w:t>, with particular reference to high social deprivation localities.</w:t>
      </w:r>
    </w:p>
    <w:p w:rsidR="00CB68A7" w:rsidRPr="00C10A99" w:rsidRDefault="00CB68A7" w:rsidP="00267262"/>
    <w:p w:rsidR="00EC3578" w:rsidRDefault="00CB68A7" w:rsidP="00267262">
      <w:pPr>
        <w:pStyle w:val="Box"/>
      </w:pPr>
      <w:r w:rsidRPr="00C10A99">
        <w:t xml:space="preserve">Appendix </w:t>
      </w:r>
      <w:r>
        <w:t>1</w:t>
      </w:r>
      <w:r w:rsidRPr="00C10A99">
        <w:t xml:space="preserve"> </w:t>
      </w:r>
      <w:r>
        <w:t>includes</w:t>
      </w:r>
      <w:r w:rsidRPr="00C10A99">
        <w:t xml:space="preserve"> a full list of potential research and evaluation activities </w:t>
      </w:r>
      <w:r>
        <w:t>the Ministry</w:t>
      </w:r>
      <w:r w:rsidRPr="00C10A99">
        <w:t xml:space="preserve"> may undertake </w:t>
      </w:r>
      <w:r>
        <w:t>over the 2019/20 and 2021/22 years</w:t>
      </w:r>
      <w:r w:rsidRPr="00C10A99">
        <w:t>.</w:t>
      </w:r>
    </w:p>
    <w:p w:rsidR="00CB68A7" w:rsidRPr="00C10A99" w:rsidRDefault="00CB68A7" w:rsidP="00267262">
      <w:pPr>
        <w:pStyle w:val="Box"/>
      </w:pPr>
      <w:r w:rsidRPr="00C10A99">
        <w:t xml:space="preserve">Please indicate in your submission which </w:t>
      </w:r>
      <w:r>
        <w:t>activities</w:t>
      </w:r>
      <w:r w:rsidRPr="00C10A99">
        <w:t xml:space="preserve"> you consider should be a high priority and which should be a low priority for our limited research and evaluation budget and please explain why.</w:t>
      </w:r>
    </w:p>
    <w:p w:rsidR="00CB68A7" w:rsidRPr="00C10A99" w:rsidRDefault="00CB68A7" w:rsidP="00267262"/>
    <w:p w:rsidR="00CB68A7" w:rsidRPr="00E0156C" w:rsidRDefault="00CB68A7" w:rsidP="00267262">
      <w:pPr>
        <w:pStyle w:val="Heading2"/>
      </w:pPr>
      <w:bookmarkStart w:id="173" w:name="_Toc517090908"/>
      <w:bookmarkStart w:id="174" w:name="_Toc522089410"/>
      <w:r w:rsidRPr="00C10A99">
        <w:lastRenderedPageBreak/>
        <w:t xml:space="preserve">Ministry of Health operating </w:t>
      </w:r>
      <w:bookmarkEnd w:id="167"/>
      <w:bookmarkEnd w:id="168"/>
      <w:bookmarkEnd w:id="169"/>
      <w:r w:rsidRPr="00E0156C">
        <w:t>costs</w:t>
      </w:r>
      <w:bookmarkEnd w:id="173"/>
      <w:bookmarkEnd w:id="174"/>
    </w:p>
    <w:p w:rsidR="00CB68A7" w:rsidRPr="00E312E8" w:rsidRDefault="00CB68A7" w:rsidP="00267262">
      <w:pPr>
        <w:keepNext/>
      </w:pPr>
      <w:r w:rsidRPr="00E312E8">
        <w:t>Ministry operating costs (departmental expenditure) comprise contract management, policy and service development work, management of the research and evaluation programme, and management of the Client Information Collection (CLIC) database.</w:t>
      </w:r>
    </w:p>
    <w:p w:rsidR="00267262" w:rsidRDefault="00267262" w:rsidP="00267262">
      <w:pPr>
        <w:keepNext/>
      </w:pPr>
    </w:p>
    <w:p w:rsidR="00CB68A7" w:rsidRPr="00E312E8" w:rsidRDefault="00CB68A7" w:rsidP="00267262">
      <w:r w:rsidRPr="00E312E8">
        <w:t>The budget for these components has remained at around $980,000 a year for many years now. The 2011 KPMG Value for Money Review concluded that the Ministry</w:t>
      </w:r>
      <w:r w:rsidR="00EC3578">
        <w:t>’</w:t>
      </w:r>
      <w:r w:rsidRPr="00E312E8">
        <w:t>s operating costs were reasonable.</w:t>
      </w:r>
    </w:p>
    <w:p w:rsidR="00267262" w:rsidRDefault="00267262" w:rsidP="00267262"/>
    <w:p w:rsidR="00CB68A7" w:rsidRDefault="00CB68A7" w:rsidP="00267262">
      <w:r w:rsidRPr="00C10A99">
        <w:t>In the past, the Ministry devised the budget for its operating costs on the assumption that more funding would be required in the final year of each three-year period, when the strategy for the next three-year period was being developed. In fact, much of this work occurs in the second half of the second year of each three-year period. For 2019/20 to 2021/22</w:t>
      </w:r>
      <w:r>
        <w:t>,</w:t>
      </w:r>
      <w:r w:rsidRPr="00C10A99">
        <w:t xml:space="preserve"> the Ministry has phased the budget accordingly.</w:t>
      </w:r>
    </w:p>
    <w:p w:rsidR="00CB68A7" w:rsidRPr="00C10A99" w:rsidRDefault="00CB68A7" w:rsidP="00267262"/>
    <w:p w:rsidR="00CB68A7" w:rsidRPr="00FF734C" w:rsidRDefault="00CB68A7" w:rsidP="00267262">
      <w:pPr>
        <w:pStyle w:val="Table"/>
      </w:pPr>
      <w:bookmarkStart w:id="175" w:name="_Toc517091243"/>
      <w:bookmarkStart w:id="176" w:name="_Toc522089447"/>
      <w:bookmarkStart w:id="177" w:name="_Toc422409756"/>
      <w:r w:rsidRPr="00FF734C">
        <w:t>Table 18: Indicative budget for Ministry operating costs (GST exclusive), 2019/20 to 2021/22</w:t>
      </w:r>
      <w:bookmarkEnd w:id="175"/>
      <w:bookmarkEnd w:id="176"/>
    </w:p>
    <w:bookmarkEnd w:id="177"/>
    <w:tbl>
      <w:tblPr>
        <w:tblW w:w="9356" w:type="dxa"/>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835"/>
        <w:gridCol w:w="1630"/>
        <w:gridCol w:w="1630"/>
        <w:gridCol w:w="1630"/>
        <w:gridCol w:w="1631"/>
      </w:tblGrid>
      <w:tr w:rsidR="00CB68A7" w:rsidRPr="00267262" w:rsidTr="00267262">
        <w:trPr>
          <w:cantSplit/>
        </w:trPr>
        <w:tc>
          <w:tcPr>
            <w:tcW w:w="2835" w:type="dxa"/>
            <w:tcBorders>
              <w:top w:val="single" w:sz="4" w:space="0" w:color="auto"/>
              <w:bottom w:val="single" w:sz="4" w:space="0" w:color="auto"/>
            </w:tcBorders>
            <w:shd w:val="clear" w:color="auto" w:fill="auto"/>
          </w:tcPr>
          <w:p w:rsidR="00CB68A7" w:rsidRPr="00267262" w:rsidRDefault="00CB68A7" w:rsidP="00267262">
            <w:pPr>
              <w:pStyle w:val="TableText"/>
              <w:rPr>
                <w:b/>
              </w:rPr>
            </w:pPr>
          </w:p>
        </w:tc>
        <w:tc>
          <w:tcPr>
            <w:tcW w:w="1630" w:type="dxa"/>
            <w:tcBorders>
              <w:top w:val="single" w:sz="4" w:space="0" w:color="auto"/>
              <w:bottom w:val="single" w:sz="4" w:space="0" w:color="auto"/>
            </w:tcBorders>
            <w:shd w:val="clear" w:color="auto" w:fill="auto"/>
          </w:tcPr>
          <w:p w:rsidR="00CB68A7" w:rsidRPr="00267262" w:rsidRDefault="00CB68A7" w:rsidP="00267262">
            <w:pPr>
              <w:pStyle w:val="TableText"/>
              <w:jc w:val="center"/>
              <w:rPr>
                <w:b/>
                <w:lang w:eastAsia="en-US"/>
              </w:rPr>
            </w:pPr>
            <w:r w:rsidRPr="00267262">
              <w:rPr>
                <w:b/>
                <w:lang w:eastAsia="en-US"/>
              </w:rPr>
              <w:t>2019/20</w:t>
            </w:r>
            <w:r w:rsidR="00267262">
              <w:rPr>
                <w:b/>
                <w:lang w:eastAsia="en-US"/>
              </w:rPr>
              <w:br/>
            </w:r>
            <w:r w:rsidRPr="00267262">
              <w:rPr>
                <w:b/>
                <w:lang w:eastAsia="en-US"/>
              </w:rPr>
              <w:t>($m)</w:t>
            </w:r>
          </w:p>
        </w:tc>
        <w:tc>
          <w:tcPr>
            <w:tcW w:w="1630" w:type="dxa"/>
            <w:tcBorders>
              <w:top w:val="single" w:sz="4" w:space="0" w:color="auto"/>
              <w:bottom w:val="single" w:sz="4" w:space="0" w:color="auto"/>
            </w:tcBorders>
            <w:shd w:val="clear" w:color="auto" w:fill="auto"/>
          </w:tcPr>
          <w:p w:rsidR="00CB68A7" w:rsidRPr="00267262" w:rsidRDefault="00CB68A7" w:rsidP="00267262">
            <w:pPr>
              <w:pStyle w:val="TableText"/>
              <w:jc w:val="center"/>
              <w:rPr>
                <w:b/>
                <w:lang w:eastAsia="en-US"/>
              </w:rPr>
            </w:pPr>
            <w:r w:rsidRPr="00267262">
              <w:rPr>
                <w:b/>
                <w:lang w:eastAsia="en-US"/>
              </w:rPr>
              <w:t>2020/21</w:t>
            </w:r>
            <w:r w:rsidR="00267262">
              <w:rPr>
                <w:b/>
                <w:lang w:eastAsia="en-US"/>
              </w:rPr>
              <w:br/>
            </w:r>
            <w:r w:rsidRPr="00267262">
              <w:rPr>
                <w:b/>
                <w:lang w:eastAsia="en-US"/>
              </w:rPr>
              <w:t>($m)</w:t>
            </w:r>
          </w:p>
        </w:tc>
        <w:tc>
          <w:tcPr>
            <w:tcW w:w="1630" w:type="dxa"/>
            <w:tcBorders>
              <w:top w:val="single" w:sz="4" w:space="0" w:color="auto"/>
              <w:bottom w:val="single" w:sz="4" w:space="0" w:color="auto"/>
            </w:tcBorders>
            <w:shd w:val="clear" w:color="auto" w:fill="auto"/>
          </w:tcPr>
          <w:p w:rsidR="00CB68A7" w:rsidRPr="00267262" w:rsidRDefault="00CB68A7" w:rsidP="00267262">
            <w:pPr>
              <w:pStyle w:val="TableText"/>
              <w:jc w:val="center"/>
              <w:rPr>
                <w:b/>
                <w:lang w:eastAsia="en-US"/>
              </w:rPr>
            </w:pPr>
            <w:r w:rsidRPr="00267262">
              <w:rPr>
                <w:b/>
                <w:lang w:eastAsia="en-US"/>
              </w:rPr>
              <w:t>2021/22</w:t>
            </w:r>
            <w:r w:rsidR="00267262">
              <w:rPr>
                <w:b/>
                <w:lang w:eastAsia="en-US"/>
              </w:rPr>
              <w:br/>
            </w:r>
            <w:r w:rsidRPr="00267262">
              <w:rPr>
                <w:b/>
                <w:lang w:eastAsia="en-US"/>
              </w:rPr>
              <w:t>($m)</w:t>
            </w:r>
          </w:p>
        </w:tc>
        <w:tc>
          <w:tcPr>
            <w:tcW w:w="1631" w:type="dxa"/>
            <w:tcBorders>
              <w:top w:val="single" w:sz="4" w:space="0" w:color="auto"/>
              <w:bottom w:val="single" w:sz="4" w:space="0" w:color="auto"/>
            </w:tcBorders>
            <w:shd w:val="clear" w:color="auto" w:fill="auto"/>
          </w:tcPr>
          <w:p w:rsidR="00CB68A7" w:rsidRPr="00267262" w:rsidRDefault="00CB68A7" w:rsidP="00267262">
            <w:pPr>
              <w:pStyle w:val="TableText"/>
              <w:jc w:val="center"/>
              <w:rPr>
                <w:b/>
              </w:rPr>
            </w:pPr>
            <w:r w:rsidRPr="00267262">
              <w:rPr>
                <w:b/>
              </w:rPr>
              <w:t>Total</w:t>
            </w:r>
            <w:r w:rsidR="00267262">
              <w:rPr>
                <w:b/>
              </w:rPr>
              <w:br/>
            </w:r>
            <w:r w:rsidRPr="00267262">
              <w:rPr>
                <w:b/>
              </w:rPr>
              <w:t>($m)</w:t>
            </w:r>
          </w:p>
        </w:tc>
      </w:tr>
      <w:tr w:rsidR="00CB68A7" w:rsidRPr="008E3950" w:rsidTr="00267262">
        <w:trPr>
          <w:cantSplit/>
        </w:trPr>
        <w:tc>
          <w:tcPr>
            <w:tcW w:w="2835" w:type="dxa"/>
            <w:tcBorders>
              <w:top w:val="single" w:sz="4" w:space="0" w:color="auto"/>
            </w:tcBorders>
            <w:shd w:val="clear" w:color="auto" w:fill="auto"/>
          </w:tcPr>
          <w:p w:rsidR="00CB68A7" w:rsidRPr="00EF5446" w:rsidRDefault="00CB68A7" w:rsidP="00267262">
            <w:pPr>
              <w:pStyle w:val="TableText"/>
            </w:pPr>
            <w:r w:rsidRPr="00EF5446">
              <w:t>Total operating costs ($m)</w:t>
            </w:r>
          </w:p>
        </w:tc>
        <w:tc>
          <w:tcPr>
            <w:tcW w:w="1630" w:type="dxa"/>
            <w:tcBorders>
              <w:top w:val="single" w:sz="4" w:space="0" w:color="auto"/>
            </w:tcBorders>
            <w:shd w:val="clear" w:color="auto" w:fill="auto"/>
          </w:tcPr>
          <w:p w:rsidR="00CB68A7" w:rsidRPr="00EF5446" w:rsidRDefault="00CB68A7" w:rsidP="00091C98">
            <w:pPr>
              <w:pStyle w:val="TableText"/>
              <w:jc w:val="center"/>
              <w:rPr>
                <w:rFonts w:eastAsia="Arial Unicode MS"/>
              </w:rPr>
            </w:pPr>
            <w:r w:rsidRPr="00EF5446">
              <w:rPr>
                <w:rFonts w:eastAsia="Arial Unicode MS"/>
              </w:rPr>
              <w:t>0.9</w:t>
            </w:r>
            <w:r w:rsidR="00091C98">
              <w:rPr>
                <w:rFonts w:eastAsia="Arial Unicode MS"/>
              </w:rPr>
              <w:t>5</w:t>
            </w:r>
            <w:r w:rsidRPr="00EF5446">
              <w:rPr>
                <w:rFonts w:eastAsia="Arial Unicode MS"/>
              </w:rPr>
              <w:t>7</w:t>
            </w:r>
          </w:p>
        </w:tc>
        <w:tc>
          <w:tcPr>
            <w:tcW w:w="1630" w:type="dxa"/>
            <w:tcBorders>
              <w:top w:val="single" w:sz="4" w:space="0" w:color="auto"/>
            </w:tcBorders>
            <w:shd w:val="clear" w:color="auto" w:fill="auto"/>
          </w:tcPr>
          <w:p w:rsidR="00CB68A7" w:rsidRPr="00EF5446" w:rsidRDefault="00CB68A7" w:rsidP="00091C98">
            <w:pPr>
              <w:pStyle w:val="TableText"/>
              <w:jc w:val="center"/>
              <w:rPr>
                <w:rFonts w:eastAsia="Arial Unicode MS"/>
              </w:rPr>
            </w:pPr>
            <w:r w:rsidRPr="00EF5446">
              <w:rPr>
                <w:rFonts w:eastAsia="Arial Unicode MS"/>
              </w:rPr>
              <w:t>0.9</w:t>
            </w:r>
            <w:r w:rsidR="00091C98">
              <w:rPr>
                <w:rFonts w:eastAsia="Arial Unicode MS"/>
              </w:rPr>
              <w:t>9</w:t>
            </w:r>
            <w:r w:rsidRPr="00EF5446">
              <w:rPr>
                <w:rFonts w:eastAsia="Arial Unicode MS"/>
              </w:rPr>
              <w:t>0</w:t>
            </w:r>
          </w:p>
        </w:tc>
        <w:tc>
          <w:tcPr>
            <w:tcW w:w="1630" w:type="dxa"/>
            <w:tcBorders>
              <w:top w:val="single" w:sz="4" w:space="0" w:color="auto"/>
            </w:tcBorders>
            <w:shd w:val="clear" w:color="auto" w:fill="auto"/>
          </w:tcPr>
          <w:p w:rsidR="00CB68A7" w:rsidRPr="00EF5446" w:rsidRDefault="00CB68A7" w:rsidP="00267262">
            <w:pPr>
              <w:pStyle w:val="TableText"/>
              <w:jc w:val="center"/>
              <w:rPr>
                <w:rFonts w:eastAsia="Arial Unicode MS"/>
              </w:rPr>
            </w:pPr>
            <w:r w:rsidRPr="00EF5446">
              <w:rPr>
                <w:rFonts w:eastAsia="Arial Unicode MS"/>
              </w:rPr>
              <w:t>0.990</w:t>
            </w:r>
          </w:p>
        </w:tc>
        <w:tc>
          <w:tcPr>
            <w:tcW w:w="1631" w:type="dxa"/>
            <w:tcBorders>
              <w:top w:val="single" w:sz="4" w:space="0" w:color="auto"/>
            </w:tcBorders>
            <w:shd w:val="clear" w:color="auto" w:fill="auto"/>
          </w:tcPr>
          <w:p w:rsidR="00CB68A7" w:rsidRPr="00EF5446" w:rsidRDefault="00CB68A7" w:rsidP="00267262">
            <w:pPr>
              <w:pStyle w:val="TableText"/>
              <w:jc w:val="center"/>
              <w:rPr>
                <w:rFonts w:eastAsia="Arial Unicode MS"/>
              </w:rPr>
            </w:pPr>
            <w:r w:rsidRPr="00EF5446">
              <w:rPr>
                <w:rFonts w:eastAsia="Arial Unicode MS"/>
              </w:rPr>
              <w:t>2.937</w:t>
            </w:r>
          </w:p>
        </w:tc>
      </w:tr>
    </w:tbl>
    <w:p w:rsidR="00CB41EF" w:rsidRDefault="00CB41EF" w:rsidP="00267262">
      <w:pPr>
        <w:rPr>
          <w:rFonts w:eastAsiaTheme="majorEastAsia"/>
        </w:rPr>
      </w:pPr>
    </w:p>
    <w:p w:rsidR="00EC3578" w:rsidRDefault="00CB68A7" w:rsidP="00267262">
      <w:pPr>
        <w:pStyle w:val="BoxHeading"/>
      </w:pPr>
      <w:r w:rsidRPr="00E312E8">
        <w:t xml:space="preserve">Consultation </w:t>
      </w:r>
      <w:r>
        <w:t>q</w:t>
      </w:r>
      <w:r w:rsidRPr="00E312E8">
        <w:t xml:space="preserve">uestions – </w:t>
      </w:r>
      <w:r>
        <w:t xml:space="preserve">Section 3: </w:t>
      </w:r>
      <w:r w:rsidRPr="00E312E8">
        <w:t xml:space="preserve">Service </w:t>
      </w:r>
      <w:r>
        <w:t>p</w:t>
      </w:r>
      <w:r w:rsidRPr="00E312E8">
        <w:t xml:space="preserve">lan and </w:t>
      </w:r>
      <w:r>
        <w:t>f</w:t>
      </w:r>
      <w:r w:rsidRPr="00E312E8">
        <w:t>unding</w:t>
      </w:r>
    </w:p>
    <w:p w:rsidR="00EC3578" w:rsidRDefault="00CB68A7" w:rsidP="00267262">
      <w:pPr>
        <w:pStyle w:val="Box"/>
      </w:pPr>
      <w:r w:rsidRPr="00EA4404">
        <w:t>The Gambling Act 2003 requires the service plan, and by implication the indicative budget appropriations, to have a focus on public health. The legislation is not under consideration in this consultation.</w:t>
      </w:r>
    </w:p>
    <w:p w:rsidR="00EC3578" w:rsidRDefault="00CB68A7" w:rsidP="00267262">
      <w:pPr>
        <w:pStyle w:val="Box"/>
      </w:pPr>
      <w:r w:rsidRPr="00682DBE">
        <w:t xml:space="preserve">In terms of the content of the </w:t>
      </w:r>
      <w:r>
        <w:t>s</w:t>
      </w:r>
      <w:r w:rsidRPr="00682DBE">
        <w:t xml:space="preserve">ervice </w:t>
      </w:r>
      <w:r>
        <w:t>p</w:t>
      </w:r>
      <w:r w:rsidRPr="00682DBE">
        <w:t>lan and indicative budgets (</w:t>
      </w:r>
      <w:r w:rsidR="00FC7C3E">
        <w:t>s</w:t>
      </w:r>
      <w:r w:rsidRPr="00682DBE">
        <w:t>ection 3)</w:t>
      </w:r>
      <w:r>
        <w:t>:</w:t>
      </w:r>
    </w:p>
    <w:p w:rsidR="00EC3578" w:rsidRDefault="0087646C" w:rsidP="00267262">
      <w:pPr>
        <w:pStyle w:val="Box"/>
        <w:ind w:left="851" w:hanging="567"/>
      </w:pPr>
      <w:r>
        <w:t>6</w:t>
      </w:r>
      <w:r w:rsidR="00267262">
        <w:t>.</w:t>
      </w:r>
      <w:r w:rsidR="00267262">
        <w:tab/>
      </w:r>
      <w:r w:rsidR="00CB68A7" w:rsidRPr="00682DBE">
        <w:t xml:space="preserve">Does the draft </w:t>
      </w:r>
      <w:r w:rsidR="00CB68A7">
        <w:t>s</w:t>
      </w:r>
      <w:r w:rsidR="00CB68A7" w:rsidRPr="00682DBE">
        <w:t xml:space="preserve">ervice </w:t>
      </w:r>
      <w:r w:rsidR="00CB68A7">
        <w:t>p</w:t>
      </w:r>
      <w:r w:rsidR="00CB68A7" w:rsidRPr="00682DBE">
        <w:t>lan adequately cover what it needs to cover, for example</w:t>
      </w:r>
      <w:r w:rsidR="00CB68A7">
        <w:t>,</w:t>
      </w:r>
      <w:r w:rsidR="00CB68A7" w:rsidRPr="00682DBE">
        <w:t xml:space="preserve"> does it include the right types of services and activities? If not, what is</w:t>
      </w:r>
      <w:r w:rsidR="00267262">
        <w:t xml:space="preserve"> not adequately covered and why?</w:t>
      </w:r>
    </w:p>
    <w:p w:rsidR="00EC3578" w:rsidRDefault="0087646C" w:rsidP="00267262">
      <w:pPr>
        <w:pStyle w:val="Box"/>
        <w:ind w:left="851" w:hanging="567"/>
      </w:pPr>
      <w:r>
        <w:t>7</w:t>
      </w:r>
      <w:r w:rsidR="00267262">
        <w:t>.</w:t>
      </w:r>
      <w:r w:rsidR="00267262">
        <w:tab/>
      </w:r>
      <w:r w:rsidR="00CB68A7" w:rsidRPr="00682DBE">
        <w:t xml:space="preserve">Does the draft </w:t>
      </w:r>
      <w:r w:rsidR="00CB68A7">
        <w:t>s</w:t>
      </w:r>
      <w:r w:rsidR="00CB68A7" w:rsidRPr="00682DBE">
        <w:t xml:space="preserve">ervice </w:t>
      </w:r>
      <w:r w:rsidR="00CB68A7">
        <w:t>p</w:t>
      </w:r>
      <w:r w:rsidR="00CB68A7" w:rsidRPr="00682DBE">
        <w:t>lan provide the right mix of activities (public health, intervention and research/evaluation)</w:t>
      </w:r>
      <w:r w:rsidR="00CB68A7">
        <w:t>,</w:t>
      </w:r>
      <w:r w:rsidR="00CB68A7" w:rsidRPr="00682DBE">
        <w:t xml:space="preserve"> including line item</w:t>
      </w:r>
      <w:r>
        <w:t xml:space="preserve"> activities in </w:t>
      </w:r>
      <w:r w:rsidR="00FC7C3E">
        <w:t>T</w:t>
      </w:r>
      <w:r>
        <w:t>ables 14 to 17</w:t>
      </w:r>
      <w:r w:rsidR="00CB68A7" w:rsidRPr="00682DBE">
        <w:t xml:space="preserve">? </w:t>
      </w:r>
      <w:r>
        <w:t xml:space="preserve">This may include considering whether the Ministry should stop an activity or add a new one. </w:t>
      </w:r>
      <w:r w:rsidR="00CB68A7" w:rsidRPr="00682DBE">
        <w:t>If not, what</w:t>
      </w:r>
      <w:r w:rsidR="00267262">
        <w:t xml:space="preserve"> changes should be made and why?</w:t>
      </w:r>
    </w:p>
    <w:p w:rsidR="00EC3578" w:rsidRPr="00267262" w:rsidRDefault="0087646C" w:rsidP="00267262">
      <w:pPr>
        <w:pStyle w:val="Box"/>
        <w:ind w:left="851" w:hanging="567"/>
        <w:rPr>
          <w:spacing w:val="-2"/>
        </w:rPr>
      </w:pPr>
      <w:r>
        <w:t>8</w:t>
      </w:r>
      <w:r w:rsidR="00267262">
        <w:tab/>
      </w:r>
      <w:r w:rsidR="00CB68A7" w:rsidRPr="00267262">
        <w:rPr>
          <w:spacing w:val="-2"/>
        </w:rPr>
        <w:t xml:space="preserve">Which research and evaluation areas/items listed in the proposed strategy </w:t>
      </w:r>
      <w:r>
        <w:rPr>
          <w:spacing w:val="-2"/>
        </w:rPr>
        <w:t xml:space="preserve">in </w:t>
      </w:r>
      <w:r w:rsidR="00FC7C3E">
        <w:rPr>
          <w:spacing w:val="-2"/>
        </w:rPr>
        <w:t>s</w:t>
      </w:r>
      <w:r>
        <w:rPr>
          <w:spacing w:val="-2"/>
        </w:rPr>
        <w:t>ection</w:t>
      </w:r>
      <w:r w:rsidR="00FC7C3E">
        <w:rPr>
          <w:spacing w:val="-2"/>
        </w:rPr>
        <w:t> </w:t>
      </w:r>
      <w:r>
        <w:rPr>
          <w:spacing w:val="-2"/>
        </w:rPr>
        <w:t>3.7</w:t>
      </w:r>
      <w:r w:rsidR="00316294">
        <w:rPr>
          <w:spacing w:val="-2"/>
        </w:rPr>
        <w:t xml:space="preserve"> </w:t>
      </w:r>
      <w:r w:rsidR="00CB68A7" w:rsidRPr="00267262">
        <w:rPr>
          <w:spacing w:val="-2"/>
        </w:rPr>
        <w:t>and Appendix</w:t>
      </w:r>
      <w:r w:rsidR="00267262">
        <w:rPr>
          <w:spacing w:val="-2"/>
        </w:rPr>
        <w:t> </w:t>
      </w:r>
      <w:r w:rsidR="00CB68A7" w:rsidRPr="00267262">
        <w:rPr>
          <w:spacing w:val="-2"/>
        </w:rPr>
        <w:t>1 do you consider to be a high priority or a low priority? Please explain why.</w:t>
      </w:r>
    </w:p>
    <w:p w:rsidR="00EC3578" w:rsidRDefault="0087646C" w:rsidP="00267262">
      <w:pPr>
        <w:pStyle w:val="Box"/>
        <w:ind w:left="851" w:hanging="567"/>
      </w:pPr>
      <w:r>
        <w:t>9</w:t>
      </w:r>
      <w:r w:rsidR="00267262">
        <w:t>.</w:t>
      </w:r>
      <w:r w:rsidR="00267262">
        <w:tab/>
      </w:r>
      <w:r w:rsidR="00CB68A7" w:rsidRPr="00682DBE">
        <w:t>Do you think the total indicative funding appropriation ($5</w:t>
      </w:r>
      <w:r w:rsidR="001C71D3">
        <w:t>5</w:t>
      </w:r>
      <w:r w:rsidR="00CB68A7" w:rsidRPr="00682DBE">
        <w:t>.339</w:t>
      </w:r>
      <w:r w:rsidR="00CB68A7">
        <w:t xml:space="preserve"> </w:t>
      </w:r>
      <w:r w:rsidR="00CB68A7" w:rsidRPr="00682DBE">
        <w:t>m</w:t>
      </w:r>
      <w:r w:rsidR="00CB68A7">
        <w:t>illion</w:t>
      </w:r>
      <w:r w:rsidR="00CB68A7" w:rsidRPr="00682DBE">
        <w:t xml:space="preserve"> over three years) proposed in the draft </w:t>
      </w:r>
      <w:r w:rsidR="00CB68A7">
        <w:t>s</w:t>
      </w:r>
      <w:r w:rsidR="00CB68A7" w:rsidRPr="00682DBE">
        <w:t xml:space="preserve">ervice </w:t>
      </w:r>
      <w:r w:rsidR="00CB68A7">
        <w:t>p</w:t>
      </w:r>
      <w:r w:rsidR="00CB68A7" w:rsidRPr="00682DBE">
        <w:t xml:space="preserve">lan is appropriate? If not, please explain what </w:t>
      </w:r>
      <w:r w:rsidR="00CB68A7">
        <w:t>amount that funding appropriation</w:t>
      </w:r>
      <w:r w:rsidR="00CB68A7" w:rsidRPr="00682DBE">
        <w:t xml:space="preserve"> should be and why</w:t>
      </w:r>
      <w:r w:rsidR="00267262">
        <w:t>.</w:t>
      </w:r>
    </w:p>
    <w:p w:rsidR="00CB68A7" w:rsidRDefault="00425670" w:rsidP="00267262">
      <w:pPr>
        <w:pStyle w:val="Box"/>
        <w:ind w:left="851" w:hanging="567"/>
      </w:pPr>
      <w:r>
        <w:t>10</w:t>
      </w:r>
      <w:r w:rsidR="00267262">
        <w:t>.</w:t>
      </w:r>
      <w:r w:rsidR="00267262">
        <w:tab/>
      </w:r>
      <w:r w:rsidR="00CB68A7" w:rsidRPr="00682DBE">
        <w:t xml:space="preserve">Do you think that the </w:t>
      </w:r>
      <w:r w:rsidR="00CB68A7">
        <w:t>s</w:t>
      </w:r>
      <w:r w:rsidR="00CB68A7" w:rsidRPr="00682DBE">
        <w:t xml:space="preserve">ervice </w:t>
      </w:r>
      <w:r w:rsidR="00CB68A7">
        <w:t>p</w:t>
      </w:r>
      <w:r w:rsidR="00CB68A7" w:rsidRPr="00682DBE">
        <w:t>lan would more effective</w:t>
      </w:r>
      <w:r w:rsidR="0087646C">
        <w:t xml:space="preserve"> </w:t>
      </w:r>
      <w:r w:rsidR="00CB68A7" w:rsidRPr="00682DBE">
        <w:t xml:space="preserve">if some funding amounts </w:t>
      </w:r>
      <w:r w:rsidR="0087646C">
        <w:t xml:space="preserve">allocated in </w:t>
      </w:r>
      <w:r w:rsidR="00FC7C3E">
        <w:t>T</w:t>
      </w:r>
      <w:r w:rsidR="00316294">
        <w:t>ables 14–</w:t>
      </w:r>
      <w:r w:rsidR="0087646C">
        <w:t xml:space="preserve">17 </w:t>
      </w:r>
      <w:r w:rsidR="00CB68A7" w:rsidRPr="00682DBE">
        <w:t>were shifted from one budget line item or service area to another?</w:t>
      </w:r>
      <w:r w:rsidR="0087646C" w:rsidRPr="0087646C">
        <w:t xml:space="preserve"> </w:t>
      </w:r>
      <w:r w:rsidR="0087646C">
        <w:t>This may include considering whether the Ministry should stop funding an activity or should fund something not already covered in the proposals.</w:t>
      </w:r>
      <w:r w:rsidR="0087646C" w:rsidRPr="00682DBE">
        <w:t xml:space="preserve"> If</w:t>
      </w:r>
      <w:r w:rsidR="00CB68A7" w:rsidRPr="00682DBE">
        <w:t xml:space="preserve"> yes, please explain what changes are required and</w:t>
      </w:r>
      <w:r w:rsidR="00CB68A7">
        <w:t xml:space="preserve"> why</w:t>
      </w:r>
      <w:r w:rsidR="00267262">
        <w:t>.</w:t>
      </w:r>
    </w:p>
    <w:p w:rsidR="00267262" w:rsidRDefault="00267262" w:rsidP="00267262"/>
    <w:p w:rsidR="00CB68A7" w:rsidRDefault="00CB68A7" w:rsidP="00267262">
      <w:pPr>
        <w:pStyle w:val="Heading1"/>
      </w:pPr>
      <w:bookmarkStart w:id="178" w:name="_Toc329860061"/>
      <w:bookmarkStart w:id="179" w:name="_Toc421026475"/>
      <w:bookmarkStart w:id="180" w:name="_Toc517090909"/>
      <w:bookmarkStart w:id="181" w:name="_Toc522089411"/>
      <w:bookmarkStart w:id="182" w:name="_Toc230066532"/>
      <w:r w:rsidRPr="00C10A99">
        <w:lastRenderedPageBreak/>
        <w:t>Draft levy rates</w:t>
      </w:r>
      <w:bookmarkEnd w:id="178"/>
      <w:r w:rsidRPr="00C10A99">
        <w:t xml:space="preserve"> for 2019/20 to 2021/</w:t>
      </w:r>
      <w:bookmarkEnd w:id="179"/>
      <w:r w:rsidRPr="00C10A99">
        <w:t>22</w:t>
      </w:r>
      <w:bookmarkEnd w:id="180"/>
      <w:bookmarkEnd w:id="181"/>
    </w:p>
    <w:p w:rsidR="00CB68A7" w:rsidRPr="00C10A99" w:rsidRDefault="00CB68A7" w:rsidP="00925F22">
      <w:pPr>
        <w:pStyle w:val="Heading2"/>
      </w:pPr>
      <w:bookmarkStart w:id="183" w:name="_Toc65389474"/>
      <w:bookmarkStart w:id="184" w:name="_Toc230066533"/>
      <w:bookmarkStart w:id="185" w:name="_Toc329860062"/>
      <w:bookmarkStart w:id="186" w:name="_Toc421026476"/>
      <w:bookmarkStart w:id="187" w:name="_Toc517090910"/>
      <w:bookmarkStart w:id="188" w:name="_Toc522089412"/>
      <w:bookmarkEnd w:id="182"/>
      <w:r w:rsidRPr="00C10A99">
        <w:t>Background</w:t>
      </w:r>
      <w:bookmarkEnd w:id="183"/>
      <w:bookmarkEnd w:id="184"/>
      <w:bookmarkEnd w:id="185"/>
      <w:bookmarkEnd w:id="186"/>
      <w:bookmarkEnd w:id="187"/>
      <w:bookmarkEnd w:id="188"/>
    </w:p>
    <w:p w:rsidR="00CB68A7" w:rsidRPr="00E312E8" w:rsidRDefault="00CB68A7" w:rsidP="0088653D">
      <w:r w:rsidRPr="00E312E8">
        <w:t xml:space="preserve">The Ministry is responsible for developing and implementing </w:t>
      </w:r>
      <w:r w:rsidR="00EC3578">
        <w:t>‘</w:t>
      </w:r>
      <w:r w:rsidRPr="00E312E8">
        <w:t>the integrated problem gambling strategy focused on public health</w:t>
      </w:r>
      <w:r w:rsidR="00EC3578">
        <w:t>’</w:t>
      </w:r>
      <w:r w:rsidRPr="00E312E8">
        <w:t xml:space="preserve"> (the strategy) that is described in section 317 of the </w:t>
      </w:r>
      <w:r>
        <w:t xml:space="preserve">Gambling </w:t>
      </w:r>
      <w:r w:rsidRPr="00E312E8">
        <w:t>Act</w:t>
      </w:r>
      <w:r>
        <w:t xml:space="preserve"> 2003 (the Act)</w:t>
      </w:r>
      <w:r w:rsidRPr="00E312E8">
        <w:t>.</w:t>
      </w:r>
    </w:p>
    <w:p w:rsidR="0088653D" w:rsidRDefault="0088653D" w:rsidP="0088653D"/>
    <w:p w:rsidR="00CB68A7" w:rsidRPr="00C10A99" w:rsidRDefault="00CB68A7" w:rsidP="0088653D">
      <w:r w:rsidRPr="00E312E8">
        <w:t xml:space="preserve">The Ministry receives funding through Vote Health to develop and implement the strategy. The Crown then recovers this sum through a </w:t>
      </w:r>
      <w:r w:rsidR="00EC3578">
        <w:t>‘</w:t>
      </w:r>
      <w:r w:rsidRPr="00E312E8">
        <w:t>problem gambling levy</w:t>
      </w:r>
      <w:r w:rsidR="00EC3578">
        <w:t>’</w:t>
      </w:r>
      <w:r w:rsidRPr="00E312E8">
        <w:t xml:space="preserve"> (the levy) on the profits of the main gambling operators. Section 319(2) o</w:t>
      </w:r>
      <w:r w:rsidRPr="00C10A99">
        <w:t xml:space="preserve">f the Act states that the purpose of the levy is </w:t>
      </w:r>
      <w:r w:rsidR="00EC3578">
        <w:t>‘</w:t>
      </w:r>
      <w:r w:rsidRPr="00C10A99">
        <w:t>to recover the cost of developing, managing, and delivering the integrated problem gambling strategy</w:t>
      </w:r>
      <w:r w:rsidR="00EC3578">
        <w:t>’</w:t>
      </w:r>
      <w:r w:rsidRPr="00C10A99">
        <w:t>.</w:t>
      </w:r>
    </w:p>
    <w:p w:rsidR="0088653D" w:rsidRDefault="0088653D" w:rsidP="0088653D"/>
    <w:p w:rsidR="00CB68A7" w:rsidRDefault="00CB68A7" w:rsidP="0088653D">
      <w:r w:rsidRPr="00C10A99">
        <w:t>The levy rates are set by regulation at least every three years. The next levy period is from 1 July 201</w:t>
      </w:r>
      <w:r>
        <w:t>9</w:t>
      </w:r>
      <w:r w:rsidRPr="00C10A99">
        <w:t xml:space="preserve"> to 30 June 20</w:t>
      </w:r>
      <w:r>
        <w:t>22</w:t>
      </w:r>
      <w:r w:rsidRPr="00C10A99">
        <w:t>, matching the period of the next strategy.</w:t>
      </w:r>
    </w:p>
    <w:p w:rsidR="00CB68A7" w:rsidRPr="00C10A99" w:rsidRDefault="00CB68A7" w:rsidP="0088653D"/>
    <w:p w:rsidR="00CB68A7" w:rsidRPr="00C10A99" w:rsidRDefault="00CB68A7" w:rsidP="00925F22">
      <w:pPr>
        <w:pStyle w:val="Heading2"/>
      </w:pPr>
      <w:bookmarkStart w:id="189" w:name="_Toc517090911"/>
      <w:bookmarkStart w:id="190" w:name="_Toc522089413"/>
      <w:bookmarkStart w:id="191" w:name="_Toc230066534"/>
      <w:bookmarkStart w:id="192" w:name="_Toc329860063"/>
      <w:r>
        <w:t>T</w:t>
      </w:r>
      <w:r w:rsidRPr="00C10A99">
        <w:t>he levy-paying sectors</w:t>
      </w:r>
      <w:bookmarkEnd w:id="189"/>
      <w:bookmarkEnd w:id="190"/>
    </w:p>
    <w:p w:rsidR="00CB68A7" w:rsidRPr="00C10A99" w:rsidRDefault="00CB68A7" w:rsidP="0088653D">
      <w:r w:rsidRPr="00C10A99">
        <w:t>Since the levy was first set in 2004, it has applied to gambling operators in four sectors:</w:t>
      </w:r>
    </w:p>
    <w:p w:rsidR="00CB68A7" w:rsidRPr="00C10A99" w:rsidRDefault="00CB68A7" w:rsidP="0088653D">
      <w:pPr>
        <w:pStyle w:val="Bullet"/>
      </w:pPr>
      <w:r w:rsidRPr="00C10A99">
        <w:t>NCGM operators</w:t>
      </w:r>
    </w:p>
    <w:p w:rsidR="00CB68A7" w:rsidRPr="00C10A99" w:rsidRDefault="00CB68A7" w:rsidP="0088653D">
      <w:pPr>
        <w:pStyle w:val="Bullet"/>
      </w:pPr>
      <w:r w:rsidRPr="00C10A99">
        <w:t>casinos</w:t>
      </w:r>
    </w:p>
    <w:p w:rsidR="00CB68A7" w:rsidRPr="00C10A99" w:rsidRDefault="00CB68A7" w:rsidP="0088653D">
      <w:pPr>
        <w:pStyle w:val="Bullet"/>
      </w:pPr>
      <w:r w:rsidRPr="00C10A99">
        <w:t>the NZRB</w:t>
      </w:r>
    </w:p>
    <w:p w:rsidR="00CB68A7" w:rsidRPr="00C10A99" w:rsidRDefault="00CB68A7" w:rsidP="0088653D">
      <w:pPr>
        <w:pStyle w:val="Bullet"/>
      </w:pPr>
      <w:proofErr w:type="gramStart"/>
      <w:r w:rsidRPr="00C10A99">
        <w:t>the</w:t>
      </w:r>
      <w:proofErr w:type="gramEnd"/>
      <w:r w:rsidRPr="00C10A99">
        <w:t xml:space="preserve"> New Zealand Lotteries Commission (NZLC).</w:t>
      </w:r>
    </w:p>
    <w:p w:rsidR="00CB68A7" w:rsidRDefault="00CB68A7" w:rsidP="0088653D"/>
    <w:p w:rsidR="00CB68A7" w:rsidRPr="00C10A99" w:rsidRDefault="00CB68A7" w:rsidP="0088653D">
      <w:r>
        <w:t>While it is possible that there could be changes to the number or composition of each gambling sector used to calculate the levy, t</w:t>
      </w:r>
      <w:r w:rsidRPr="00E312E8">
        <w:t>he Ministry is not aware of any research indicating a need</w:t>
      </w:r>
      <w:r>
        <w:t xml:space="preserve"> to do so. Similarly, there have been no </w:t>
      </w:r>
      <w:r w:rsidRPr="00E312E8">
        <w:t>proposals to adjust the levy</w:t>
      </w:r>
      <w:r>
        <w:t xml:space="preserve"> </w:t>
      </w:r>
      <w:r w:rsidRPr="00E312E8">
        <w:t>paying sectors made</w:t>
      </w:r>
      <w:r>
        <w:t xml:space="preserve"> </w:t>
      </w:r>
      <w:r w:rsidRPr="00E312E8">
        <w:t xml:space="preserve">during the </w:t>
      </w:r>
      <w:r>
        <w:t xml:space="preserve">current levy </w:t>
      </w:r>
      <w:r w:rsidRPr="00E312E8">
        <w:t xml:space="preserve">period by any part of the gambling sector. The Ministry therefore </w:t>
      </w:r>
      <w:r w:rsidRPr="00C10A99">
        <w:t xml:space="preserve">does not propose any changes to the four </w:t>
      </w:r>
      <w:r>
        <w:t xml:space="preserve">gambling </w:t>
      </w:r>
      <w:r w:rsidRPr="00C10A99">
        <w:t>sectors from which the levy is collected.</w:t>
      </w:r>
    </w:p>
    <w:p w:rsidR="00CB68A7" w:rsidRPr="00C10A99" w:rsidRDefault="00CB68A7" w:rsidP="0088653D"/>
    <w:p w:rsidR="00CB68A7" w:rsidRPr="00C10A99" w:rsidRDefault="00CB68A7" w:rsidP="00925F22">
      <w:pPr>
        <w:pStyle w:val="Heading2"/>
      </w:pPr>
      <w:bookmarkStart w:id="193" w:name="_Toc421026478"/>
      <w:bookmarkStart w:id="194" w:name="_Toc517090912"/>
      <w:bookmarkStart w:id="195" w:name="_Toc522089414"/>
      <w:r w:rsidRPr="00C10A99">
        <w:t>Process for setting the levy</w:t>
      </w:r>
      <w:bookmarkEnd w:id="191"/>
      <w:bookmarkEnd w:id="192"/>
      <w:r w:rsidRPr="00C10A99">
        <w:t xml:space="preserve"> rates</w:t>
      </w:r>
      <w:bookmarkEnd w:id="193"/>
      <w:bookmarkEnd w:id="194"/>
      <w:bookmarkEnd w:id="195"/>
    </w:p>
    <w:p w:rsidR="00CB68A7" w:rsidRPr="00E312E8" w:rsidRDefault="00CB68A7" w:rsidP="0088653D">
      <w:r w:rsidRPr="00E312E8">
        <w:t xml:space="preserve">The Act sets out the process </w:t>
      </w:r>
      <w:r>
        <w:t>for developing</w:t>
      </w:r>
      <w:r w:rsidRPr="00E312E8">
        <w:t xml:space="preserve"> and set</w:t>
      </w:r>
      <w:r>
        <w:t>ting</w:t>
      </w:r>
      <w:r w:rsidRPr="00E312E8">
        <w:t xml:space="preserve"> the levy rates needed to recover the cost of the strategy</w:t>
      </w:r>
      <w:r>
        <w:t xml:space="preserve"> (refer to </w:t>
      </w:r>
      <w:r w:rsidRPr="00E312E8">
        <w:t>sections 318</w:t>
      </w:r>
      <w:r>
        <w:t>–</w:t>
      </w:r>
      <w:r w:rsidRPr="00E312E8">
        <w:t>320</w:t>
      </w:r>
      <w:r>
        <w:t xml:space="preserve"> of the Act)</w:t>
      </w:r>
      <w:r w:rsidRPr="00E312E8">
        <w:t>.</w:t>
      </w:r>
    </w:p>
    <w:p w:rsidR="0088653D" w:rsidRDefault="0088653D" w:rsidP="0088653D"/>
    <w:p w:rsidR="00CB68A7" w:rsidRPr="00C10A99" w:rsidRDefault="00CB68A7" w:rsidP="0088653D">
      <w:r w:rsidRPr="00E312E8">
        <w:t>As part of this process, the Ministry is now consulting on its estimated annual funding requirements and four alternative sets of esti</w:t>
      </w:r>
      <w:r w:rsidRPr="00C10A99">
        <w:t>mated levy rates for 1 July 2019 to 30 June 2022. The figures in the four alternative levy calculation options below should be considered indicative at this stage. The Ministry will update them before the Gambling Commission</w:t>
      </w:r>
      <w:r w:rsidR="00EC3578">
        <w:t>’</w:t>
      </w:r>
      <w:r w:rsidRPr="00C10A99">
        <w:t>s consultation meeting referred to below.</w:t>
      </w:r>
    </w:p>
    <w:p w:rsidR="0088653D" w:rsidRDefault="0088653D" w:rsidP="0088653D"/>
    <w:p w:rsidR="00CB68A7" w:rsidRPr="008C498B" w:rsidRDefault="00CB68A7" w:rsidP="0088653D">
      <w:pPr>
        <w:keepLines/>
      </w:pPr>
      <w:r w:rsidRPr="008C498B">
        <w:lastRenderedPageBreak/>
        <w:t xml:space="preserve">Following consultation, the Ministry will submit proposed levy rates to </w:t>
      </w:r>
      <w:r>
        <w:t xml:space="preserve">the </w:t>
      </w:r>
      <w:r w:rsidRPr="008C498B">
        <w:t>Ministers of Health and Internal Affairs and to the Gambling Commission. The Gambling Commission may then obtain its own advice</w:t>
      </w:r>
      <w:r>
        <w:t xml:space="preserve"> around the proposed levy rates</w:t>
      </w:r>
      <w:r w:rsidRPr="008C498B">
        <w:t xml:space="preserve"> and will convene a consultation meeting. It will subsequently make recommendations to the responsible Ministers. Cabinet will approve the Strateg</w:t>
      </w:r>
      <w:r>
        <w:t xml:space="preserve">y, determine the level of </w:t>
      </w:r>
      <w:r w:rsidRPr="008C498B">
        <w:t xml:space="preserve">funding </w:t>
      </w:r>
      <w:r>
        <w:t xml:space="preserve">to </w:t>
      </w:r>
      <w:r w:rsidRPr="008C498B">
        <w:t>recommend to Parliament as the Ministry</w:t>
      </w:r>
      <w:r w:rsidR="00EC3578">
        <w:t>’</w:t>
      </w:r>
      <w:r w:rsidRPr="008C498B">
        <w:t>s appropriation and endorse responsible Ministers</w:t>
      </w:r>
      <w:r w:rsidR="00EC3578">
        <w:t>’</w:t>
      </w:r>
      <w:r w:rsidRPr="008C498B">
        <w:t xml:space="preserve"> recommend</w:t>
      </w:r>
      <w:r>
        <w:t>ations</w:t>
      </w:r>
      <w:r w:rsidRPr="008C498B">
        <w:t xml:space="preserve"> to the Governor-General regulations setting out the sectors that will pay the levy and the relevant levy rates.</w:t>
      </w:r>
    </w:p>
    <w:p w:rsidR="00CB68A7" w:rsidRPr="00C10A99" w:rsidRDefault="00CB68A7" w:rsidP="0088653D">
      <w:bookmarkStart w:id="196" w:name="_Toc65389475"/>
    </w:p>
    <w:p w:rsidR="00CB68A7" w:rsidRPr="00E0156C" w:rsidRDefault="00CB68A7" w:rsidP="00925F22">
      <w:pPr>
        <w:pStyle w:val="Heading2"/>
      </w:pPr>
      <w:bookmarkStart w:id="197" w:name="_Toc230066536"/>
      <w:bookmarkStart w:id="198" w:name="_Toc329860064"/>
      <w:bookmarkStart w:id="199" w:name="_Toc421026479"/>
      <w:bookmarkStart w:id="200" w:name="_Toc517090913"/>
      <w:bookmarkStart w:id="201" w:name="_Toc522089415"/>
      <w:r w:rsidRPr="00C10A99">
        <w:t>The levy</w:t>
      </w:r>
      <w:bookmarkEnd w:id="196"/>
      <w:r w:rsidRPr="00C10A99">
        <w:t xml:space="preserve"> formula</w:t>
      </w:r>
      <w:bookmarkEnd w:id="197"/>
      <w:bookmarkEnd w:id="198"/>
      <w:bookmarkEnd w:id="199"/>
      <w:bookmarkEnd w:id="200"/>
      <w:bookmarkEnd w:id="201"/>
    </w:p>
    <w:p w:rsidR="00CB68A7" w:rsidRPr="00E312E8" w:rsidRDefault="00CB68A7" w:rsidP="0088653D">
      <w:r w:rsidRPr="00E312E8">
        <w:t xml:space="preserve">The formula in section 320 of the Act </w:t>
      </w:r>
      <w:r w:rsidR="00EC3578">
        <w:t>‘</w:t>
      </w:r>
      <w:r w:rsidRPr="00E312E8">
        <w:t>provides a mechanism for allocating among gambling operators, and collecting from them, the approximate cost</w:t>
      </w:r>
      <w:r w:rsidR="00EC3578">
        <w:t>’</w:t>
      </w:r>
      <w:r w:rsidRPr="00E312E8">
        <w:t xml:space="preserve"> of the strategy.</w:t>
      </w:r>
    </w:p>
    <w:p w:rsidR="0088653D" w:rsidRDefault="0088653D" w:rsidP="0088653D"/>
    <w:p w:rsidR="00CB68A7" w:rsidRPr="00E312E8" w:rsidRDefault="00CB68A7" w:rsidP="0088653D">
      <w:r w:rsidRPr="00E312E8">
        <w:t>The formula is:</w:t>
      </w:r>
    </w:p>
    <w:p w:rsidR="00CB68A7" w:rsidRPr="00C10A99" w:rsidRDefault="00CB68A7" w:rsidP="0088653D">
      <w:pPr>
        <w:spacing w:before="120"/>
        <w:ind w:left="567"/>
      </w:pPr>
      <w:r w:rsidRPr="00C10A99">
        <w:t xml:space="preserve">Levy rate for each sector = </w:t>
      </w:r>
      <w:r w:rsidRPr="0088653D">
        <w:rPr>
          <w:u w:val="single"/>
        </w:rPr>
        <w:t>({[A x W1] + [B x W2]} x C) plus or minus R</w:t>
      </w:r>
    </w:p>
    <w:p w:rsidR="00CB68A7" w:rsidRPr="00C10A99" w:rsidRDefault="00CB68A7" w:rsidP="0088653D">
      <w:pPr>
        <w:ind w:left="5103"/>
      </w:pPr>
      <w:r w:rsidRPr="00C10A99">
        <w:tab/>
        <w:t>D</w:t>
      </w:r>
    </w:p>
    <w:p w:rsidR="00CB68A7" w:rsidRPr="00C10A99" w:rsidRDefault="00CB68A7" w:rsidP="0088653D">
      <w:pPr>
        <w:ind w:left="567"/>
      </w:pPr>
      <w:proofErr w:type="gramStart"/>
      <w:r w:rsidRPr="00C10A99">
        <w:t>where</w:t>
      </w:r>
      <w:proofErr w:type="gramEnd"/>
      <w:r w:rsidRPr="00C10A99">
        <w:t>:</w:t>
      </w:r>
    </w:p>
    <w:p w:rsidR="00CB68A7" w:rsidRPr="00C10A99" w:rsidRDefault="00CB68A7" w:rsidP="00CB68A7">
      <w:pPr>
        <w:spacing w:before="120"/>
        <w:ind w:left="993" w:hanging="426"/>
      </w:pPr>
      <w:r w:rsidRPr="0091035F">
        <w:rPr>
          <w:b/>
          <w:bCs/>
        </w:rPr>
        <w:t>A</w:t>
      </w:r>
      <w:r w:rsidRPr="00C10A99">
        <w:t xml:space="preserve"> </w:t>
      </w:r>
      <w:r>
        <w:t>=</w:t>
      </w:r>
      <w:r w:rsidR="0088653D">
        <w:tab/>
      </w:r>
      <w:r w:rsidRPr="00C10A99">
        <w:t>the estimated current expenditure in a sector divided by the total estimated current player expenditure in all sectors subject to the levy</w:t>
      </w:r>
    </w:p>
    <w:p w:rsidR="00CB68A7" w:rsidRPr="00C10A99" w:rsidRDefault="00CB68A7" w:rsidP="00CB68A7">
      <w:pPr>
        <w:spacing w:before="120"/>
        <w:ind w:left="993" w:hanging="426"/>
      </w:pPr>
      <w:r w:rsidRPr="0091035F">
        <w:rPr>
          <w:b/>
          <w:bCs/>
        </w:rPr>
        <w:t>B</w:t>
      </w:r>
      <w:r w:rsidRPr="00C10A99">
        <w:t xml:space="preserve"> =</w:t>
      </w:r>
      <w:r w:rsidR="0088653D">
        <w:tab/>
      </w:r>
      <w:r w:rsidRPr="00C10A99">
        <w:t>the number of customer presentations to problem gambling services that can be attributed to gambling in a sector divided by the total number of customer presentations to problem gambling services in which a sector that is subject to the levy can be identified</w:t>
      </w:r>
    </w:p>
    <w:p w:rsidR="00CB68A7" w:rsidRPr="00C10A99" w:rsidRDefault="00CB68A7" w:rsidP="0088653D">
      <w:pPr>
        <w:spacing w:before="120"/>
        <w:ind w:left="992" w:hanging="425"/>
      </w:pPr>
      <w:r w:rsidRPr="0091035F">
        <w:rPr>
          <w:b/>
          <w:bCs/>
        </w:rPr>
        <w:t>C</w:t>
      </w:r>
      <w:r w:rsidRPr="00C10A99">
        <w:t xml:space="preserve"> =</w:t>
      </w:r>
      <w:r w:rsidR="0088653D">
        <w:tab/>
      </w:r>
      <w:r w:rsidRPr="00C10A99">
        <w:t>the funding requirement for the period for which the levy is payable</w:t>
      </w:r>
    </w:p>
    <w:p w:rsidR="00CB68A7" w:rsidRPr="00C10A99" w:rsidRDefault="00CB68A7" w:rsidP="00CB68A7">
      <w:pPr>
        <w:spacing w:before="120"/>
        <w:ind w:left="993" w:hanging="426"/>
      </w:pPr>
      <w:r w:rsidRPr="0091035F">
        <w:rPr>
          <w:b/>
          <w:bCs/>
        </w:rPr>
        <w:t>D</w:t>
      </w:r>
      <w:r w:rsidRPr="00C10A99">
        <w:t xml:space="preserve"> =</w:t>
      </w:r>
      <w:r w:rsidR="0088653D">
        <w:tab/>
      </w:r>
      <w:r w:rsidRPr="00C10A99">
        <w:t xml:space="preserve">the forecast player expenditure in a sector for the period </w:t>
      </w:r>
      <w:r>
        <w:t>for</w:t>
      </w:r>
      <w:r w:rsidRPr="00C10A99">
        <w:t xml:space="preserve"> which the levy is payable</w:t>
      </w:r>
    </w:p>
    <w:p w:rsidR="00CB68A7" w:rsidRPr="00C10A99" w:rsidRDefault="00CB68A7" w:rsidP="00CB68A7">
      <w:pPr>
        <w:spacing w:before="120"/>
        <w:ind w:left="993" w:hanging="426"/>
      </w:pPr>
      <w:r w:rsidRPr="0091035F">
        <w:rPr>
          <w:b/>
          <w:bCs/>
        </w:rPr>
        <w:t>R</w:t>
      </w:r>
      <w:r w:rsidRPr="0091035F">
        <w:rPr>
          <w:bCs/>
        </w:rPr>
        <w:t xml:space="preserve"> =</w:t>
      </w:r>
      <w:r w:rsidR="0088653D">
        <w:rPr>
          <w:bCs/>
        </w:rPr>
        <w:tab/>
      </w:r>
      <w:r w:rsidRPr="0091035F">
        <w:rPr>
          <w:bCs/>
        </w:rPr>
        <w:t>the estimated under-recovery or over-recovery of levy from a sector in the previous levy periods</w:t>
      </w:r>
      <w:r w:rsidRPr="0088653D">
        <w:rPr>
          <w:rStyle w:val="FootnoteReference"/>
        </w:rPr>
        <w:footnoteReference w:id="6"/>
      </w:r>
    </w:p>
    <w:p w:rsidR="00CB68A7" w:rsidRPr="00C10A99" w:rsidRDefault="00CB68A7" w:rsidP="00CB68A7">
      <w:pPr>
        <w:spacing w:before="120"/>
        <w:ind w:left="924" w:hanging="357"/>
      </w:pPr>
      <w:r w:rsidRPr="0091035F">
        <w:rPr>
          <w:b/>
          <w:bCs/>
        </w:rPr>
        <w:t>W1</w:t>
      </w:r>
      <w:r w:rsidRPr="00C10A99">
        <w:t xml:space="preserve"> and </w:t>
      </w:r>
      <w:r w:rsidRPr="0091035F">
        <w:rPr>
          <w:b/>
          <w:bCs/>
        </w:rPr>
        <w:t>W2</w:t>
      </w:r>
      <w:r w:rsidRPr="00C10A99">
        <w:t xml:space="preserve"> are weights, the sum of which is 1.</w:t>
      </w:r>
    </w:p>
    <w:p w:rsidR="00CB68A7" w:rsidRDefault="00CB68A7" w:rsidP="0088653D"/>
    <w:p w:rsidR="00EC3578" w:rsidRDefault="00CB68A7" w:rsidP="0088653D">
      <w:r w:rsidRPr="00C10A99">
        <w:t xml:space="preserve">The top line of the formula determines the dollar amount to be paid by each sector. The bottom line of the formula </w:t>
      </w:r>
      <w:r>
        <w:t xml:space="preserve">(forecast player expenditure in the sector) </w:t>
      </w:r>
      <w:r w:rsidRPr="00C10A99">
        <w:t>determines the levy rate that is necessary for a sector to pay its required contribution.</w:t>
      </w:r>
    </w:p>
    <w:p w:rsidR="00CB68A7" w:rsidRDefault="00CB68A7" w:rsidP="0088653D"/>
    <w:p w:rsidR="00EC3578" w:rsidRDefault="00CB68A7" w:rsidP="0088653D">
      <w:pPr>
        <w:pStyle w:val="Box"/>
      </w:pPr>
      <w:r>
        <w:t>N</w:t>
      </w:r>
      <w:r w:rsidRPr="00774D7F">
        <w:t>ote</w:t>
      </w:r>
      <w:r>
        <w:t>: S</w:t>
      </w:r>
      <w:r w:rsidRPr="00774D7F">
        <w:t xml:space="preserve">ince the levy rate calculations </w:t>
      </w:r>
      <w:r w:rsidR="00EC3578">
        <w:t>‘</w:t>
      </w:r>
      <w:r w:rsidRPr="00774D7F">
        <w:t>must take into account the latest, most reliable and most appropriate sources of information</w:t>
      </w:r>
      <w:r w:rsidR="00EC3578">
        <w:t>’</w:t>
      </w:r>
      <w:r w:rsidRPr="00774D7F">
        <w:t xml:space="preserve"> from the Ministry, </w:t>
      </w:r>
      <w:r>
        <w:t>Inland Revenue Department (</w:t>
      </w:r>
      <w:r w:rsidRPr="00774D7F">
        <w:t>IRD</w:t>
      </w:r>
      <w:r>
        <w:t>)</w:t>
      </w:r>
      <w:r w:rsidRPr="00774D7F">
        <w:t xml:space="preserve"> or the </w:t>
      </w:r>
      <w:r w:rsidRPr="00774D7F">
        <w:rPr>
          <w:lang w:eastAsia="en-US"/>
        </w:rPr>
        <w:t>DIA, as the case may be, the Ministry will update these figures</w:t>
      </w:r>
      <w:r w:rsidRPr="00774D7F">
        <w:t xml:space="preserve"> later in 2018</w:t>
      </w:r>
      <w:r>
        <w:t>,</w:t>
      </w:r>
      <w:r w:rsidRPr="00774D7F">
        <w:t xml:space="preserve"> before the Gambling Commission</w:t>
      </w:r>
      <w:r w:rsidR="00EC3578">
        <w:t>’</w:t>
      </w:r>
      <w:r w:rsidRPr="00774D7F">
        <w:t>s consultation meeting, and will include the updated information in its proposals document submitted for that meeting.</w:t>
      </w:r>
    </w:p>
    <w:p w:rsidR="00CB68A7" w:rsidRPr="0088653D" w:rsidRDefault="00CB68A7" w:rsidP="0088653D">
      <w:pPr>
        <w:pStyle w:val="Box"/>
      </w:pPr>
      <w:r w:rsidRPr="00774D7F">
        <w:t xml:space="preserve">The Ministry will use 2017/18 data </w:t>
      </w:r>
      <w:r w:rsidR="00F15D54">
        <w:t xml:space="preserve">if available </w:t>
      </w:r>
      <w:r w:rsidRPr="00774D7F">
        <w:t>for the final strategy document and levy calculations</w:t>
      </w:r>
      <w:r>
        <w:t>,</w:t>
      </w:r>
      <w:r w:rsidRPr="00774D7F">
        <w:t xml:space="preserve"> but these were not available </w:t>
      </w:r>
      <w:r>
        <w:t>at the time of preparing</w:t>
      </w:r>
      <w:r w:rsidRPr="00774D7F">
        <w:rPr>
          <w:i/>
        </w:rPr>
        <w:t xml:space="preserve"> </w:t>
      </w:r>
      <w:r w:rsidRPr="00774D7F">
        <w:t>this consultation document.</w:t>
      </w:r>
    </w:p>
    <w:p w:rsidR="00CB68A7" w:rsidRDefault="00CB68A7" w:rsidP="0088653D"/>
    <w:p w:rsidR="0051304C" w:rsidRPr="007F0026" w:rsidRDefault="0051304C" w:rsidP="00B30A95">
      <w:pPr>
        <w:keepLines/>
      </w:pPr>
      <w:r>
        <w:lastRenderedPageBreak/>
        <w:t>The levy proposed below is set using current settings. However the Ministry and DIA are interested in your views of what elements in the formula could change in the future</w:t>
      </w:r>
      <w:r w:rsidR="006A3B38">
        <w:t xml:space="preserve">, including any additional elements that should be considered, </w:t>
      </w:r>
      <w:r w:rsidR="00F15D54">
        <w:t xml:space="preserve">and any elements you think </w:t>
      </w:r>
      <w:r w:rsidR="006A3B38">
        <w:t>should be removed from the formula.</w:t>
      </w:r>
    </w:p>
    <w:p w:rsidR="00CB68A7" w:rsidRPr="00C10A99" w:rsidRDefault="00CB68A7" w:rsidP="0088653D">
      <w:pPr>
        <w:pStyle w:val="Heading3"/>
      </w:pPr>
      <w:bookmarkStart w:id="202" w:name="_Toc65389476"/>
      <w:r w:rsidRPr="00C10A99">
        <w:t>Estimated current player expenditure</w:t>
      </w:r>
      <w:bookmarkEnd w:id="202"/>
      <w:r w:rsidRPr="00C10A99">
        <w:t xml:space="preserve"> (A)</w:t>
      </w:r>
    </w:p>
    <w:p w:rsidR="00EC3578" w:rsidRDefault="00CB68A7" w:rsidP="0088653D">
      <w:pPr>
        <w:rPr>
          <w:lang w:eastAsia="en-US"/>
        </w:rPr>
      </w:pPr>
      <w:bookmarkStart w:id="203" w:name="_Toc422409758"/>
      <w:bookmarkStart w:id="204" w:name="_Toc422840825"/>
      <w:r w:rsidRPr="007269AE">
        <w:rPr>
          <w:lang w:eastAsia="en-US"/>
        </w:rPr>
        <w:t>Pla</w:t>
      </w:r>
      <w:r>
        <w:rPr>
          <w:lang w:eastAsia="en-US"/>
        </w:rPr>
        <w:t xml:space="preserve">yer expenditure by the four main gambling sectors for the eight years up to 2016/17 is shown below in Table 19 and Figure </w:t>
      </w:r>
      <w:r w:rsidR="005754D6">
        <w:rPr>
          <w:lang w:eastAsia="en-US"/>
        </w:rPr>
        <w:t>6</w:t>
      </w:r>
      <w:r>
        <w:rPr>
          <w:lang w:eastAsia="en-US"/>
        </w:rPr>
        <w:t>.</w:t>
      </w:r>
    </w:p>
    <w:p w:rsidR="00CB68A7" w:rsidRPr="007269AE" w:rsidRDefault="00CB68A7" w:rsidP="0088653D">
      <w:pPr>
        <w:rPr>
          <w:lang w:eastAsia="en-US"/>
        </w:rPr>
      </w:pPr>
    </w:p>
    <w:p w:rsidR="00CB68A7" w:rsidRPr="00BC3003" w:rsidRDefault="00CB68A7" w:rsidP="0088653D">
      <w:pPr>
        <w:pStyle w:val="Table"/>
      </w:pPr>
      <w:bookmarkStart w:id="205" w:name="_Toc517091244"/>
      <w:bookmarkStart w:id="206" w:name="_Toc522089448"/>
      <w:r w:rsidRPr="00FF734C">
        <w:t>Table 19</w:t>
      </w:r>
      <w:r w:rsidR="005754D6">
        <w:t>:</w:t>
      </w:r>
      <w:r w:rsidRPr="00FF734C">
        <w:t xml:space="preserve"> Gambling expen</w:t>
      </w:r>
      <w:r w:rsidRPr="00227DDB">
        <w:t xml:space="preserve">diture and proportions from the four main sectors, 2009/10 to </w:t>
      </w:r>
      <w:bookmarkEnd w:id="203"/>
      <w:bookmarkEnd w:id="204"/>
      <w:r w:rsidRPr="00227DDB">
        <w:t>2016/17</w:t>
      </w:r>
      <w:bookmarkEnd w:id="205"/>
      <w:bookmarkEnd w:id="206"/>
    </w:p>
    <w:tbl>
      <w:tblPr>
        <w:tblW w:w="5000" w:type="pct"/>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206"/>
        <w:gridCol w:w="905"/>
        <w:gridCol w:w="906"/>
        <w:gridCol w:w="906"/>
        <w:gridCol w:w="906"/>
        <w:gridCol w:w="906"/>
        <w:gridCol w:w="906"/>
        <w:gridCol w:w="906"/>
        <w:gridCol w:w="906"/>
        <w:gridCol w:w="902"/>
      </w:tblGrid>
      <w:tr w:rsidR="00CB68A7" w:rsidRPr="0088653D" w:rsidTr="0088653D">
        <w:trPr>
          <w:cantSplit/>
        </w:trPr>
        <w:tc>
          <w:tcPr>
            <w:tcW w:w="645" w:type="pct"/>
            <w:vMerge w:val="restart"/>
            <w:tcBorders>
              <w:right w:val="single" w:sz="4" w:space="0" w:color="A6A6A6" w:themeColor="background1" w:themeShade="A6"/>
            </w:tcBorders>
            <w:shd w:val="clear" w:color="auto" w:fill="auto"/>
            <w:vAlign w:val="bottom"/>
          </w:tcPr>
          <w:p w:rsidR="00CB68A7" w:rsidRPr="0088653D" w:rsidRDefault="0088653D" w:rsidP="0088653D">
            <w:pPr>
              <w:pStyle w:val="TableText"/>
              <w:rPr>
                <w:b/>
              </w:rPr>
            </w:pPr>
            <w:r w:rsidRPr="0088653D">
              <w:rPr>
                <w:b/>
              </w:rPr>
              <w:t>Y</w:t>
            </w:r>
            <w:r w:rsidR="00CB68A7" w:rsidRPr="0088653D">
              <w:rPr>
                <w:b/>
              </w:rPr>
              <w:t>ear</w:t>
            </w:r>
          </w:p>
        </w:tc>
        <w:tc>
          <w:tcPr>
            <w:tcW w:w="968" w:type="pct"/>
            <w:gridSpan w:val="2"/>
            <w:tcBorders>
              <w:top w:val="single" w:sz="4" w:space="0" w:color="auto"/>
              <w:left w:val="single" w:sz="4" w:space="0" w:color="A6A6A6" w:themeColor="background1" w:themeShade="A6"/>
              <w:right w:val="single" w:sz="4" w:space="0" w:color="A6A6A6" w:themeColor="background1" w:themeShade="A6"/>
            </w:tcBorders>
            <w:shd w:val="clear" w:color="auto" w:fill="auto"/>
          </w:tcPr>
          <w:p w:rsidR="00CB68A7" w:rsidRPr="0088653D" w:rsidRDefault="00CB68A7" w:rsidP="0088653D">
            <w:pPr>
              <w:pStyle w:val="TableText"/>
              <w:jc w:val="center"/>
              <w:rPr>
                <w:b/>
              </w:rPr>
            </w:pPr>
            <w:r w:rsidRPr="0088653D">
              <w:rPr>
                <w:b/>
              </w:rPr>
              <w:t>NCGMs</w:t>
            </w:r>
          </w:p>
        </w:tc>
        <w:tc>
          <w:tcPr>
            <w:tcW w:w="968" w:type="pct"/>
            <w:gridSpan w:val="2"/>
            <w:tcBorders>
              <w:left w:val="single" w:sz="4" w:space="0" w:color="A6A6A6" w:themeColor="background1" w:themeShade="A6"/>
              <w:right w:val="single" w:sz="4" w:space="0" w:color="A6A6A6" w:themeColor="background1" w:themeShade="A6"/>
            </w:tcBorders>
            <w:shd w:val="clear" w:color="auto" w:fill="auto"/>
          </w:tcPr>
          <w:p w:rsidR="00CB68A7" w:rsidRPr="0088653D" w:rsidRDefault="00CB68A7" w:rsidP="0088653D">
            <w:pPr>
              <w:pStyle w:val="TableText"/>
              <w:jc w:val="center"/>
              <w:rPr>
                <w:b/>
              </w:rPr>
            </w:pPr>
            <w:r w:rsidRPr="0088653D">
              <w:rPr>
                <w:b/>
              </w:rPr>
              <w:t>Casinos</w:t>
            </w:r>
          </w:p>
        </w:tc>
        <w:tc>
          <w:tcPr>
            <w:tcW w:w="968" w:type="pct"/>
            <w:gridSpan w:val="2"/>
            <w:tcBorders>
              <w:top w:val="single" w:sz="4" w:space="0" w:color="auto"/>
              <w:left w:val="single" w:sz="4" w:space="0" w:color="A6A6A6" w:themeColor="background1" w:themeShade="A6"/>
              <w:right w:val="single" w:sz="4" w:space="0" w:color="A6A6A6" w:themeColor="background1" w:themeShade="A6"/>
            </w:tcBorders>
            <w:shd w:val="clear" w:color="auto" w:fill="auto"/>
          </w:tcPr>
          <w:p w:rsidR="00CB68A7" w:rsidRPr="0088653D" w:rsidRDefault="00CB68A7" w:rsidP="0088653D">
            <w:pPr>
              <w:pStyle w:val="TableText"/>
              <w:jc w:val="center"/>
              <w:rPr>
                <w:b/>
              </w:rPr>
            </w:pPr>
            <w:r w:rsidRPr="0088653D">
              <w:rPr>
                <w:b/>
              </w:rPr>
              <w:t>NZRB</w:t>
            </w:r>
          </w:p>
        </w:tc>
        <w:tc>
          <w:tcPr>
            <w:tcW w:w="968" w:type="pct"/>
            <w:gridSpan w:val="2"/>
            <w:tcBorders>
              <w:left w:val="single" w:sz="4" w:space="0" w:color="A6A6A6" w:themeColor="background1" w:themeShade="A6"/>
              <w:right w:val="single" w:sz="4" w:space="0" w:color="A6A6A6" w:themeColor="background1" w:themeShade="A6"/>
            </w:tcBorders>
            <w:shd w:val="clear" w:color="auto" w:fill="auto"/>
          </w:tcPr>
          <w:p w:rsidR="00CB68A7" w:rsidRPr="0088653D" w:rsidRDefault="00CB68A7" w:rsidP="0088653D">
            <w:pPr>
              <w:pStyle w:val="TableText"/>
              <w:jc w:val="center"/>
              <w:rPr>
                <w:b/>
              </w:rPr>
            </w:pPr>
            <w:r w:rsidRPr="0088653D">
              <w:rPr>
                <w:b/>
              </w:rPr>
              <w:t>NZLC</w:t>
            </w:r>
          </w:p>
        </w:tc>
        <w:tc>
          <w:tcPr>
            <w:tcW w:w="482" w:type="pct"/>
            <w:tcBorders>
              <w:top w:val="single" w:sz="4" w:space="0" w:color="auto"/>
              <w:left w:val="single" w:sz="4" w:space="0" w:color="A6A6A6" w:themeColor="background1" w:themeShade="A6"/>
            </w:tcBorders>
            <w:shd w:val="clear" w:color="auto" w:fill="auto"/>
          </w:tcPr>
          <w:p w:rsidR="00CB68A7" w:rsidRPr="0088653D" w:rsidRDefault="00CB68A7" w:rsidP="0088653D">
            <w:pPr>
              <w:pStyle w:val="TableText"/>
              <w:jc w:val="center"/>
              <w:rPr>
                <w:b/>
              </w:rPr>
            </w:pPr>
            <w:r w:rsidRPr="0088653D">
              <w:rPr>
                <w:b/>
              </w:rPr>
              <w:t>T</w:t>
            </w:r>
            <w:r w:rsidR="0088653D">
              <w:rPr>
                <w:b/>
              </w:rPr>
              <w:t>otal</w:t>
            </w:r>
          </w:p>
        </w:tc>
      </w:tr>
      <w:tr w:rsidR="00CB68A7" w:rsidRPr="0088653D" w:rsidTr="0088653D">
        <w:trPr>
          <w:cantSplit/>
        </w:trPr>
        <w:tc>
          <w:tcPr>
            <w:tcW w:w="645" w:type="pct"/>
            <w:vMerge/>
            <w:tcBorders>
              <w:bottom w:val="single" w:sz="4" w:space="0" w:color="auto"/>
              <w:right w:val="single" w:sz="4" w:space="0" w:color="A6A6A6" w:themeColor="background1" w:themeShade="A6"/>
            </w:tcBorders>
            <w:shd w:val="clear" w:color="auto" w:fill="auto"/>
          </w:tcPr>
          <w:p w:rsidR="00CB68A7" w:rsidRPr="0088653D" w:rsidRDefault="00CB68A7" w:rsidP="0088653D">
            <w:pPr>
              <w:pStyle w:val="TableText"/>
              <w:rPr>
                <w:b/>
              </w:rPr>
            </w:pPr>
          </w:p>
        </w:tc>
        <w:tc>
          <w:tcPr>
            <w:tcW w:w="484" w:type="pct"/>
            <w:tcBorders>
              <w:left w:val="single" w:sz="4" w:space="0" w:color="A6A6A6" w:themeColor="background1" w:themeShade="A6"/>
              <w:bottom w:val="single" w:sz="4" w:space="0" w:color="auto"/>
            </w:tcBorders>
            <w:shd w:val="clear" w:color="auto" w:fill="auto"/>
          </w:tcPr>
          <w:p w:rsidR="00CB68A7" w:rsidRPr="0088653D" w:rsidRDefault="00CB68A7" w:rsidP="00B30A95">
            <w:pPr>
              <w:pStyle w:val="TableText"/>
              <w:spacing w:before="0"/>
              <w:jc w:val="center"/>
              <w:rPr>
                <w:b/>
              </w:rPr>
            </w:pPr>
            <w:r w:rsidRPr="0088653D">
              <w:rPr>
                <w:b/>
              </w:rPr>
              <w:t>$m</w:t>
            </w:r>
          </w:p>
        </w:tc>
        <w:tc>
          <w:tcPr>
            <w:tcW w:w="484" w:type="pct"/>
            <w:tcBorders>
              <w:bottom w:val="single" w:sz="4" w:space="0" w:color="auto"/>
              <w:right w:val="single" w:sz="4" w:space="0" w:color="A6A6A6" w:themeColor="background1" w:themeShade="A6"/>
            </w:tcBorders>
            <w:shd w:val="clear" w:color="auto" w:fill="auto"/>
          </w:tcPr>
          <w:p w:rsidR="00CB68A7" w:rsidRPr="0088653D" w:rsidRDefault="00CB68A7" w:rsidP="00B30A95">
            <w:pPr>
              <w:pStyle w:val="TableText"/>
              <w:spacing w:before="0"/>
              <w:jc w:val="center"/>
              <w:rPr>
                <w:b/>
              </w:rPr>
            </w:pPr>
            <w:r w:rsidRPr="0088653D">
              <w:rPr>
                <w:b/>
              </w:rPr>
              <w:t>%</w:t>
            </w:r>
          </w:p>
        </w:tc>
        <w:tc>
          <w:tcPr>
            <w:tcW w:w="484" w:type="pct"/>
            <w:tcBorders>
              <w:left w:val="single" w:sz="4" w:space="0" w:color="A6A6A6" w:themeColor="background1" w:themeShade="A6"/>
              <w:bottom w:val="single" w:sz="4" w:space="0" w:color="auto"/>
            </w:tcBorders>
            <w:shd w:val="clear" w:color="auto" w:fill="auto"/>
          </w:tcPr>
          <w:p w:rsidR="00CB68A7" w:rsidRPr="0088653D" w:rsidRDefault="00CB68A7" w:rsidP="00B30A95">
            <w:pPr>
              <w:pStyle w:val="TableText"/>
              <w:spacing w:before="0"/>
              <w:jc w:val="center"/>
              <w:rPr>
                <w:b/>
              </w:rPr>
            </w:pPr>
            <w:r w:rsidRPr="0088653D">
              <w:rPr>
                <w:b/>
              </w:rPr>
              <w:t>$m</w:t>
            </w:r>
          </w:p>
        </w:tc>
        <w:tc>
          <w:tcPr>
            <w:tcW w:w="484" w:type="pct"/>
            <w:tcBorders>
              <w:bottom w:val="single" w:sz="4" w:space="0" w:color="auto"/>
              <w:right w:val="single" w:sz="4" w:space="0" w:color="A6A6A6" w:themeColor="background1" w:themeShade="A6"/>
            </w:tcBorders>
            <w:shd w:val="clear" w:color="auto" w:fill="auto"/>
          </w:tcPr>
          <w:p w:rsidR="00CB68A7" w:rsidRPr="0088653D" w:rsidRDefault="00CB68A7" w:rsidP="00B30A95">
            <w:pPr>
              <w:pStyle w:val="TableText"/>
              <w:spacing w:before="0"/>
              <w:jc w:val="center"/>
              <w:rPr>
                <w:b/>
              </w:rPr>
            </w:pPr>
            <w:r w:rsidRPr="0088653D">
              <w:rPr>
                <w:b/>
              </w:rPr>
              <w:t>%</w:t>
            </w:r>
          </w:p>
        </w:tc>
        <w:tc>
          <w:tcPr>
            <w:tcW w:w="484" w:type="pct"/>
            <w:tcBorders>
              <w:left w:val="single" w:sz="4" w:space="0" w:color="A6A6A6" w:themeColor="background1" w:themeShade="A6"/>
              <w:bottom w:val="single" w:sz="4" w:space="0" w:color="auto"/>
            </w:tcBorders>
            <w:shd w:val="clear" w:color="auto" w:fill="auto"/>
          </w:tcPr>
          <w:p w:rsidR="00CB68A7" w:rsidRPr="0088653D" w:rsidRDefault="00CB68A7" w:rsidP="00B30A95">
            <w:pPr>
              <w:pStyle w:val="TableText"/>
              <w:spacing w:before="0"/>
              <w:jc w:val="center"/>
              <w:rPr>
                <w:b/>
              </w:rPr>
            </w:pPr>
            <w:r w:rsidRPr="0088653D">
              <w:rPr>
                <w:b/>
              </w:rPr>
              <w:t>$m</w:t>
            </w:r>
          </w:p>
        </w:tc>
        <w:tc>
          <w:tcPr>
            <w:tcW w:w="484" w:type="pct"/>
            <w:tcBorders>
              <w:bottom w:val="single" w:sz="4" w:space="0" w:color="auto"/>
              <w:right w:val="single" w:sz="4" w:space="0" w:color="A6A6A6" w:themeColor="background1" w:themeShade="A6"/>
            </w:tcBorders>
            <w:shd w:val="clear" w:color="auto" w:fill="auto"/>
          </w:tcPr>
          <w:p w:rsidR="00CB68A7" w:rsidRPr="0088653D" w:rsidRDefault="00CB68A7" w:rsidP="00B30A95">
            <w:pPr>
              <w:pStyle w:val="TableText"/>
              <w:spacing w:before="0"/>
              <w:jc w:val="center"/>
              <w:rPr>
                <w:b/>
              </w:rPr>
            </w:pPr>
            <w:r w:rsidRPr="0088653D">
              <w:rPr>
                <w:b/>
              </w:rPr>
              <w:t>%</w:t>
            </w:r>
          </w:p>
        </w:tc>
        <w:tc>
          <w:tcPr>
            <w:tcW w:w="484" w:type="pct"/>
            <w:tcBorders>
              <w:left w:val="single" w:sz="4" w:space="0" w:color="A6A6A6" w:themeColor="background1" w:themeShade="A6"/>
              <w:bottom w:val="single" w:sz="4" w:space="0" w:color="auto"/>
            </w:tcBorders>
            <w:shd w:val="clear" w:color="auto" w:fill="auto"/>
          </w:tcPr>
          <w:p w:rsidR="00CB68A7" w:rsidRPr="0088653D" w:rsidRDefault="00CB68A7" w:rsidP="00B30A95">
            <w:pPr>
              <w:pStyle w:val="TableText"/>
              <w:spacing w:before="0"/>
              <w:jc w:val="center"/>
              <w:rPr>
                <w:b/>
              </w:rPr>
            </w:pPr>
            <w:r w:rsidRPr="0088653D">
              <w:rPr>
                <w:b/>
              </w:rPr>
              <w:t>$m</w:t>
            </w:r>
          </w:p>
        </w:tc>
        <w:tc>
          <w:tcPr>
            <w:tcW w:w="484" w:type="pct"/>
            <w:tcBorders>
              <w:bottom w:val="single" w:sz="4" w:space="0" w:color="auto"/>
              <w:right w:val="single" w:sz="4" w:space="0" w:color="A6A6A6" w:themeColor="background1" w:themeShade="A6"/>
            </w:tcBorders>
            <w:shd w:val="clear" w:color="auto" w:fill="auto"/>
          </w:tcPr>
          <w:p w:rsidR="00CB68A7" w:rsidRPr="0088653D" w:rsidRDefault="00CB68A7" w:rsidP="00B30A95">
            <w:pPr>
              <w:pStyle w:val="TableText"/>
              <w:spacing w:before="0"/>
              <w:jc w:val="center"/>
              <w:rPr>
                <w:b/>
              </w:rPr>
            </w:pPr>
            <w:r w:rsidRPr="0088653D">
              <w:rPr>
                <w:b/>
              </w:rPr>
              <w:t>%</w:t>
            </w:r>
          </w:p>
        </w:tc>
        <w:tc>
          <w:tcPr>
            <w:tcW w:w="482" w:type="pct"/>
            <w:tcBorders>
              <w:left w:val="single" w:sz="4" w:space="0" w:color="A6A6A6" w:themeColor="background1" w:themeShade="A6"/>
              <w:bottom w:val="single" w:sz="4" w:space="0" w:color="auto"/>
            </w:tcBorders>
            <w:shd w:val="clear" w:color="auto" w:fill="auto"/>
          </w:tcPr>
          <w:p w:rsidR="00CB68A7" w:rsidRPr="0088653D" w:rsidRDefault="00CB68A7" w:rsidP="00B30A95">
            <w:pPr>
              <w:pStyle w:val="TableText"/>
              <w:spacing w:before="0"/>
              <w:jc w:val="center"/>
              <w:rPr>
                <w:b/>
              </w:rPr>
            </w:pPr>
            <w:r w:rsidRPr="0088653D">
              <w:rPr>
                <w:b/>
              </w:rPr>
              <w:t>$m</w:t>
            </w:r>
          </w:p>
        </w:tc>
      </w:tr>
      <w:tr w:rsidR="00CB68A7" w:rsidRPr="005B6B28" w:rsidTr="00B30A95">
        <w:trPr>
          <w:cantSplit/>
        </w:trPr>
        <w:tc>
          <w:tcPr>
            <w:tcW w:w="645" w:type="pct"/>
            <w:tcBorders>
              <w:top w:val="single" w:sz="4" w:space="0" w:color="auto"/>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pPr>
            <w:r w:rsidRPr="005B6B28">
              <w:t>2009/10</w:t>
            </w:r>
          </w:p>
        </w:tc>
        <w:tc>
          <w:tcPr>
            <w:tcW w:w="484" w:type="pct"/>
            <w:tcBorders>
              <w:top w:val="single" w:sz="4" w:space="0" w:color="auto"/>
              <w:left w:val="single" w:sz="4" w:space="0" w:color="A6A6A6" w:themeColor="background1" w:themeShade="A6"/>
              <w:bottom w:val="single" w:sz="4" w:space="0" w:color="A6A6A6" w:themeColor="background1" w:themeShade="A6"/>
            </w:tcBorders>
            <w:shd w:val="clear" w:color="auto" w:fill="auto"/>
          </w:tcPr>
          <w:p w:rsidR="00CB68A7" w:rsidRPr="005B6B28" w:rsidRDefault="00CB68A7" w:rsidP="0088653D">
            <w:pPr>
              <w:pStyle w:val="TableText"/>
              <w:jc w:val="center"/>
            </w:pPr>
            <w:r w:rsidRPr="005B6B28">
              <w:t>849</w:t>
            </w:r>
          </w:p>
        </w:tc>
        <w:tc>
          <w:tcPr>
            <w:tcW w:w="484" w:type="pct"/>
            <w:tcBorders>
              <w:top w:val="single" w:sz="4" w:space="0" w:color="auto"/>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jc w:val="center"/>
            </w:pPr>
            <w:r w:rsidRPr="005B6B28">
              <w:t>44.4</w:t>
            </w:r>
          </w:p>
        </w:tc>
        <w:tc>
          <w:tcPr>
            <w:tcW w:w="484" w:type="pct"/>
            <w:tcBorders>
              <w:top w:val="single" w:sz="4" w:space="0" w:color="auto"/>
              <w:left w:val="single" w:sz="4" w:space="0" w:color="A6A6A6" w:themeColor="background1" w:themeShade="A6"/>
              <w:bottom w:val="single" w:sz="4" w:space="0" w:color="A6A6A6" w:themeColor="background1" w:themeShade="A6"/>
            </w:tcBorders>
            <w:shd w:val="clear" w:color="auto" w:fill="auto"/>
          </w:tcPr>
          <w:p w:rsidR="00CB68A7" w:rsidRPr="005B6B28" w:rsidRDefault="00CB68A7" w:rsidP="0088653D">
            <w:pPr>
              <w:pStyle w:val="TableText"/>
              <w:jc w:val="center"/>
            </w:pPr>
            <w:r w:rsidRPr="005B6B28">
              <w:t>440</w:t>
            </w:r>
          </w:p>
        </w:tc>
        <w:tc>
          <w:tcPr>
            <w:tcW w:w="484" w:type="pct"/>
            <w:tcBorders>
              <w:top w:val="single" w:sz="4" w:space="0" w:color="auto"/>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jc w:val="center"/>
            </w:pPr>
            <w:r w:rsidRPr="005B6B28">
              <w:t>23.0</w:t>
            </w:r>
          </w:p>
        </w:tc>
        <w:tc>
          <w:tcPr>
            <w:tcW w:w="484" w:type="pct"/>
            <w:tcBorders>
              <w:top w:val="single" w:sz="4" w:space="0" w:color="auto"/>
              <w:left w:val="single" w:sz="4" w:space="0" w:color="A6A6A6" w:themeColor="background1" w:themeShade="A6"/>
              <w:bottom w:val="single" w:sz="4" w:space="0" w:color="A6A6A6" w:themeColor="background1" w:themeShade="A6"/>
            </w:tcBorders>
            <w:shd w:val="clear" w:color="auto" w:fill="auto"/>
          </w:tcPr>
          <w:p w:rsidR="00CB68A7" w:rsidRPr="005B6B28" w:rsidRDefault="00CB68A7" w:rsidP="0088653D">
            <w:pPr>
              <w:pStyle w:val="TableText"/>
              <w:jc w:val="center"/>
            </w:pPr>
            <w:r w:rsidRPr="005B6B28">
              <w:t>278</w:t>
            </w:r>
          </w:p>
        </w:tc>
        <w:tc>
          <w:tcPr>
            <w:tcW w:w="484" w:type="pct"/>
            <w:tcBorders>
              <w:top w:val="single" w:sz="4" w:space="0" w:color="auto"/>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jc w:val="center"/>
            </w:pPr>
            <w:r w:rsidRPr="005B6B28">
              <w:t>14.5</w:t>
            </w:r>
          </w:p>
        </w:tc>
        <w:tc>
          <w:tcPr>
            <w:tcW w:w="484" w:type="pct"/>
            <w:tcBorders>
              <w:top w:val="single" w:sz="4" w:space="0" w:color="auto"/>
              <w:left w:val="single" w:sz="4" w:space="0" w:color="A6A6A6" w:themeColor="background1" w:themeShade="A6"/>
              <w:bottom w:val="single" w:sz="4" w:space="0" w:color="A6A6A6" w:themeColor="background1" w:themeShade="A6"/>
            </w:tcBorders>
            <w:shd w:val="clear" w:color="auto" w:fill="auto"/>
          </w:tcPr>
          <w:p w:rsidR="00CB68A7" w:rsidRPr="005B6B28" w:rsidRDefault="00CB68A7" w:rsidP="0088653D">
            <w:pPr>
              <w:pStyle w:val="TableText"/>
              <w:jc w:val="center"/>
            </w:pPr>
            <w:r w:rsidRPr="005B6B28">
              <w:t>347</w:t>
            </w:r>
          </w:p>
        </w:tc>
        <w:tc>
          <w:tcPr>
            <w:tcW w:w="484" w:type="pct"/>
            <w:tcBorders>
              <w:top w:val="single" w:sz="4" w:space="0" w:color="auto"/>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jc w:val="center"/>
            </w:pPr>
            <w:r w:rsidRPr="005B6B28">
              <w:t>18.1</w:t>
            </w:r>
          </w:p>
        </w:tc>
        <w:tc>
          <w:tcPr>
            <w:tcW w:w="482" w:type="pct"/>
            <w:tcBorders>
              <w:top w:val="single" w:sz="4" w:space="0" w:color="auto"/>
              <w:left w:val="single" w:sz="4" w:space="0" w:color="A6A6A6" w:themeColor="background1" w:themeShade="A6"/>
              <w:bottom w:val="single" w:sz="4" w:space="0" w:color="A6A6A6" w:themeColor="background1" w:themeShade="A6"/>
            </w:tcBorders>
            <w:shd w:val="clear" w:color="auto" w:fill="auto"/>
          </w:tcPr>
          <w:p w:rsidR="00CB68A7" w:rsidRPr="005B6B28" w:rsidRDefault="00CB68A7" w:rsidP="0088653D">
            <w:pPr>
              <w:pStyle w:val="TableText"/>
              <w:jc w:val="center"/>
            </w:pPr>
            <w:r w:rsidRPr="005B6B28">
              <w:t>1,914</w:t>
            </w:r>
          </w:p>
        </w:tc>
      </w:tr>
      <w:tr w:rsidR="00CB68A7" w:rsidRPr="005B6B28" w:rsidTr="00B30A95">
        <w:trPr>
          <w:cantSplit/>
        </w:trPr>
        <w:tc>
          <w:tcPr>
            <w:tcW w:w="645"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pPr>
            <w:r w:rsidRPr="005B6B28">
              <w:t>2010/11</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B6B28" w:rsidRDefault="00CB68A7" w:rsidP="0088653D">
            <w:pPr>
              <w:pStyle w:val="TableText"/>
              <w:jc w:val="center"/>
            </w:pPr>
            <w:r w:rsidRPr="005B6B28">
              <w:t>856</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jc w:val="center"/>
            </w:pPr>
            <w:r w:rsidRPr="005B6B28">
              <w:t>43.2</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B6B28" w:rsidRDefault="00CB68A7" w:rsidP="0088653D">
            <w:pPr>
              <w:pStyle w:val="TableText"/>
              <w:jc w:val="center"/>
            </w:pPr>
            <w:r w:rsidRPr="005B6B28">
              <w:t>448</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jc w:val="center"/>
            </w:pPr>
            <w:r w:rsidRPr="005B6B28">
              <w:t>22.6</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B6B28" w:rsidRDefault="00CB68A7" w:rsidP="0088653D">
            <w:pPr>
              <w:pStyle w:val="TableText"/>
              <w:jc w:val="center"/>
            </w:pPr>
            <w:r w:rsidRPr="005B6B28">
              <w:t>273</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jc w:val="center"/>
            </w:pPr>
            <w:r w:rsidRPr="005B6B28">
              <w:t>13.8</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B6B28" w:rsidRDefault="00CB68A7" w:rsidP="0088653D">
            <w:pPr>
              <w:pStyle w:val="TableText"/>
              <w:jc w:val="center"/>
            </w:pPr>
            <w:r w:rsidRPr="005B6B28">
              <w:t>404</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jc w:val="center"/>
            </w:pPr>
            <w:r w:rsidRPr="005B6B28">
              <w:t>20.4</w:t>
            </w:r>
          </w:p>
        </w:tc>
        <w:tc>
          <w:tcPr>
            <w:tcW w:w="482"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CB68A7" w:rsidRPr="005B6B28" w:rsidRDefault="00CB68A7" w:rsidP="0088653D">
            <w:pPr>
              <w:pStyle w:val="TableText"/>
              <w:jc w:val="center"/>
            </w:pPr>
            <w:r w:rsidRPr="005B6B28">
              <w:t>1,982</w:t>
            </w:r>
          </w:p>
        </w:tc>
      </w:tr>
      <w:tr w:rsidR="00CB68A7" w:rsidRPr="005B6B28" w:rsidTr="00B30A95">
        <w:trPr>
          <w:cantSplit/>
        </w:trPr>
        <w:tc>
          <w:tcPr>
            <w:tcW w:w="645"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pPr>
            <w:r w:rsidRPr="005B6B28">
              <w:t>2011/12</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B6B28" w:rsidRDefault="00CB68A7" w:rsidP="0088653D">
            <w:pPr>
              <w:pStyle w:val="TableText"/>
              <w:jc w:val="center"/>
            </w:pPr>
            <w:r w:rsidRPr="005B6B28">
              <w:t>854</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jc w:val="center"/>
            </w:pPr>
            <w:r w:rsidRPr="005B6B28">
              <w:t>41.9</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B6B28" w:rsidRDefault="00CB68A7" w:rsidP="0088653D">
            <w:pPr>
              <w:pStyle w:val="TableText"/>
              <w:jc w:val="center"/>
            </w:pPr>
            <w:r w:rsidRPr="005B6B28">
              <w:t>483</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jc w:val="center"/>
            </w:pPr>
            <w:r w:rsidRPr="005B6B28">
              <w:t>23.7</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B6B28" w:rsidRDefault="00CB68A7" w:rsidP="0088653D">
            <w:pPr>
              <w:pStyle w:val="TableText"/>
              <w:jc w:val="center"/>
            </w:pPr>
            <w:r w:rsidRPr="005B6B28">
              <w:t>283</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jc w:val="center"/>
            </w:pPr>
            <w:r w:rsidRPr="005B6B28">
              <w:t>13.9</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B6B28" w:rsidRDefault="00CB68A7" w:rsidP="0088653D">
            <w:pPr>
              <w:pStyle w:val="TableText"/>
              <w:jc w:val="center"/>
            </w:pPr>
            <w:r w:rsidRPr="005B6B28">
              <w:t>419</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jc w:val="center"/>
            </w:pPr>
            <w:r w:rsidRPr="005B6B28">
              <w:t>20.5</w:t>
            </w:r>
          </w:p>
        </w:tc>
        <w:tc>
          <w:tcPr>
            <w:tcW w:w="482"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CB68A7" w:rsidRPr="005B6B28" w:rsidRDefault="00CB68A7" w:rsidP="0088653D">
            <w:pPr>
              <w:pStyle w:val="TableText"/>
              <w:jc w:val="center"/>
            </w:pPr>
            <w:r w:rsidRPr="005B6B28">
              <w:t>2,038</w:t>
            </w:r>
          </w:p>
        </w:tc>
      </w:tr>
      <w:tr w:rsidR="00CB68A7" w:rsidRPr="005B6B28" w:rsidTr="00B30A95">
        <w:trPr>
          <w:cantSplit/>
        </w:trPr>
        <w:tc>
          <w:tcPr>
            <w:tcW w:w="645"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pPr>
            <w:r w:rsidRPr="005B6B28">
              <w:t>2012/13</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B6B28" w:rsidRDefault="00CB68A7" w:rsidP="0088653D">
            <w:pPr>
              <w:pStyle w:val="TableText"/>
              <w:jc w:val="center"/>
            </w:pPr>
            <w:r w:rsidRPr="005B6B28">
              <w:t>827</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jc w:val="center"/>
            </w:pPr>
            <w:r w:rsidRPr="005B6B28">
              <w:t>40.5</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B6B28" w:rsidRDefault="00CB68A7" w:rsidP="0088653D">
            <w:pPr>
              <w:pStyle w:val="TableText"/>
              <w:jc w:val="center"/>
            </w:pPr>
            <w:r w:rsidRPr="005B6B28">
              <w:t>490</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jc w:val="center"/>
            </w:pPr>
            <w:r w:rsidRPr="005B6B28">
              <w:t>24.0</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B6B28" w:rsidRDefault="00CB68A7" w:rsidP="0088653D">
            <w:pPr>
              <w:pStyle w:val="TableText"/>
              <w:jc w:val="center"/>
            </w:pPr>
            <w:r w:rsidRPr="005B6B28">
              <w:t>294</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jc w:val="center"/>
            </w:pPr>
            <w:r w:rsidRPr="005B6B28">
              <w:t>14.4</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B6B28" w:rsidRDefault="00CB68A7" w:rsidP="0088653D">
            <w:pPr>
              <w:pStyle w:val="TableText"/>
              <w:jc w:val="center"/>
            </w:pPr>
            <w:r w:rsidRPr="005B6B28">
              <w:t>432</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jc w:val="center"/>
            </w:pPr>
            <w:r w:rsidRPr="005B6B28">
              <w:t>21.1</w:t>
            </w:r>
          </w:p>
        </w:tc>
        <w:tc>
          <w:tcPr>
            <w:tcW w:w="482"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CB68A7" w:rsidRPr="005B6B28" w:rsidRDefault="00CB68A7" w:rsidP="0088653D">
            <w:pPr>
              <w:pStyle w:val="TableText"/>
              <w:jc w:val="center"/>
            </w:pPr>
            <w:r w:rsidRPr="005B6B28">
              <w:t>2,042</w:t>
            </w:r>
          </w:p>
        </w:tc>
      </w:tr>
      <w:tr w:rsidR="00CB68A7" w:rsidRPr="005B6B28" w:rsidTr="00B30A95">
        <w:trPr>
          <w:cantSplit/>
        </w:trPr>
        <w:tc>
          <w:tcPr>
            <w:tcW w:w="645"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pPr>
            <w:r w:rsidRPr="005B6B28">
              <w:t>2013/14</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B6B28" w:rsidRDefault="00CB68A7" w:rsidP="0088653D">
            <w:pPr>
              <w:pStyle w:val="TableText"/>
              <w:jc w:val="center"/>
            </w:pPr>
            <w:r w:rsidRPr="005B6B28">
              <w:t>806</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jc w:val="center"/>
            </w:pPr>
            <w:r w:rsidRPr="005B6B28">
              <w:t>39.0</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B6B28" w:rsidRDefault="00CB68A7" w:rsidP="0088653D">
            <w:pPr>
              <w:pStyle w:val="TableText"/>
              <w:jc w:val="center"/>
            </w:pPr>
            <w:r w:rsidRPr="005B6B28">
              <w:t>486</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jc w:val="center"/>
            </w:pPr>
            <w:r w:rsidRPr="005B6B28">
              <w:t>23.5</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B6B28" w:rsidRDefault="00CB68A7" w:rsidP="0088653D">
            <w:pPr>
              <w:pStyle w:val="TableText"/>
              <w:jc w:val="center"/>
            </w:pPr>
            <w:r w:rsidRPr="005B6B28">
              <w:t>310</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jc w:val="center"/>
            </w:pPr>
            <w:r w:rsidRPr="005B6B28">
              <w:t>15.0</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B6B28" w:rsidRDefault="00CB68A7" w:rsidP="0088653D">
            <w:pPr>
              <w:pStyle w:val="TableText"/>
              <w:jc w:val="center"/>
            </w:pPr>
            <w:r w:rsidRPr="005B6B28">
              <w:t>463</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jc w:val="center"/>
            </w:pPr>
            <w:r w:rsidRPr="005B6B28">
              <w:t>22.4</w:t>
            </w:r>
          </w:p>
        </w:tc>
        <w:tc>
          <w:tcPr>
            <w:tcW w:w="482"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CB68A7" w:rsidRPr="005B6B28" w:rsidRDefault="00CB68A7" w:rsidP="0088653D">
            <w:pPr>
              <w:pStyle w:val="TableText"/>
              <w:jc w:val="center"/>
            </w:pPr>
            <w:r w:rsidRPr="005B6B28">
              <w:t>2,065</w:t>
            </w:r>
          </w:p>
        </w:tc>
      </w:tr>
      <w:tr w:rsidR="00CB68A7" w:rsidRPr="005B6B28" w:rsidTr="00B30A95">
        <w:trPr>
          <w:cantSplit/>
        </w:trPr>
        <w:tc>
          <w:tcPr>
            <w:tcW w:w="645"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pPr>
            <w:r w:rsidRPr="005B6B28">
              <w:t>2014/15</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B6B28" w:rsidRDefault="00CB68A7" w:rsidP="0088653D">
            <w:pPr>
              <w:pStyle w:val="TableText"/>
              <w:jc w:val="center"/>
            </w:pPr>
            <w:r w:rsidRPr="005B6B28">
              <w:t>818</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jc w:val="center"/>
            </w:pPr>
            <w:r w:rsidRPr="005B6B28">
              <w:t>39.1</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B6B28" w:rsidRDefault="00CB68A7" w:rsidP="0088653D">
            <w:pPr>
              <w:pStyle w:val="TableText"/>
              <w:jc w:val="center"/>
            </w:pPr>
            <w:r w:rsidRPr="005B6B28">
              <w:t>527</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jc w:val="center"/>
            </w:pPr>
            <w:r w:rsidRPr="005B6B28">
              <w:t>25.2</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B6B28" w:rsidRDefault="00CB68A7" w:rsidP="0088653D">
            <w:pPr>
              <w:pStyle w:val="TableText"/>
              <w:jc w:val="center"/>
            </w:pPr>
            <w:r w:rsidRPr="005B6B28">
              <w:t>325</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jc w:val="center"/>
            </w:pPr>
            <w:r w:rsidRPr="005B6B28">
              <w:t>15.5</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B6B28" w:rsidRDefault="00CB68A7" w:rsidP="0088653D">
            <w:pPr>
              <w:pStyle w:val="TableText"/>
              <w:jc w:val="center"/>
            </w:pPr>
            <w:r w:rsidRPr="005B6B28">
              <w:t>420</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jc w:val="center"/>
            </w:pPr>
            <w:r w:rsidRPr="005B6B28">
              <w:t>20.1</w:t>
            </w:r>
          </w:p>
        </w:tc>
        <w:tc>
          <w:tcPr>
            <w:tcW w:w="482"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CB68A7" w:rsidRPr="005B6B28" w:rsidRDefault="00CB68A7" w:rsidP="0088653D">
            <w:pPr>
              <w:pStyle w:val="TableText"/>
              <w:jc w:val="center"/>
            </w:pPr>
            <w:r w:rsidRPr="005B6B28">
              <w:t>2,091</w:t>
            </w:r>
          </w:p>
        </w:tc>
      </w:tr>
      <w:tr w:rsidR="00CB68A7" w:rsidRPr="005B6B28" w:rsidTr="00B30A95">
        <w:trPr>
          <w:cantSplit/>
        </w:trPr>
        <w:tc>
          <w:tcPr>
            <w:tcW w:w="645"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pPr>
            <w:r w:rsidRPr="005B6B28">
              <w:t>2015/16</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B6B28" w:rsidRDefault="00CB68A7" w:rsidP="0088653D">
            <w:pPr>
              <w:pStyle w:val="TableText"/>
              <w:jc w:val="center"/>
            </w:pPr>
            <w:r w:rsidRPr="005B6B28">
              <w:t>843</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jc w:val="center"/>
            </w:pPr>
            <w:r w:rsidRPr="005B6B28">
              <w:t>38.2</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B6B28" w:rsidRDefault="00CB68A7" w:rsidP="0088653D">
            <w:pPr>
              <w:pStyle w:val="TableText"/>
              <w:jc w:val="center"/>
            </w:pPr>
            <w:r w:rsidRPr="005B6B28">
              <w:t>586</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jc w:val="center"/>
            </w:pPr>
            <w:r w:rsidRPr="005B6B28">
              <w:t>26.5</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B6B28" w:rsidRDefault="00CB68A7" w:rsidP="0088653D">
            <w:pPr>
              <w:pStyle w:val="TableText"/>
              <w:jc w:val="center"/>
            </w:pPr>
            <w:r w:rsidRPr="005B6B28">
              <w:t>342</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jc w:val="center"/>
            </w:pPr>
            <w:r w:rsidRPr="005B6B28">
              <w:t>15.5</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B6B28" w:rsidRDefault="00CB68A7" w:rsidP="0088653D">
            <w:pPr>
              <w:pStyle w:val="TableText"/>
              <w:jc w:val="center"/>
            </w:pPr>
            <w:r w:rsidRPr="005B6B28">
              <w:t>437</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jc w:val="center"/>
            </w:pPr>
            <w:r w:rsidRPr="005B6B28">
              <w:t>19.8</w:t>
            </w:r>
          </w:p>
        </w:tc>
        <w:tc>
          <w:tcPr>
            <w:tcW w:w="482"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CB68A7" w:rsidRPr="005B6B28" w:rsidRDefault="00CB68A7" w:rsidP="0088653D">
            <w:pPr>
              <w:pStyle w:val="TableText"/>
              <w:jc w:val="center"/>
            </w:pPr>
            <w:r w:rsidRPr="005B6B28">
              <w:t>2,209</w:t>
            </w:r>
          </w:p>
        </w:tc>
      </w:tr>
      <w:tr w:rsidR="00CB68A7" w:rsidRPr="005B6B28" w:rsidTr="00B30A95">
        <w:trPr>
          <w:cantSplit/>
        </w:trPr>
        <w:tc>
          <w:tcPr>
            <w:tcW w:w="645" w:type="pct"/>
            <w:tcBorders>
              <w:top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pPr>
            <w:r w:rsidRPr="005B6B28">
              <w:t>2016/17</w:t>
            </w:r>
          </w:p>
        </w:tc>
        <w:tc>
          <w:tcPr>
            <w:tcW w:w="484" w:type="pct"/>
            <w:tcBorders>
              <w:top w:val="single" w:sz="4" w:space="0" w:color="A6A6A6" w:themeColor="background1" w:themeShade="A6"/>
              <w:left w:val="single" w:sz="4" w:space="0" w:color="A6A6A6" w:themeColor="background1" w:themeShade="A6"/>
              <w:bottom w:val="single" w:sz="4" w:space="0" w:color="auto"/>
            </w:tcBorders>
            <w:shd w:val="clear" w:color="auto" w:fill="auto"/>
          </w:tcPr>
          <w:p w:rsidR="00CB68A7" w:rsidRPr="005B6B28" w:rsidRDefault="00CB68A7" w:rsidP="0088653D">
            <w:pPr>
              <w:pStyle w:val="TableText"/>
              <w:jc w:val="center"/>
            </w:pPr>
            <w:r w:rsidRPr="005B6B28">
              <w:t>870</w:t>
            </w:r>
          </w:p>
        </w:tc>
        <w:tc>
          <w:tcPr>
            <w:tcW w:w="484" w:type="pct"/>
            <w:tcBorders>
              <w:top w:val="single" w:sz="4" w:space="0" w:color="A6A6A6" w:themeColor="background1" w:themeShade="A6"/>
              <w:bottom w:val="single" w:sz="4" w:space="0" w:color="auto"/>
              <w:right w:val="single" w:sz="4" w:space="0" w:color="A6A6A6" w:themeColor="background1" w:themeShade="A6"/>
            </w:tcBorders>
            <w:shd w:val="clear" w:color="auto" w:fill="auto"/>
          </w:tcPr>
          <w:p w:rsidR="00CB68A7" w:rsidRPr="005B6B28" w:rsidRDefault="00CB68A7" w:rsidP="0088653D">
            <w:pPr>
              <w:pStyle w:val="TableText"/>
              <w:jc w:val="center"/>
            </w:pPr>
            <w:r w:rsidRPr="005B6B28">
              <w:t>37.3</w:t>
            </w:r>
          </w:p>
        </w:tc>
        <w:tc>
          <w:tcPr>
            <w:tcW w:w="484" w:type="pct"/>
            <w:tcBorders>
              <w:top w:val="single" w:sz="4" w:space="0" w:color="A6A6A6" w:themeColor="background1" w:themeShade="A6"/>
              <w:left w:val="single" w:sz="4" w:space="0" w:color="A6A6A6" w:themeColor="background1" w:themeShade="A6"/>
            </w:tcBorders>
            <w:shd w:val="clear" w:color="auto" w:fill="auto"/>
          </w:tcPr>
          <w:p w:rsidR="00CB68A7" w:rsidRPr="005B6B28" w:rsidRDefault="00CB68A7" w:rsidP="0088653D">
            <w:pPr>
              <w:pStyle w:val="TableText"/>
              <w:jc w:val="center"/>
            </w:pPr>
            <w:r w:rsidRPr="005B6B28">
              <w:t>572</w:t>
            </w:r>
          </w:p>
        </w:tc>
        <w:tc>
          <w:tcPr>
            <w:tcW w:w="484" w:type="pct"/>
            <w:tcBorders>
              <w:top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jc w:val="center"/>
            </w:pPr>
            <w:r w:rsidRPr="005B6B28">
              <w:t>24.5</w:t>
            </w:r>
          </w:p>
        </w:tc>
        <w:tc>
          <w:tcPr>
            <w:tcW w:w="484" w:type="pct"/>
            <w:tcBorders>
              <w:top w:val="single" w:sz="4" w:space="0" w:color="A6A6A6" w:themeColor="background1" w:themeShade="A6"/>
              <w:left w:val="single" w:sz="4" w:space="0" w:color="A6A6A6" w:themeColor="background1" w:themeShade="A6"/>
              <w:bottom w:val="single" w:sz="4" w:space="0" w:color="auto"/>
            </w:tcBorders>
            <w:shd w:val="clear" w:color="auto" w:fill="auto"/>
          </w:tcPr>
          <w:p w:rsidR="00CB68A7" w:rsidRPr="005B6B28" w:rsidRDefault="00CB68A7" w:rsidP="0088653D">
            <w:pPr>
              <w:pStyle w:val="TableText"/>
              <w:jc w:val="center"/>
            </w:pPr>
            <w:r w:rsidRPr="005B6B28">
              <w:t>338</w:t>
            </w:r>
          </w:p>
        </w:tc>
        <w:tc>
          <w:tcPr>
            <w:tcW w:w="484" w:type="pct"/>
            <w:tcBorders>
              <w:top w:val="single" w:sz="4" w:space="0" w:color="A6A6A6" w:themeColor="background1" w:themeShade="A6"/>
              <w:bottom w:val="single" w:sz="4" w:space="0" w:color="auto"/>
              <w:right w:val="single" w:sz="4" w:space="0" w:color="A6A6A6" w:themeColor="background1" w:themeShade="A6"/>
            </w:tcBorders>
            <w:shd w:val="clear" w:color="auto" w:fill="auto"/>
          </w:tcPr>
          <w:p w:rsidR="00CB68A7" w:rsidRPr="005B6B28" w:rsidRDefault="00CB68A7" w:rsidP="0088653D">
            <w:pPr>
              <w:pStyle w:val="TableText"/>
              <w:jc w:val="center"/>
            </w:pPr>
            <w:r w:rsidRPr="005B6B28">
              <w:t>14.5</w:t>
            </w:r>
          </w:p>
        </w:tc>
        <w:tc>
          <w:tcPr>
            <w:tcW w:w="484" w:type="pct"/>
            <w:tcBorders>
              <w:top w:val="single" w:sz="4" w:space="0" w:color="A6A6A6" w:themeColor="background1" w:themeShade="A6"/>
              <w:left w:val="single" w:sz="4" w:space="0" w:color="A6A6A6" w:themeColor="background1" w:themeShade="A6"/>
            </w:tcBorders>
            <w:shd w:val="clear" w:color="auto" w:fill="auto"/>
          </w:tcPr>
          <w:p w:rsidR="00CB68A7" w:rsidRPr="005B6B28" w:rsidRDefault="00CB68A7" w:rsidP="0088653D">
            <w:pPr>
              <w:pStyle w:val="TableText"/>
              <w:jc w:val="center"/>
            </w:pPr>
            <w:r w:rsidRPr="005B6B28">
              <w:t>555</w:t>
            </w:r>
          </w:p>
        </w:tc>
        <w:tc>
          <w:tcPr>
            <w:tcW w:w="484" w:type="pct"/>
            <w:tcBorders>
              <w:top w:val="single" w:sz="4" w:space="0" w:color="A6A6A6" w:themeColor="background1" w:themeShade="A6"/>
              <w:right w:val="single" w:sz="4" w:space="0" w:color="A6A6A6" w:themeColor="background1" w:themeShade="A6"/>
            </w:tcBorders>
            <w:shd w:val="clear" w:color="auto" w:fill="auto"/>
          </w:tcPr>
          <w:p w:rsidR="00CB68A7" w:rsidRPr="005B6B28" w:rsidRDefault="00CB68A7" w:rsidP="0088653D">
            <w:pPr>
              <w:pStyle w:val="TableText"/>
              <w:jc w:val="center"/>
            </w:pPr>
            <w:r w:rsidRPr="005B6B28">
              <w:t>23.8</w:t>
            </w:r>
          </w:p>
        </w:tc>
        <w:tc>
          <w:tcPr>
            <w:tcW w:w="482" w:type="pct"/>
            <w:tcBorders>
              <w:top w:val="single" w:sz="4" w:space="0" w:color="A6A6A6" w:themeColor="background1" w:themeShade="A6"/>
              <w:left w:val="single" w:sz="4" w:space="0" w:color="A6A6A6" w:themeColor="background1" w:themeShade="A6"/>
              <w:bottom w:val="single" w:sz="4" w:space="0" w:color="auto"/>
            </w:tcBorders>
            <w:shd w:val="clear" w:color="auto" w:fill="auto"/>
          </w:tcPr>
          <w:p w:rsidR="00CB68A7" w:rsidRPr="005B6B28" w:rsidRDefault="00CB68A7" w:rsidP="0088653D">
            <w:pPr>
              <w:pStyle w:val="TableText"/>
              <w:jc w:val="center"/>
            </w:pPr>
            <w:r w:rsidRPr="005B6B28">
              <w:t>2,334</w:t>
            </w:r>
          </w:p>
        </w:tc>
      </w:tr>
    </w:tbl>
    <w:p w:rsidR="00EC3578" w:rsidRDefault="00CB68A7" w:rsidP="0088653D">
      <w:pPr>
        <w:pStyle w:val="Source"/>
      </w:pPr>
      <w:r w:rsidRPr="005B6B28">
        <w:t>Source:</w:t>
      </w:r>
      <w:r>
        <w:t xml:space="preserve"> The</w:t>
      </w:r>
      <w:r w:rsidRPr="005B6B28">
        <w:t xml:space="preserve"> DIA expenditure figures from </w:t>
      </w:r>
      <w:r>
        <w:t xml:space="preserve">its </w:t>
      </w:r>
      <w:r w:rsidRPr="005B6B28">
        <w:t xml:space="preserve">website. </w:t>
      </w:r>
      <w:hyperlink r:id="rId61" w:history="1">
        <w:r w:rsidRPr="00B40B28">
          <w:rPr>
            <w:rStyle w:val="Hyperlink"/>
          </w:rPr>
          <w:t>URL: www</w:t>
        </w:r>
      </w:hyperlink>
      <w:r>
        <w:rPr>
          <w:rStyle w:val="Hyperlink"/>
        </w:rPr>
        <w:t>.</w:t>
      </w:r>
      <w:r w:rsidRPr="00073020">
        <w:rPr>
          <w:rStyle w:val="Hyperlink"/>
        </w:rPr>
        <w:t>dia.govt.nz/diawebsite.nsf/wpg_URL/Resource-material-Information-We-Provide-Gambling-Expenditure-Statistics</w:t>
      </w:r>
      <w:r>
        <w:rPr>
          <w:rStyle w:val="Hyperlink"/>
        </w:rPr>
        <w:t xml:space="preserve"> (accessed 10 June 2018).</w:t>
      </w:r>
    </w:p>
    <w:p w:rsidR="00CB68A7" w:rsidRDefault="00CB68A7" w:rsidP="0088653D">
      <w:pPr>
        <w:pStyle w:val="Note"/>
      </w:pPr>
      <w:r>
        <w:t>Notes:</w:t>
      </w:r>
      <w:r w:rsidRPr="006A0702">
        <w:t xml:space="preserve"> </w:t>
      </w:r>
      <w:r w:rsidRPr="005B6B28">
        <w:t>All values are actual (not inflation adjusted), in NZ dollars, GST inclusive and rounded to the nearest million.</w:t>
      </w:r>
      <w:r>
        <w:t xml:space="preserve"> The sum of the rows may differ from the total shown in the </w:t>
      </w:r>
      <w:r w:rsidR="00EC3578">
        <w:t>‘</w:t>
      </w:r>
      <w:r>
        <w:t>Total</w:t>
      </w:r>
      <w:r w:rsidR="00EC3578">
        <w:t>’</w:t>
      </w:r>
      <w:r>
        <w:t xml:space="preserve"> column due to rounding.</w:t>
      </w:r>
    </w:p>
    <w:p w:rsidR="0088653D" w:rsidRPr="0088653D" w:rsidRDefault="0088653D" w:rsidP="0088653D"/>
    <w:p w:rsidR="0088653D" w:rsidRDefault="00CB68A7" w:rsidP="0088653D">
      <w:pPr>
        <w:pStyle w:val="Figure"/>
      </w:pPr>
      <w:bookmarkStart w:id="207" w:name="_Toc516836149"/>
      <w:bookmarkStart w:id="208" w:name="_Toc522089427"/>
      <w:r w:rsidRPr="00003227">
        <w:t xml:space="preserve">Figure </w:t>
      </w:r>
      <w:r w:rsidR="005754D6">
        <w:t>6</w:t>
      </w:r>
      <w:r w:rsidR="0088653D">
        <w:t>:</w:t>
      </w:r>
      <w:r w:rsidRPr="00B510C7">
        <w:t xml:space="preserve"> </w:t>
      </w:r>
      <w:r w:rsidRPr="00FF734C">
        <w:t xml:space="preserve">Gambling </w:t>
      </w:r>
      <w:r>
        <w:t xml:space="preserve">expenditure by year </w:t>
      </w:r>
      <w:r w:rsidRPr="00227DDB">
        <w:t>from the four main sectors, 2009/10 to 2016/17</w:t>
      </w:r>
      <w:bookmarkEnd w:id="207"/>
      <w:bookmarkEnd w:id="208"/>
    </w:p>
    <w:p w:rsidR="00C1238B" w:rsidRDefault="00B45777" w:rsidP="00C1238B">
      <w:r>
        <w:rPr>
          <w:noProof/>
          <w:lang w:eastAsia="en-NZ"/>
        </w:rPr>
        <w:drawing>
          <wp:inline distT="0" distB="0" distL="0" distR="0" wp14:anchorId="0D3DF8E6" wp14:editId="1D8252FE">
            <wp:extent cx="5053965" cy="3011805"/>
            <wp:effectExtent l="0" t="0" r="0" b="0"/>
            <wp:docPr id="6" name="Picture 6" title="Figure 6: Gambling expenditure by year from the four main sectors, 2009/10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53965" cy="3011805"/>
                    </a:xfrm>
                    <a:prstGeom prst="rect">
                      <a:avLst/>
                    </a:prstGeom>
                    <a:noFill/>
                  </pic:spPr>
                </pic:pic>
              </a:graphicData>
            </a:graphic>
          </wp:inline>
        </w:drawing>
      </w:r>
    </w:p>
    <w:p w:rsidR="00D61CE9" w:rsidRPr="00C1238B" w:rsidRDefault="00D61CE9" w:rsidP="00D61CE9"/>
    <w:p w:rsidR="00EC3578" w:rsidRDefault="00CB68A7" w:rsidP="00B30A95">
      <w:pPr>
        <w:keepNext/>
        <w:rPr>
          <w:lang w:eastAsia="en-US"/>
        </w:rPr>
      </w:pPr>
      <w:r>
        <w:rPr>
          <w:lang w:eastAsia="en-US"/>
        </w:rPr>
        <w:lastRenderedPageBreak/>
        <w:t>While the total money spent gambling increased in all four sectors between 2009/10 and 201</w:t>
      </w:r>
      <w:r w:rsidR="0088653D">
        <w:rPr>
          <w:lang w:eastAsia="en-US"/>
        </w:rPr>
        <w:t>6</w:t>
      </w:r>
      <w:r>
        <w:rPr>
          <w:lang w:eastAsia="en-US"/>
        </w:rPr>
        <w:t>/17:</w:t>
      </w:r>
    </w:p>
    <w:p w:rsidR="00EC3578" w:rsidRDefault="00CB68A7" w:rsidP="00B30A95">
      <w:pPr>
        <w:pStyle w:val="Bullet"/>
        <w:keepNext/>
        <w:rPr>
          <w:lang w:eastAsia="en-US"/>
        </w:rPr>
      </w:pPr>
      <w:r>
        <w:rPr>
          <w:lang w:eastAsia="en-US"/>
        </w:rPr>
        <w:t>the proportion of total expenditure on NCGMs declined from 44–37</w:t>
      </w:r>
      <w:r w:rsidRPr="00CF1E46">
        <w:rPr>
          <w:lang w:eastAsia="en-US"/>
        </w:rPr>
        <w:t xml:space="preserve"> </w:t>
      </w:r>
      <w:r>
        <w:rPr>
          <w:lang w:eastAsia="en-US"/>
        </w:rPr>
        <w:t>percent</w:t>
      </w:r>
    </w:p>
    <w:p w:rsidR="00EC3578" w:rsidRDefault="00CB68A7" w:rsidP="0088653D">
      <w:pPr>
        <w:pStyle w:val="Bullet"/>
        <w:rPr>
          <w:lang w:eastAsia="en-US"/>
        </w:rPr>
      </w:pPr>
      <w:r>
        <w:rPr>
          <w:lang w:eastAsia="en-US"/>
        </w:rPr>
        <w:t>the proportion of total expenditure on NZLC products increased from 18–24</w:t>
      </w:r>
      <w:r w:rsidRPr="00CF1E46">
        <w:rPr>
          <w:lang w:eastAsia="en-US"/>
        </w:rPr>
        <w:t xml:space="preserve"> </w:t>
      </w:r>
      <w:r>
        <w:rPr>
          <w:lang w:eastAsia="en-US"/>
        </w:rPr>
        <w:t>percent</w:t>
      </w:r>
    </w:p>
    <w:p w:rsidR="00EC3578" w:rsidRDefault="00CB68A7" w:rsidP="0088653D">
      <w:pPr>
        <w:pStyle w:val="Bullet"/>
        <w:rPr>
          <w:lang w:eastAsia="en-US"/>
        </w:rPr>
      </w:pPr>
      <w:proofErr w:type="gramStart"/>
      <w:r>
        <w:rPr>
          <w:lang w:eastAsia="en-US"/>
        </w:rPr>
        <w:t>the</w:t>
      </w:r>
      <w:proofErr w:type="gramEnd"/>
      <w:r>
        <w:rPr>
          <w:lang w:eastAsia="en-US"/>
        </w:rPr>
        <w:t xml:space="preserve"> proportion of total </w:t>
      </w:r>
      <w:r w:rsidRPr="00F37280">
        <w:rPr>
          <w:lang w:eastAsia="en-US"/>
        </w:rPr>
        <w:t>expenditure</w:t>
      </w:r>
      <w:r>
        <w:rPr>
          <w:lang w:eastAsia="en-US"/>
        </w:rPr>
        <w:t xml:space="preserve"> remained relatively constant for casinos (23–25%) and the NZRB (14–16%).</w:t>
      </w:r>
    </w:p>
    <w:p w:rsidR="0088653D" w:rsidRDefault="0088653D" w:rsidP="0088653D">
      <w:pPr>
        <w:rPr>
          <w:lang w:eastAsia="en-US"/>
        </w:rPr>
      </w:pPr>
    </w:p>
    <w:p w:rsidR="00CB68A7" w:rsidRDefault="00CB68A7" w:rsidP="0088653D">
      <w:pPr>
        <w:rPr>
          <w:lang w:eastAsia="en-US"/>
        </w:rPr>
      </w:pPr>
      <w:r>
        <w:rPr>
          <w:lang w:eastAsia="en-US"/>
        </w:rPr>
        <w:t xml:space="preserve">The </w:t>
      </w:r>
      <w:r w:rsidRPr="00C10A99">
        <w:rPr>
          <w:lang w:eastAsia="en-US"/>
        </w:rPr>
        <w:t>DIA has estimated current player expenditure using a variety of sources of information, including its NCGM electronic monitoring system</w:t>
      </w:r>
      <w:r>
        <w:rPr>
          <w:lang w:eastAsia="en-US"/>
        </w:rPr>
        <w:t xml:space="preserve"> (EMS)</w:t>
      </w:r>
      <w:r w:rsidRPr="00C10A99">
        <w:rPr>
          <w:lang w:eastAsia="en-US"/>
        </w:rPr>
        <w:t>, gambling operators</w:t>
      </w:r>
      <w:r w:rsidR="00EC3578">
        <w:rPr>
          <w:lang w:eastAsia="en-US"/>
        </w:rPr>
        <w:t>’</w:t>
      </w:r>
      <w:r w:rsidRPr="00C10A99">
        <w:rPr>
          <w:lang w:eastAsia="en-US"/>
        </w:rPr>
        <w:t xml:space="preserve"> annual and half-yearly reports and information from IRD.</w:t>
      </w:r>
      <w:r w:rsidRPr="0088653D">
        <w:rPr>
          <w:rStyle w:val="FootnoteReference"/>
        </w:rPr>
        <w:footnoteReference w:id="7"/>
      </w:r>
      <w:r w:rsidRPr="00E312E8">
        <w:rPr>
          <w:lang w:eastAsia="en-US"/>
        </w:rPr>
        <w:t xml:space="preserve"> Other data on gambling expenditure are available on the DIA website</w:t>
      </w:r>
      <w:r>
        <w:rPr>
          <w:lang w:eastAsia="en-US"/>
        </w:rPr>
        <w:t xml:space="preserve"> (</w:t>
      </w:r>
      <w:hyperlink r:id="rId63" w:history="1">
        <w:r w:rsidRPr="0041634D">
          <w:rPr>
            <w:rStyle w:val="Hyperlink"/>
            <w:lang w:eastAsia="en-US"/>
          </w:rPr>
          <w:t>www.dia.govt.nz</w:t>
        </w:r>
      </w:hyperlink>
      <w:r>
        <w:rPr>
          <w:lang w:eastAsia="en-US"/>
        </w:rPr>
        <w:t>).</w:t>
      </w:r>
    </w:p>
    <w:p w:rsidR="00CB68A7" w:rsidRDefault="00CB68A7" w:rsidP="0088653D">
      <w:pPr>
        <w:rPr>
          <w:lang w:eastAsia="en-US"/>
        </w:rPr>
      </w:pPr>
    </w:p>
    <w:p w:rsidR="00CB68A7" w:rsidRPr="00C10A99" w:rsidRDefault="00CB68A7" w:rsidP="0088653D">
      <w:pPr>
        <w:pStyle w:val="Heading3"/>
      </w:pPr>
      <w:bookmarkStart w:id="209" w:name="_Toc65389477"/>
      <w:r w:rsidRPr="00C10A99">
        <w:t>Presentations (B)</w:t>
      </w:r>
      <w:bookmarkEnd w:id="209"/>
    </w:p>
    <w:p w:rsidR="00CB68A7" w:rsidRPr="00E312E8" w:rsidRDefault="00CB68A7" w:rsidP="0088653D">
      <w:r w:rsidRPr="00C10A99">
        <w:t>The formula in the Act requires the levy rate calculation to take into account the latest, most reliable and most appropriate sources of information from the Ministry on c</w:t>
      </w:r>
      <w:r>
        <w:t xml:space="preserve">lient </w:t>
      </w:r>
      <w:r w:rsidRPr="00C10A99">
        <w:t>presentations to problem gambling sources.</w:t>
      </w:r>
    </w:p>
    <w:p w:rsidR="0088653D" w:rsidRDefault="0088653D" w:rsidP="0088653D"/>
    <w:p w:rsidR="00CB68A7" w:rsidRPr="00C10A99" w:rsidRDefault="00CB68A7" w:rsidP="0088653D">
      <w:r w:rsidRPr="00C10A99">
        <w:t xml:space="preserve">The Ministry generated the presentation figures used in the levy calculations in this consultation document from data collected by its psychosocial intervention service providers. The figures relate to all clients who received a full facilitation or follow-up intervention session during the 12-month period from </w:t>
      </w:r>
      <w:r w:rsidRPr="00D91C0F">
        <w:t>1 January to 31 December</w:t>
      </w:r>
      <w:r>
        <w:t xml:space="preserve"> </w:t>
      </w:r>
      <w:r w:rsidRPr="00D91C0F">
        <w:t>2017</w:t>
      </w:r>
      <w:r w:rsidRPr="00C10A99">
        <w:t xml:space="preserve">. </w:t>
      </w:r>
      <w:r>
        <w:t>The figures exclude b</w:t>
      </w:r>
      <w:r w:rsidRPr="00C10A99">
        <w:t>rief screening interventions</w:t>
      </w:r>
      <w:r>
        <w:t>,</w:t>
      </w:r>
      <w:r w:rsidRPr="00C10A99">
        <w:t xml:space="preserve"> and primary problem gambling modes (PPGMs) in gambling sectors that are not subject to the levy are excluded</w:t>
      </w:r>
      <w:r>
        <w:t xml:space="preserve"> (for </w:t>
      </w:r>
      <w:r w:rsidRPr="00C10A99">
        <w:t>reasons that have been canvassed in detail in documentation of previous levy-setting processes</w:t>
      </w:r>
      <w:r>
        <w:t>).</w:t>
      </w:r>
    </w:p>
    <w:p w:rsidR="0088653D" w:rsidRDefault="0088653D" w:rsidP="0088653D"/>
    <w:p w:rsidR="00CB68A7" w:rsidRPr="00C10A99" w:rsidRDefault="00CB68A7" w:rsidP="0088653D">
      <w:r w:rsidRPr="00C10A99">
        <w:t>The Ministry will update the presentation figures before the Gambling Commission</w:t>
      </w:r>
      <w:r w:rsidR="00EC3578">
        <w:t>’</w:t>
      </w:r>
      <w:r w:rsidRPr="00C10A99">
        <w:t xml:space="preserve">s consultation meeting, to the year ending </w:t>
      </w:r>
      <w:r w:rsidRPr="00D91C0F">
        <w:t>30 June 2018</w:t>
      </w:r>
      <w:r w:rsidRPr="00C10A99">
        <w:t xml:space="preserve">, and will include the updated figures in its proposals document for that meeting. </w:t>
      </w:r>
      <w:r>
        <w:t xml:space="preserve">Past experience suggests </w:t>
      </w:r>
      <w:r w:rsidRPr="00C10A99">
        <w:t xml:space="preserve">there should be very little, if any, change to the levy rates </w:t>
      </w:r>
      <w:r>
        <w:t>in that updated</w:t>
      </w:r>
      <w:r w:rsidRPr="00C10A99">
        <w:t xml:space="preserve"> data.</w:t>
      </w:r>
    </w:p>
    <w:p w:rsidR="0088653D" w:rsidRDefault="0088653D" w:rsidP="0088653D"/>
    <w:p w:rsidR="00CB68A7" w:rsidRPr="00C10A99" w:rsidRDefault="00CB68A7" w:rsidP="0088653D">
      <w:r w:rsidRPr="00C10A99">
        <w:t>Each qualifying client within each service provider counts as only one presentation for any specified time period (for example, during the course of a given 12-month period).</w:t>
      </w:r>
    </w:p>
    <w:p w:rsidR="0088653D" w:rsidRDefault="0088653D" w:rsidP="0088653D"/>
    <w:p w:rsidR="00CB68A7" w:rsidRPr="00E312E8" w:rsidRDefault="00CB68A7" w:rsidP="0088653D">
      <w:r w:rsidRPr="00C10A99">
        <w:t>No changes have been made to the way in which the Ministry has recorded or weighted PPGMs since the last levy period. As previous consultation documents have discussed the meaning of PPGMs at length, the Ministry does not intend to repeat th</w:t>
      </w:r>
      <w:r>
        <w:t>at</w:t>
      </w:r>
      <w:r w:rsidRPr="00C10A99">
        <w:t xml:space="preserve"> detail in this document but can provide an in-depth description if required.</w:t>
      </w:r>
    </w:p>
    <w:p w:rsidR="0088653D" w:rsidRDefault="0088653D" w:rsidP="0088653D"/>
    <w:p w:rsidR="00CB68A7" w:rsidRDefault="00CB68A7" w:rsidP="0088653D">
      <w:r w:rsidRPr="00557E12">
        <w:t xml:space="preserve">Table </w:t>
      </w:r>
      <w:r>
        <w:t>20</w:t>
      </w:r>
      <w:r w:rsidRPr="00557E12">
        <w:t xml:space="preserve"> </w:t>
      </w:r>
      <w:r>
        <w:t xml:space="preserve">and Figure 5 below show </w:t>
      </w:r>
      <w:r w:rsidRPr="00557E12">
        <w:t>the presentations attributed to each of the four levy-paying sectors each year from 2004/05 onwards. Note that the 2017 figures are for the 12-month period from 1 January 2017 to 31 December 2017, not for the year ended 30 June 2018.</w:t>
      </w:r>
    </w:p>
    <w:p w:rsidR="00CB68A7" w:rsidRPr="00C10A99" w:rsidRDefault="00CB68A7" w:rsidP="0088653D"/>
    <w:p w:rsidR="00CB68A7" w:rsidRPr="00BC3003" w:rsidRDefault="00CB68A7" w:rsidP="0088653D">
      <w:pPr>
        <w:pStyle w:val="Table"/>
      </w:pPr>
      <w:bookmarkStart w:id="210" w:name="_Toc517091245"/>
      <w:bookmarkStart w:id="211" w:name="_Toc522089449"/>
      <w:r w:rsidRPr="00FF734C">
        <w:lastRenderedPageBreak/>
        <w:t>Table 20</w:t>
      </w:r>
      <w:r w:rsidRPr="00227DDB">
        <w:t>: Presentations and proportions attributed to the four main sectors, 2004/05 to 2016/17</w:t>
      </w:r>
      <w:bookmarkEnd w:id="210"/>
      <w:bookmarkEnd w:id="211"/>
    </w:p>
    <w:tbl>
      <w:tblPr>
        <w:tblW w:w="5000" w:type="pct"/>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06"/>
        <w:gridCol w:w="905"/>
        <w:gridCol w:w="906"/>
        <w:gridCol w:w="906"/>
        <w:gridCol w:w="906"/>
        <w:gridCol w:w="906"/>
        <w:gridCol w:w="906"/>
        <w:gridCol w:w="906"/>
        <w:gridCol w:w="906"/>
        <w:gridCol w:w="902"/>
      </w:tblGrid>
      <w:tr w:rsidR="00CB68A7" w:rsidRPr="00C10A99" w:rsidTr="000E6FA7">
        <w:trPr>
          <w:cantSplit/>
        </w:trPr>
        <w:tc>
          <w:tcPr>
            <w:tcW w:w="645" w:type="pct"/>
            <w:vMerge w:val="restart"/>
            <w:tcBorders>
              <w:top w:val="single" w:sz="4" w:space="0" w:color="auto"/>
              <w:bottom w:val="nil"/>
              <w:right w:val="single" w:sz="4" w:space="0" w:color="A6A6A6" w:themeColor="background1" w:themeShade="A6"/>
            </w:tcBorders>
            <w:shd w:val="clear" w:color="auto" w:fill="auto"/>
          </w:tcPr>
          <w:p w:rsidR="00CB68A7" w:rsidRPr="00557E12" w:rsidRDefault="00CB68A7" w:rsidP="000E6FA7">
            <w:pPr>
              <w:pStyle w:val="TableText"/>
              <w:keepNext/>
            </w:pPr>
          </w:p>
        </w:tc>
        <w:tc>
          <w:tcPr>
            <w:tcW w:w="968" w:type="pct"/>
            <w:gridSpan w:val="2"/>
            <w:tcBorders>
              <w:top w:val="single" w:sz="4" w:space="0" w:color="auto"/>
              <w:left w:val="single" w:sz="4" w:space="0" w:color="A6A6A6" w:themeColor="background1" w:themeShade="A6"/>
              <w:bottom w:val="nil"/>
              <w:right w:val="single" w:sz="4" w:space="0" w:color="A6A6A6" w:themeColor="background1" w:themeShade="A6"/>
            </w:tcBorders>
            <w:shd w:val="clear" w:color="auto" w:fill="auto"/>
          </w:tcPr>
          <w:p w:rsidR="00CB68A7" w:rsidRPr="0088653D" w:rsidRDefault="00CB68A7" w:rsidP="000E6FA7">
            <w:pPr>
              <w:pStyle w:val="TableText"/>
              <w:keepNext/>
              <w:jc w:val="center"/>
              <w:rPr>
                <w:b/>
              </w:rPr>
            </w:pPr>
            <w:r w:rsidRPr="0088653D">
              <w:rPr>
                <w:b/>
              </w:rPr>
              <w:t>NCGMs</w:t>
            </w:r>
          </w:p>
        </w:tc>
        <w:tc>
          <w:tcPr>
            <w:tcW w:w="968" w:type="pct"/>
            <w:gridSpan w:val="2"/>
            <w:tcBorders>
              <w:top w:val="single" w:sz="4" w:space="0" w:color="auto"/>
              <w:left w:val="single" w:sz="4" w:space="0" w:color="A6A6A6" w:themeColor="background1" w:themeShade="A6"/>
              <w:bottom w:val="nil"/>
              <w:right w:val="single" w:sz="4" w:space="0" w:color="A6A6A6" w:themeColor="background1" w:themeShade="A6"/>
            </w:tcBorders>
            <w:shd w:val="clear" w:color="auto" w:fill="auto"/>
          </w:tcPr>
          <w:p w:rsidR="00CB68A7" w:rsidRPr="0088653D" w:rsidRDefault="00CB68A7" w:rsidP="000E6FA7">
            <w:pPr>
              <w:pStyle w:val="TableText"/>
              <w:keepNext/>
              <w:jc w:val="center"/>
              <w:rPr>
                <w:b/>
              </w:rPr>
            </w:pPr>
            <w:r w:rsidRPr="0088653D">
              <w:rPr>
                <w:b/>
              </w:rPr>
              <w:t>Casinos</w:t>
            </w:r>
          </w:p>
        </w:tc>
        <w:tc>
          <w:tcPr>
            <w:tcW w:w="968" w:type="pct"/>
            <w:gridSpan w:val="2"/>
            <w:tcBorders>
              <w:top w:val="single" w:sz="4" w:space="0" w:color="auto"/>
              <w:left w:val="single" w:sz="4" w:space="0" w:color="A6A6A6" w:themeColor="background1" w:themeShade="A6"/>
              <w:bottom w:val="nil"/>
              <w:right w:val="single" w:sz="4" w:space="0" w:color="A6A6A6" w:themeColor="background1" w:themeShade="A6"/>
            </w:tcBorders>
            <w:shd w:val="clear" w:color="auto" w:fill="auto"/>
          </w:tcPr>
          <w:p w:rsidR="00CB68A7" w:rsidRPr="0088653D" w:rsidRDefault="00CB68A7" w:rsidP="000E6FA7">
            <w:pPr>
              <w:pStyle w:val="TableText"/>
              <w:keepNext/>
              <w:jc w:val="center"/>
              <w:rPr>
                <w:b/>
              </w:rPr>
            </w:pPr>
            <w:r w:rsidRPr="0088653D">
              <w:rPr>
                <w:b/>
              </w:rPr>
              <w:t>NZRB</w:t>
            </w:r>
          </w:p>
        </w:tc>
        <w:tc>
          <w:tcPr>
            <w:tcW w:w="968" w:type="pct"/>
            <w:gridSpan w:val="2"/>
            <w:tcBorders>
              <w:top w:val="single" w:sz="4" w:space="0" w:color="auto"/>
              <w:left w:val="single" w:sz="4" w:space="0" w:color="A6A6A6" w:themeColor="background1" w:themeShade="A6"/>
              <w:bottom w:val="nil"/>
              <w:right w:val="single" w:sz="4" w:space="0" w:color="A6A6A6" w:themeColor="background1" w:themeShade="A6"/>
            </w:tcBorders>
            <w:shd w:val="clear" w:color="auto" w:fill="auto"/>
          </w:tcPr>
          <w:p w:rsidR="00CB68A7" w:rsidRPr="0088653D" w:rsidRDefault="00CB68A7" w:rsidP="000E6FA7">
            <w:pPr>
              <w:pStyle w:val="TableText"/>
              <w:keepNext/>
              <w:jc w:val="center"/>
              <w:rPr>
                <w:b/>
              </w:rPr>
            </w:pPr>
            <w:r w:rsidRPr="0088653D">
              <w:rPr>
                <w:b/>
              </w:rPr>
              <w:t>NZLC</w:t>
            </w:r>
          </w:p>
        </w:tc>
        <w:tc>
          <w:tcPr>
            <w:tcW w:w="482" w:type="pct"/>
            <w:tcBorders>
              <w:top w:val="single" w:sz="4" w:space="0" w:color="auto"/>
              <w:left w:val="single" w:sz="4" w:space="0" w:color="A6A6A6" w:themeColor="background1" w:themeShade="A6"/>
              <w:bottom w:val="nil"/>
            </w:tcBorders>
            <w:shd w:val="clear" w:color="auto" w:fill="auto"/>
          </w:tcPr>
          <w:p w:rsidR="00CB68A7" w:rsidRPr="0088653D" w:rsidRDefault="00CB68A7" w:rsidP="000E6FA7">
            <w:pPr>
              <w:pStyle w:val="TableText"/>
              <w:keepNext/>
              <w:jc w:val="center"/>
              <w:rPr>
                <w:b/>
              </w:rPr>
            </w:pPr>
            <w:r w:rsidRPr="0088653D">
              <w:rPr>
                <w:b/>
              </w:rPr>
              <w:t>Total</w:t>
            </w:r>
          </w:p>
        </w:tc>
      </w:tr>
      <w:tr w:rsidR="00CB68A7" w:rsidRPr="00C10A99" w:rsidTr="000E6FA7">
        <w:trPr>
          <w:cantSplit/>
        </w:trPr>
        <w:tc>
          <w:tcPr>
            <w:tcW w:w="645" w:type="pct"/>
            <w:vMerge/>
            <w:tcBorders>
              <w:top w:val="nil"/>
              <w:bottom w:val="single" w:sz="4" w:space="0" w:color="auto"/>
              <w:right w:val="single" w:sz="4" w:space="0" w:color="A6A6A6" w:themeColor="background1" w:themeShade="A6"/>
            </w:tcBorders>
            <w:shd w:val="clear" w:color="auto" w:fill="auto"/>
          </w:tcPr>
          <w:p w:rsidR="00CB68A7" w:rsidRPr="00557E12" w:rsidRDefault="00CB68A7" w:rsidP="000E6FA7">
            <w:pPr>
              <w:pStyle w:val="TableText"/>
              <w:keepNext/>
            </w:pPr>
          </w:p>
        </w:tc>
        <w:tc>
          <w:tcPr>
            <w:tcW w:w="484" w:type="pct"/>
            <w:tcBorders>
              <w:top w:val="nil"/>
              <w:left w:val="single" w:sz="4" w:space="0" w:color="A6A6A6" w:themeColor="background1" w:themeShade="A6"/>
              <w:bottom w:val="single" w:sz="4" w:space="0" w:color="auto"/>
              <w:right w:val="nil"/>
            </w:tcBorders>
            <w:shd w:val="clear" w:color="auto" w:fill="auto"/>
          </w:tcPr>
          <w:p w:rsidR="00CB68A7" w:rsidRPr="0088653D" w:rsidRDefault="00CB68A7" w:rsidP="00B30A95">
            <w:pPr>
              <w:pStyle w:val="TableText"/>
              <w:keepNext/>
              <w:spacing w:before="0"/>
              <w:jc w:val="center"/>
              <w:rPr>
                <w:b/>
              </w:rPr>
            </w:pPr>
            <w:r w:rsidRPr="0088653D">
              <w:rPr>
                <w:b/>
              </w:rPr>
              <w:t>n</w:t>
            </w:r>
          </w:p>
        </w:tc>
        <w:tc>
          <w:tcPr>
            <w:tcW w:w="484" w:type="pct"/>
            <w:tcBorders>
              <w:top w:val="nil"/>
              <w:left w:val="nil"/>
              <w:bottom w:val="single" w:sz="4" w:space="0" w:color="auto"/>
              <w:right w:val="single" w:sz="4" w:space="0" w:color="A6A6A6" w:themeColor="background1" w:themeShade="A6"/>
            </w:tcBorders>
            <w:shd w:val="clear" w:color="auto" w:fill="auto"/>
          </w:tcPr>
          <w:p w:rsidR="00CB68A7" w:rsidRPr="0088653D" w:rsidRDefault="00CB68A7" w:rsidP="00B30A95">
            <w:pPr>
              <w:pStyle w:val="TableText"/>
              <w:keepNext/>
              <w:spacing w:before="0"/>
              <w:jc w:val="center"/>
              <w:rPr>
                <w:b/>
              </w:rPr>
            </w:pPr>
            <w:r w:rsidRPr="0088653D">
              <w:rPr>
                <w:b/>
              </w:rPr>
              <w:t>%</w:t>
            </w:r>
          </w:p>
        </w:tc>
        <w:tc>
          <w:tcPr>
            <w:tcW w:w="484" w:type="pct"/>
            <w:tcBorders>
              <w:top w:val="nil"/>
              <w:left w:val="single" w:sz="4" w:space="0" w:color="A6A6A6" w:themeColor="background1" w:themeShade="A6"/>
              <w:bottom w:val="single" w:sz="4" w:space="0" w:color="auto"/>
              <w:right w:val="nil"/>
            </w:tcBorders>
            <w:shd w:val="clear" w:color="auto" w:fill="auto"/>
          </w:tcPr>
          <w:p w:rsidR="00CB68A7" w:rsidRPr="0088653D" w:rsidRDefault="00CB68A7" w:rsidP="00B30A95">
            <w:pPr>
              <w:pStyle w:val="TableText"/>
              <w:keepNext/>
              <w:spacing w:before="0"/>
              <w:jc w:val="center"/>
              <w:rPr>
                <w:b/>
              </w:rPr>
            </w:pPr>
            <w:r w:rsidRPr="0088653D">
              <w:rPr>
                <w:b/>
              </w:rPr>
              <w:t>n</w:t>
            </w:r>
          </w:p>
        </w:tc>
        <w:tc>
          <w:tcPr>
            <w:tcW w:w="484" w:type="pct"/>
            <w:tcBorders>
              <w:top w:val="nil"/>
              <w:left w:val="nil"/>
              <w:bottom w:val="single" w:sz="4" w:space="0" w:color="auto"/>
              <w:right w:val="single" w:sz="4" w:space="0" w:color="A6A6A6" w:themeColor="background1" w:themeShade="A6"/>
            </w:tcBorders>
            <w:shd w:val="clear" w:color="auto" w:fill="auto"/>
          </w:tcPr>
          <w:p w:rsidR="00CB68A7" w:rsidRPr="0088653D" w:rsidRDefault="00CB68A7" w:rsidP="00B30A95">
            <w:pPr>
              <w:pStyle w:val="TableText"/>
              <w:keepNext/>
              <w:spacing w:before="0"/>
              <w:jc w:val="center"/>
              <w:rPr>
                <w:b/>
              </w:rPr>
            </w:pPr>
            <w:r w:rsidRPr="0088653D">
              <w:rPr>
                <w:b/>
              </w:rPr>
              <w:t>%</w:t>
            </w:r>
          </w:p>
        </w:tc>
        <w:tc>
          <w:tcPr>
            <w:tcW w:w="484" w:type="pct"/>
            <w:tcBorders>
              <w:top w:val="nil"/>
              <w:left w:val="single" w:sz="4" w:space="0" w:color="A6A6A6" w:themeColor="background1" w:themeShade="A6"/>
              <w:bottom w:val="single" w:sz="4" w:space="0" w:color="auto"/>
              <w:right w:val="nil"/>
            </w:tcBorders>
            <w:shd w:val="clear" w:color="auto" w:fill="auto"/>
          </w:tcPr>
          <w:p w:rsidR="00CB68A7" w:rsidRPr="0088653D" w:rsidRDefault="00CB68A7" w:rsidP="00B30A95">
            <w:pPr>
              <w:pStyle w:val="TableText"/>
              <w:keepNext/>
              <w:spacing w:before="0"/>
              <w:jc w:val="center"/>
              <w:rPr>
                <w:b/>
              </w:rPr>
            </w:pPr>
            <w:r w:rsidRPr="0088653D">
              <w:rPr>
                <w:b/>
              </w:rPr>
              <w:t>n</w:t>
            </w:r>
          </w:p>
        </w:tc>
        <w:tc>
          <w:tcPr>
            <w:tcW w:w="484" w:type="pct"/>
            <w:tcBorders>
              <w:top w:val="nil"/>
              <w:left w:val="nil"/>
              <w:bottom w:val="single" w:sz="4" w:space="0" w:color="auto"/>
              <w:right w:val="single" w:sz="4" w:space="0" w:color="A6A6A6" w:themeColor="background1" w:themeShade="A6"/>
            </w:tcBorders>
            <w:shd w:val="clear" w:color="auto" w:fill="auto"/>
          </w:tcPr>
          <w:p w:rsidR="00CB68A7" w:rsidRPr="0088653D" w:rsidRDefault="00CB68A7" w:rsidP="00B30A95">
            <w:pPr>
              <w:pStyle w:val="TableText"/>
              <w:keepNext/>
              <w:spacing w:before="0"/>
              <w:jc w:val="center"/>
              <w:rPr>
                <w:b/>
              </w:rPr>
            </w:pPr>
            <w:r w:rsidRPr="0088653D">
              <w:rPr>
                <w:b/>
              </w:rPr>
              <w:t>%</w:t>
            </w:r>
          </w:p>
        </w:tc>
        <w:tc>
          <w:tcPr>
            <w:tcW w:w="484" w:type="pct"/>
            <w:tcBorders>
              <w:top w:val="nil"/>
              <w:left w:val="single" w:sz="4" w:space="0" w:color="A6A6A6" w:themeColor="background1" w:themeShade="A6"/>
              <w:bottom w:val="single" w:sz="4" w:space="0" w:color="auto"/>
              <w:right w:val="nil"/>
            </w:tcBorders>
            <w:shd w:val="clear" w:color="auto" w:fill="auto"/>
          </w:tcPr>
          <w:p w:rsidR="00CB68A7" w:rsidRPr="0088653D" w:rsidRDefault="00CB68A7" w:rsidP="00B30A95">
            <w:pPr>
              <w:pStyle w:val="TableText"/>
              <w:keepNext/>
              <w:spacing w:before="0"/>
              <w:jc w:val="center"/>
              <w:rPr>
                <w:b/>
              </w:rPr>
            </w:pPr>
            <w:r w:rsidRPr="0088653D">
              <w:rPr>
                <w:b/>
              </w:rPr>
              <w:t>n</w:t>
            </w:r>
          </w:p>
        </w:tc>
        <w:tc>
          <w:tcPr>
            <w:tcW w:w="484" w:type="pct"/>
            <w:tcBorders>
              <w:top w:val="nil"/>
              <w:left w:val="nil"/>
              <w:bottom w:val="single" w:sz="4" w:space="0" w:color="auto"/>
              <w:right w:val="single" w:sz="4" w:space="0" w:color="A6A6A6" w:themeColor="background1" w:themeShade="A6"/>
            </w:tcBorders>
            <w:shd w:val="clear" w:color="auto" w:fill="auto"/>
          </w:tcPr>
          <w:p w:rsidR="00CB68A7" w:rsidRPr="0088653D" w:rsidRDefault="00CB68A7" w:rsidP="00B30A95">
            <w:pPr>
              <w:pStyle w:val="TableText"/>
              <w:keepNext/>
              <w:spacing w:before="0"/>
              <w:jc w:val="center"/>
              <w:rPr>
                <w:b/>
              </w:rPr>
            </w:pPr>
            <w:r w:rsidRPr="0088653D">
              <w:rPr>
                <w:b/>
              </w:rPr>
              <w:t>%</w:t>
            </w:r>
          </w:p>
        </w:tc>
        <w:tc>
          <w:tcPr>
            <w:tcW w:w="482" w:type="pct"/>
            <w:tcBorders>
              <w:top w:val="nil"/>
              <w:left w:val="single" w:sz="4" w:space="0" w:color="A6A6A6" w:themeColor="background1" w:themeShade="A6"/>
              <w:bottom w:val="single" w:sz="4" w:space="0" w:color="auto"/>
            </w:tcBorders>
            <w:shd w:val="clear" w:color="auto" w:fill="auto"/>
          </w:tcPr>
          <w:p w:rsidR="00CB68A7" w:rsidRPr="0088653D" w:rsidRDefault="00CB68A7" w:rsidP="00B30A95">
            <w:pPr>
              <w:pStyle w:val="TableText"/>
              <w:keepNext/>
              <w:spacing w:before="0"/>
              <w:jc w:val="center"/>
              <w:rPr>
                <w:b/>
              </w:rPr>
            </w:pPr>
            <w:r w:rsidRPr="0088653D">
              <w:rPr>
                <w:b/>
              </w:rPr>
              <w:t>n</w:t>
            </w:r>
          </w:p>
        </w:tc>
      </w:tr>
      <w:tr w:rsidR="00CB68A7" w:rsidRPr="00C10A99" w:rsidTr="000E6FA7">
        <w:trPr>
          <w:cantSplit/>
        </w:trPr>
        <w:tc>
          <w:tcPr>
            <w:tcW w:w="645" w:type="pct"/>
            <w:tcBorders>
              <w:top w:val="single" w:sz="4" w:space="0" w:color="auto"/>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pPr>
            <w:r w:rsidRPr="00557E12">
              <w:t>2004/05</w:t>
            </w:r>
          </w:p>
        </w:tc>
        <w:tc>
          <w:tcPr>
            <w:tcW w:w="484" w:type="pct"/>
            <w:tcBorders>
              <w:top w:val="single" w:sz="4" w:space="0" w:color="auto"/>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keepNext/>
              <w:jc w:val="center"/>
              <w:rPr>
                <w:rFonts w:cs="Arial"/>
              </w:rPr>
            </w:pPr>
            <w:r w:rsidRPr="00557E12">
              <w:rPr>
                <w:rFonts w:cs="Arial"/>
              </w:rPr>
              <w:t>2</w:t>
            </w:r>
            <w:r w:rsidR="000E6FA7">
              <w:rPr>
                <w:rFonts w:cs="Arial"/>
              </w:rPr>
              <w:t>,</w:t>
            </w:r>
            <w:r w:rsidRPr="00557E12">
              <w:rPr>
                <w:rFonts w:cs="Arial"/>
              </w:rPr>
              <w:t>386</w:t>
            </w:r>
          </w:p>
        </w:tc>
        <w:tc>
          <w:tcPr>
            <w:tcW w:w="484" w:type="pct"/>
            <w:tcBorders>
              <w:top w:val="single" w:sz="4" w:space="0" w:color="auto"/>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jc w:val="center"/>
              <w:rPr>
                <w:rFonts w:cs="Arial"/>
              </w:rPr>
            </w:pPr>
            <w:r w:rsidRPr="00557E12">
              <w:rPr>
                <w:rFonts w:cs="Arial"/>
              </w:rPr>
              <w:t>75</w:t>
            </w:r>
          </w:p>
        </w:tc>
        <w:tc>
          <w:tcPr>
            <w:tcW w:w="484" w:type="pct"/>
            <w:tcBorders>
              <w:top w:val="single" w:sz="4" w:space="0" w:color="auto"/>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keepNext/>
              <w:tabs>
                <w:tab w:val="decimal" w:pos="598"/>
              </w:tabs>
              <w:rPr>
                <w:rFonts w:cs="Arial"/>
              </w:rPr>
            </w:pPr>
            <w:r w:rsidRPr="00557E12">
              <w:rPr>
                <w:rFonts w:cs="Arial"/>
              </w:rPr>
              <w:t>505</w:t>
            </w:r>
          </w:p>
        </w:tc>
        <w:tc>
          <w:tcPr>
            <w:tcW w:w="484" w:type="pct"/>
            <w:tcBorders>
              <w:top w:val="single" w:sz="4" w:space="0" w:color="auto"/>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jc w:val="center"/>
              <w:rPr>
                <w:rFonts w:cs="Arial"/>
              </w:rPr>
            </w:pPr>
            <w:r w:rsidRPr="00557E12">
              <w:rPr>
                <w:rFonts w:cs="Arial"/>
              </w:rPr>
              <w:t>16</w:t>
            </w:r>
          </w:p>
        </w:tc>
        <w:tc>
          <w:tcPr>
            <w:tcW w:w="484" w:type="pct"/>
            <w:tcBorders>
              <w:top w:val="single" w:sz="4" w:space="0" w:color="auto"/>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keepNext/>
              <w:jc w:val="center"/>
              <w:rPr>
                <w:rFonts w:cs="Arial"/>
              </w:rPr>
            </w:pPr>
            <w:r w:rsidRPr="00557E12">
              <w:rPr>
                <w:rFonts w:cs="Arial"/>
              </w:rPr>
              <w:t>237</w:t>
            </w:r>
          </w:p>
        </w:tc>
        <w:tc>
          <w:tcPr>
            <w:tcW w:w="484" w:type="pct"/>
            <w:tcBorders>
              <w:top w:val="single" w:sz="4" w:space="0" w:color="auto"/>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tabs>
                <w:tab w:val="decimal" w:pos="413"/>
              </w:tabs>
              <w:rPr>
                <w:rFonts w:cs="Arial"/>
              </w:rPr>
            </w:pPr>
            <w:r w:rsidRPr="00557E12">
              <w:rPr>
                <w:rFonts w:cs="Arial"/>
              </w:rPr>
              <w:t>7</w:t>
            </w:r>
          </w:p>
        </w:tc>
        <w:tc>
          <w:tcPr>
            <w:tcW w:w="484" w:type="pct"/>
            <w:tcBorders>
              <w:top w:val="single" w:sz="4" w:space="0" w:color="auto"/>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keepNext/>
              <w:tabs>
                <w:tab w:val="decimal" w:pos="478"/>
              </w:tabs>
              <w:rPr>
                <w:rFonts w:cs="Arial"/>
              </w:rPr>
            </w:pPr>
            <w:r w:rsidRPr="00557E12">
              <w:rPr>
                <w:rFonts w:cs="Arial"/>
              </w:rPr>
              <w:t>52</w:t>
            </w:r>
          </w:p>
        </w:tc>
        <w:tc>
          <w:tcPr>
            <w:tcW w:w="484" w:type="pct"/>
            <w:tcBorders>
              <w:top w:val="single" w:sz="4" w:space="0" w:color="auto"/>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tabs>
                <w:tab w:val="decimal" w:pos="425"/>
              </w:tabs>
              <w:rPr>
                <w:rFonts w:cs="Arial"/>
              </w:rPr>
            </w:pPr>
            <w:r w:rsidRPr="00557E12">
              <w:rPr>
                <w:rFonts w:cs="Arial"/>
              </w:rPr>
              <w:t>2</w:t>
            </w:r>
          </w:p>
        </w:tc>
        <w:tc>
          <w:tcPr>
            <w:tcW w:w="482" w:type="pct"/>
            <w:tcBorders>
              <w:top w:val="single" w:sz="4" w:space="0" w:color="auto"/>
              <w:left w:val="single" w:sz="4" w:space="0" w:color="A6A6A6" w:themeColor="background1" w:themeShade="A6"/>
              <w:bottom w:val="single" w:sz="4" w:space="0" w:color="A6A6A6" w:themeColor="background1" w:themeShade="A6"/>
            </w:tcBorders>
            <w:shd w:val="clear" w:color="auto" w:fill="auto"/>
          </w:tcPr>
          <w:p w:rsidR="00CB68A7" w:rsidRPr="00557E12" w:rsidRDefault="00CB68A7" w:rsidP="000E6FA7">
            <w:pPr>
              <w:pStyle w:val="TableText"/>
              <w:keepNext/>
              <w:jc w:val="center"/>
              <w:rPr>
                <w:rFonts w:cs="Arial"/>
              </w:rPr>
            </w:pPr>
            <w:r w:rsidRPr="00557E12">
              <w:rPr>
                <w:rFonts w:cs="Arial"/>
              </w:rPr>
              <w:t>3</w:t>
            </w:r>
            <w:r w:rsidR="000E6FA7">
              <w:rPr>
                <w:rFonts w:cs="Arial"/>
              </w:rPr>
              <w:t>,</w:t>
            </w:r>
            <w:r w:rsidRPr="00557E12">
              <w:rPr>
                <w:rFonts w:cs="Arial"/>
              </w:rPr>
              <w:t>179</w:t>
            </w:r>
          </w:p>
        </w:tc>
      </w:tr>
      <w:tr w:rsidR="00CB68A7" w:rsidRPr="00C10A99" w:rsidTr="000E6FA7">
        <w:trPr>
          <w:cantSplit/>
        </w:trPr>
        <w:tc>
          <w:tcPr>
            <w:tcW w:w="645"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pPr>
            <w:r w:rsidRPr="00557E12">
              <w:t>2005/06</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keepNext/>
              <w:jc w:val="center"/>
              <w:rPr>
                <w:rFonts w:cs="Arial"/>
              </w:rPr>
            </w:pPr>
            <w:r w:rsidRPr="00557E12">
              <w:rPr>
                <w:rFonts w:cs="Arial"/>
              </w:rPr>
              <w:t>2</w:t>
            </w:r>
            <w:r w:rsidR="000E6FA7">
              <w:rPr>
                <w:rFonts w:cs="Arial"/>
              </w:rPr>
              <w:t>,</w:t>
            </w:r>
            <w:r w:rsidRPr="00557E12">
              <w:rPr>
                <w:rFonts w:cs="Arial"/>
              </w:rPr>
              <w:t>307</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jc w:val="center"/>
              <w:rPr>
                <w:rFonts w:cs="Arial"/>
              </w:rPr>
            </w:pPr>
            <w:r w:rsidRPr="00557E12">
              <w:rPr>
                <w:rFonts w:cs="Arial"/>
              </w:rPr>
              <w:t>71</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keepNext/>
              <w:tabs>
                <w:tab w:val="decimal" w:pos="598"/>
              </w:tabs>
              <w:rPr>
                <w:rFonts w:cs="Arial"/>
              </w:rPr>
            </w:pPr>
            <w:r w:rsidRPr="00557E12">
              <w:rPr>
                <w:rFonts w:cs="Arial"/>
              </w:rPr>
              <w:t>641</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jc w:val="center"/>
              <w:rPr>
                <w:rFonts w:cs="Arial"/>
              </w:rPr>
            </w:pPr>
            <w:r w:rsidRPr="00557E12">
              <w:rPr>
                <w:rFonts w:cs="Arial"/>
              </w:rPr>
              <w:t>20</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keepNext/>
              <w:jc w:val="center"/>
              <w:rPr>
                <w:rFonts w:cs="Arial"/>
              </w:rPr>
            </w:pPr>
            <w:r w:rsidRPr="00557E12">
              <w:rPr>
                <w:rFonts w:cs="Arial"/>
              </w:rPr>
              <w:t>243</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tabs>
                <w:tab w:val="decimal" w:pos="413"/>
              </w:tabs>
              <w:rPr>
                <w:rFonts w:cs="Arial"/>
              </w:rPr>
            </w:pPr>
            <w:r w:rsidRPr="00557E12">
              <w:rPr>
                <w:rFonts w:cs="Arial"/>
              </w:rPr>
              <w:t>7</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keepNext/>
              <w:tabs>
                <w:tab w:val="decimal" w:pos="478"/>
              </w:tabs>
              <w:rPr>
                <w:rFonts w:cs="Arial"/>
              </w:rPr>
            </w:pPr>
            <w:r w:rsidRPr="00557E12">
              <w:rPr>
                <w:rFonts w:cs="Arial"/>
              </w:rPr>
              <w:t>64</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tabs>
                <w:tab w:val="decimal" w:pos="425"/>
              </w:tabs>
              <w:rPr>
                <w:rFonts w:cs="Arial"/>
              </w:rPr>
            </w:pPr>
            <w:r w:rsidRPr="00557E12">
              <w:rPr>
                <w:rFonts w:cs="Arial"/>
              </w:rPr>
              <w:t>2</w:t>
            </w:r>
          </w:p>
        </w:tc>
        <w:tc>
          <w:tcPr>
            <w:tcW w:w="482"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CB68A7" w:rsidRPr="00557E12" w:rsidRDefault="00CB68A7" w:rsidP="000E6FA7">
            <w:pPr>
              <w:pStyle w:val="TableText"/>
              <w:keepNext/>
              <w:jc w:val="center"/>
              <w:rPr>
                <w:rFonts w:cs="Arial"/>
              </w:rPr>
            </w:pPr>
            <w:r w:rsidRPr="00557E12">
              <w:rPr>
                <w:rFonts w:cs="Arial"/>
              </w:rPr>
              <w:t>3</w:t>
            </w:r>
            <w:r w:rsidR="000E6FA7">
              <w:rPr>
                <w:rFonts w:cs="Arial"/>
              </w:rPr>
              <w:t>,</w:t>
            </w:r>
            <w:r w:rsidRPr="00557E12">
              <w:rPr>
                <w:rFonts w:cs="Arial"/>
              </w:rPr>
              <w:t>255</w:t>
            </w:r>
          </w:p>
        </w:tc>
      </w:tr>
      <w:tr w:rsidR="00CB68A7" w:rsidRPr="00C10A99" w:rsidTr="000E6FA7">
        <w:trPr>
          <w:cantSplit/>
        </w:trPr>
        <w:tc>
          <w:tcPr>
            <w:tcW w:w="645"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pPr>
            <w:r w:rsidRPr="00557E12">
              <w:t>2006/07</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keepNext/>
              <w:jc w:val="center"/>
              <w:rPr>
                <w:rFonts w:cs="Arial"/>
              </w:rPr>
            </w:pPr>
            <w:r w:rsidRPr="00557E12">
              <w:rPr>
                <w:rFonts w:cs="Arial"/>
              </w:rPr>
              <w:t>2</w:t>
            </w:r>
            <w:r w:rsidR="000E6FA7">
              <w:rPr>
                <w:rFonts w:cs="Arial"/>
              </w:rPr>
              <w:t>,</w:t>
            </w:r>
            <w:r w:rsidRPr="00557E12">
              <w:rPr>
                <w:rFonts w:cs="Arial"/>
              </w:rPr>
              <w:t>981</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jc w:val="center"/>
              <w:rPr>
                <w:rFonts w:cs="Arial"/>
              </w:rPr>
            </w:pPr>
            <w:r w:rsidRPr="00557E12">
              <w:rPr>
                <w:rFonts w:cs="Arial"/>
              </w:rPr>
              <w:t>71</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keepNext/>
              <w:tabs>
                <w:tab w:val="decimal" w:pos="598"/>
              </w:tabs>
              <w:rPr>
                <w:rFonts w:cs="Arial"/>
              </w:rPr>
            </w:pPr>
            <w:r w:rsidRPr="00557E12">
              <w:rPr>
                <w:rFonts w:cs="Arial"/>
              </w:rPr>
              <w:t>814</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jc w:val="center"/>
              <w:rPr>
                <w:rFonts w:cs="Arial"/>
              </w:rPr>
            </w:pPr>
            <w:r w:rsidRPr="00557E12">
              <w:rPr>
                <w:rFonts w:cs="Arial"/>
              </w:rPr>
              <w:t>19</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keepNext/>
              <w:jc w:val="center"/>
              <w:rPr>
                <w:rFonts w:cs="Arial"/>
              </w:rPr>
            </w:pPr>
            <w:r w:rsidRPr="00557E12">
              <w:rPr>
                <w:rFonts w:cs="Arial"/>
              </w:rPr>
              <w:t>311</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tabs>
                <w:tab w:val="decimal" w:pos="413"/>
              </w:tabs>
              <w:rPr>
                <w:rFonts w:cs="Arial"/>
              </w:rPr>
            </w:pPr>
            <w:r w:rsidRPr="00557E12">
              <w:rPr>
                <w:rFonts w:cs="Arial"/>
              </w:rPr>
              <w:t>7</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keepNext/>
              <w:tabs>
                <w:tab w:val="decimal" w:pos="478"/>
              </w:tabs>
              <w:rPr>
                <w:rFonts w:cs="Arial"/>
              </w:rPr>
            </w:pPr>
            <w:r w:rsidRPr="00557E12">
              <w:rPr>
                <w:rFonts w:cs="Arial"/>
              </w:rPr>
              <w:t>76</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tabs>
                <w:tab w:val="decimal" w:pos="425"/>
              </w:tabs>
              <w:rPr>
                <w:rFonts w:cs="Arial"/>
              </w:rPr>
            </w:pPr>
            <w:r w:rsidRPr="00557E12">
              <w:rPr>
                <w:rFonts w:cs="Arial"/>
              </w:rPr>
              <w:t>2</w:t>
            </w:r>
          </w:p>
        </w:tc>
        <w:tc>
          <w:tcPr>
            <w:tcW w:w="482"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CB68A7" w:rsidRPr="00557E12" w:rsidRDefault="00CB68A7" w:rsidP="000E6FA7">
            <w:pPr>
              <w:pStyle w:val="TableText"/>
              <w:keepNext/>
              <w:jc w:val="center"/>
              <w:rPr>
                <w:rFonts w:cs="Arial"/>
              </w:rPr>
            </w:pPr>
            <w:r w:rsidRPr="00557E12">
              <w:rPr>
                <w:rFonts w:cs="Arial"/>
              </w:rPr>
              <w:t>4</w:t>
            </w:r>
            <w:r w:rsidR="000E6FA7">
              <w:rPr>
                <w:rFonts w:cs="Arial"/>
              </w:rPr>
              <w:t>,</w:t>
            </w:r>
            <w:r w:rsidRPr="00557E12">
              <w:rPr>
                <w:rFonts w:cs="Arial"/>
              </w:rPr>
              <w:t>182</w:t>
            </w:r>
          </w:p>
        </w:tc>
      </w:tr>
      <w:tr w:rsidR="00CB68A7" w:rsidRPr="00C10A99" w:rsidTr="000E6FA7">
        <w:trPr>
          <w:cantSplit/>
        </w:trPr>
        <w:tc>
          <w:tcPr>
            <w:tcW w:w="645"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pPr>
            <w:r w:rsidRPr="00557E12">
              <w:t>2007/08</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keepNext/>
              <w:jc w:val="center"/>
              <w:rPr>
                <w:rFonts w:cs="Arial"/>
              </w:rPr>
            </w:pPr>
            <w:r w:rsidRPr="00557E12">
              <w:rPr>
                <w:rFonts w:cs="Arial"/>
              </w:rPr>
              <w:t>3</w:t>
            </w:r>
            <w:r w:rsidR="000E6FA7">
              <w:rPr>
                <w:rFonts w:cs="Arial"/>
              </w:rPr>
              <w:t>,</w:t>
            </w:r>
            <w:r w:rsidRPr="00557E12">
              <w:rPr>
                <w:rFonts w:cs="Arial"/>
              </w:rPr>
              <w:t>063</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jc w:val="center"/>
              <w:rPr>
                <w:rFonts w:cs="Arial"/>
              </w:rPr>
            </w:pPr>
            <w:r w:rsidRPr="00557E12">
              <w:rPr>
                <w:rFonts w:cs="Arial"/>
              </w:rPr>
              <w:t>71</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keepNext/>
              <w:tabs>
                <w:tab w:val="decimal" w:pos="598"/>
              </w:tabs>
              <w:rPr>
                <w:rFonts w:cs="Arial"/>
              </w:rPr>
            </w:pPr>
            <w:r w:rsidRPr="00557E12">
              <w:rPr>
                <w:rFonts w:cs="Arial"/>
              </w:rPr>
              <w:t>849</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jc w:val="center"/>
              <w:rPr>
                <w:rFonts w:cs="Arial"/>
              </w:rPr>
            </w:pPr>
            <w:r w:rsidRPr="00557E12">
              <w:rPr>
                <w:rFonts w:cs="Arial"/>
              </w:rPr>
              <w:t>20</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keepNext/>
              <w:jc w:val="center"/>
              <w:rPr>
                <w:rFonts w:cs="Arial"/>
              </w:rPr>
            </w:pPr>
            <w:r w:rsidRPr="00557E12">
              <w:rPr>
                <w:rFonts w:cs="Arial"/>
              </w:rPr>
              <w:t>328</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tabs>
                <w:tab w:val="decimal" w:pos="413"/>
              </w:tabs>
              <w:rPr>
                <w:rFonts w:cs="Arial"/>
              </w:rPr>
            </w:pPr>
            <w:r w:rsidRPr="00557E12">
              <w:rPr>
                <w:rFonts w:cs="Arial"/>
              </w:rPr>
              <w:t>8</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keepNext/>
              <w:tabs>
                <w:tab w:val="decimal" w:pos="478"/>
              </w:tabs>
              <w:rPr>
                <w:rFonts w:cs="Arial"/>
              </w:rPr>
            </w:pPr>
            <w:r w:rsidRPr="00557E12">
              <w:rPr>
                <w:rFonts w:cs="Arial"/>
              </w:rPr>
              <w:t>97</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tabs>
                <w:tab w:val="decimal" w:pos="425"/>
              </w:tabs>
              <w:rPr>
                <w:rFonts w:cs="Arial"/>
              </w:rPr>
            </w:pPr>
            <w:r w:rsidRPr="00557E12">
              <w:rPr>
                <w:rFonts w:cs="Arial"/>
              </w:rPr>
              <w:t>2</w:t>
            </w:r>
          </w:p>
        </w:tc>
        <w:tc>
          <w:tcPr>
            <w:tcW w:w="482"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CB68A7" w:rsidRPr="00557E12" w:rsidRDefault="00CB68A7" w:rsidP="000E6FA7">
            <w:pPr>
              <w:pStyle w:val="TableText"/>
              <w:keepNext/>
              <w:jc w:val="center"/>
              <w:rPr>
                <w:rFonts w:cs="Arial"/>
              </w:rPr>
            </w:pPr>
            <w:r w:rsidRPr="00557E12">
              <w:rPr>
                <w:rFonts w:cs="Arial"/>
              </w:rPr>
              <w:t>4</w:t>
            </w:r>
            <w:r w:rsidR="000E6FA7">
              <w:rPr>
                <w:rFonts w:cs="Arial"/>
              </w:rPr>
              <w:t>,</w:t>
            </w:r>
            <w:r w:rsidRPr="00557E12">
              <w:rPr>
                <w:rFonts w:cs="Arial"/>
              </w:rPr>
              <w:t>337</w:t>
            </w:r>
          </w:p>
        </w:tc>
      </w:tr>
      <w:tr w:rsidR="00CB68A7" w:rsidRPr="00C10A99" w:rsidTr="000E6FA7">
        <w:trPr>
          <w:cantSplit/>
        </w:trPr>
        <w:tc>
          <w:tcPr>
            <w:tcW w:w="645"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pPr>
            <w:r w:rsidRPr="00557E12">
              <w:t>2008/09</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keepNext/>
              <w:jc w:val="center"/>
              <w:rPr>
                <w:rFonts w:cs="Arial"/>
              </w:rPr>
            </w:pPr>
            <w:r w:rsidRPr="00557E12">
              <w:rPr>
                <w:rFonts w:cs="Arial"/>
              </w:rPr>
              <w:t>3</w:t>
            </w:r>
            <w:r w:rsidR="000E6FA7">
              <w:rPr>
                <w:rFonts w:cs="Arial"/>
              </w:rPr>
              <w:t>,</w:t>
            </w:r>
            <w:r w:rsidRPr="00557E12">
              <w:rPr>
                <w:rFonts w:cs="Arial"/>
              </w:rPr>
              <w:t>933</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jc w:val="center"/>
              <w:rPr>
                <w:rFonts w:cs="Arial"/>
              </w:rPr>
            </w:pPr>
            <w:r w:rsidRPr="00557E12">
              <w:rPr>
                <w:rFonts w:cs="Arial"/>
              </w:rPr>
              <w:t>69</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keepNext/>
              <w:tabs>
                <w:tab w:val="decimal" w:pos="598"/>
              </w:tabs>
              <w:rPr>
                <w:rFonts w:cs="Arial"/>
              </w:rPr>
            </w:pPr>
            <w:r w:rsidRPr="00557E12">
              <w:rPr>
                <w:rFonts w:cs="Arial"/>
              </w:rPr>
              <w:t>1</w:t>
            </w:r>
            <w:r w:rsidR="000E6FA7">
              <w:rPr>
                <w:rFonts w:cs="Arial"/>
              </w:rPr>
              <w:t>,</w:t>
            </w:r>
            <w:r w:rsidRPr="00557E12">
              <w:rPr>
                <w:rFonts w:cs="Arial"/>
              </w:rPr>
              <w:t>050</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jc w:val="center"/>
              <w:rPr>
                <w:rFonts w:cs="Arial"/>
              </w:rPr>
            </w:pPr>
            <w:r w:rsidRPr="00557E12">
              <w:rPr>
                <w:rFonts w:cs="Arial"/>
              </w:rPr>
              <w:t>18</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keepNext/>
              <w:jc w:val="center"/>
              <w:rPr>
                <w:rFonts w:cs="Arial"/>
              </w:rPr>
            </w:pPr>
            <w:r w:rsidRPr="00557E12">
              <w:rPr>
                <w:rFonts w:cs="Arial"/>
              </w:rPr>
              <w:t>413</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tabs>
                <w:tab w:val="decimal" w:pos="413"/>
              </w:tabs>
              <w:rPr>
                <w:rFonts w:cs="Arial"/>
              </w:rPr>
            </w:pPr>
            <w:r w:rsidRPr="00557E12">
              <w:rPr>
                <w:rFonts w:cs="Arial"/>
              </w:rPr>
              <w:t>7</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keepNext/>
              <w:tabs>
                <w:tab w:val="decimal" w:pos="478"/>
              </w:tabs>
              <w:rPr>
                <w:rFonts w:cs="Arial"/>
              </w:rPr>
            </w:pPr>
            <w:r w:rsidRPr="00557E12">
              <w:rPr>
                <w:rFonts w:cs="Arial"/>
              </w:rPr>
              <w:t>304</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tabs>
                <w:tab w:val="decimal" w:pos="425"/>
              </w:tabs>
              <w:rPr>
                <w:rFonts w:cs="Arial"/>
              </w:rPr>
            </w:pPr>
            <w:r w:rsidRPr="00557E12">
              <w:rPr>
                <w:rFonts w:cs="Arial"/>
              </w:rPr>
              <w:t>5</w:t>
            </w:r>
          </w:p>
        </w:tc>
        <w:tc>
          <w:tcPr>
            <w:tcW w:w="482"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CB68A7" w:rsidRPr="00557E12" w:rsidRDefault="00CB68A7" w:rsidP="000E6FA7">
            <w:pPr>
              <w:pStyle w:val="TableText"/>
              <w:keepNext/>
              <w:jc w:val="center"/>
              <w:rPr>
                <w:rFonts w:cs="Arial"/>
              </w:rPr>
            </w:pPr>
            <w:r w:rsidRPr="00557E12">
              <w:rPr>
                <w:rFonts w:cs="Arial"/>
              </w:rPr>
              <w:t>5</w:t>
            </w:r>
            <w:r w:rsidR="000E6FA7">
              <w:rPr>
                <w:rFonts w:cs="Arial"/>
              </w:rPr>
              <w:t>,</w:t>
            </w:r>
            <w:r w:rsidRPr="00557E12">
              <w:rPr>
                <w:rFonts w:cs="Arial"/>
              </w:rPr>
              <w:t>700</w:t>
            </w:r>
          </w:p>
        </w:tc>
      </w:tr>
      <w:tr w:rsidR="00CB68A7" w:rsidRPr="00C10A99" w:rsidTr="000E6FA7">
        <w:trPr>
          <w:cantSplit/>
        </w:trPr>
        <w:tc>
          <w:tcPr>
            <w:tcW w:w="645"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pPr>
            <w:r w:rsidRPr="00557E12">
              <w:t>2009/10</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keepNext/>
              <w:jc w:val="center"/>
              <w:rPr>
                <w:rFonts w:cs="Arial"/>
              </w:rPr>
            </w:pPr>
            <w:r w:rsidRPr="00557E12">
              <w:rPr>
                <w:rFonts w:cs="Arial"/>
              </w:rPr>
              <w:t>4</w:t>
            </w:r>
            <w:r w:rsidR="000E6FA7">
              <w:rPr>
                <w:rFonts w:cs="Arial"/>
              </w:rPr>
              <w:t>,</w:t>
            </w:r>
            <w:r w:rsidRPr="00557E12">
              <w:rPr>
                <w:rFonts w:cs="Arial"/>
              </w:rPr>
              <w:t>160</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jc w:val="center"/>
              <w:rPr>
                <w:rFonts w:cs="Arial"/>
              </w:rPr>
            </w:pPr>
            <w:r w:rsidRPr="00557E12">
              <w:rPr>
                <w:rFonts w:cs="Arial"/>
              </w:rPr>
              <w:t>69</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keepNext/>
              <w:tabs>
                <w:tab w:val="decimal" w:pos="598"/>
              </w:tabs>
              <w:rPr>
                <w:rFonts w:cs="Arial"/>
              </w:rPr>
            </w:pPr>
            <w:r w:rsidRPr="00557E12">
              <w:rPr>
                <w:rFonts w:cs="Arial"/>
              </w:rPr>
              <w:t>1</w:t>
            </w:r>
            <w:r w:rsidR="000E6FA7">
              <w:rPr>
                <w:rFonts w:cs="Arial"/>
              </w:rPr>
              <w:t>,</w:t>
            </w:r>
            <w:r w:rsidRPr="00557E12">
              <w:rPr>
                <w:rFonts w:cs="Arial"/>
              </w:rPr>
              <w:t>131</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jc w:val="center"/>
              <w:rPr>
                <w:rFonts w:cs="Arial"/>
              </w:rPr>
            </w:pPr>
            <w:r w:rsidRPr="00557E12">
              <w:rPr>
                <w:rFonts w:cs="Arial"/>
              </w:rPr>
              <w:t>19</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keepNext/>
              <w:jc w:val="center"/>
              <w:rPr>
                <w:rFonts w:cs="Arial"/>
              </w:rPr>
            </w:pPr>
            <w:r w:rsidRPr="00557E12">
              <w:rPr>
                <w:rFonts w:cs="Arial"/>
              </w:rPr>
              <w:t>449</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tabs>
                <w:tab w:val="decimal" w:pos="413"/>
              </w:tabs>
              <w:rPr>
                <w:rFonts w:cs="Arial"/>
              </w:rPr>
            </w:pPr>
            <w:r w:rsidRPr="00557E12">
              <w:rPr>
                <w:rFonts w:cs="Arial"/>
              </w:rPr>
              <w:t>7</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keepNext/>
              <w:tabs>
                <w:tab w:val="decimal" w:pos="478"/>
              </w:tabs>
              <w:rPr>
                <w:rFonts w:cs="Arial"/>
              </w:rPr>
            </w:pPr>
            <w:r w:rsidRPr="00557E12">
              <w:rPr>
                <w:rFonts w:cs="Arial"/>
              </w:rPr>
              <w:t>332</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tabs>
                <w:tab w:val="decimal" w:pos="425"/>
              </w:tabs>
              <w:rPr>
                <w:rFonts w:cs="Arial"/>
              </w:rPr>
            </w:pPr>
            <w:r w:rsidRPr="00557E12">
              <w:rPr>
                <w:rFonts w:cs="Arial"/>
              </w:rPr>
              <w:t>5</w:t>
            </w:r>
          </w:p>
        </w:tc>
        <w:tc>
          <w:tcPr>
            <w:tcW w:w="482"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CB68A7" w:rsidRPr="00557E12" w:rsidRDefault="00CB68A7" w:rsidP="000E6FA7">
            <w:pPr>
              <w:pStyle w:val="TableText"/>
              <w:keepNext/>
              <w:jc w:val="center"/>
              <w:rPr>
                <w:rFonts w:cs="Arial"/>
              </w:rPr>
            </w:pPr>
            <w:r w:rsidRPr="00557E12">
              <w:rPr>
                <w:rFonts w:cs="Arial"/>
              </w:rPr>
              <w:t>6</w:t>
            </w:r>
            <w:r w:rsidR="000E6FA7">
              <w:rPr>
                <w:rFonts w:cs="Arial"/>
              </w:rPr>
              <w:t>,</w:t>
            </w:r>
            <w:r w:rsidRPr="00557E12">
              <w:rPr>
                <w:rFonts w:cs="Arial"/>
              </w:rPr>
              <w:t>072</w:t>
            </w:r>
          </w:p>
        </w:tc>
      </w:tr>
      <w:tr w:rsidR="00CB68A7" w:rsidRPr="00C10A99" w:rsidTr="000E6FA7">
        <w:trPr>
          <w:cantSplit/>
        </w:trPr>
        <w:tc>
          <w:tcPr>
            <w:tcW w:w="645"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pPr>
            <w:r w:rsidRPr="00557E12">
              <w:t>2010/11</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keepNext/>
              <w:jc w:val="center"/>
              <w:rPr>
                <w:rFonts w:cs="Arial"/>
              </w:rPr>
            </w:pPr>
            <w:r w:rsidRPr="00557E12">
              <w:rPr>
                <w:rFonts w:cs="Arial"/>
              </w:rPr>
              <w:t>3</w:t>
            </w:r>
            <w:r w:rsidR="000E6FA7">
              <w:rPr>
                <w:rFonts w:cs="Arial"/>
              </w:rPr>
              <w:t>,</w:t>
            </w:r>
            <w:r w:rsidRPr="00557E12">
              <w:rPr>
                <w:rFonts w:cs="Arial"/>
              </w:rPr>
              <w:t>945</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jc w:val="center"/>
              <w:rPr>
                <w:rFonts w:cs="Arial"/>
              </w:rPr>
            </w:pPr>
            <w:r w:rsidRPr="00557E12">
              <w:rPr>
                <w:rFonts w:cs="Arial"/>
              </w:rPr>
              <w:t>68</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keepNext/>
              <w:tabs>
                <w:tab w:val="decimal" w:pos="598"/>
              </w:tabs>
              <w:rPr>
                <w:rFonts w:cs="Arial"/>
              </w:rPr>
            </w:pPr>
            <w:r w:rsidRPr="00557E12">
              <w:rPr>
                <w:rFonts w:cs="Arial"/>
              </w:rPr>
              <w:t>1</w:t>
            </w:r>
            <w:r w:rsidR="000E6FA7">
              <w:rPr>
                <w:rFonts w:cs="Arial"/>
              </w:rPr>
              <w:t>,</w:t>
            </w:r>
            <w:r w:rsidRPr="00557E12">
              <w:rPr>
                <w:rFonts w:cs="Arial"/>
              </w:rPr>
              <w:t>073</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jc w:val="center"/>
              <w:rPr>
                <w:rFonts w:cs="Arial"/>
              </w:rPr>
            </w:pPr>
            <w:r w:rsidRPr="00557E12">
              <w:rPr>
                <w:rFonts w:cs="Arial"/>
              </w:rPr>
              <w:t>18</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keepNext/>
              <w:jc w:val="center"/>
              <w:rPr>
                <w:rFonts w:cs="Arial"/>
              </w:rPr>
            </w:pPr>
            <w:r w:rsidRPr="00557E12">
              <w:rPr>
                <w:rFonts w:cs="Arial"/>
              </w:rPr>
              <w:t>476</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tabs>
                <w:tab w:val="decimal" w:pos="413"/>
              </w:tabs>
              <w:rPr>
                <w:rFonts w:cs="Arial"/>
              </w:rPr>
            </w:pPr>
            <w:r w:rsidRPr="00557E12">
              <w:rPr>
                <w:rFonts w:cs="Arial"/>
              </w:rPr>
              <w:t>8</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keepNext/>
              <w:tabs>
                <w:tab w:val="decimal" w:pos="478"/>
              </w:tabs>
              <w:rPr>
                <w:rFonts w:cs="Arial"/>
              </w:rPr>
            </w:pPr>
            <w:r w:rsidRPr="00557E12">
              <w:rPr>
                <w:rFonts w:cs="Arial"/>
              </w:rPr>
              <w:t>332</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keepNext/>
              <w:tabs>
                <w:tab w:val="decimal" w:pos="425"/>
              </w:tabs>
              <w:rPr>
                <w:rFonts w:cs="Arial"/>
              </w:rPr>
            </w:pPr>
            <w:r w:rsidRPr="00557E12">
              <w:rPr>
                <w:rFonts w:cs="Arial"/>
              </w:rPr>
              <w:t>6</w:t>
            </w:r>
          </w:p>
        </w:tc>
        <w:tc>
          <w:tcPr>
            <w:tcW w:w="482"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CB68A7" w:rsidRPr="00557E12" w:rsidRDefault="00CB68A7" w:rsidP="000E6FA7">
            <w:pPr>
              <w:pStyle w:val="TableText"/>
              <w:keepNext/>
              <w:jc w:val="center"/>
              <w:rPr>
                <w:rFonts w:cs="Arial"/>
              </w:rPr>
            </w:pPr>
            <w:r w:rsidRPr="00557E12">
              <w:rPr>
                <w:rFonts w:cs="Arial"/>
              </w:rPr>
              <w:t>5</w:t>
            </w:r>
            <w:r w:rsidR="000E6FA7">
              <w:rPr>
                <w:rFonts w:cs="Arial"/>
              </w:rPr>
              <w:t>,</w:t>
            </w:r>
            <w:r w:rsidRPr="00557E12">
              <w:rPr>
                <w:rFonts w:cs="Arial"/>
              </w:rPr>
              <w:t>825</w:t>
            </w:r>
          </w:p>
        </w:tc>
      </w:tr>
      <w:tr w:rsidR="00CB68A7" w:rsidRPr="00C10A99" w:rsidTr="000E6FA7">
        <w:trPr>
          <w:cantSplit/>
        </w:trPr>
        <w:tc>
          <w:tcPr>
            <w:tcW w:w="645"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88653D">
            <w:pPr>
              <w:pStyle w:val="TableText"/>
            </w:pPr>
            <w:r w:rsidRPr="00557E12">
              <w:t>2011/12</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jc w:val="center"/>
              <w:rPr>
                <w:rFonts w:cs="Arial"/>
              </w:rPr>
            </w:pPr>
            <w:r w:rsidRPr="00557E12">
              <w:rPr>
                <w:rFonts w:cs="Arial"/>
              </w:rPr>
              <w:t>3</w:t>
            </w:r>
            <w:r w:rsidR="000E6FA7">
              <w:rPr>
                <w:rFonts w:cs="Arial"/>
              </w:rPr>
              <w:t>,</w:t>
            </w:r>
            <w:r w:rsidRPr="00557E12">
              <w:rPr>
                <w:rFonts w:cs="Arial"/>
              </w:rPr>
              <w:t>708</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jc w:val="center"/>
              <w:rPr>
                <w:rFonts w:cs="Arial"/>
              </w:rPr>
            </w:pPr>
            <w:r w:rsidRPr="00557E12">
              <w:rPr>
                <w:rFonts w:cs="Arial"/>
              </w:rPr>
              <w:t>64</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tabs>
                <w:tab w:val="decimal" w:pos="598"/>
              </w:tabs>
              <w:rPr>
                <w:rFonts w:cs="Arial"/>
              </w:rPr>
            </w:pPr>
            <w:r w:rsidRPr="00557E12">
              <w:rPr>
                <w:rFonts w:cs="Arial"/>
              </w:rPr>
              <w:t>1</w:t>
            </w:r>
            <w:r w:rsidR="000E6FA7">
              <w:rPr>
                <w:rFonts w:cs="Arial"/>
              </w:rPr>
              <w:t>,</w:t>
            </w:r>
            <w:r w:rsidRPr="00557E12">
              <w:rPr>
                <w:rFonts w:cs="Arial"/>
              </w:rPr>
              <w:t>188</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jc w:val="center"/>
              <w:rPr>
                <w:rFonts w:cs="Arial"/>
              </w:rPr>
            </w:pPr>
            <w:r w:rsidRPr="00557E12">
              <w:rPr>
                <w:rFonts w:cs="Arial"/>
              </w:rPr>
              <w:t>21</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jc w:val="center"/>
              <w:rPr>
                <w:rFonts w:cs="Arial"/>
              </w:rPr>
            </w:pPr>
            <w:r w:rsidRPr="00557E12">
              <w:rPr>
                <w:rFonts w:cs="Arial"/>
              </w:rPr>
              <w:t>548</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tabs>
                <w:tab w:val="decimal" w:pos="413"/>
              </w:tabs>
              <w:rPr>
                <w:rFonts w:cs="Arial"/>
              </w:rPr>
            </w:pPr>
            <w:r w:rsidRPr="00557E12">
              <w:rPr>
                <w:rFonts w:cs="Arial"/>
              </w:rPr>
              <w:t>9</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tabs>
                <w:tab w:val="decimal" w:pos="478"/>
              </w:tabs>
              <w:rPr>
                <w:rFonts w:cs="Arial"/>
              </w:rPr>
            </w:pPr>
            <w:r w:rsidRPr="00557E12">
              <w:rPr>
                <w:rFonts w:cs="Arial"/>
              </w:rPr>
              <w:t>339</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tabs>
                <w:tab w:val="decimal" w:pos="425"/>
              </w:tabs>
              <w:rPr>
                <w:rFonts w:cs="Arial"/>
              </w:rPr>
            </w:pPr>
            <w:r w:rsidRPr="00557E12">
              <w:rPr>
                <w:rFonts w:cs="Arial"/>
              </w:rPr>
              <w:t>6</w:t>
            </w:r>
          </w:p>
        </w:tc>
        <w:tc>
          <w:tcPr>
            <w:tcW w:w="482"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CB68A7" w:rsidRPr="00557E12" w:rsidRDefault="00CB68A7" w:rsidP="000E6FA7">
            <w:pPr>
              <w:pStyle w:val="TableText"/>
              <w:jc w:val="center"/>
              <w:rPr>
                <w:rFonts w:cs="Arial"/>
              </w:rPr>
            </w:pPr>
            <w:r w:rsidRPr="00557E12">
              <w:rPr>
                <w:rFonts w:cs="Arial"/>
              </w:rPr>
              <w:t>5</w:t>
            </w:r>
            <w:r w:rsidR="000E6FA7">
              <w:rPr>
                <w:rFonts w:cs="Arial"/>
              </w:rPr>
              <w:t>,</w:t>
            </w:r>
            <w:r w:rsidRPr="00557E12">
              <w:rPr>
                <w:rFonts w:cs="Arial"/>
              </w:rPr>
              <w:t>783</w:t>
            </w:r>
          </w:p>
        </w:tc>
      </w:tr>
      <w:tr w:rsidR="00CB68A7" w:rsidRPr="00C10A99" w:rsidTr="000E6FA7">
        <w:trPr>
          <w:cantSplit/>
        </w:trPr>
        <w:tc>
          <w:tcPr>
            <w:tcW w:w="645"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88653D">
            <w:pPr>
              <w:pStyle w:val="TableText"/>
            </w:pPr>
            <w:r w:rsidRPr="00557E12">
              <w:t>2012/13</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jc w:val="center"/>
              <w:rPr>
                <w:rFonts w:cs="Arial"/>
              </w:rPr>
            </w:pPr>
            <w:r w:rsidRPr="00557E12">
              <w:rPr>
                <w:rFonts w:cs="Arial"/>
              </w:rPr>
              <w:t>3</w:t>
            </w:r>
            <w:r w:rsidR="000E6FA7">
              <w:rPr>
                <w:rFonts w:cs="Arial"/>
              </w:rPr>
              <w:t>,</w:t>
            </w:r>
            <w:r w:rsidRPr="00557E12">
              <w:rPr>
                <w:rFonts w:cs="Arial"/>
              </w:rPr>
              <w:t>721</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jc w:val="center"/>
              <w:rPr>
                <w:rFonts w:cs="Arial"/>
              </w:rPr>
            </w:pPr>
            <w:r w:rsidRPr="00557E12">
              <w:rPr>
                <w:rFonts w:cs="Arial"/>
              </w:rPr>
              <w:t>59</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tabs>
                <w:tab w:val="decimal" w:pos="598"/>
              </w:tabs>
              <w:rPr>
                <w:rFonts w:cs="Arial"/>
              </w:rPr>
            </w:pPr>
            <w:r w:rsidRPr="00557E12">
              <w:rPr>
                <w:rFonts w:cs="Arial"/>
              </w:rPr>
              <w:t>1</w:t>
            </w:r>
            <w:r w:rsidR="000E6FA7">
              <w:rPr>
                <w:rFonts w:cs="Arial"/>
              </w:rPr>
              <w:t>,</w:t>
            </w:r>
            <w:r w:rsidRPr="00557E12">
              <w:rPr>
                <w:rFonts w:cs="Arial"/>
              </w:rPr>
              <w:t>403</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jc w:val="center"/>
              <w:rPr>
                <w:rFonts w:cs="Arial"/>
              </w:rPr>
            </w:pPr>
            <w:r w:rsidRPr="00557E12">
              <w:rPr>
                <w:rFonts w:cs="Arial"/>
              </w:rPr>
              <w:t>22</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jc w:val="center"/>
              <w:rPr>
                <w:rFonts w:cs="Arial"/>
              </w:rPr>
            </w:pPr>
            <w:r w:rsidRPr="00557E12">
              <w:rPr>
                <w:rFonts w:cs="Arial"/>
              </w:rPr>
              <w:t>568</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tabs>
                <w:tab w:val="decimal" w:pos="413"/>
              </w:tabs>
              <w:rPr>
                <w:rFonts w:cs="Arial"/>
              </w:rPr>
            </w:pPr>
            <w:r w:rsidRPr="00557E12">
              <w:rPr>
                <w:rFonts w:cs="Arial"/>
              </w:rPr>
              <w:t>9</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tabs>
                <w:tab w:val="decimal" w:pos="478"/>
              </w:tabs>
              <w:rPr>
                <w:rFonts w:cs="Arial"/>
              </w:rPr>
            </w:pPr>
            <w:r w:rsidRPr="00557E12">
              <w:rPr>
                <w:rFonts w:cs="Arial"/>
              </w:rPr>
              <w:t>652</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tabs>
                <w:tab w:val="decimal" w:pos="425"/>
              </w:tabs>
              <w:rPr>
                <w:rFonts w:cs="Arial"/>
              </w:rPr>
            </w:pPr>
            <w:r w:rsidRPr="00557E12">
              <w:rPr>
                <w:rFonts w:cs="Arial"/>
              </w:rPr>
              <w:t>10</w:t>
            </w:r>
          </w:p>
        </w:tc>
        <w:tc>
          <w:tcPr>
            <w:tcW w:w="482"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CB68A7" w:rsidRPr="00557E12" w:rsidRDefault="00CB68A7" w:rsidP="000E6FA7">
            <w:pPr>
              <w:pStyle w:val="TableText"/>
              <w:jc w:val="center"/>
              <w:rPr>
                <w:rFonts w:cs="Arial"/>
              </w:rPr>
            </w:pPr>
            <w:r w:rsidRPr="00557E12">
              <w:rPr>
                <w:rFonts w:cs="Arial"/>
              </w:rPr>
              <w:t>6</w:t>
            </w:r>
            <w:r w:rsidR="000E6FA7">
              <w:rPr>
                <w:rFonts w:cs="Arial"/>
              </w:rPr>
              <w:t>,</w:t>
            </w:r>
            <w:r w:rsidRPr="00557E12">
              <w:rPr>
                <w:rFonts w:cs="Arial"/>
              </w:rPr>
              <w:t>344</w:t>
            </w:r>
          </w:p>
        </w:tc>
      </w:tr>
      <w:tr w:rsidR="00CB68A7" w:rsidRPr="00C10A99" w:rsidTr="000E6FA7">
        <w:trPr>
          <w:cantSplit/>
        </w:trPr>
        <w:tc>
          <w:tcPr>
            <w:tcW w:w="645"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88653D">
            <w:pPr>
              <w:pStyle w:val="TableText"/>
            </w:pPr>
            <w:r w:rsidRPr="00557E12">
              <w:t>2013/14</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jc w:val="center"/>
              <w:rPr>
                <w:rFonts w:cs="Arial"/>
              </w:rPr>
            </w:pPr>
            <w:r w:rsidRPr="00557E12">
              <w:rPr>
                <w:rFonts w:cs="Arial"/>
              </w:rPr>
              <w:t>3</w:t>
            </w:r>
            <w:r w:rsidR="000E6FA7">
              <w:rPr>
                <w:rFonts w:cs="Arial"/>
              </w:rPr>
              <w:t>,</w:t>
            </w:r>
            <w:r w:rsidRPr="00557E12">
              <w:rPr>
                <w:rFonts w:cs="Arial"/>
              </w:rPr>
              <w:t>871</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jc w:val="center"/>
              <w:rPr>
                <w:rFonts w:cs="Arial"/>
              </w:rPr>
            </w:pPr>
            <w:r w:rsidRPr="00557E12">
              <w:rPr>
                <w:rFonts w:cs="Arial"/>
              </w:rPr>
              <w:t>59</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tabs>
                <w:tab w:val="decimal" w:pos="598"/>
              </w:tabs>
              <w:rPr>
                <w:rFonts w:cs="Arial"/>
              </w:rPr>
            </w:pPr>
            <w:r w:rsidRPr="00557E12">
              <w:rPr>
                <w:rFonts w:cs="Arial"/>
              </w:rPr>
              <w:t>1</w:t>
            </w:r>
            <w:r w:rsidR="000E6FA7">
              <w:rPr>
                <w:rFonts w:cs="Arial"/>
              </w:rPr>
              <w:t>,</w:t>
            </w:r>
            <w:r w:rsidRPr="00557E12">
              <w:rPr>
                <w:rFonts w:cs="Arial"/>
              </w:rPr>
              <w:t>413</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jc w:val="center"/>
              <w:rPr>
                <w:rFonts w:cs="Arial"/>
              </w:rPr>
            </w:pPr>
            <w:r w:rsidRPr="00557E12">
              <w:rPr>
                <w:rFonts w:cs="Arial"/>
              </w:rPr>
              <w:t>22</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jc w:val="center"/>
              <w:rPr>
                <w:rFonts w:cs="Arial"/>
              </w:rPr>
            </w:pPr>
            <w:r w:rsidRPr="00557E12">
              <w:rPr>
                <w:rFonts w:cs="Arial"/>
              </w:rPr>
              <w:t>651</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tabs>
                <w:tab w:val="decimal" w:pos="413"/>
              </w:tabs>
              <w:rPr>
                <w:rFonts w:cs="Arial"/>
              </w:rPr>
            </w:pPr>
            <w:r w:rsidRPr="00557E12">
              <w:rPr>
                <w:rFonts w:cs="Arial"/>
              </w:rPr>
              <w:t>10</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tabs>
                <w:tab w:val="decimal" w:pos="478"/>
              </w:tabs>
              <w:rPr>
                <w:rFonts w:cs="Arial"/>
              </w:rPr>
            </w:pPr>
            <w:r w:rsidRPr="00557E12">
              <w:rPr>
                <w:rFonts w:cs="Arial"/>
              </w:rPr>
              <w:t>590</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tabs>
                <w:tab w:val="decimal" w:pos="425"/>
              </w:tabs>
              <w:rPr>
                <w:rFonts w:cs="Arial"/>
              </w:rPr>
            </w:pPr>
            <w:r w:rsidRPr="00557E12">
              <w:rPr>
                <w:rFonts w:cs="Arial"/>
              </w:rPr>
              <w:t>9</w:t>
            </w:r>
          </w:p>
        </w:tc>
        <w:tc>
          <w:tcPr>
            <w:tcW w:w="482"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CB68A7" w:rsidRPr="00557E12" w:rsidRDefault="00CB68A7" w:rsidP="000E6FA7">
            <w:pPr>
              <w:pStyle w:val="TableText"/>
              <w:jc w:val="center"/>
              <w:rPr>
                <w:rFonts w:cs="Arial"/>
              </w:rPr>
            </w:pPr>
            <w:r w:rsidRPr="00557E12">
              <w:rPr>
                <w:rFonts w:cs="Arial"/>
              </w:rPr>
              <w:t>6</w:t>
            </w:r>
            <w:r w:rsidR="000E6FA7">
              <w:rPr>
                <w:rFonts w:cs="Arial"/>
              </w:rPr>
              <w:t>,</w:t>
            </w:r>
            <w:r w:rsidRPr="00557E12">
              <w:rPr>
                <w:rFonts w:cs="Arial"/>
              </w:rPr>
              <w:t>525</w:t>
            </w:r>
          </w:p>
        </w:tc>
      </w:tr>
      <w:tr w:rsidR="00CB68A7" w:rsidRPr="00C10A99" w:rsidTr="000E6FA7">
        <w:trPr>
          <w:cantSplit/>
        </w:trPr>
        <w:tc>
          <w:tcPr>
            <w:tcW w:w="645"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88653D">
            <w:pPr>
              <w:pStyle w:val="TableText"/>
            </w:pPr>
            <w:r w:rsidRPr="00557E12">
              <w:t>2014/15</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jc w:val="center"/>
              <w:rPr>
                <w:rFonts w:cs="Arial"/>
              </w:rPr>
            </w:pPr>
            <w:r w:rsidRPr="00557E12">
              <w:rPr>
                <w:rFonts w:cs="Arial"/>
              </w:rPr>
              <w:t>3</w:t>
            </w:r>
            <w:r w:rsidR="000E6FA7">
              <w:rPr>
                <w:rFonts w:cs="Arial"/>
              </w:rPr>
              <w:t>,</w:t>
            </w:r>
            <w:r w:rsidRPr="00557E12">
              <w:rPr>
                <w:rFonts w:cs="Arial"/>
              </w:rPr>
              <w:t>674</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jc w:val="center"/>
              <w:rPr>
                <w:rFonts w:cs="Arial"/>
              </w:rPr>
            </w:pPr>
            <w:r w:rsidRPr="00557E12">
              <w:rPr>
                <w:rFonts w:cs="Arial"/>
              </w:rPr>
              <w:t>57</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tabs>
                <w:tab w:val="decimal" w:pos="598"/>
              </w:tabs>
              <w:rPr>
                <w:rFonts w:cs="Arial"/>
              </w:rPr>
            </w:pPr>
            <w:r w:rsidRPr="00557E12">
              <w:rPr>
                <w:rFonts w:cs="Arial"/>
              </w:rPr>
              <w:t>1</w:t>
            </w:r>
            <w:r w:rsidR="000E6FA7">
              <w:rPr>
                <w:rFonts w:cs="Arial"/>
              </w:rPr>
              <w:t>,</w:t>
            </w:r>
            <w:r w:rsidRPr="00557E12">
              <w:rPr>
                <w:rFonts w:cs="Arial"/>
              </w:rPr>
              <w:t>449</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jc w:val="center"/>
              <w:rPr>
                <w:rFonts w:cs="Arial"/>
              </w:rPr>
            </w:pPr>
            <w:r w:rsidRPr="00557E12">
              <w:rPr>
                <w:rFonts w:cs="Arial"/>
              </w:rPr>
              <w:t>22</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jc w:val="center"/>
              <w:rPr>
                <w:rFonts w:cs="Arial"/>
              </w:rPr>
            </w:pPr>
            <w:r w:rsidRPr="00557E12">
              <w:rPr>
                <w:rFonts w:cs="Arial"/>
              </w:rPr>
              <w:t>729</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tabs>
                <w:tab w:val="decimal" w:pos="413"/>
              </w:tabs>
              <w:rPr>
                <w:rFonts w:cs="Arial"/>
              </w:rPr>
            </w:pPr>
            <w:r w:rsidRPr="00557E12">
              <w:rPr>
                <w:rFonts w:cs="Arial"/>
              </w:rPr>
              <w:t>11</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tabs>
                <w:tab w:val="decimal" w:pos="478"/>
              </w:tabs>
              <w:rPr>
                <w:rFonts w:cs="Arial"/>
              </w:rPr>
            </w:pPr>
            <w:r w:rsidRPr="00557E12">
              <w:rPr>
                <w:rFonts w:cs="Arial"/>
              </w:rPr>
              <w:t>624</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tabs>
                <w:tab w:val="decimal" w:pos="425"/>
              </w:tabs>
              <w:rPr>
                <w:rFonts w:cs="Arial"/>
              </w:rPr>
            </w:pPr>
            <w:r w:rsidRPr="00557E12">
              <w:rPr>
                <w:rFonts w:cs="Arial"/>
              </w:rPr>
              <w:t>10</w:t>
            </w:r>
          </w:p>
        </w:tc>
        <w:tc>
          <w:tcPr>
            <w:tcW w:w="482"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CB68A7" w:rsidRPr="00557E12" w:rsidRDefault="00CB68A7" w:rsidP="000E6FA7">
            <w:pPr>
              <w:pStyle w:val="TableText"/>
              <w:jc w:val="center"/>
              <w:rPr>
                <w:rFonts w:cs="Arial"/>
              </w:rPr>
            </w:pPr>
            <w:r w:rsidRPr="00557E12">
              <w:rPr>
                <w:rFonts w:cs="Arial"/>
              </w:rPr>
              <w:t>6</w:t>
            </w:r>
            <w:r w:rsidR="000E6FA7">
              <w:rPr>
                <w:rFonts w:cs="Arial"/>
              </w:rPr>
              <w:t>,</w:t>
            </w:r>
            <w:r w:rsidRPr="00557E12">
              <w:rPr>
                <w:rFonts w:cs="Arial"/>
              </w:rPr>
              <w:t>476</w:t>
            </w:r>
          </w:p>
        </w:tc>
      </w:tr>
      <w:tr w:rsidR="00CB68A7" w:rsidRPr="00C10A99" w:rsidTr="000E6FA7">
        <w:trPr>
          <w:cantSplit/>
        </w:trPr>
        <w:tc>
          <w:tcPr>
            <w:tcW w:w="645"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88653D">
            <w:pPr>
              <w:pStyle w:val="TableText"/>
            </w:pPr>
            <w:r w:rsidRPr="00557E12">
              <w:t>2015/16</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jc w:val="center"/>
              <w:rPr>
                <w:rFonts w:cs="Arial"/>
              </w:rPr>
            </w:pPr>
            <w:r w:rsidRPr="00557E12">
              <w:rPr>
                <w:rFonts w:cs="Arial"/>
              </w:rPr>
              <w:t>3</w:t>
            </w:r>
            <w:r w:rsidR="000E6FA7">
              <w:rPr>
                <w:rFonts w:cs="Arial"/>
              </w:rPr>
              <w:t>,</w:t>
            </w:r>
            <w:r w:rsidRPr="00557E12">
              <w:rPr>
                <w:rFonts w:cs="Arial"/>
              </w:rPr>
              <w:t>251</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jc w:val="center"/>
              <w:rPr>
                <w:rFonts w:cs="Arial"/>
              </w:rPr>
            </w:pPr>
            <w:r w:rsidRPr="00557E12">
              <w:rPr>
                <w:rFonts w:cs="Arial"/>
              </w:rPr>
              <w:t>54</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tabs>
                <w:tab w:val="decimal" w:pos="598"/>
              </w:tabs>
              <w:rPr>
                <w:rFonts w:cs="Arial"/>
              </w:rPr>
            </w:pPr>
            <w:r w:rsidRPr="00557E12">
              <w:rPr>
                <w:rFonts w:cs="Arial"/>
              </w:rPr>
              <w:t>1</w:t>
            </w:r>
            <w:r w:rsidR="000E6FA7">
              <w:rPr>
                <w:rFonts w:cs="Arial"/>
              </w:rPr>
              <w:t>,</w:t>
            </w:r>
            <w:r w:rsidRPr="00557E12">
              <w:rPr>
                <w:rFonts w:cs="Arial"/>
              </w:rPr>
              <w:t>221</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jc w:val="center"/>
              <w:rPr>
                <w:rFonts w:cs="Arial"/>
              </w:rPr>
            </w:pPr>
            <w:r w:rsidRPr="00557E12">
              <w:rPr>
                <w:rFonts w:cs="Arial"/>
              </w:rPr>
              <w:t>20</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jc w:val="center"/>
              <w:rPr>
                <w:rFonts w:cs="Arial"/>
              </w:rPr>
            </w:pPr>
            <w:r w:rsidRPr="00557E12">
              <w:rPr>
                <w:rFonts w:cs="Arial"/>
              </w:rPr>
              <w:t>696</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tabs>
                <w:tab w:val="decimal" w:pos="413"/>
              </w:tabs>
              <w:rPr>
                <w:rFonts w:cs="Arial"/>
              </w:rPr>
            </w:pPr>
            <w:r w:rsidRPr="00557E12">
              <w:rPr>
                <w:rFonts w:cs="Arial"/>
              </w:rPr>
              <w:t>12</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tabs>
                <w:tab w:val="decimal" w:pos="478"/>
              </w:tabs>
              <w:rPr>
                <w:rFonts w:cs="Arial"/>
              </w:rPr>
            </w:pPr>
            <w:r w:rsidRPr="00557E12">
              <w:rPr>
                <w:rFonts w:cs="Arial"/>
              </w:rPr>
              <w:t>812</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tabs>
                <w:tab w:val="decimal" w:pos="425"/>
              </w:tabs>
              <w:rPr>
                <w:rFonts w:cs="Arial"/>
              </w:rPr>
            </w:pPr>
            <w:r w:rsidRPr="00557E12">
              <w:rPr>
                <w:rFonts w:cs="Arial"/>
              </w:rPr>
              <w:t>14</w:t>
            </w:r>
          </w:p>
        </w:tc>
        <w:tc>
          <w:tcPr>
            <w:tcW w:w="482"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CB68A7" w:rsidRPr="00557E12" w:rsidRDefault="00CB68A7" w:rsidP="000E6FA7">
            <w:pPr>
              <w:pStyle w:val="TableText"/>
              <w:jc w:val="center"/>
              <w:rPr>
                <w:rFonts w:cs="Arial"/>
              </w:rPr>
            </w:pPr>
            <w:r w:rsidRPr="00557E12">
              <w:rPr>
                <w:rFonts w:cs="Arial"/>
              </w:rPr>
              <w:t>5</w:t>
            </w:r>
            <w:r w:rsidR="000E6FA7">
              <w:rPr>
                <w:rFonts w:cs="Arial"/>
              </w:rPr>
              <w:t>,</w:t>
            </w:r>
            <w:r w:rsidRPr="00557E12">
              <w:rPr>
                <w:rFonts w:cs="Arial"/>
              </w:rPr>
              <w:t>980</w:t>
            </w:r>
          </w:p>
        </w:tc>
      </w:tr>
      <w:tr w:rsidR="00CB68A7" w:rsidRPr="00C10A99" w:rsidTr="000E6FA7">
        <w:trPr>
          <w:cantSplit/>
        </w:trPr>
        <w:tc>
          <w:tcPr>
            <w:tcW w:w="645"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88653D">
            <w:pPr>
              <w:pStyle w:val="TableText"/>
            </w:pPr>
            <w:r w:rsidRPr="00557E12">
              <w:t>2016/17</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jc w:val="center"/>
              <w:rPr>
                <w:rFonts w:cs="Arial"/>
              </w:rPr>
            </w:pPr>
            <w:r w:rsidRPr="00557E12">
              <w:rPr>
                <w:rFonts w:cs="Arial"/>
              </w:rPr>
              <w:t>3</w:t>
            </w:r>
            <w:r w:rsidR="000E6FA7">
              <w:rPr>
                <w:rFonts w:cs="Arial"/>
              </w:rPr>
              <w:t>,</w:t>
            </w:r>
            <w:r w:rsidRPr="00557E12">
              <w:rPr>
                <w:rFonts w:cs="Arial"/>
              </w:rPr>
              <w:t>060</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jc w:val="center"/>
              <w:rPr>
                <w:rFonts w:cs="Arial"/>
              </w:rPr>
            </w:pPr>
            <w:r w:rsidRPr="00557E12">
              <w:rPr>
                <w:rFonts w:cs="Arial"/>
              </w:rPr>
              <w:t>54</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tabs>
                <w:tab w:val="decimal" w:pos="598"/>
              </w:tabs>
              <w:rPr>
                <w:rFonts w:cs="Arial"/>
              </w:rPr>
            </w:pPr>
            <w:r w:rsidRPr="00557E12">
              <w:rPr>
                <w:rFonts w:cs="Arial"/>
              </w:rPr>
              <w:t>1</w:t>
            </w:r>
            <w:r w:rsidR="000E6FA7">
              <w:rPr>
                <w:rFonts w:cs="Arial"/>
              </w:rPr>
              <w:t>,</w:t>
            </w:r>
            <w:r w:rsidRPr="00557E12">
              <w:rPr>
                <w:rFonts w:cs="Arial"/>
              </w:rPr>
              <w:t>240</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jc w:val="center"/>
              <w:rPr>
                <w:rFonts w:cs="Arial"/>
              </w:rPr>
            </w:pPr>
            <w:r w:rsidRPr="00557E12">
              <w:rPr>
                <w:rFonts w:cs="Arial"/>
              </w:rPr>
              <w:t>22</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jc w:val="center"/>
              <w:rPr>
                <w:rFonts w:cs="Arial"/>
              </w:rPr>
            </w:pPr>
            <w:r w:rsidRPr="00557E12">
              <w:rPr>
                <w:rFonts w:cs="Arial"/>
              </w:rPr>
              <w:t>593</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tabs>
                <w:tab w:val="decimal" w:pos="413"/>
              </w:tabs>
              <w:rPr>
                <w:rFonts w:cs="Arial"/>
              </w:rPr>
            </w:pPr>
            <w:r w:rsidRPr="00557E12">
              <w:rPr>
                <w:rFonts w:cs="Arial"/>
              </w:rPr>
              <w:t>10</w:t>
            </w:r>
          </w:p>
        </w:tc>
        <w:tc>
          <w:tcPr>
            <w:tcW w:w="484"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CB68A7" w:rsidRPr="00557E12" w:rsidRDefault="00CB68A7" w:rsidP="000E6FA7">
            <w:pPr>
              <w:pStyle w:val="TableText"/>
              <w:tabs>
                <w:tab w:val="decimal" w:pos="478"/>
              </w:tabs>
              <w:rPr>
                <w:rFonts w:cs="Arial"/>
              </w:rPr>
            </w:pPr>
            <w:r w:rsidRPr="00557E12">
              <w:rPr>
                <w:rFonts w:cs="Arial"/>
              </w:rPr>
              <w:t>820</w:t>
            </w:r>
          </w:p>
        </w:tc>
        <w:tc>
          <w:tcPr>
            <w:tcW w:w="484"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CB68A7" w:rsidRPr="00557E12" w:rsidRDefault="00CB68A7" w:rsidP="000E6FA7">
            <w:pPr>
              <w:pStyle w:val="TableText"/>
              <w:tabs>
                <w:tab w:val="decimal" w:pos="425"/>
              </w:tabs>
              <w:rPr>
                <w:rFonts w:cs="Arial"/>
              </w:rPr>
            </w:pPr>
            <w:r w:rsidRPr="00557E12">
              <w:rPr>
                <w:rFonts w:cs="Arial"/>
              </w:rPr>
              <w:t>14</w:t>
            </w:r>
          </w:p>
        </w:tc>
        <w:tc>
          <w:tcPr>
            <w:tcW w:w="482"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CB68A7" w:rsidRPr="00557E12" w:rsidRDefault="00CB68A7" w:rsidP="000E6FA7">
            <w:pPr>
              <w:pStyle w:val="TableText"/>
              <w:jc w:val="center"/>
              <w:rPr>
                <w:rFonts w:cs="Arial"/>
              </w:rPr>
            </w:pPr>
            <w:r w:rsidRPr="00557E12">
              <w:rPr>
                <w:rFonts w:cs="Arial"/>
              </w:rPr>
              <w:t>5</w:t>
            </w:r>
            <w:r w:rsidR="000E6FA7">
              <w:rPr>
                <w:rFonts w:cs="Arial"/>
              </w:rPr>
              <w:t>,</w:t>
            </w:r>
            <w:r w:rsidRPr="00557E12">
              <w:rPr>
                <w:rFonts w:cs="Arial"/>
              </w:rPr>
              <w:t>713</w:t>
            </w:r>
          </w:p>
        </w:tc>
      </w:tr>
      <w:tr w:rsidR="00CB68A7" w:rsidRPr="00C10A99" w:rsidTr="000E6FA7">
        <w:trPr>
          <w:cantSplit/>
        </w:trPr>
        <w:tc>
          <w:tcPr>
            <w:tcW w:w="645" w:type="pct"/>
            <w:tcBorders>
              <w:top w:val="single" w:sz="4" w:space="0" w:color="A6A6A6" w:themeColor="background1" w:themeShade="A6"/>
              <w:bottom w:val="single" w:sz="4" w:space="0" w:color="auto"/>
              <w:right w:val="single" w:sz="4" w:space="0" w:color="A6A6A6" w:themeColor="background1" w:themeShade="A6"/>
            </w:tcBorders>
            <w:shd w:val="clear" w:color="auto" w:fill="auto"/>
          </w:tcPr>
          <w:p w:rsidR="00CB68A7" w:rsidRPr="00557E12" w:rsidRDefault="00CB68A7" w:rsidP="0088653D">
            <w:pPr>
              <w:pStyle w:val="TableText"/>
            </w:pPr>
            <w:r w:rsidRPr="00557E12">
              <w:t>2017</w:t>
            </w:r>
          </w:p>
        </w:tc>
        <w:tc>
          <w:tcPr>
            <w:tcW w:w="484" w:type="pct"/>
            <w:tcBorders>
              <w:top w:val="single" w:sz="4" w:space="0" w:color="A6A6A6" w:themeColor="background1" w:themeShade="A6"/>
              <w:left w:val="single" w:sz="4" w:space="0" w:color="A6A6A6" w:themeColor="background1" w:themeShade="A6"/>
              <w:bottom w:val="single" w:sz="4" w:space="0" w:color="auto"/>
              <w:right w:val="nil"/>
            </w:tcBorders>
            <w:shd w:val="clear" w:color="auto" w:fill="auto"/>
          </w:tcPr>
          <w:p w:rsidR="00CB68A7" w:rsidRPr="00557E12" w:rsidRDefault="00CB68A7" w:rsidP="000E6FA7">
            <w:pPr>
              <w:pStyle w:val="TableText"/>
              <w:jc w:val="center"/>
              <w:rPr>
                <w:rFonts w:cs="Arial"/>
              </w:rPr>
            </w:pPr>
            <w:r w:rsidRPr="00557E12">
              <w:rPr>
                <w:rFonts w:cs="Arial"/>
              </w:rPr>
              <w:t>2</w:t>
            </w:r>
            <w:r w:rsidR="000E6FA7">
              <w:rPr>
                <w:rFonts w:cs="Arial"/>
              </w:rPr>
              <w:t>,</w:t>
            </w:r>
            <w:r w:rsidRPr="00557E12">
              <w:rPr>
                <w:rFonts w:cs="Arial"/>
              </w:rPr>
              <w:t>877</w:t>
            </w:r>
          </w:p>
        </w:tc>
        <w:tc>
          <w:tcPr>
            <w:tcW w:w="484" w:type="pct"/>
            <w:tcBorders>
              <w:top w:val="single" w:sz="4" w:space="0" w:color="A6A6A6" w:themeColor="background1" w:themeShade="A6"/>
              <w:left w:val="nil"/>
              <w:bottom w:val="single" w:sz="4" w:space="0" w:color="auto"/>
              <w:right w:val="single" w:sz="4" w:space="0" w:color="A6A6A6" w:themeColor="background1" w:themeShade="A6"/>
            </w:tcBorders>
            <w:shd w:val="clear" w:color="auto" w:fill="auto"/>
          </w:tcPr>
          <w:p w:rsidR="00CB68A7" w:rsidRPr="00557E12" w:rsidRDefault="00CB68A7" w:rsidP="000E6FA7">
            <w:pPr>
              <w:pStyle w:val="TableText"/>
              <w:jc w:val="center"/>
              <w:rPr>
                <w:rFonts w:cs="Arial"/>
              </w:rPr>
            </w:pPr>
            <w:r w:rsidRPr="00557E12">
              <w:rPr>
                <w:rFonts w:cs="Arial"/>
              </w:rPr>
              <w:t>53</w:t>
            </w:r>
          </w:p>
        </w:tc>
        <w:tc>
          <w:tcPr>
            <w:tcW w:w="484" w:type="pct"/>
            <w:tcBorders>
              <w:top w:val="single" w:sz="4" w:space="0" w:color="A6A6A6" w:themeColor="background1" w:themeShade="A6"/>
              <w:left w:val="single" w:sz="4" w:space="0" w:color="A6A6A6" w:themeColor="background1" w:themeShade="A6"/>
              <w:bottom w:val="single" w:sz="4" w:space="0" w:color="auto"/>
              <w:right w:val="nil"/>
            </w:tcBorders>
            <w:shd w:val="clear" w:color="auto" w:fill="auto"/>
          </w:tcPr>
          <w:p w:rsidR="00CB68A7" w:rsidRPr="00557E12" w:rsidRDefault="00CB68A7" w:rsidP="000E6FA7">
            <w:pPr>
              <w:pStyle w:val="TableText"/>
              <w:tabs>
                <w:tab w:val="decimal" w:pos="598"/>
              </w:tabs>
              <w:rPr>
                <w:rFonts w:cs="Arial"/>
              </w:rPr>
            </w:pPr>
            <w:r w:rsidRPr="00557E12">
              <w:rPr>
                <w:rFonts w:cs="Arial"/>
              </w:rPr>
              <w:t>1</w:t>
            </w:r>
            <w:r w:rsidR="000E6FA7">
              <w:rPr>
                <w:rFonts w:cs="Arial"/>
              </w:rPr>
              <w:t>,</w:t>
            </w:r>
            <w:r w:rsidRPr="00557E12">
              <w:rPr>
                <w:rFonts w:cs="Arial"/>
              </w:rPr>
              <w:t>235</w:t>
            </w:r>
          </w:p>
        </w:tc>
        <w:tc>
          <w:tcPr>
            <w:tcW w:w="484" w:type="pct"/>
            <w:tcBorders>
              <w:top w:val="single" w:sz="4" w:space="0" w:color="A6A6A6" w:themeColor="background1" w:themeShade="A6"/>
              <w:left w:val="nil"/>
              <w:bottom w:val="single" w:sz="4" w:space="0" w:color="auto"/>
              <w:right w:val="single" w:sz="4" w:space="0" w:color="A6A6A6" w:themeColor="background1" w:themeShade="A6"/>
            </w:tcBorders>
            <w:shd w:val="clear" w:color="auto" w:fill="auto"/>
          </w:tcPr>
          <w:p w:rsidR="00CB68A7" w:rsidRPr="00557E12" w:rsidRDefault="00CB68A7" w:rsidP="000E6FA7">
            <w:pPr>
              <w:pStyle w:val="TableText"/>
              <w:jc w:val="center"/>
              <w:rPr>
                <w:rFonts w:cs="Arial"/>
              </w:rPr>
            </w:pPr>
            <w:r w:rsidRPr="00557E12">
              <w:rPr>
                <w:rFonts w:cs="Arial"/>
              </w:rPr>
              <w:t>23</w:t>
            </w:r>
          </w:p>
        </w:tc>
        <w:tc>
          <w:tcPr>
            <w:tcW w:w="484" w:type="pct"/>
            <w:tcBorders>
              <w:top w:val="single" w:sz="4" w:space="0" w:color="A6A6A6" w:themeColor="background1" w:themeShade="A6"/>
              <w:left w:val="single" w:sz="4" w:space="0" w:color="A6A6A6" w:themeColor="background1" w:themeShade="A6"/>
              <w:bottom w:val="single" w:sz="4" w:space="0" w:color="auto"/>
              <w:right w:val="nil"/>
            </w:tcBorders>
            <w:shd w:val="clear" w:color="auto" w:fill="auto"/>
          </w:tcPr>
          <w:p w:rsidR="00CB68A7" w:rsidRPr="00557E12" w:rsidRDefault="00CB68A7" w:rsidP="000E6FA7">
            <w:pPr>
              <w:pStyle w:val="TableText"/>
              <w:jc w:val="center"/>
              <w:rPr>
                <w:rFonts w:cs="Arial"/>
              </w:rPr>
            </w:pPr>
            <w:r w:rsidRPr="00557E12">
              <w:rPr>
                <w:rFonts w:cs="Arial"/>
              </w:rPr>
              <w:t>553</w:t>
            </w:r>
          </w:p>
        </w:tc>
        <w:tc>
          <w:tcPr>
            <w:tcW w:w="484" w:type="pct"/>
            <w:tcBorders>
              <w:top w:val="single" w:sz="4" w:space="0" w:color="A6A6A6" w:themeColor="background1" w:themeShade="A6"/>
              <w:left w:val="nil"/>
              <w:bottom w:val="single" w:sz="4" w:space="0" w:color="auto"/>
              <w:right w:val="single" w:sz="4" w:space="0" w:color="A6A6A6" w:themeColor="background1" w:themeShade="A6"/>
            </w:tcBorders>
            <w:shd w:val="clear" w:color="auto" w:fill="auto"/>
          </w:tcPr>
          <w:p w:rsidR="00CB68A7" w:rsidRPr="00557E12" w:rsidRDefault="00CB68A7" w:rsidP="000E6FA7">
            <w:pPr>
              <w:pStyle w:val="TableText"/>
              <w:tabs>
                <w:tab w:val="decimal" w:pos="413"/>
              </w:tabs>
              <w:rPr>
                <w:rFonts w:cs="Arial"/>
              </w:rPr>
            </w:pPr>
            <w:r w:rsidRPr="00557E12">
              <w:rPr>
                <w:rFonts w:cs="Arial"/>
              </w:rPr>
              <w:t>10</w:t>
            </w:r>
          </w:p>
        </w:tc>
        <w:tc>
          <w:tcPr>
            <w:tcW w:w="484" w:type="pct"/>
            <w:tcBorders>
              <w:top w:val="single" w:sz="4" w:space="0" w:color="A6A6A6" w:themeColor="background1" w:themeShade="A6"/>
              <w:left w:val="single" w:sz="4" w:space="0" w:color="A6A6A6" w:themeColor="background1" w:themeShade="A6"/>
              <w:bottom w:val="single" w:sz="4" w:space="0" w:color="auto"/>
              <w:right w:val="nil"/>
            </w:tcBorders>
            <w:shd w:val="clear" w:color="auto" w:fill="auto"/>
          </w:tcPr>
          <w:p w:rsidR="00CB68A7" w:rsidRPr="00557E12" w:rsidRDefault="00CB68A7" w:rsidP="000E6FA7">
            <w:pPr>
              <w:pStyle w:val="TableText"/>
              <w:tabs>
                <w:tab w:val="decimal" w:pos="478"/>
              </w:tabs>
              <w:rPr>
                <w:rFonts w:cs="Arial"/>
              </w:rPr>
            </w:pPr>
            <w:r w:rsidRPr="00557E12">
              <w:rPr>
                <w:rFonts w:cs="Arial"/>
              </w:rPr>
              <w:t>802</w:t>
            </w:r>
          </w:p>
        </w:tc>
        <w:tc>
          <w:tcPr>
            <w:tcW w:w="484" w:type="pct"/>
            <w:tcBorders>
              <w:top w:val="single" w:sz="4" w:space="0" w:color="A6A6A6" w:themeColor="background1" w:themeShade="A6"/>
              <w:left w:val="nil"/>
              <w:bottom w:val="single" w:sz="4" w:space="0" w:color="auto"/>
              <w:right w:val="single" w:sz="4" w:space="0" w:color="A6A6A6" w:themeColor="background1" w:themeShade="A6"/>
            </w:tcBorders>
            <w:shd w:val="clear" w:color="auto" w:fill="auto"/>
          </w:tcPr>
          <w:p w:rsidR="00CB68A7" w:rsidRPr="00557E12" w:rsidRDefault="00CB68A7" w:rsidP="000E6FA7">
            <w:pPr>
              <w:pStyle w:val="TableText"/>
              <w:tabs>
                <w:tab w:val="decimal" w:pos="425"/>
              </w:tabs>
              <w:rPr>
                <w:rFonts w:cs="Arial"/>
              </w:rPr>
            </w:pPr>
            <w:r w:rsidRPr="00557E12">
              <w:rPr>
                <w:rFonts w:cs="Arial"/>
              </w:rPr>
              <w:t>15</w:t>
            </w:r>
          </w:p>
        </w:tc>
        <w:tc>
          <w:tcPr>
            <w:tcW w:w="482" w:type="pct"/>
            <w:tcBorders>
              <w:top w:val="single" w:sz="4" w:space="0" w:color="A6A6A6" w:themeColor="background1" w:themeShade="A6"/>
              <w:left w:val="single" w:sz="4" w:space="0" w:color="A6A6A6" w:themeColor="background1" w:themeShade="A6"/>
              <w:bottom w:val="single" w:sz="4" w:space="0" w:color="auto"/>
            </w:tcBorders>
            <w:shd w:val="clear" w:color="auto" w:fill="auto"/>
          </w:tcPr>
          <w:p w:rsidR="00CB68A7" w:rsidRPr="00557E12" w:rsidRDefault="00CB68A7" w:rsidP="000E6FA7">
            <w:pPr>
              <w:pStyle w:val="TableText"/>
              <w:jc w:val="center"/>
              <w:rPr>
                <w:rFonts w:cs="Arial"/>
              </w:rPr>
            </w:pPr>
            <w:r w:rsidRPr="00557E12">
              <w:rPr>
                <w:rFonts w:cs="Arial"/>
              </w:rPr>
              <w:t>5</w:t>
            </w:r>
            <w:r w:rsidR="000E6FA7">
              <w:rPr>
                <w:rFonts w:cs="Arial"/>
              </w:rPr>
              <w:t>,</w:t>
            </w:r>
            <w:r w:rsidRPr="00557E12">
              <w:rPr>
                <w:rFonts w:cs="Arial"/>
              </w:rPr>
              <w:t>466</w:t>
            </w:r>
          </w:p>
        </w:tc>
      </w:tr>
    </w:tbl>
    <w:p w:rsidR="00CB68A7" w:rsidRPr="0088653D" w:rsidRDefault="00CB68A7" w:rsidP="0088653D">
      <w:pPr>
        <w:pStyle w:val="Source"/>
      </w:pPr>
      <w:r w:rsidRPr="0088653D">
        <w:t xml:space="preserve">Source: Service user data, Ministry of Health (downloaded March 2018) and 2017 CLIC data. URL: </w:t>
      </w:r>
      <w:hyperlink r:id="rId64" w:history="1">
        <w:r w:rsidRPr="0088653D">
          <w:t>www.health.govt.nz/our-work/mental-health-and-addictions/problem-gambling/service-user-data/intervention-client-data</w:t>
        </w:r>
      </w:hyperlink>
      <w:r w:rsidRPr="0088653D">
        <w:t xml:space="preserve"> (accessed 10 June 2018).</w:t>
      </w:r>
    </w:p>
    <w:p w:rsidR="00EC3578" w:rsidRDefault="00CB68A7" w:rsidP="0088653D">
      <w:pPr>
        <w:pStyle w:val="Note"/>
      </w:pPr>
      <w:r>
        <w:t xml:space="preserve">Note: </w:t>
      </w:r>
      <w:r w:rsidRPr="00557E12">
        <w:t>The sum of the row</w:t>
      </w:r>
      <w:r>
        <w:t xml:space="preserve">s </w:t>
      </w:r>
      <w:r w:rsidRPr="00557E12">
        <w:t xml:space="preserve">may </w:t>
      </w:r>
      <w:r>
        <w:t xml:space="preserve">differ from the total shown in the </w:t>
      </w:r>
      <w:r w:rsidR="00EC3578">
        <w:t>‘</w:t>
      </w:r>
      <w:r>
        <w:t>Total</w:t>
      </w:r>
      <w:r w:rsidR="00EC3578">
        <w:t>’</w:t>
      </w:r>
      <w:r>
        <w:t xml:space="preserve"> column due to</w:t>
      </w:r>
      <w:r w:rsidRPr="00557E12">
        <w:t xml:space="preserve"> rounding.</w:t>
      </w:r>
    </w:p>
    <w:p w:rsidR="0088653D" w:rsidRPr="0088653D" w:rsidRDefault="0088653D" w:rsidP="0088653D"/>
    <w:p w:rsidR="00CB68A7" w:rsidRPr="00BC3003" w:rsidRDefault="00CB68A7" w:rsidP="0088653D">
      <w:pPr>
        <w:pStyle w:val="Figure"/>
      </w:pPr>
      <w:bookmarkStart w:id="212" w:name="_Toc516836150"/>
      <w:bookmarkStart w:id="213" w:name="_Toc522089428"/>
      <w:r>
        <w:t xml:space="preserve">Figure </w:t>
      </w:r>
      <w:r w:rsidR="005754D6">
        <w:t>7</w:t>
      </w:r>
      <w:r w:rsidR="0088653D">
        <w:t>:</w:t>
      </w:r>
      <w:r>
        <w:t xml:space="preserve"> P</w:t>
      </w:r>
      <w:r w:rsidRPr="00227DDB">
        <w:t xml:space="preserve">resentations </w:t>
      </w:r>
      <w:r>
        <w:t>by year a</w:t>
      </w:r>
      <w:r w:rsidRPr="00227DDB">
        <w:t>ttributed to the four main sectors, 2004/05 to 2016/17</w:t>
      </w:r>
      <w:bookmarkEnd w:id="212"/>
      <w:bookmarkEnd w:id="213"/>
    </w:p>
    <w:p w:rsidR="00CB68A7" w:rsidRDefault="00F15192" w:rsidP="0088653D">
      <w:r>
        <w:rPr>
          <w:noProof/>
          <w:lang w:eastAsia="en-NZ"/>
        </w:rPr>
        <w:drawing>
          <wp:inline distT="0" distB="0" distL="0" distR="0" wp14:anchorId="2BB6A009" wp14:editId="182630DE">
            <wp:extent cx="5053965" cy="3164205"/>
            <wp:effectExtent l="0" t="0" r="0" b="0"/>
            <wp:docPr id="9" name="Picture 9" title="Figure 7: Presentations by year attributed to the four main sectors, 2004/05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53965" cy="3164205"/>
                    </a:xfrm>
                    <a:prstGeom prst="rect">
                      <a:avLst/>
                    </a:prstGeom>
                    <a:noFill/>
                  </pic:spPr>
                </pic:pic>
              </a:graphicData>
            </a:graphic>
          </wp:inline>
        </w:drawing>
      </w:r>
    </w:p>
    <w:p w:rsidR="00CB68A7" w:rsidRPr="001516A5" w:rsidRDefault="00CB68A7" w:rsidP="0088653D"/>
    <w:p w:rsidR="00CB68A7" w:rsidRPr="00E312E8" w:rsidRDefault="00CB68A7" w:rsidP="000E6FA7">
      <w:pPr>
        <w:keepNext/>
      </w:pPr>
      <w:r w:rsidRPr="00E312E8">
        <w:lastRenderedPageBreak/>
        <w:t xml:space="preserve">There are three qualifications to bear in mind when considering the </w:t>
      </w:r>
      <w:r>
        <w:t xml:space="preserve">data presented in </w:t>
      </w:r>
      <w:r w:rsidRPr="00E312E8">
        <w:t>Table</w:t>
      </w:r>
      <w:r w:rsidR="0088653D">
        <w:t> </w:t>
      </w:r>
      <w:r>
        <w:t>20 and Figure</w:t>
      </w:r>
      <w:r w:rsidR="0088653D">
        <w:t> </w:t>
      </w:r>
      <w:r w:rsidR="005754D6">
        <w:t>7</w:t>
      </w:r>
      <w:r w:rsidRPr="00E312E8">
        <w:t>.</w:t>
      </w:r>
    </w:p>
    <w:p w:rsidR="00CB68A7" w:rsidRPr="00C10A99" w:rsidRDefault="00CB68A7" w:rsidP="00D61CE9">
      <w:pPr>
        <w:pStyle w:val="Bullet"/>
        <w:keepNext/>
        <w:keepLines/>
      </w:pPr>
      <w:r>
        <w:t>F</w:t>
      </w:r>
      <w:r w:rsidRPr="00E312E8">
        <w:t xml:space="preserve">rom 1 April 2008, the Ministry formalised a requirement for service providers to enter as PPGMs all forms of gambling that were causing a client </w:t>
      </w:r>
      <w:r w:rsidR="00EC3578">
        <w:t>‘</w:t>
      </w:r>
      <w:r w:rsidRPr="00E312E8">
        <w:t>significant harm</w:t>
      </w:r>
      <w:r w:rsidR="00EC3578">
        <w:t>’</w:t>
      </w:r>
      <w:r w:rsidRPr="00E312E8">
        <w:t xml:space="preserve"> and to enter as secondary </w:t>
      </w:r>
      <w:r w:rsidRPr="00C10A99">
        <w:t xml:space="preserve">modes of problem gambling all forms of gambling that were causing a client </w:t>
      </w:r>
      <w:r w:rsidR="00EC3578">
        <w:t>‘</w:t>
      </w:r>
      <w:r w:rsidRPr="00C10A99">
        <w:t>harm</w:t>
      </w:r>
      <w:r w:rsidR="00EC3578">
        <w:t>’</w:t>
      </w:r>
      <w:r>
        <w:t xml:space="preserve"> (</w:t>
      </w:r>
      <w:r w:rsidRPr="00C10A99">
        <w:t>up to a maximum of five in each case</w:t>
      </w:r>
      <w:r>
        <w:t>)</w:t>
      </w:r>
      <w:r w:rsidRPr="00C10A99">
        <w:t>.</w:t>
      </w:r>
    </w:p>
    <w:p w:rsidR="00CB68A7" w:rsidRPr="00C10A99" w:rsidRDefault="00CB68A7" w:rsidP="0088653D">
      <w:pPr>
        <w:pStyle w:val="Bullet"/>
      </w:pPr>
      <w:r>
        <w:t>T</w:t>
      </w:r>
      <w:r w:rsidRPr="00C10A99">
        <w:t xml:space="preserve">hat system changed from 1 October 2011, </w:t>
      </w:r>
      <w:r>
        <w:t xml:space="preserve">and </w:t>
      </w:r>
      <w:r w:rsidRPr="00C10A99">
        <w:t>the Ministry considers that its presentation figures from 2012/13 onwards are more reliable and more appropriate sources of information than its earlier figures.</w:t>
      </w:r>
    </w:p>
    <w:p w:rsidR="00CB68A7" w:rsidRDefault="00CB68A7" w:rsidP="0088653D">
      <w:pPr>
        <w:pStyle w:val="Bullet"/>
      </w:pPr>
      <w:r>
        <w:t>T</w:t>
      </w:r>
      <w:r w:rsidRPr="00C10A99">
        <w:t>he figure for 201</w:t>
      </w:r>
      <w:r>
        <w:t xml:space="preserve">7 </w:t>
      </w:r>
      <w:r w:rsidRPr="00C10A99">
        <w:t>relates to the 12 months from 1 </w:t>
      </w:r>
      <w:r>
        <w:t xml:space="preserve">January 2017 to 31 December 2017 </w:t>
      </w:r>
      <w:r w:rsidRPr="00C10A99">
        <w:t>(the latest figures available at the time of drafting this consultation document), not the standard 1 July 201</w:t>
      </w:r>
      <w:r>
        <w:t>7</w:t>
      </w:r>
      <w:r w:rsidRPr="00C10A99">
        <w:t xml:space="preserve"> to 30 June 201</w:t>
      </w:r>
      <w:r>
        <w:t>8</w:t>
      </w:r>
      <w:r w:rsidRPr="00C10A99">
        <w:t xml:space="preserve"> year.</w:t>
      </w:r>
    </w:p>
    <w:p w:rsidR="00CB68A7" w:rsidRPr="00C10A99" w:rsidRDefault="00CB68A7" w:rsidP="0088653D"/>
    <w:p w:rsidR="00EC3578" w:rsidRDefault="00CB68A7" w:rsidP="0088653D">
      <w:r>
        <w:t>Other points to note from these table are as follows.</w:t>
      </w:r>
    </w:p>
    <w:p w:rsidR="00EC3578" w:rsidRDefault="00CB68A7" w:rsidP="0088653D">
      <w:pPr>
        <w:pStyle w:val="Bullet"/>
      </w:pPr>
      <w:r w:rsidRPr="00C10A99">
        <w:t xml:space="preserve">The </w:t>
      </w:r>
      <w:r w:rsidRPr="00E50155">
        <w:rPr>
          <w:i/>
        </w:rPr>
        <w:t>number</w:t>
      </w:r>
      <w:r w:rsidRPr="00C10A99">
        <w:t xml:space="preserve"> of NCGM presentations peaked in 2009/10</w:t>
      </w:r>
      <w:r>
        <w:t xml:space="preserve">, but the </w:t>
      </w:r>
      <w:r w:rsidRPr="00E50155">
        <w:rPr>
          <w:i/>
        </w:rPr>
        <w:t>share</w:t>
      </w:r>
      <w:r w:rsidRPr="00C10A99">
        <w:t xml:space="preserve"> of NCGM presentations peaked in 2004/05</w:t>
      </w:r>
      <w:r>
        <w:t xml:space="preserve">. Both figures have </w:t>
      </w:r>
      <w:r w:rsidRPr="00C10A99">
        <w:t>been d</w:t>
      </w:r>
      <w:r>
        <w:t xml:space="preserve">eclining </w:t>
      </w:r>
      <w:r w:rsidRPr="00C10A99">
        <w:t>unevenly since</w:t>
      </w:r>
      <w:r>
        <w:t xml:space="preserve"> those respective dates</w:t>
      </w:r>
      <w:r w:rsidRPr="00C10A99">
        <w:t xml:space="preserve">. These patterns probably largely reflect </w:t>
      </w:r>
      <w:r>
        <w:t xml:space="preserve">the trend for </w:t>
      </w:r>
      <w:r w:rsidRPr="00C10A99">
        <w:t xml:space="preserve">reductions in </w:t>
      </w:r>
      <w:r>
        <w:t xml:space="preserve">both </w:t>
      </w:r>
      <w:r w:rsidRPr="00C10A99">
        <w:t xml:space="preserve">the number of NCGMs and NCGM venues and in the </w:t>
      </w:r>
      <w:r>
        <w:t xml:space="preserve">total </w:t>
      </w:r>
      <w:r w:rsidRPr="00C10A99">
        <w:t>NCGM</w:t>
      </w:r>
      <w:r>
        <w:t xml:space="preserve"> </w:t>
      </w:r>
      <w:r w:rsidRPr="00C10A99">
        <w:t>s</w:t>
      </w:r>
      <w:r>
        <w:t>ector expenditure as a proportion of the total gambling expenditure.</w:t>
      </w:r>
    </w:p>
    <w:p w:rsidR="00CB68A7" w:rsidRPr="00C10A99" w:rsidRDefault="00CB68A7" w:rsidP="0088653D">
      <w:pPr>
        <w:pStyle w:val="Bullet"/>
      </w:pPr>
      <w:r w:rsidRPr="00C10A99">
        <w:t xml:space="preserve">The </w:t>
      </w:r>
      <w:r w:rsidRPr="00E50155">
        <w:rPr>
          <w:i/>
        </w:rPr>
        <w:t>number</w:t>
      </w:r>
      <w:r w:rsidRPr="00C10A99">
        <w:t xml:space="preserve"> of casino presentations has increased each year since 2004/05 until peaking in 2014/15</w:t>
      </w:r>
      <w:r>
        <w:t xml:space="preserve"> and have declined slightly since. However, the overall </w:t>
      </w:r>
      <w:r w:rsidRPr="00E50155">
        <w:rPr>
          <w:i/>
        </w:rPr>
        <w:t>share</w:t>
      </w:r>
      <w:r w:rsidRPr="00C10A99">
        <w:t xml:space="preserve"> of casino presentations has tended to increase but has fluctuated over the years depending on the number of presentations attributed to the other levy-paying sectors.</w:t>
      </w:r>
    </w:p>
    <w:p w:rsidR="00CB68A7" w:rsidRPr="00C10A99" w:rsidRDefault="00CB68A7" w:rsidP="0088653D">
      <w:pPr>
        <w:pStyle w:val="Bullet"/>
      </w:pPr>
      <w:r w:rsidRPr="00C10A99">
        <w:t xml:space="preserve">The </w:t>
      </w:r>
      <w:r w:rsidRPr="00E50155">
        <w:rPr>
          <w:i/>
        </w:rPr>
        <w:t>number</w:t>
      </w:r>
      <w:r w:rsidRPr="00C10A99">
        <w:t xml:space="preserve"> of NZRB presentations has risen in each year since 2004/05 until peaking in 201</w:t>
      </w:r>
      <w:r>
        <w:t>6/17</w:t>
      </w:r>
      <w:r w:rsidRPr="00C10A99">
        <w:t xml:space="preserve">. The </w:t>
      </w:r>
      <w:r w:rsidRPr="00E50155">
        <w:rPr>
          <w:i/>
        </w:rPr>
        <w:t>share</w:t>
      </w:r>
      <w:r w:rsidRPr="00C10A99">
        <w:t xml:space="preserve"> of NZRB presentations has tended to increase </w:t>
      </w:r>
      <w:r>
        <w:t xml:space="preserve">slightly </w:t>
      </w:r>
      <w:r w:rsidRPr="00C10A99">
        <w:t>as a result but has fluctuated a little.</w:t>
      </w:r>
    </w:p>
    <w:p w:rsidR="00EC3578" w:rsidRDefault="00CB68A7" w:rsidP="0088653D">
      <w:pPr>
        <w:pStyle w:val="Bullet"/>
      </w:pPr>
      <w:r w:rsidRPr="00C10A99">
        <w:t xml:space="preserve">The </w:t>
      </w:r>
      <w:r w:rsidRPr="00E50155">
        <w:rPr>
          <w:i/>
        </w:rPr>
        <w:t>number</w:t>
      </w:r>
      <w:r w:rsidRPr="00C10A99">
        <w:t xml:space="preserve"> of NZLC presentations has continued to increase since 2013/14</w:t>
      </w:r>
      <w:r>
        <w:t xml:space="preserve"> and the share of presentations has steadily increased over time.</w:t>
      </w:r>
      <w:r w:rsidRPr="00C10A99">
        <w:t xml:space="preserve"> These patterns </w:t>
      </w:r>
      <w:r>
        <w:t xml:space="preserve">coincide with </w:t>
      </w:r>
      <w:r w:rsidRPr="00C10A99">
        <w:t>the increase in expenditure over this time</w:t>
      </w:r>
      <w:r>
        <w:t>. The number and share of NZLC presentations are now at their highest levels for this sector since the levy was introduced.</w:t>
      </w:r>
    </w:p>
    <w:p w:rsidR="00CB68A7" w:rsidRDefault="00CB68A7" w:rsidP="0088653D"/>
    <w:p w:rsidR="00EC3578" w:rsidRDefault="00CB68A7" w:rsidP="0088653D">
      <w:r w:rsidRPr="00E312E8">
        <w:t xml:space="preserve">It is </w:t>
      </w:r>
      <w:r>
        <w:t xml:space="preserve">also </w:t>
      </w:r>
      <w:r w:rsidRPr="00E312E8">
        <w:t>worth noting that the changes the Ministry made to its systems from April 2008 and October 2011 might mean that</w:t>
      </w:r>
      <w:r>
        <w:t>,</w:t>
      </w:r>
      <w:r w:rsidRPr="00E312E8">
        <w:t xml:space="preserve"> after those dates</w:t>
      </w:r>
      <w:r>
        <w:t>,</w:t>
      </w:r>
      <w:r w:rsidRPr="00E312E8">
        <w:t xml:space="preserve"> some presentations that would previously have been attributed solely to NCGMs were attributed partly to NCGMs and partly to one or more other types of </w:t>
      </w:r>
      <w:r w:rsidRPr="00C10A99">
        <w:t>gambling (and vice versa but to a far lesser extent).</w:t>
      </w:r>
      <w:r>
        <w:t xml:space="preserve"> Accordingly, </w:t>
      </w:r>
      <w:r w:rsidRPr="00C10A99">
        <w:t xml:space="preserve">the Ministry considers that </w:t>
      </w:r>
      <w:r>
        <w:t>these changes are likely to have resulted in more accurate presentation data.</w:t>
      </w:r>
    </w:p>
    <w:p w:rsidR="00CB68A7" w:rsidRPr="00C10A99" w:rsidRDefault="00CB68A7" w:rsidP="0088653D"/>
    <w:p w:rsidR="00CB68A7" w:rsidRPr="00D528A0" w:rsidRDefault="00CB68A7" w:rsidP="00D61CE9">
      <w:pPr>
        <w:pStyle w:val="Heading3"/>
      </w:pPr>
      <w:bookmarkStart w:id="214" w:name="_Toc65389478"/>
      <w:r w:rsidRPr="00D528A0">
        <w:t>The funding requirement (C)</w:t>
      </w:r>
    </w:p>
    <w:p w:rsidR="00CB68A7" w:rsidRDefault="00CB68A7" w:rsidP="0088653D">
      <w:r w:rsidRPr="00C10A99">
        <w:t xml:space="preserve">The funding requirement represented by </w:t>
      </w:r>
      <w:r w:rsidRPr="00C10A99">
        <w:rPr>
          <w:b/>
        </w:rPr>
        <w:t>C</w:t>
      </w:r>
      <w:r w:rsidRPr="00C10A99">
        <w:t xml:space="preserve"> in the formula is the amount that the Ministry considers it requires to </w:t>
      </w:r>
      <w:r>
        <w:t xml:space="preserve">implement </w:t>
      </w:r>
      <w:r w:rsidRPr="00C10A99">
        <w:t>the strategy. For 201</w:t>
      </w:r>
      <w:r>
        <w:t>9/20 to 2021/22,</w:t>
      </w:r>
      <w:r w:rsidRPr="00C10A99">
        <w:t xml:space="preserve"> the Ministry is </w:t>
      </w:r>
      <w:r>
        <w:t xml:space="preserve">proposing </w:t>
      </w:r>
      <w:r w:rsidRPr="00C10A99">
        <w:t>an appropriation of $5</w:t>
      </w:r>
      <w:r w:rsidR="001C71D3">
        <w:t>5</w:t>
      </w:r>
      <w:r w:rsidRPr="00C10A99">
        <w:t>.339 million</w:t>
      </w:r>
      <w:r>
        <w:t xml:space="preserve">. Details about this </w:t>
      </w:r>
      <w:r w:rsidRPr="00C10A99">
        <w:t xml:space="preserve">appropriation </w:t>
      </w:r>
      <w:r>
        <w:t>are</w:t>
      </w:r>
      <w:r w:rsidRPr="00C10A99">
        <w:t xml:space="preserve"> set out in the draft </w:t>
      </w:r>
      <w:r>
        <w:t>three-year s</w:t>
      </w:r>
      <w:r w:rsidRPr="00C10A99">
        <w:t xml:space="preserve">ervice </w:t>
      </w:r>
      <w:r>
        <w:t>p</w:t>
      </w:r>
      <w:r w:rsidRPr="00C10A99">
        <w:t>lan (see section</w:t>
      </w:r>
      <w:r>
        <w:t>s</w:t>
      </w:r>
      <w:r w:rsidRPr="00C10A99">
        <w:t xml:space="preserve"> </w:t>
      </w:r>
      <w:r>
        <w:t>3.4 to 3.8)</w:t>
      </w:r>
      <w:r w:rsidRPr="00C10A99">
        <w:t>.</w:t>
      </w:r>
    </w:p>
    <w:p w:rsidR="00CB68A7" w:rsidRDefault="00CB68A7" w:rsidP="00CB68A7"/>
    <w:p w:rsidR="00CB68A7" w:rsidRPr="00C10A99" w:rsidRDefault="00CB68A7" w:rsidP="00D61CE9">
      <w:pPr>
        <w:pStyle w:val="Heading3"/>
      </w:pPr>
      <w:r w:rsidRPr="00C10A99">
        <w:lastRenderedPageBreak/>
        <w:t>Forecast player expenditure (D)</w:t>
      </w:r>
    </w:p>
    <w:p w:rsidR="00CB68A7" w:rsidRPr="00C10A99" w:rsidRDefault="00CB68A7" w:rsidP="00D61CE9">
      <w:pPr>
        <w:keepLines/>
      </w:pPr>
      <w:r w:rsidRPr="00C10A99">
        <w:t xml:space="preserve">The amounts represented by </w:t>
      </w:r>
      <w:r w:rsidRPr="00C10A99">
        <w:rPr>
          <w:b/>
        </w:rPr>
        <w:t>D</w:t>
      </w:r>
      <w:r w:rsidRPr="00C10A99">
        <w:t xml:space="preserve"> in the formula are sector-by-sector forecasts of the amounts that DIA expects gamblers to spend on the gambling products of the four levy-paying gambling sectors in the period from 201</w:t>
      </w:r>
      <w:r>
        <w:t>9/20</w:t>
      </w:r>
      <w:r w:rsidRPr="00C10A99">
        <w:t xml:space="preserve"> to 20</w:t>
      </w:r>
      <w:r>
        <w:t>2</w:t>
      </w:r>
      <w:r w:rsidRPr="00C10A99">
        <w:t>1</w:t>
      </w:r>
      <w:r>
        <w:t>/22</w:t>
      </w:r>
      <w:r w:rsidRPr="00C10A99">
        <w:t>. The higher forecast expenditure is, the lower the levy rate necessary for a sector to pay its required contribution (as determined by the top line of the formula).</w:t>
      </w:r>
    </w:p>
    <w:p w:rsidR="00D61CE9" w:rsidRDefault="00D61CE9" w:rsidP="00D61CE9"/>
    <w:p w:rsidR="00CB68A7" w:rsidRPr="00C10A99" w:rsidRDefault="00CB68A7" w:rsidP="00D61CE9">
      <w:r w:rsidRPr="00C10A99">
        <w:t>The reasoning behind the forecast for each sector is set out below</w:t>
      </w:r>
      <w:r w:rsidR="00D61CE9">
        <w:t>.</w:t>
      </w:r>
    </w:p>
    <w:p w:rsidR="00D61CE9" w:rsidRDefault="00D61CE9" w:rsidP="00D61CE9"/>
    <w:p w:rsidR="00CB68A7" w:rsidRPr="00976DA2" w:rsidRDefault="00CB68A7" w:rsidP="00D61CE9">
      <w:r w:rsidRPr="00976DA2">
        <w:t>There may be changes in gambling expenditure as a result of future changes to the Gambling Act 2003 or regulations. However, it is not possible to forecast the likely impact of any changes until the nature of any legislative or policy changes are clearer.</w:t>
      </w:r>
    </w:p>
    <w:p w:rsidR="00CB68A7" w:rsidRDefault="00CB68A7" w:rsidP="00D61CE9">
      <w:pPr>
        <w:rPr>
          <w:rFonts w:eastAsiaTheme="majorEastAsia"/>
        </w:rPr>
      </w:pPr>
    </w:p>
    <w:p w:rsidR="00CB68A7" w:rsidRPr="00976DA2" w:rsidRDefault="00CB68A7" w:rsidP="00D61CE9">
      <w:pPr>
        <w:pStyle w:val="Heading3"/>
        <w:rPr>
          <w:rFonts w:eastAsiaTheme="majorEastAsia"/>
        </w:rPr>
      </w:pPr>
      <w:r w:rsidRPr="00976DA2">
        <w:rPr>
          <w:rFonts w:eastAsiaTheme="majorEastAsia"/>
        </w:rPr>
        <w:t>Non-casino gaming machines</w:t>
      </w:r>
    </w:p>
    <w:p w:rsidR="00CB68A7" w:rsidRPr="00976DA2" w:rsidRDefault="00CB68A7" w:rsidP="00D61CE9">
      <w:r w:rsidRPr="00976DA2">
        <w:t>The number of NCGM</w:t>
      </w:r>
      <w:r>
        <w:t xml:space="preserve">s has declined from </w:t>
      </w:r>
      <w:r w:rsidRPr="00976DA2">
        <w:t xml:space="preserve">20,302 on </w:t>
      </w:r>
      <w:r>
        <w:t xml:space="preserve">to </w:t>
      </w:r>
      <w:r w:rsidRPr="00976DA2">
        <w:t xml:space="preserve">15,632 </w:t>
      </w:r>
      <w:r>
        <w:t>a</w:t>
      </w:r>
      <w:r w:rsidRPr="00976DA2">
        <w:t>s of 31 December 2017.</w:t>
      </w:r>
      <w:r w:rsidRPr="00D61CE9">
        <w:rPr>
          <w:rStyle w:val="FootnoteReference"/>
        </w:rPr>
        <w:footnoteReference w:id="8"/>
      </w:r>
    </w:p>
    <w:p w:rsidR="00D61CE9" w:rsidRDefault="00D61CE9" w:rsidP="00D61CE9"/>
    <w:p w:rsidR="00CB68A7" w:rsidRPr="00976DA2" w:rsidRDefault="00CB68A7" w:rsidP="00D61CE9">
      <w:r w:rsidRPr="00976DA2">
        <w:t xml:space="preserve">Expenditure also declined for a number of years but has seen </w:t>
      </w:r>
      <w:r>
        <w:t xml:space="preserve">yearly </w:t>
      </w:r>
      <w:r w:rsidRPr="00976DA2">
        <w:t xml:space="preserve">increases since 2013/14. For example, from an historical low of $806 million in </w:t>
      </w:r>
      <w:r>
        <w:t>2013/14</w:t>
      </w:r>
      <w:r w:rsidRPr="00976DA2">
        <w:t>, expenditure increased to $818</w:t>
      </w:r>
      <w:r w:rsidR="00D61CE9">
        <w:t> </w:t>
      </w:r>
      <w:r w:rsidRPr="00976DA2">
        <w:t>million in 2014/15, $843 million in 2015/16 and $870 million in 2016/17.</w:t>
      </w:r>
      <w:r w:rsidRPr="00D61CE9">
        <w:rPr>
          <w:rStyle w:val="FootnoteReference"/>
        </w:rPr>
        <w:footnoteReference w:id="9"/>
      </w:r>
    </w:p>
    <w:p w:rsidR="00D61CE9" w:rsidRDefault="00D61CE9" w:rsidP="00D61CE9"/>
    <w:p w:rsidR="00EC3578" w:rsidRDefault="00CB68A7" w:rsidP="00D61CE9">
      <w:r w:rsidRPr="00976DA2">
        <w:t xml:space="preserve">Recent EMS data suggest that NCGM expenditure will increase in 2017/18. </w:t>
      </w:r>
      <w:r>
        <w:t xml:space="preserve">The </w:t>
      </w:r>
      <w:r w:rsidRPr="00976DA2">
        <w:t>DIA forecasts expenditure to continue with small annual increases in the next three years.</w:t>
      </w:r>
    </w:p>
    <w:p w:rsidR="00D61CE9" w:rsidRDefault="00D61CE9" w:rsidP="00D61CE9"/>
    <w:p w:rsidR="00CB68A7" w:rsidRPr="00976DA2" w:rsidRDefault="00CB68A7" w:rsidP="00D61CE9">
      <w:r w:rsidRPr="00976DA2">
        <w:t>Some variation in expenditure from year to year is expected, but the size of that variation cannot be forecast in advance.</w:t>
      </w:r>
    </w:p>
    <w:p w:rsidR="00D61CE9" w:rsidRDefault="00D61CE9" w:rsidP="00D61CE9"/>
    <w:p w:rsidR="00CB68A7" w:rsidRDefault="00CB68A7" w:rsidP="00D61CE9">
      <w:r>
        <w:t xml:space="preserve">In the </w:t>
      </w:r>
      <w:r w:rsidRPr="00976DA2">
        <w:t>NCGM</w:t>
      </w:r>
      <w:r>
        <w:t xml:space="preserve"> sector</w:t>
      </w:r>
      <w:r w:rsidRPr="00976DA2">
        <w:t>, club expenditure continues to decrease while non-club expenditure has increased. Non-club expenditure has historically been around 86 to 87 percent of total NCGM expenditure every quarter since 30 June 2007, which was the first full quarter after the EMS began operating. Club expenditure has varied from around 13 percent to around 14 percent of the total. However, since 2016/17</w:t>
      </w:r>
      <w:r>
        <w:t>,</w:t>
      </w:r>
      <w:r w:rsidRPr="00976DA2">
        <w:t xml:space="preserve"> non-club expenditure has increased to around 89 percent of total expenditure, with club expenditure at around 11 percent of the total.</w:t>
      </w:r>
    </w:p>
    <w:p w:rsidR="00CB68A7" w:rsidRPr="00976DA2" w:rsidRDefault="00CB68A7" w:rsidP="00D61CE9"/>
    <w:p w:rsidR="00CB68A7" w:rsidRPr="00976DA2" w:rsidRDefault="00CB68A7" w:rsidP="00D61CE9">
      <w:pPr>
        <w:pStyle w:val="Heading3"/>
        <w:rPr>
          <w:rFonts w:eastAsiaTheme="majorEastAsia"/>
        </w:rPr>
      </w:pPr>
      <w:r w:rsidRPr="00976DA2">
        <w:rPr>
          <w:rFonts w:eastAsiaTheme="majorEastAsia"/>
        </w:rPr>
        <w:t>Casinos</w:t>
      </w:r>
    </w:p>
    <w:p w:rsidR="00CB68A7" w:rsidRPr="00976DA2" w:rsidRDefault="00CB68A7" w:rsidP="00D61CE9">
      <w:r w:rsidRPr="00976DA2">
        <w:t>Over the last three years</w:t>
      </w:r>
      <w:r>
        <w:t>,</w:t>
      </w:r>
      <w:r w:rsidRPr="00976DA2">
        <w:t xml:space="preserve"> spending on casino gambling has fluctuated. Figures from </w:t>
      </w:r>
      <w:r>
        <w:t xml:space="preserve">the </w:t>
      </w:r>
      <w:r w:rsidRPr="00976DA2">
        <w:t xml:space="preserve">DIA show expenditure of $527 million in 2014/15, $586 million in 2015/16 and $572 million in 2016/17. Casino expenditure is impacted by variations in international tourist numbers, including </w:t>
      </w:r>
      <w:r w:rsidR="00EC3578">
        <w:t>‘</w:t>
      </w:r>
      <w:r w:rsidRPr="00976DA2">
        <w:t>VIP</w:t>
      </w:r>
      <w:r w:rsidR="00EC3578">
        <w:t>’</w:t>
      </w:r>
      <w:r w:rsidRPr="00976DA2">
        <w:t xml:space="preserve"> gamblers.</w:t>
      </w:r>
    </w:p>
    <w:p w:rsidR="00D61CE9" w:rsidRDefault="00D61CE9" w:rsidP="00D61CE9"/>
    <w:p w:rsidR="00CB68A7" w:rsidRDefault="00CB68A7" w:rsidP="00D61CE9">
      <w:r>
        <w:t xml:space="preserve">The </w:t>
      </w:r>
      <w:r w:rsidRPr="00976DA2">
        <w:t>DIA anticipates some growth in expenditure for 2018/19 to 2020/21, but the forecast is relatively conservative.</w:t>
      </w:r>
    </w:p>
    <w:p w:rsidR="00CB68A7" w:rsidRPr="00976DA2" w:rsidRDefault="00CB68A7" w:rsidP="00D61CE9"/>
    <w:p w:rsidR="00CB68A7" w:rsidRPr="00976DA2" w:rsidRDefault="00CB68A7" w:rsidP="00D61CE9">
      <w:pPr>
        <w:pStyle w:val="Heading3"/>
        <w:rPr>
          <w:rFonts w:eastAsiaTheme="majorEastAsia"/>
        </w:rPr>
      </w:pPr>
      <w:r w:rsidRPr="00976DA2">
        <w:rPr>
          <w:rFonts w:eastAsiaTheme="majorEastAsia"/>
        </w:rPr>
        <w:lastRenderedPageBreak/>
        <w:t>New Zealand Racing Board</w:t>
      </w:r>
    </w:p>
    <w:p w:rsidR="00EC3578" w:rsidRDefault="00CB68A7" w:rsidP="00D61CE9">
      <w:r w:rsidRPr="00976DA2">
        <w:t>Spending on NZRB products was relatively flat for some years. However, it increased from $283 million in 2011/12 to $342 million in 2015/16, with a slight decline to $338 million in 2016/17.</w:t>
      </w:r>
    </w:p>
    <w:p w:rsidR="00D61CE9" w:rsidRDefault="00D61CE9" w:rsidP="00D61CE9"/>
    <w:p w:rsidR="00CB68A7" w:rsidRDefault="00CB68A7" w:rsidP="00D61CE9">
      <w:r>
        <w:t xml:space="preserve">The </w:t>
      </w:r>
      <w:r w:rsidRPr="00976DA2">
        <w:t>DIA anticipates modest expenditure growth in the next three</w:t>
      </w:r>
      <w:r>
        <w:t>-</w:t>
      </w:r>
      <w:r w:rsidRPr="00976DA2">
        <w:t>year period. Potential increases in expenditure brought about by technical innovation and product development may be impacted by competition in the racing and sports betting market from offshore betting agencies.</w:t>
      </w:r>
    </w:p>
    <w:p w:rsidR="00CB68A7" w:rsidRPr="00976DA2" w:rsidRDefault="00CB68A7" w:rsidP="00D61CE9"/>
    <w:p w:rsidR="00CB68A7" w:rsidRPr="00976DA2" w:rsidRDefault="00CB68A7" w:rsidP="00D61CE9">
      <w:pPr>
        <w:pStyle w:val="Heading3"/>
        <w:rPr>
          <w:rFonts w:eastAsiaTheme="majorEastAsia"/>
        </w:rPr>
      </w:pPr>
      <w:r w:rsidRPr="00976DA2">
        <w:rPr>
          <w:rFonts w:eastAsiaTheme="majorEastAsia"/>
        </w:rPr>
        <w:t>New Zealand Lotteries Commission</w:t>
      </w:r>
    </w:p>
    <w:p w:rsidR="00EC3578" w:rsidRDefault="00CB68A7" w:rsidP="00D61CE9">
      <w:pPr>
        <w:rPr>
          <w:rFonts w:cs="Arial"/>
        </w:rPr>
      </w:pPr>
      <w:r w:rsidRPr="00976DA2">
        <w:t xml:space="preserve">Spending growth on NZLC products has been relatively high but volatile, since 2005/06. This volatility appears to relate to the number of large jackpots in a year. Strong growth has continued over recent years; </w:t>
      </w:r>
      <w:r>
        <w:t xml:space="preserve">the </w:t>
      </w:r>
      <w:r w:rsidRPr="00976DA2">
        <w:t>DIA reports expenditure of $420 million in 2014/15, $437</w:t>
      </w:r>
      <w:r>
        <w:t> </w:t>
      </w:r>
      <w:r w:rsidRPr="00976DA2">
        <w:t>million in 2015/16 and $555 million in 2016/17.</w:t>
      </w:r>
    </w:p>
    <w:p w:rsidR="00D61CE9" w:rsidRDefault="00D61CE9" w:rsidP="00D61CE9"/>
    <w:p w:rsidR="00CB68A7" w:rsidRPr="00976DA2" w:rsidRDefault="00CB68A7" w:rsidP="00D61CE9">
      <w:r>
        <w:t xml:space="preserve">The </w:t>
      </w:r>
      <w:r w:rsidRPr="00976DA2">
        <w:t>DIA indicates</w:t>
      </w:r>
      <w:r>
        <w:t xml:space="preserve"> that</w:t>
      </w:r>
      <w:r w:rsidRPr="00976DA2">
        <w:t xml:space="preserve"> the increase in 2016/17 is due to changes to Lotto games</w:t>
      </w:r>
      <w:r>
        <w:t>,</w:t>
      </w:r>
      <w:r w:rsidRPr="00976DA2">
        <w:t xml:space="preserve"> which delivered more winners and bigger Powerball prizes</w:t>
      </w:r>
      <w:r>
        <w:t xml:space="preserve"> (Department of Internal Affairs 2018)</w:t>
      </w:r>
      <w:r w:rsidRPr="00976DA2">
        <w:t>. Lotto is also working to diversify its portfolio by introducing new games to help mitigate fluctuations in spending on its lottery products.</w:t>
      </w:r>
    </w:p>
    <w:p w:rsidR="00D61CE9" w:rsidRDefault="00D61CE9" w:rsidP="00D61CE9"/>
    <w:p w:rsidR="00EC3578" w:rsidRDefault="00CB68A7" w:rsidP="00D61CE9">
      <w:r w:rsidRPr="00976DA2">
        <w:t>The forecast is for continued expenditure growth for the 2018/19 to 2020/21 period</w:t>
      </w:r>
      <w:r>
        <w:t xml:space="preserve"> across all four sectors, as shown in Table 21 below</w:t>
      </w:r>
      <w:r w:rsidRPr="00976DA2">
        <w:t>.</w:t>
      </w:r>
    </w:p>
    <w:p w:rsidR="00CB68A7" w:rsidRDefault="00CB68A7" w:rsidP="00D61CE9"/>
    <w:p w:rsidR="00CB68A7" w:rsidRPr="00C10A99" w:rsidRDefault="00CB68A7" w:rsidP="00D61CE9">
      <w:pPr>
        <w:pStyle w:val="Table"/>
        <w:rPr>
          <w:sz w:val="16"/>
        </w:rPr>
      </w:pPr>
      <w:bookmarkStart w:id="215" w:name="_Toc517091246"/>
      <w:bookmarkStart w:id="216" w:name="_Toc522089450"/>
      <w:r w:rsidRPr="00E312E8">
        <w:t>Table</w:t>
      </w:r>
      <w:r w:rsidR="00D61CE9">
        <w:t xml:space="preserve"> </w:t>
      </w:r>
      <w:r>
        <w:t>21</w:t>
      </w:r>
      <w:r w:rsidRPr="00C10A99">
        <w:t>: Forecast expenditure by sector (GST inclusive), 20</w:t>
      </w:r>
      <w:r>
        <w:t xml:space="preserve">19/20 </w:t>
      </w:r>
      <w:r w:rsidRPr="00C10A99">
        <w:t>to 20</w:t>
      </w:r>
      <w:r>
        <w:t>21</w:t>
      </w:r>
      <w:r w:rsidRPr="00C10A99">
        <w:t>/</w:t>
      </w:r>
      <w:r>
        <w:t>22</w:t>
      </w:r>
      <w:bookmarkEnd w:id="215"/>
      <w:bookmarkEnd w:id="216"/>
    </w:p>
    <w:tbl>
      <w:tblPr>
        <w:tblW w:w="9356" w:type="dxa"/>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552"/>
        <w:gridCol w:w="1701"/>
        <w:gridCol w:w="1701"/>
        <w:gridCol w:w="1701"/>
        <w:gridCol w:w="1701"/>
      </w:tblGrid>
      <w:tr w:rsidR="00CB68A7" w:rsidRPr="00BA7A29" w:rsidTr="00BA7A29">
        <w:trPr>
          <w:cantSplit/>
        </w:trPr>
        <w:tc>
          <w:tcPr>
            <w:tcW w:w="2552" w:type="dxa"/>
            <w:tcBorders>
              <w:top w:val="single" w:sz="4" w:space="0" w:color="auto"/>
              <w:bottom w:val="single" w:sz="4" w:space="0" w:color="auto"/>
            </w:tcBorders>
            <w:shd w:val="clear" w:color="auto" w:fill="auto"/>
          </w:tcPr>
          <w:p w:rsidR="00CB68A7" w:rsidRPr="00BA7A29" w:rsidRDefault="00CB68A7" w:rsidP="00BA7A29">
            <w:pPr>
              <w:pStyle w:val="TableText"/>
              <w:rPr>
                <w:rFonts w:eastAsia="Arial Unicode MS"/>
                <w:b/>
              </w:rPr>
            </w:pPr>
            <w:r w:rsidRPr="00BA7A29">
              <w:rPr>
                <w:rFonts w:eastAsia="Arial Unicode MS"/>
                <w:b/>
              </w:rPr>
              <w:t>Forecast expenditure</w:t>
            </w:r>
          </w:p>
        </w:tc>
        <w:tc>
          <w:tcPr>
            <w:tcW w:w="1701" w:type="dxa"/>
            <w:tcBorders>
              <w:top w:val="single" w:sz="4" w:space="0" w:color="auto"/>
              <w:bottom w:val="single" w:sz="4" w:space="0" w:color="auto"/>
            </w:tcBorders>
            <w:shd w:val="clear" w:color="auto" w:fill="auto"/>
          </w:tcPr>
          <w:p w:rsidR="00CB68A7" w:rsidRPr="00BA7A29" w:rsidRDefault="00CB68A7" w:rsidP="00BA7A29">
            <w:pPr>
              <w:pStyle w:val="TableText"/>
              <w:jc w:val="center"/>
              <w:rPr>
                <w:b/>
              </w:rPr>
            </w:pPr>
            <w:r w:rsidRPr="00BA7A29">
              <w:rPr>
                <w:b/>
              </w:rPr>
              <w:t>NCGMs</w:t>
            </w:r>
          </w:p>
        </w:tc>
        <w:tc>
          <w:tcPr>
            <w:tcW w:w="1701" w:type="dxa"/>
            <w:tcBorders>
              <w:top w:val="single" w:sz="4" w:space="0" w:color="auto"/>
              <w:bottom w:val="single" w:sz="4" w:space="0" w:color="auto"/>
            </w:tcBorders>
            <w:shd w:val="clear" w:color="auto" w:fill="auto"/>
            <w:tcMar>
              <w:top w:w="0" w:type="dxa"/>
              <w:left w:w="108" w:type="dxa"/>
              <w:bottom w:w="0" w:type="dxa"/>
              <w:right w:w="108" w:type="dxa"/>
            </w:tcMar>
          </w:tcPr>
          <w:p w:rsidR="00CB68A7" w:rsidRPr="00BA7A29" w:rsidRDefault="00CB68A7" w:rsidP="00BA7A29">
            <w:pPr>
              <w:pStyle w:val="TableText"/>
              <w:jc w:val="center"/>
              <w:rPr>
                <w:rFonts w:eastAsia="Arial Unicode MS"/>
                <w:b/>
              </w:rPr>
            </w:pPr>
            <w:r w:rsidRPr="00BA7A29">
              <w:rPr>
                <w:b/>
              </w:rPr>
              <w:t>Casinos</w:t>
            </w:r>
          </w:p>
        </w:tc>
        <w:tc>
          <w:tcPr>
            <w:tcW w:w="1701" w:type="dxa"/>
            <w:tcBorders>
              <w:top w:val="single" w:sz="4" w:space="0" w:color="auto"/>
              <w:bottom w:val="single" w:sz="4" w:space="0" w:color="auto"/>
            </w:tcBorders>
            <w:shd w:val="clear" w:color="auto" w:fill="auto"/>
            <w:tcMar>
              <w:top w:w="0" w:type="dxa"/>
              <w:left w:w="108" w:type="dxa"/>
              <w:bottom w:w="0" w:type="dxa"/>
              <w:right w:w="108" w:type="dxa"/>
            </w:tcMar>
          </w:tcPr>
          <w:p w:rsidR="00CB68A7" w:rsidRPr="00BA7A29" w:rsidRDefault="00CB68A7" w:rsidP="00BA7A29">
            <w:pPr>
              <w:pStyle w:val="TableText"/>
              <w:jc w:val="center"/>
              <w:rPr>
                <w:rFonts w:eastAsia="Arial Unicode MS"/>
                <w:b/>
              </w:rPr>
            </w:pPr>
            <w:r w:rsidRPr="00BA7A29">
              <w:rPr>
                <w:b/>
              </w:rPr>
              <w:t>NZRB</w:t>
            </w:r>
          </w:p>
        </w:tc>
        <w:tc>
          <w:tcPr>
            <w:tcW w:w="1701" w:type="dxa"/>
            <w:tcBorders>
              <w:top w:val="single" w:sz="4" w:space="0" w:color="auto"/>
              <w:bottom w:val="single" w:sz="4" w:space="0" w:color="auto"/>
            </w:tcBorders>
            <w:shd w:val="clear" w:color="auto" w:fill="auto"/>
            <w:tcMar>
              <w:top w:w="0" w:type="dxa"/>
              <w:left w:w="108" w:type="dxa"/>
              <w:bottom w:w="0" w:type="dxa"/>
              <w:right w:w="108" w:type="dxa"/>
            </w:tcMar>
          </w:tcPr>
          <w:p w:rsidR="00CB68A7" w:rsidRPr="00BA7A29" w:rsidRDefault="00CB68A7" w:rsidP="00BA7A29">
            <w:pPr>
              <w:pStyle w:val="TableText"/>
              <w:jc w:val="center"/>
              <w:rPr>
                <w:rFonts w:eastAsia="Arial Unicode MS"/>
                <w:b/>
              </w:rPr>
            </w:pPr>
            <w:r w:rsidRPr="00BA7A29">
              <w:rPr>
                <w:b/>
              </w:rPr>
              <w:t>NZLC</w:t>
            </w:r>
          </w:p>
        </w:tc>
      </w:tr>
      <w:tr w:rsidR="00CB68A7" w:rsidRPr="00C10A99" w:rsidTr="00BA7A29">
        <w:trPr>
          <w:cantSplit/>
        </w:trPr>
        <w:tc>
          <w:tcPr>
            <w:tcW w:w="2552" w:type="dxa"/>
            <w:tcBorders>
              <w:top w:val="single" w:sz="4" w:space="0" w:color="auto"/>
              <w:bottom w:val="single" w:sz="4" w:space="0" w:color="A6A6A6" w:themeColor="background1" w:themeShade="A6"/>
            </w:tcBorders>
            <w:shd w:val="clear" w:color="auto" w:fill="auto"/>
            <w:noWrap/>
          </w:tcPr>
          <w:p w:rsidR="00CB68A7" w:rsidRPr="009C733C" w:rsidRDefault="00CB68A7" w:rsidP="00BA7A29">
            <w:pPr>
              <w:pStyle w:val="TableText"/>
            </w:pPr>
            <w:r w:rsidRPr="009C733C">
              <w:t>2019/20 ($m)</w:t>
            </w:r>
          </w:p>
        </w:tc>
        <w:tc>
          <w:tcPr>
            <w:tcW w:w="1701" w:type="dxa"/>
            <w:tcBorders>
              <w:top w:val="single" w:sz="4" w:space="0" w:color="auto"/>
              <w:bottom w:val="single" w:sz="4" w:space="0" w:color="A6A6A6" w:themeColor="background1" w:themeShade="A6"/>
            </w:tcBorders>
            <w:shd w:val="clear" w:color="auto" w:fill="auto"/>
          </w:tcPr>
          <w:p w:rsidR="00CB68A7" w:rsidRPr="009C733C" w:rsidRDefault="00CB68A7" w:rsidP="00BA7A29">
            <w:pPr>
              <w:pStyle w:val="TableText"/>
              <w:tabs>
                <w:tab w:val="decimal" w:pos="793"/>
              </w:tabs>
              <w:rPr>
                <w:rFonts w:cs="Arial"/>
              </w:rPr>
            </w:pPr>
            <w:r w:rsidRPr="009C733C">
              <w:rPr>
                <w:rFonts w:cs="Arial"/>
                <w:bCs/>
              </w:rPr>
              <w:t>951.143</w:t>
            </w:r>
          </w:p>
        </w:tc>
        <w:tc>
          <w:tcPr>
            <w:tcW w:w="1701" w:type="dxa"/>
            <w:tcBorders>
              <w:top w:val="single" w:sz="4" w:space="0" w:color="auto"/>
              <w:bottom w:val="single" w:sz="4" w:space="0" w:color="A6A6A6" w:themeColor="background1" w:themeShade="A6"/>
            </w:tcBorders>
            <w:shd w:val="clear" w:color="auto" w:fill="auto"/>
            <w:noWrap/>
            <w:tcMar>
              <w:top w:w="0" w:type="dxa"/>
              <w:left w:w="108" w:type="dxa"/>
              <w:bottom w:w="0" w:type="dxa"/>
              <w:right w:w="108" w:type="dxa"/>
            </w:tcMar>
          </w:tcPr>
          <w:p w:rsidR="00CB68A7" w:rsidRPr="009C733C" w:rsidRDefault="00CB68A7" w:rsidP="00BA7A29">
            <w:pPr>
              <w:pStyle w:val="TableText"/>
              <w:jc w:val="center"/>
              <w:rPr>
                <w:rFonts w:cs="Arial"/>
              </w:rPr>
            </w:pPr>
            <w:r w:rsidRPr="009C733C">
              <w:rPr>
                <w:rFonts w:cs="Arial"/>
                <w:bCs/>
              </w:rPr>
              <w:t>645.345</w:t>
            </w:r>
          </w:p>
        </w:tc>
        <w:tc>
          <w:tcPr>
            <w:tcW w:w="1701" w:type="dxa"/>
            <w:tcBorders>
              <w:top w:val="single" w:sz="4" w:space="0" w:color="auto"/>
              <w:bottom w:val="single" w:sz="4" w:space="0" w:color="A6A6A6" w:themeColor="background1" w:themeShade="A6"/>
            </w:tcBorders>
            <w:shd w:val="clear" w:color="auto" w:fill="auto"/>
            <w:noWrap/>
            <w:tcMar>
              <w:top w:w="0" w:type="dxa"/>
              <w:left w:w="108" w:type="dxa"/>
              <w:bottom w:w="0" w:type="dxa"/>
              <w:right w:w="108" w:type="dxa"/>
            </w:tcMar>
          </w:tcPr>
          <w:p w:rsidR="00CB68A7" w:rsidRPr="009C733C" w:rsidRDefault="00CB68A7" w:rsidP="00BA7A29">
            <w:pPr>
              <w:pStyle w:val="TableText"/>
              <w:jc w:val="center"/>
              <w:rPr>
                <w:rFonts w:cs="Arial"/>
              </w:rPr>
            </w:pPr>
            <w:r w:rsidRPr="009C733C">
              <w:rPr>
                <w:rFonts w:cs="Arial"/>
                <w:bCs/>
              </w:rPr>
              <w:t>383.428</w:t>
            </w:r>
          </w:p>
        </w:tc>
        <w:tc>
          <w:tcPr>
            <w:tcW w:w="1701" w:type="dxa"/>
            <w:tcBorders>
              <w:top w:val="single" w:sz="4" w:space="0" w:color="auto"/>
              <w:bottom w:val="single" w:sz="4" w:space="0" w:color="A6A6A6" w:themeColor="background1" w:themeShade="A6"/>
            </w:tcBorders>
            <w:shd w:val="clear" w:color="auto" w:fill="auto"/>
            <w:noWrap/>
            <w:tcMar>
              <w:top w:w="0" w:type="dxa"/>
              <w:left w:w="108" w:type="dxa"/>
              <w:bottom w:w="0" w:type="dxa"/>
              <w:right w:w="108" w:type="dxa"/>
            </w:tcMar>
          </w:tcPr>
          <w:p w:rsidR="00CB68A7" w:rsidRPr="009C733C" w:rsidRDefault="00CB68A7" w:rsidP="00BA7A29">
            <w:pPr>
              <w:pStyle w:val="TableText"/>
              <w:jc w:val="center"/>
              <w:rPr>
                <w:rFonts w:cs="Arial"/>
              </w:rPr>
            </w:pPr>
            <w:r w:rsidRPr="009C733C">
              <w:rPr>
                <w:rFonts w:cs="Arial"/>
                <w:bCs/>
              </w:rPr>
              <w:t>668.119</w:t>
            </w:r>
          </w:p>
        </w:tc>
      </w:tr>
      <w:tr w:rsidR="00CB68A7" w:rsidRPr="00C10A99" w:rsidTr="00BA7A29">
        <w:trPr>
          <w:cantSplit/>
        </w:trPr>
        <w:tc>
          <w:tcPr>
            <w:tcW w:w="2552" w:type="dxa"/>
            <w:tcBorders>
              <w:top w:val="single" w:sz="4" w:space="0" w:color="A6A6A6" w:themeColor="background1" w:themeShade="A6"/>
              <w:bottom w:val="single" w:sz="4" w:space="0" w:color="A6A6A6" w:themeColor="background1" w:themeShade="A6"/>
            </w:tcBorders>
            <w:shd w:val="clear" w:color="auto" w:fill="auto"/>
            <w:noWrap/>
          </w:tcPr>
          <w:p w:rsidR="00CB68A7" w:rsidRPr="009C733C" w:rsidRDefault="00CB68A7" w:rsidP="00BA7A29">
            <w:pPr>
              <w:pStyle w:val="TableText"/>
            </w:pPr>
            <w:r w:rsidRPr="009C733C">
              <w:t>2020/21 ($m)</w:t>
            </w:r>
          </w:p>
        </w:tc>
        <w:tc>
          <w:tcPr>
            <w:tcW w:w="1701" w:type="dxa"/>
            <w:tcBorders>
              <w:top w:val="single" w:sz="4" w:space="0" w:color="A6A6A6" w:themeColor="background1" w:themeShade="A6"/>
              <w:bottom w:val="single" w:sz="4" w:space="0" w:color="A6A6A6" w:themeColor="background1" w:themeShade="A6"/>
            </w:tcBorders>
            <w:shd w:val="clear" w:color="auto" w:fill="auto"/>
          </w:tcPr>
          <w:p w:rsidR="00CB68A7" w:rsidRPr="009C733C" w:rsidRDefault="00CB68A7" w:rsidP="00BA7A29">
            <w:pPr>
              <w:pStyle w:val="TableText"/>
              <w:tabs>
                <w:tab w:val="decimal" w:pos="793"/>
              </w:tabs>
              <w:rPr>
                <w:rFonts w:cs="Arial"/>
              </w:rPr>
            </w:pPr>
            <w:r w:rsidRPr="009C733C">
              <w:rPr>
                <w:rFonts w:cs="Arial"/>
                <w:bCs/>
              </w:rPr>
              <w:t>981.184</w:t>
            </w:r>
          </w:p>
        </w:tc>
        <w:tc>
          <w:tcPr>
            <w:tcW w:w="1701" w:type="dxa"/>
            <w:tcBorders>
              <w:top w:val="single" w:sz="4" w:space="0" w:color="A6A6A6" w:themeColor="background1" w:themeShade="A6"/>
              <w:bottom w:val="single" w:sz="4" w:space="0" w:color="A6A6A6" w:themeColor="background1" w:themeShade="A6"/>
            </w:tcBorders>
            <w:shd w:val="clear" w:color="auto" w:fill="auto"/>
            <w:noWrap/>
            <w:tcMar>
              <w:top w:w="0" w:type="dxa"/>
              <w:left w:w="108" w:type="dxa"/>
              <w:bottom w:w="0" w:type="dxa"/>
              <w:right w:w="108" w:type="dxa"/>
            </w:tcMar>
          </w:tcPr>
          <w:p w:rsidR="00CB68A7" w:rsidRPr="009C733C" w:rsidRDefault="00CB68A7" w:rsidP="00BA7A29">
            <w:pPr>
              <w:pStyle w:val="TableText"/>
              <w:jc w:val="center"/>
              <w:rPr>
                <w:rFonts w:cs="Arial"/>
              </w:rPr>
            </w:pPr>
            <w:r w:rsidRPr="009C733C">
              <w:rPr>
                <w:rFonts w:cs="Arial"/>
                <w:bCs/>
              </w:rPr>
              <w:t>667.463</w:t>
            </w:r>
          </w:p>
        </w:tc>
        <w:tc>
          <w:tcPr>
            <w:tcW w:w="1701" w:type="dxa"/>
            <w:tcBorders>
              <w:top w:val="single" w:sz="4" w:space="0" w:color="A6A6A6" w:themeColor="background1" w:themeShade="A6"/>
              <w:bottom w:val="single" w:sz="4" w:space="0" w:color="A6A6A6" w:themeColor="background1" w:themeShade="A6"/>
            </w:tcBorders>
            <w:shd w:val="clear" w:color="auto" w:fill="auto"/>
            <w:noWrap/>
            <w:tcMar>
              <w:top w:w="0" w:type="dxa"/>
              <w:left w:w="108" w:type="dxa"/>
              <w:bottom w:w="0" w:type="dxa"/>
              <w:right w:w="108" w:type="dxa"/>
            </w:tcMar>
          </w:tcPr>
          <w:p w:rsidR="00CB68A7" w:rsidRPr="009C733C" w:rsidRDefault="00CB68A7" w:rsidP="00BA7A29">
            <w:pPr>
              <w:pStyle w:val="TableText"/>
              <w:jc w:val="center"/>
              <w:rPr>
                <w:rFonts w:cs="Arial"/>
              </w:rPr>
            </w:pPr>
            <w:r w:rsidRPr="009C733C">
              <w:rPr>
                <w:rFonts w:cs="Arial"/>
                <w:bCs/>
              </w:rPr>
              <w:t>395.794</w:t>
            </w:r>
          </w:p>
        </w:tc>
        <w:tc>
          <w:tcPr>
            <w:tcW w:w="1701" w:type="dxa"/>
            <w:tcBorders>
              <w:top w:val="single" w:sz="4" w:space="0" w:color="A6A6A6" w:themeColor="background1" w:themeShade="A6"/>
              <w:bottom w:val="single" w:sz="4" w:space="0" w:color="A6A6A6" w:themeColor="background1" w:themeShade="A6"/>
            </w:tcBorders>
            <w:shd w:val="clear" w:color="auto" w:fill="auto"/>
            <w:noWrap/>
            <w:tcMar>
              <w:top w:w="0" w:type="dxa"/>
              <w:left w:w="108" w:type="dxa"/>
              <w:bottom w:w="0" w:type="dxa"/>
              <w:right w:w="108" w:type="dxa"/>
            </w:tcMar>
          </w:tcPr>
          <w:p w:rsidR="00CB68A7" w:rsidRPr="009C733C" w:rsidRDefault="00CB68A7" w:rsidP="00BA7A29">
            <w:pPr>
              <w:pStyle w:val="TableText"/>
              <w:jc w:val="center"/>
              <w:rPr>
                <w:rFonts w:cs="Arial"/>
              </w:rPr>
            </w:pPr>
            <w:r w:rsidRPr="009C733C">
              <w:rPr>
                <w:rFonts w:cs="Arial"/>
                <w:bCs/>
              </w:rPr>
              <w:t>710.884</w:t>
            </w:r>
          </w:p>
        </w:tc>
      </w:tr>
      <w:tr w:rsidR="00CB68A7" w:rsidRPr="00C10A99" w:rsidTr="00BA7A29">
        <w:trPr>
          <w:cantSplit/>
        </w:trPr>
        <w:tc>
          <w:tcPr>
            <w:tcW w:w="2552" w:type="dxa"/>
            <w:tcBorders>
              <w:top w:val="single" w:sz="4" w:space="0" w:color="A6A6A6" w:themeColor="background1" w:themeShade="A6"/>
            </w:tcBorders>
            <w:shd w:val="clear" w:color="auto" w:fill="auto"/>
            <w:noWrap/>
          </w:tcPr>
          <w:p w:rsidR="00CB68A7" w:rsidRPr="009C733C" w:rsidRDefault="00CB68A7" w:rsidP="00BA7A29">
            <w:pPr>
              <w:pStyle w:val="TableText"/>
            </w:pPr>
            <w:r w:rsidRPr="009C733C">
              <w:t>2021/22 ($m)</w:t>
            </w:r>
          </w:p>
        </w:tc>
        <w:tc>
          <w:tcPr>
            <w:tcW w:w="1701" w:type="dxa"/>
            <w:tcBorders>
              <w:top w:val="single" w:sz="4" w:space="0" w:color="A6A6A6" w:themeColor="background1" w:themeShade="A6"/>
            </w:tcBorders>
            <w:shd w:val="clear" w:color="auto" w:fill="auto"/>
          </w:tcPr>
          <w:p w:rsidR="00CB68A7" w:rsidRPr="009C733C" w:rsidRDefault="00CB68A7" w:rsidP="00BA7A29">
            <w:pPr>
              <w:pStyle w:val="TableText"/>
              <w:tabs>
                <w:tab w:val="decimal" w:pos="793"/>
              </w:tabs>
              <w:rPr>
                <w:rFonts w:cs="Arial"/>
                <w:bCs/>
              </w:rPr>
            </w:pPr>
            <w:r w:rsidRPr="009C733C">
              <w:rPr>
                <w:rFonts w:cs="Arial"/>
              </w:rPr>
              <w:t>1,012.173</w:t>
            </w:r>
          </w:p>
        </w:tc>
        <w:tc>
          <w:tcPr>
            <w:tcW w:w="1701" w:type="dxa"/>
            <w:tcBorders>
              <w:top w:val="single" w:sz="4" w:space="0" w:color="A6A6A6" w:themeColor="background1" w:themeShade="A6"/>
            </w:tcBorders>
            <w:shd w:val="clear" w:color="auto" w:fill="auto"/>
            <w:noWrap/>
            <w:tcMar>
              <w:top w:w="0" w:type="dxa"/>
              <w:left w:w="108" w:type="dxa"/>
              <w:bottom w:w="0" w:type="dxa"/>
              <w:right w:w="108" w:type="dxa"/>
            </w:tcMar>
          </w:tcPr>
          <w:p w:rsidR="00CB68A7" w:rsidRPr="009C733C" w:rsidRDefault="00CB68A7" w:rsidP="00BA7A29">
            <w:pPr>
              <w:pStyle w:val="TableText"/>
              <w:jc w:val="center"/>
              <w:rPr>
                <w:rFonts w:cs="Arial"/>
                <w:bCs/>
              </w:rPr>
            </w:pPr>
            <w:r w:rsidRPr="009C733C">
              <w:rPr>
                <w:rFonts w:cs="Arial"/>
              </w:rPr>
              <w:t>689.581</w:t>
            </w:r>
          </w:p>
        </w:tc>
        <w:tc>
          <w:tcPr>
            <w:tcW w:w="1701" w:type="dxa"/>
            <w:tcBorders>
              <w:top w:val="single" w:sz="4" w:space="0" w:color="A6A6A6" w:themeColor="background1" w:themeShade="A6"/>
            </w:tcBorders>
            <w:shd w:val="clear" w:color="auto" w:fill="auto"/>
            <w:noWrap/>
            <w:tcMar>
              <w:top w:w="0" w:type="dxa"/>
              <w:left w:w="108" w:type="dxa"/>
              <w:bottom w:w="0" w:type="dxa"/>
              <w:right w:w="108" w:type="dxa"/>
            </w:tcMar>
          </w:tcPr>
          <w:p w:rsidR="00CB68A7" w:rsidRPr="009C733C" w:rsidRDefault="00CB68A7" w:rsidP="00BA7A29">
            <w:pPr>
              <w:pStyle w:val="TableText"/>
              <w:jc w:val="center"/>
              <w:rPr>
                <w:rFonts w:cs="Arial"/>
                <w:bCs/>
              </w:rPr>
            </w:pPr>
            <w:r w:rsidRPr="009C733C">
              <w:rPr>
                <w:rFonts w:cs="Arial"/>
              </w:rPr>
              <w:t>408.161</w:t>
            </w:r>
          </w:p>
        </w:tc>
        <w:tc>
          <w:tcPr>
            <w:tcW w:w="1701" w:type="dxa"/>
            <w:tcBorders>
              <w:top w:val="single" w:sz="4" w:space="0" w:color="A6A6A6" w:themeColor="background1" w:themeShade="A6"/>
            </w:tcBorders>
            <w:shd w:val="clear" w:color="auto" w:fill="auto"/>
            <w:noWrap/>
            <w:tcMar>
              <w:top w:w="0" w:type="dxa"/>
              <w:left w:w="108" w:type="dxa"/>
              <w:bottom w:w="0" w:type="dxa"/>
              <w:right w:w="108" w:type="dxa"/>
            </w:tcMar>
          </w:tcPr>
          <w:p w:rsidR="00CB68A7" w:rsidRPr="009C733C" w:rsidRDefault="00CB68A7" w:rsidP="00BA7A29">
            <w:pPr>
              <w:pStyle w:val="TableText"/>
              <w:jc w:val="center"/>
              <w:rPr>
                <w:rFonts w:cs="Arial"/>
                <w:bCs/>
              </w:rPr>
            </w:pPr>
            <w:r w:rsidRPr="009C733C">
              <w:rPr>
                <w:rFonts w:cs="Arial"/>
              </w:rPr>
              <w:t>756.386</w:t>
            </w:r>
          </w:p>
        </w:tc>
      </w:tr>
    </w:tbl>
    <w:p w:rsidR="00CB68A7" w:rsidRPr="00603635" w:rsidRDefault="00CB68A7" w:rsidP="00BA7A29">
      <w:pPr>
        <w:pStyle w:val="Note"/>
      </w:pPr>
      <w:r w:rsidRPr="005979AB">
        <w:t>Note</w:t>
      </w:r>
      <w:r>
        <w:t>:</w:t>
      </w:r>
      <w:r w:rsidRPr="005979AB">
        <w:t xml:space="preserve"> </w:t>
      </w:r>
      <w:r>
        <w:t>T</w:t>
      </w:r>
      <w:r w:rsidRPr="005979AB">
        <w:t xml:space="preserve">hese forecasts are </w:t>
      </w:r>
      <w:r>
        <w:t xml:space="preserve">for the next levy period. They are </w:t>
      </w:r>
      <w:r w:rsidRPr="005979AB">
        <w:t>based on best estimates at this time</w:t>
      </w:r>
      <w:r>
        <w:t xml:space="preserve">; but are </w:t>
      </w:r>
      <w:r w:rsidRPr="005979AB">
        <w:t>made before the actuals for 2017/18 (</w:t>
      </w:r>
      <w:r>
        <w:t xml:space="preserve">expected </w:t>
      </w:r>
      <w:r w:rsidRPr="005979AB">
        <w:t xml:space="preserve">late in 2018) and 2018/19 </w:t>
      </w:r>
      <w:r>
        <w:t>(expected in late 2019) were</w:t>
      </w:r>
      <w:r w:rsidRPr="005979AB">
        <w:t xml:space="preserve"> available.</w:t>
      </w:r>
      <w:r>
        <w:t xml:space="preserve"> </w:t>
      </w:r>
      <w:r w:rsidRPr="005979AB">
        <w:t xml:space="preserve">The further we forecast out the less reliable </w:t>
      </w:r>
      <w:r>
        <w:t>that forecast can be. T</w:t>
      </w:r>
      <w:r w:rsidRPr="005979AB">
        <w:t>herefore we advise that while th</w:t>
      </w:r>
      <w:r>
        <w:t xml:space="preserve">ese </w:t>
      </w:r>
      <w:r w:rsidR="00BA7A29">
        <w:t>‘</w:t>
      </w:r>
      <w:r>
        <w:t>out years</w:t>
      </w:r>
      <w:r w:rsidR="00BA7A29">
        <w:t>’</w:t>
      </w:r>
      <w:r>
        <w:t xml:space="preserve"> </w:t>
      </w:r>
      <w:r w:rsidRPr="005979AB">
        <w:t xml:space="preserve">follow a general trend, </w:t>
      </w:r>
      <w:r>
        <w:t>they are not as reliable as a yearly forecasts, for the next year ahead</w:t>
      </w:r>
      <w:r w:rsidRPr="005979AB">
        <w:t>.</w:t>
      </w:r>
    </w:p>
    <w:p w:rsidR="00CB68A7" w:rsidRPr="00C10A99" w:rsidRDefault="00CB68A7" w:rsidP="00BA7A29"/>
    <w:p w:rsidR="00CB68A7" w:rsidRPr="00C10A99" w:rsidRDefault="00CB68A7" w:rsidP="00BA7A29">
      <w:pPr>
        <w:pStyle w:val="Heading3"/>
      </w:pPr>
      <w:r w:rsidRPr="00C10A99">
        <w:t>Estimated levy under-recovery or over-recovery, by sector (R)</w:t>
      </w:r>
    </w:p>
    <w:p w:rsidR="00CB68A7" w:rsidRPr="00252C71" w:rsidRDefault="00CB68A7" w:rsidP="00BA7A29">
      <w:r w:rsidRPr="00C10A99">
        <w:t>Section 107 of the Gambling Amendment Act 2015, which came into effect on 3 March 2015, requires the calculation of each sector</w:t>
      </w:r>
      <w:r w:rsidR="00EC3578">
        <w:t>’</w:t>
      </w:r>
      <w:r w:rsidRPr="00C10A99">
        <w:t>s levy rate to take into account any under</w:t>
      </w:r>
      <w:r>
        <w:t xml:space="preserve">payment or overpayment </w:t>
      </w:r>
      <w:r w:rsidRPr="00C10A99">
        <w:t xml:space="preserve">from that sector in previous levy periods. </w:t>
      </w:r>
      <w:r w:rsidRPr="00252C71">
        <w:t>This legislative change ended the previous system, deemed unfair, whereby all four gambling sectors were required to meet any net underpayment or overpayment of the levy amount across all sectors from the previous levy period.</w:t>
      </w:r>
    </w:p>
    <w:p w:rsidR="00BA7A29" w:rsidRDefault="00BA7A29" w:rsidP="00BA7A29"/>
    <w:p w:rsidR="00CB68A7" w:rsidRPr="00E312E8" w:rsidRDefault="00CB68A7" w:rsidP="00BA7A29">
      <w:pPr>
        <w:keepLines/>
      </w:pPr>
      <w:r w:rsidRPr="00FA4BE0">
        <w:lastRenderedPageBreak/>
        <w:t>The Ministry</w:t>
      </w:r>
      <w:r w:rsidR="00EC3578">
        <w:t>’</w:t>
      </w:r>
      <w:r w:rsidRPr="00FA4BE0">
        <w:t>s total appropriation to prevent and minimise gambling harm from 1 July 2004 to 30 June 2019, as derived from its five service plans to date, was $266.</w:t>
      </w:r>
      <w:r>
        <w:t>922</w:t>
      </w:r>
      <w:r w:rsidRPr="00FA4BE0">
        <w:t xml:space="preserve"> million. The Ministry expects that IRD will </w:t>
      </w:r>
      <w:r>
        <w:t xml:space="preserve">have </w:t>
      </w:r>
      <w:r w:rsidRPr="00FA4BE0">
        <w:t>receive</w:t>
      </w:r>
      <w:r>
        <w:t>d</w:t>
      </w:r>
      <w:r w:rsidRPr="00FA4BE0">
        <w:t xml:space="preserve"> payments totalling $27</w:t>
      </w:r>
      <w:r>
        <w:t>4.680</w:t>
      </w:r>
      <w:r w:rsidRPr="00FA4BE0">
        <w:t xml:space="preserve"> million</w:t>
      </w:r>
      <w:r>
        <w:t xml:space="preserve"> for the period to 30 June 2019</w:t>
      </w:r>
      <w:r w:rsidRPr="00FA4BE0">
        <w:t>.</w:t>
      </w:r>
      <w:r w:rsidRPr="00BA7A29">
        <w:rPr>
          <w:rStyle w:val="FootnoteReference"/>
        </w:rPr>
        <w:footnoteReference w:id="10"/>
      </w:r>
      <w:r w:rsidRPr="00FA4BE0">
        <w:t xml:space="preserve"> This figure was derived by summing the expenditure in its annual reports to 30</w:t>
      </w:r>
      <w:r>
        <w:t> </w:t>
      </w:r>
      <w:r w:rsidRPr="00FA4BE0">
        <w:t>June 2017 and an estimate of its likely expenditure for the two years to 30 June 2019. It is the former figure ($266.233 million) that the levy should have recovered from the four levy-paying gambling sectors.</w:t>
      </w:r>
    </w:p>
    <w:p w:rsidR="00BA7A29" w:rsidRDefault="00BA7A29" w:rsidP="00BA7A29"/>
    <w:p w:rsidR="00CB68A7" w:rsidRPr="00C10A99" w:rsidRDefault="00CB68A7" w:rsidP="00BA7A29">
      <w:r w:rsidRPr="00E312E8">
        <w:t>The Ministry obtained each sector</w:t>
      </w:r>
      <w:r w:rsidR="00EC3578">
        <w:t>’</w:t>
      </w:r>
      <w:r w:rsidRPr="00E312E8">
        <w:t>s expected contribution to the levy requirement for each three-year period by referring to the rele</w:t>
      </w:r>
      <w:r w:rsidRPr="00C10A99">
        <w:t xml:space="preserve">vant </w:t>
      </w:r>
      <w:r>
        <w:t>three-year appropriation</w:t>
      </w:r>
      <w:r w:rsidRPr="00C10A99">
        <w:t>. It used that information to calculate each sector</w:t>
      </w:r>
      <w:r w:rsidR="00EC3578">
        <w:t>’</w:t>
      </w:r>
      <w:r w:rsidRPr="00C10A99">
        <w:t>s expected contribution to the Ministry</w:t>
      </w:r>
      <w:r w:rsidR="00EC3578">
        <w:t>’</w:t>
      </w:r>
      <w:r w:rsidRPr="00C10A99">
        <w:t>s appropriation for each period. It then summed those expected contributions across the f</w:t>
      </w:r>
      <w:r>
        <w:t xml:space="preserve">ive </w:t>
      </w:r>
      <w:r w:rsidRPr="00C10A99">
        <w:t>periods to arrive at each sector</w:t>
      </w:r>
      <w:r w:rsidR="00EC3578">
        <w:t>’</w:t>
      </w:r>
      <w:r w:rsidRPr="00C10A99">
        <w:t>s expected contribution to the total amount appropriated to the Ministry across the 1</w:t>
      </w:r>
      <w:r>
        <w:t>5</w:t>
      </w:r>
      <w:r w:rsidRPr="00C10A99">
        <w:t xml:space="preserve"> years and to calculate each sector</w:t>
      </w:r>
      <w:r w:rsidR="00EC3578">
        <w:t>’</w:t>
      </w:r>
      <w:r w:rsidRPr="00C10A99">
        <w:t>s expected share of the total amount appropriated.</w:t>
      </w:r>
    </w:p>
    <w:p w:rsidR="00BA7A29" w:rsidRDefault="00BA7A29" w:rsidP="00BA7A29"/>
    <w:p w:rsidR="00CB68A7" w:rsidRPr="00C10A99" w:rsidRDefault="00CB68A7" w:rsidP="00BA7A29">
      <w:r w:rsidRPr="00C10A99">
        <w:t xml:space="preserve">The share of the total appropriation (rounded to </w:t>
      </w:r>
      <w:r>
        <w:t>three</w:t>
      </w:r>
      <w:r w:rsidRPr="00C10A99">
        <w:t xml:space="preserve"> decimal places) that </w:t>
      </w:r>
      <w:r>
        <w:t xml:space="preserve">the </w:t>
      </w:r>
      <w:r w:rsidRPr="00C10A99">
        <w:t>NCGM</w:t>
      </w:r>
      <w:r>
        <w:t xml:space="preserve"> </w:t>
      </w:r>
      <w:r w:rsidRPr="00C10A99">
        <w:t>s</w:t>
      </w:r>
      <w:r>
        <w:t xml:space="preserve">ector was </w:t>
      </w:r>
      <w:r w:rsidRPr="00C10A99">
        <w:t xml:space="preserve">expected to pay was </w:t>
      </w:r>
      <w:r>
        <w:t xml:space="preserve">65.519 </w:t>
      </w:r>
      <w:r w:rsidRPr="00C10A99">
        <w:t>percent. The expected share for</w:t>
      </w:r>
      <w:r>
        <w:t>:</w:t>
      </w:r>
      <w:r w:rsidRPr="00C10A99">
        <w:t xml:space="preserve"> casinos was 1</w:t>
      </w:r>
      <w:r>
        <w:t xml:space="preserve">9.537 </w:t>
      </w:r>
      <w:r w:rsidRPr="00C10A99">
        <w:t>percent, the NZRB</w:t>
      </w:r>
      <w:r>
        <w:t xml:space="preserve"> was 8.741 </w:t>
      </w:r>
      <w:r w:rsidRPr="00C10A99">
        <w:t xml:space="preserve">percent and the NZLC </w:t>
      </w:r>
      <w:r>
        <w:t>was 6.203</w:t>
      </w:r>
      <w:r w:rsidRPr="00C10A99">
        <w:t> percent.</w:t>
      </w:r>
    </w:p>
    <w:p w:rsidR="00BA7A29" w:rsidRDefault="00BA7A29" w:rsidP="00BA7A29"/>
    <w:p w:rsidR="00CB68A7" w:rsidRPr="00C10A99" w:rsidRDefault="00CB68A7" w:rsidP="00BA7A29">
      <w:r w:rsidRPr="00C10A99">
        <w:t>This means that the total amount of levy that should have been collected from</w:t>
      </w:r>
      <w:r>
        <w:t xml:space="preserve"> the</w:t>
      </w:r>
      <w:r w:rsidRPr="00C10A99">
        <w:t xml:space="preserve"> NCGM</w:t>
      </w:r>
      <w:r>
        <w:t xml:space="preserve"> sector since 2004 (</w:t>
      </w:r>
      <w:r w:rsidRPr="00C10A99">
        <w:t>1</w:t>
      </w:r>
      <w:r>
        <w:t xml:space="preserve">5 </w:t>
      </w:r>
      <w:r w:rsidRPr="00C10A99">
        <w:t>year</w:t>
      </w:r>
      <w:r>
        <w:t xml:space="preserve">s) </w:t>
      </w:r>
      <w:r w:rsidRPr="00C10A99">
        <w:t>was $1</w:t>
      </w:r>
      <w:r>
        <w:t>74.884</w:t>
      </w:r>
      <w:r w:rsidRPr="00C10A99">
        <w:t xml:space="preserve"> million (that is, 6</w:t>
      </w:r>
      <w:r>
        <w:t>5.519</w:t>
      </w:r>
      <w:r w:rsidRPr="00C10A99">
        <w:t>% of $2</w:t>
      </w:r>
      <w:r>
        <w:t>66.233</w:t>
      </w:r>
      <w:r w:rsidRPr="00C10A99">
        <w:t xml:space="preserve"> million). The equivalent amount for casinos was $</w:t>
      </w:r>
      <w:r>
        <w:t>52.149</w:t>
      </w:r>
      <w:r w:rsidRPr="00C10A99">
        <w:t xml:space="preserve"> million, for the NZRB was $</w:t>
      </w:r>
      <w:r>
        <w:t>23.331</w:t>
      </w:r>
      <w:r w:rsidRPr="00C10A99">
        <w:t xml:space="preserve"> million and for the NZLC was $1</w:t>
      </w:r>
      <w:r>
        <w:t>6.558</w:t>
      </w:r>
      <w:r w:rsidRPr="00C10A99">
        <w:t xml:space="preserve"> million.</w:t>
      </w:r>
    </w:p>
    <w:p w:rsidR="00BA7A29" w:rsidRDefault="00BA7A29" w:rsidP="00BA7A29"/>
    <w:p w:rsidR="00CB68A7" w:rsidRDefault="00CB68A7" w:rsidP="00BA7A29">
      <w:r w:rsidRPr="00C10A99">
        <w:t xml:space="preserve">The DIA used IRD figures for </w:t>
      </w:r>
      <w:r>
        <w:t xml:space="preserve">the </w:t>
      </w:r>
      <w:r w:rsidRPr="00C10A99">
        <w:t xml:space="preserve">levy actually collected </w:t>
      </w:r>
      <w:r>
        <w:t xml:space="preserve">up </w:t>
      </w:r>
      <w:r w:rsidRPr="00C10A99">
        <w:t xml:space="preserve">to </w:t>
      </w:r>
      <w:r>
        <w:t xml:space="preserve">February 2018 </w:t>
      </w:r>
      <w:r w:rsidRPr="00C10A99">
        <w:t>to estimate the levy under</w:t>
      </w:r>
      <w:r>
        <w:t>payment</w:t>
      </w:r>
      <w:r w:rsidRPr="00C10A99">
        <w:t xml:space="preserve"> or over</w:t>
      </w:r>
      <w:r>
        <w:t>payment</w:t>
      </w:r>
      <w:r w:rsidRPr="00C10A99">
        <w:t xml:space="preserve"> for each sector for the 1</w:t>
      </w:r>
      <w:r>
        <w:t>5</w:t>
      </w:r>
      <w:r w:rsidRPr="00C10A99">
        <w:t xml:space="preserve">-year period. </w:t>
      </w:r>
      <w:r w:rsidRPr="003843E6">
        <w:t>Table 2</w:t>
      </w:r>
      <w:r>
        <w:t>2</w:t>
      </w:r>
      <w:r w:rsidRPr="00792FE4">
        <w:t xml:space="preserve"> </w:t>
      </w:r>
      <w:r w:rsidRPr="00C10A99">
        <w:t>shows these amounts.</w:t>
      </w:r>
      <w:r>
        <w:t xml:space="preserve"> This calculation shows that each sector is expected to have overpaid its share of the levy by 30 June 2019 (shown as negative amounts in Table 22).</w:t>
      </w:r>
    </w:p>
    <w:p w:rsidR="00CB68A7" w:rsidRDefault="00CB68A7" w:rsidP="00BA7A29"/>
    <w:p w:rsidR="00CB68A7" w:rsidRPr="00C10A99" w:rsidRDefault="00CB68A7" w:rsidP="00BA7A29">
      <w:pPr>
        <w:pStyle w:val="Table"/>
      </w:pPr>
      <w:bookmarkStart w:id="217" w:name="_Toc517091247"/>
      <w:bookmarkStart w:id="218" w:name="_Toc522089451"/>
      <w:r w:rsidRPr="00C10A99">
        <w:t xml:space="preserve">Table </w:t>
      </w:r>
      <w:r>
        <w:t>22</w:t>
      </w:r>
      <w:r w:rsidRPr="00C10A99">
        <w:t>: Estimated under</w:t>
      </w:r>
      <w:r>
        <w:t xml:space="preserve">payment </w:t>
      </w:r>
      <w:r w:rsidRPr="00C10A99">
        <w:t>or over</w:t>
      </w:r>
      <w:r>
        <w:t xml:space="preserve">payment </w:t>
      </w:r>
      <w:r w:rsidRPr="00C10A99">
        <w:t>of problem gambling levy, 2004/05 to 201</w:t>
      </w:r>
      <w:r>
        <w:t>8</w:t>
      </w:r>
      <w:r w:rsidRPr="00C10A99">
        <w:t>/1</w:t>
      </w:r>
      <w:r>
        <w:t>9</w:t>
      </w:r>
      <w:r w:rsidRPr="00C10A99">
        <w:t>, by sector</w:t>
      </w:r>
      <w:bookmarkEnd w:id="217"/>
      <w:bookmarkEnd w:id="218"/>
    </w:p>
    <w:tbl>
      <w:tblPr>
        <w:tblW w:w="2321" w:type="pct"/>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102"/>
        <w:gridCol w:w="2241"/>
      </w:tblGrid>
      <w:tr w:rsidR="00CB68A7" w:rsidRPr="00BA7A29" w:rsidTr="00BA7A29">
        <w:trPr>
          <w:cantSplit/>
        </w:trPr>
        <w:tc>
          <w:tcPr>
            <w:tcW w:w="2420" w:type="pct"/>
            <w:tcBorders>
              <w:top w:val="single" w:sz="4" w:space="0" w:color="auto"/>
              <w:bottom w:val="single" w:sz="4" w:space="0" w:color="auto"/>
            </w:tcBorders>
            <w:shd w:val="clear" w:color="auto" w:fill="auto"/>
            <w:noWrap/>
          </w:tcPr>
          <w:p w:rsidR="00CB68A7" w:rsidRPr="00BA7A29" w:rsidRDefault="00CB68A7" w:rsidP="00BA7A29">
            <w:pPr>
              <w:pStyle w:val="TableText"/>
              <w:rPr>
                <w:b/>
                <w:lang w:eastAsia="en-US"/>
              </w:rPr>
            </w:pPr>
            <w:r w:rsidRPr="00BA7A29">
              <w:rPr>
                <w:b/>
                <w:lang w:eastAsia="en-US"/>
              </w:rPr>
              <w:t>Sector</w:t>
            </w:r>
          </w:p>
        </w:tc>
        <w:tc>
          <w:tcPr>
            <w:tcW w:w="2580" w:type="pct"/>
            <w:tcBorders>
              <w:top w:val="single" w:sz="4" w:space="0" w:color="auto"/>
              <w:bottom w:val="single" w:sz="4" w:space="0" w:color="auto"/>
            </w:tcBorders>
            <w:shd w:val="clear" w:color="auto" w:fill="auto"/>
            <w:noWrap/>
          </w:tcPr>
          <w:p w:rsidR="00CB68A7" w:rsidRPr="00BA7A29" w:rsidRDefault="00CB68A7" w:rsidP="00BA7A29">
            <w:pPr>
              <w:pStyle w:val="TableText"/>
              <w:jc w:val="center"/>
              <w:rPr>
                <w:b/>
                <w:lang w:eastAsia="en-US"/>
              </w:rPr>
            </w:pPr>
            <w:r w:rsidRPr="00BA7A29">
              <w:rPr>
                <w:b/>
                <w:lang w:eastAsia="en-US"/>
              </w:rPr>
              <w:t>$m (GST inclusive)</w:t>
            </w:r>
          </w:p>
        </w:tc>
      </w:tr>
      <w:tr w:rsidR="00CB68A7" w:rsidRPr="00C10A99" w:rsidTr="00BA7A29">
        <w:trPr>
          <w:cantSplit/>
        </w:trPr>
        <w:tc>
          <w:tcPr>
            <w:tcW w:w="2420" w:type="pct"/>
            <w:tcBorders>
              <w:top w:val="single" w:sz="4" w:space="0" w:color="auto"/>
              <w:bottom w:val="single" w:sz="4" w:space="0" w:color="A6A6A6" w:themeColor="background1" w:themeShade="A6"/>
            </w:tcBorders>
            <w:shd w:val="clear" w:color="auto" w:fill="auto"/>
            <w:noWrap/>
          </w:tcPr>
          <w:p w:rsidR="00CB68A7" w:rsidRPr="009C733C" w:rsidRDefault="00CB68A7" w:rsidP="00BA7A29">
            <w:pPr>
              <w:pStyle w:val="TableText"/>
              <w:rPr>
                <w:lang w:eastAsia="en-US"/>
              </w:rPr>
            </w:pPr>
            <w:r w:rsidRPr="009C733C">
              <w:rPr>
                <w:lang w:eastAsia="en-US"/>
              </w:rPr>
              <w:t>NCGMs</w:t>
            </w:r>
          </w:p>
        </w:tc>
        <w:tc>
          <w:tcPr>
            <w:tcW w:w="2580" w:type="pct"/>
            <w:tcBorders>
              <w:top w:val="single" w:sz="4" w:space="0" w:color="auto"/>
              <w:bottom w:val="single" w:sz="4" w:space="0" w:color="A6A6A6" w:themeColor="background1" w:themeShade="A6"/>
            </w:tcBorders>
            <w:shd w:val="clear" w:color="auto" w:fill="auto"/>
            <w:noWrap/>
          </w:tcPr>
          <w:p w:rsidR="00CB68A7" w:rsidRPr="007269AE" w:rsidRDefault="00CB68A7" w:rsidP="00BA7A29">
            <w:pPr>
              <w:pStyle w:val="TableText"/>
              <w:jc w:val="center"/>
              <w:rPr>
                <w:rFonts w:eastAsia="Arial Unicode MS"/>
              </w:rPr>
            </w:pPr>
            <w:r w:rsidRPr="007269AE">
              <w:rPr>
                <w:rFonts w:eastAsia="Arial Unicode MS"/>
              </w:rPr>
              <w:t>-3.</w:t>
            </w:r>
            <w:r>
              <w:rPr>
                <w:rFonts w:eastAsia="Arial Unicode MS"/>
              </w:rPr>
              <w:t>509</w:t>
            </w:r>
          </w:p>
        </w:tc>
      </w:tr>
      <w:tr w:rsidR="00CB68A7" w:rsidRPr="00C10A99" w:rsidTr="00BA7A29">
        <w:trPr>
          <w:cantSplit/>
        </w:trPr>
        <w:tc>
          <w:tcPr>
            <w:tcW w:w="2420" w:type="pct"/>
            <w:tcBorders>
              <w:top w:val="single" w:sz="4" w:space="0" w:color="A6A6A6" w:themeColor="background1" w:themeShade="A6"/>
              <w:bottom w:val="single" w:sz="4" w:space="0" w:color="A6A6A6" w:themeColor="background1" w:themeShade="A6"/>
            </w:tcBorders>
            <w:shd w:val="clear" w:color="auto" w:fill="auto"/>
            <w:noWrap/>
          </w:tcPr>
          <w:p w:rsidR="00CB68A7" w:rsidRPr="009C733C" w:rsidRDefault="00CB68A7" w:rsidP="00BA7A29">
            <w:pPr>
              <w:pStyle w:val="TableText"/>
              <w:rPr>
                <w:lang w:eastAsia="en-US"/>
              </w:rPr>
            </w:pPr>
            <w:r w:rsidRPr="009C733C">
              <w:rPr>
                <w:lang w:eastAsia="en-US"/>
              </w:rPr>
              <w:t>Casinos</w:t>
            </w:r>
          </w:p>
        </w:tc>
        <w:tc>
          <w:tcPr>
            <w:tcW w:w="2580" w:type="pct"/>
            <w:tcBorders>
              <w:top w:val="single" w:sz="4" w:space="0" w:color="A6A6A6" w:themeColor="background1" w:themeShade="A6"/>
              <w:bottom w:val="single" w:sz="4" w:space="0" w:color="A6A6A6" w:themeColor="background1" w:themeShade="A6"/>
            </w:tcBorders>
            <w:shd w:val="clear" w:color="auto" w:fill="auto"/>
            <w:noWrap/>
          </w:tcPr>
          <w:p w:rsidR="00CB68A7" w:rsidRPr="007269AE" w:rsidRDefault="00CB68A7" w:rsidP="00BA7A29">
            <w:pPr>
              <w:pStyle w:val="TableText"/>
              <w:jc w:val="center"/>
              <w:rPr>
                <w:rFonts w:eastAsia="Arial Unicode MS"/>
              </w:rPr>
            </w:pPr>
            <w:r w:rsidRPr="007269AE">
              <w:rPr>
                <w:rFonts w:eastAsia="Arial Unicode MS"/>
              </w:rPr>
              <w:t>-</w:t>
            </w:r>
            <w:r>
              <w:rPr>
                <w:rFonts w:eastAsia="Arial Unicode MS"/>
              </w:rPr>
              <w:t>1.963</w:t>
            </w:r>
          </w:p>
        </w:tc>
      </w:tr>
      <w:tr w:rsidR="00CB68A7" w:rsidRPr="00C10A99" w:rsidTr="00BA7A29">
        <w:trPr>
          <w:cantSplit/>
        </w:trPr>
        <w:tc>
          <w:tcPr>
            <w:tcW w:w="2420" w:type="pct"/>
            <w:tcBorders>
              <w:top w:val="single" w:sz="4" w:space="0" w:color="A6A6A6" w:themeColor="background1" w:themeShade="A6"/>
              <w:bottom w:val="single" w:sz="4" w:space="0" w:color="A6A6A6" w:themeColor="background1" w:themeShade="A6"/>
            </w:tcBorders>
            <w:shd w:val="clear" w:color="auto" w:fill="auto"/>
            <w:noWrap/>
          </w:tcPr>
          <w:p w:rsidR="00CB68A7" w:rsidRPr="009C733C" w:rsidRDefault="00CB68A7" w:rsidP="00BA7A29">
            <w:pPr>
              <w:pStyle w:val="TableText"/>
              <w:rPr>
                <w:lang w:eastAsia="en-US"/>
              </w:rPr>
            </w:pPr>
            <w:r w:rsidRPr="009C733C">
              <w:rPr>
                <w:lang w:eastAsia="en-US"/>
              </w:rPr>
              <w:t>NZRB</w:t>
            </w:r>
          </w:p>
        </w:tc>
        <w:tc>
          <w:tcPr>
            <w:tcW w:w="2580" w:type="pct"/>
            <w:tcBorders>
              <w:top w:val="single" w:sz="4" w:space="0" w:color="A6A6A6" w:themeColor="background1" w:themeShade="A6"/>
              <w:bottom w:val="single" w:sz="4" w:space="0" w:color="A6A6A6" w:themeColor="background1" w:themeShade="A6"/>
            </w:tcBorders>
            <w:shd w:val="clear" w:color="auto" w:fill="auto"/>
            <w:noWrap/>
          </w:tcPr>
          <w:p w:rsidR="00CB68A7" w:rsidRPr="007269AE" w:rsidRDefault="00CB68A7" w:rsidP="00BA7A29">
            <w:pPr>
              <w:pStyle w:val="TableText"/>
              <w:jc w:val="center"/>
              <w:rPr>
                <w:rFonts w:eastAsia="Arial Unicode MS"/>
              </w:rPr>
            </w:pPr>
            <w:r w:rsidRPr="007269AE">
              <w:rPr>
                <w:rFonts w:eastAsia="Arial Unicode MS"/>
              </w:rPr>
              <w:t>-0.</w:t>
            </w:r>
            <w:r>
              <w:rPr>
                <w:rFonts w:eastAsia="Arial Unicode MS"/>
              </w:rPr>
              <w:t>438</w:t>
            </w:r>
          </w:p>
        </w:tc>
      </w:tr>
      <w:tr w:rsidR="00CB68A7" w:rsidRPr="00C10A99" w:rsidTr="00BA7A29">
        <w:trPr>
          <w:cantSplit/>
        </w:trPr>
        <w:tc>
          <w:tcPr>
            <w:tcW w:w="2420" w:type="pct"/>
            <w:tcBorders>
              <w:top w:val="single" w:sz="4" w:space="0" w:color="A6A6A6" w:themeColor="background1" w:themeShade="A6"/>
            </w:tcBorders>
            <w:shd w:val="clear" w:color="auto" w:fill="auto"/>
            <w:noWrap/>
          </w:tcPr>
          <w:p w:rsidR="00CB68A7" w:rsidRPr="009C733C" w:rsidRDefault="00CB68A7" w:rsidP="00BA7A29">
            <w:pPr>
              <w:pStyle w:val="TableText"/>
              <w:rPr>
                <w:lang w:eastAsia="en-US"/>
              </w:rPr>
            </w:pPr>
            <w:r w:rsidRPr="009C733C">
              <w:rPr>
                <w:lang w:eastAsia="en-US"/>
              </w:rPr>
              <w:t>NZLC</w:t>
            </w:r>
          </w:p>
        </w:tc>
        <w:tc>
          <w:tcPr>
            <w:tcW w:w="2580" w:type="pct"/>
            <w:tcBorders>
              <w:top w:val="single" w:sz="4" w:space="0" w:color="A6A6A6" w:themeColor="background1" w:themeShade="A6"/>
            </w:tcBorders>
            <w:shd w:val="clear" w:color="auto" w:fill="auto"/>
            <w:noWrap/>
          </w:tcPr>
          <w:p w:rsidR="00CB68A7" w:rsidRPr="007269AE" w:rsidRDefault="00CB68A7" w:rsidP="00BA7A29">
            <w:pPr>
              <w:pStyle w:val="TableText"/>
              <w:jc w:val="center"/>
              <w:rPr>
                <w:rFonts w:eastAsia="Arial Unicode MS"/>
              </w:rPr>
            </w:pPr>
            <w:r w:rsidRPr="007269AE">
              <w:rPr>
                <w:rFonts w:eastAsia="Arial Unicode MS"/>
              </w:rPr>
              <w:t>-1.</w:t>
            </w:r>
            <w:r>
              <w:rPr>
                <w:rFonts w:eastAsia="Arial Unicode MS"/>
              </w:rPr>
              <w:t>848</w:t>
            </w:r>
          </w:p>
        </w:tc>
      </w:tr>
    </w:tbl>
    <w:p w:rsidR="00EC3578" w:rsidRDefault="00CB68A7" w:rsidP="00BA7A29">
      <w:pPr>
        <w:pStyle w:val="Note"/>
      </w:pPr>
      <w:r>
        <w:t xml:space="preserve">Note: </w:t>
      </w:r>
      <w:r w:rsidRPr="009C733C">
        <w:t xml:space="preserve">A negative figure indicates </w:t>
      </w:r>
      <w:r>
        <w:t>an expected overpayment for the levy period to 30 June 2019.</w:t>
      </w:r>
    </w:p>
    <w:p w:rsidR="00CB68A7" w:rsidRDefault="00CB68A7" w:rsidP="00BA7A29"/>
    <w:p w:rsidR="00CB68A7" w:rsidRDefault="00CB68A7" w:rsidP="00BA7A29">
      <w:r>
        <w:t>The levy formula accounts for under- or over-recovery in calculating the levy rate for the next period. O</w:t>
      </w:r>
      <w:r w:rsidRPr="00E312E8">
        <w:t>ver</w:t>
      </w:r>
      <w:r>
        <w:t>payment amounts</w:t>
      </w:r>
      <w:r w:rsidRPr="00E312E8">
        <w:t xml:space="preserve"> are deducted from the amounts required </w:t>
      </w:r>
      <w:r>
        <w:t xml:space="preserve">while any </w:t>
      </w:r>
      <w:r w:rsidRPr="00E312E8">
        <w:t>under</w:t>
      </w:r>
      <w:r>
        <w:t>payments</w:t>
      </w:r>
      <w:r w:rsidRPr="00E312E8">
        <w:t xml:space="preserve"> are added</w:t>
      </w:r>
      <w:r>
        <w:t>. For each sector, the previous forecasts underestimated the actual gambling spend (for 2016/17 to 2018/19 years), which will have resulted in a greater amount in levy payments than expected. The total amount of the overpayment for a sector is deducted from its share of the levy for 2019/20 to 2021/22.</w:t>
      </w:r>
    </w:p>
    <w:p w:rsidR="00BA7A29" w:rsidRDefault="00BA7A29" w:rsidP="00BA7A29"/>
    <w:p w:rsidR="00EC3578" w:rsidRDefault="00CB68A7" w:rsidP="00BA7A29">
      <w:r>
        <w:t>NZGM expenditure for 2016/17 was about 6 percent greater than the $812 million forecast in 2015/16. If this continues for the remainder of the levy period, it will result in a $3.5 million overpayment, which will be used to offset levy payments for the next levy period.</w:t>
      </w:r>
    </w:p>
    <w:p w:rsidR="00BA7A29" w:rsidRDefault="00BA7A29" w:rsidP="00BA7A29"/>
    <w:p w:rsidR="00CB68A7" w:rsidRPr="00C10A99" w:rsidRDefault="00CB68A7" w:rsidP="00BA7A29">
      <w:r>
        <w:lastRenderedPageBreak/>
        <w:t>Expenditure for 2016/17 was greater than forecast, which if this continues for the remainder of the levy period, will lead to paying more levy than was anticipated when the levy was set.</w:t>
      </w:r>
    </w:p>
    <w:p w:rsidR="00BA7A29" w:rsidRDefault="00BA7A29" w:rsidP="00BA7A29"/>
    <w:p w:rsidR="00CB68A7" w:rsidRPr="00C10A99" w:rsidRDefault="00CB68A7" w:rsidP="00BA7A29">
      <w:r>
        <w:t>E</w:t>
      </w:r>
      <w:r w:rsidRPr="00C10A99">
        <w:t>xpenditure on NZRB products</w:t>
      </w:r>
      <w:r>
        <w:t xml:space="preserve"> are tracking at slightly above that forecast for 2016/17 in the current strategy. If this continues for the remainder of the levy period, it will result in a slight overpayment compared with the amount expected when the levy was set.</w:t>
      </w:r>
    </w:p>
    <w:p w:rsidR="00BA7A29" w:rsidRDefault="00BA7A29" w:rsidP="00BA7A29"/>
    <w:p w:rsidR="00CB68A7" w:rsidRDefault="00CB68A7" w:rsidP="00BA7A29">
      <w:r w:rsidRPr="00C10A99">
        <w:t>Expenditure on NZLC products is relatively volatile, depending on the number of large jackpots in any given financial year. The service plan forecasts for expenditure on NZLC products were too low for almost every year of the four levy periods to 30 June 2016, probably as a result of the NZLC</w:t>
      </w:r>
      <w:r w:rsidR="00EC3578">
        <w:t>’</w:t>
      </w:r>
      <w:r w:rsidRPr="00C10A99">
        <w:t>s own published forecasts.</w:t>
      </w:r>
      <w:r>
        <w:t xml:space="preserve"> Changes to lottery products and draws have also contributed to the uncertainty of forecasts.</w:t>
      </w:r>
    </w:p>
    <w:p w:rsidR="00CB68A7" w:rsidRDefault="00CB68A7" w:rsidP="00BA7A29"/>
    <w:p w:rsidR="00CB68A7" w:rsidRPr="00D528A0" w:rsidRDefault="00CB68A7" w:rsidP="00BA7A29">
      <w:pPr>
        <w:pStyle w:val="Heading3"/>
      </w:pPr>
      <w:r w:rsidRPr="009F4054">
        <w:t>The weights (W1 and W2)</w:t>
      </w:r>
    </w:p>
    <w:p w:rsidR="00CB68A7" w:rsidRPr="00C10A99" w:rsidRDefault="00CB68A7" w:rsidP="00BA7A29">
      <w:r w:rsidRPr="00C10A99">
        <w:t xml:space="preserve">The </w:t>
      </w:r>
      <w:r>
        <w:t xml:space="preserve">Gambling </w:t>
      </w:r>
      <w:r w:rsidRPr="00C10A99">
        <w:t xml:space="preserve">Act </w:t>
      </w:r>
      <w:r>
        <w:t xml:space="preserve">2003 (the Act) </w:t>
      </w:r>
      <w:r w:rsidRPr="00C10A99">
        <w:t>requires the Ministry to use a weighting between current expenditure and presentations to help determine each sector</w:t>
      </w:r>
      <w:r w:rsidR="00EC3578">
        <w:t>’</w:t>
      </w:r>
      <w:r w:rsidRPr="00C10A99">
        <w:t>s share of the total levy amount. Expenditure is a component of the weighting because of the limitations of relying on presentations alone.</w:t>
      </w:r>
    </w:p>
    <w:p w:rsidR="00BA7A29" w:rsidRDefault="00BA7A29" w:rsidP="00BA7A29"/>
    <w:p w:rsidR="00CB68A7" w:rsidRPr="00C10A99" w:rsidRDefault="00CB68A7" w:rsidP="00BA7A29">
      <w:r w:rsidRPr="00C10A99">
        <w:t xml:space="preserve">The levy is intended to recover the cost of developing and implementing a strategy to prevent and minimise gambling harm. The definition of </w:t>
      </w:r>
      <w:r w:rsidR="00EC3578">
        <w:t>‘</w:t>
      </w:r>
      <w:r w:rsidRPr="00C10A99">
        <w:t>harm</w:t>
      </w:r>
      <w:r w:rsidR="00EC3578">
        <w:t>’</w:t>
      </w:r>
      <w:r w:rsidRPr="00C10A99">
        <w:t xml:space="preserve"> in the Act is very broad. Presentations represent only a small subset of gambling harm, and one that tends to be at the acute end of the continuum. Those who seek help represent only a small proportion of those who experience harm. There can be no assurance that gambling sectors are associated with harm across the continuum of harm in precisely the same proportions as they are associated with presentations to intervention services.</w:t>
      </w:r>
    </w:p>
    <w:p w:rsidR="00BA7A29" w:rsidRDefault="00BA7A29" w:rsidP="00BA7A29"/>
    <w:p w:rsidR="00EC3578" w:rsidRDefault="00CB68A7" w:rsidP="00BA7A29">
      <w:r w:rsidRPr="00C10A99">
        <w:t>The Act specifies that, in addition to intervention services, the strategy must include measures to promote public health by preventing and minimising the harm from problem gambling. It must also encourage gambling research (not just problem gambling research) and evaluation.</w:t>
      </w:r>
    </w:p>
    <w:p w:rsidR="00BA7A29" w:rsidRDefault="00BA7A29" w:rsidP="00BA7A29"/>
    <w:p w:rsidR="00CB68A7" w:rsidRPr="00C10A99" w:rsidRDefault="00CB68A7" w:rsidP="00BA7A29">
      <w:r w:rsidRPr="00C10A99">
        <w:t>The proportion of presentations to intervention services attributable to a particular gambling sector is not necessarily an appropriate indicator for determining the share that sector should bear of public health, research and evaluation costs.</w:t>
      </w:r>
    </w:p>
    <w:p w:rsidR="00BA7A29" w:rsidRDefault="00BA7A29" w:rsidP="00BA7A29"/>
    <w:p w:rsidR="00CB68A7" w:rsidRDefault="00CB68A7" w:rsidP="00BA7A29">
      <w:r w:rsidRPr="003843E6">
        <w:t>Table 2</w:t>
      </w:r>
      <w:r>
        <w:t xml:space="preserve">3 and Figure </w:t>
      </w:r>
      <w:r w:rsidR="005754D6">
        <w:t>8</w:t>
      </w:r>
      <w:r w:rsidRPr="007269AE">
        <w:t xml:space="preserve"> shows the proportion of presentations attributed to each levy-paying sector for the 12</w:t>
      </w:r>
      <w:r w:rsidRPr="007269AE">
        <w:noBreakHyphen/>
        <w:t xml:space="preserve">month period from 1 January to 31 to December 2017 and </w:t>
      </w:r>
      <w:r>
        <w:t xml:space="preserve">each </w:t>
      </w:r>
      <w:r w:rsidRPr="007269AE">
        <w:t>levy</w:t>
      </w:r>
      <w:r>
        <w:t>-</w:t>
      </w:r>
      <w:r w:rsidRPr="007269AE">
        <w:t>paying sector</w:t>
      </w:r>
      <w:r w:rsidR="00EC3578">
        <w:t>’</w:t>
      </w:r>
      <w:r w:rsidRPr="007269AE">
        <w:t xml:space="preserve">s proportion of expenditure for the 2016/17 </w:t>
      </w:r>
      <w:r>
        <w:t xml:space="preserve">financial </w:t>
      </w:r>
      <w:r w:rsidRPr="007269AE">
        <w:t>year</w:t>
      </w:r>
      <w:r>
        <w:t xml:space="preserve"> (to be updated when 2017/18 data become available)</w:t>
      </w:r>
      <w:r w:rsidRPr="007269AE">
        <w:t>.</w:t>
      </w:r>
    </w:p>
    <w:p w:rsidR="00CB68A7" w:rsidRPr="007269AE" w:rsidRDefault="00CB68A7" w:rsidP="00BA7A29"/>
    <w:p w:rsidR="00CB68A7" w:rsidRPr="00BA7A29" w:rsidRDefault="00CB68A7" w:rsidP="00BA7A29">
      <w:pPr>
        <w:pStyle w:val="Table"/>
      </w:pPr>
      <w:bookmarkStart w:id="219" w:name="_Toc517091248"/>
      <w:bookmarkStart w:id="220" w:name="_Toc522089452"/>
      <w:r w:rsidRPr="00252C71">
        <w:t>Table 2</w:t>
      </w:r>
      <w:r>
        <w:t>3</w:t>
      </w:r>
      <w:r w:rsidRPr="00FA4BE0">
        <w:t>: Share of presentations and expenditure by sector, for 2017</w:t>
      </w:r>
      <w:bookmarkEnd w:id="219"/>
      <w:bookmarkEnd w:id="220"/>
    </w:p>
    <w:tbl>
      <w:tblPr>
        <w:tblW w:w="4943" w:type="pct"/>
        <w:tblInd w:w="28" w:type="dxa"/>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56"/>
        <w:gridCol w:w="1156"/>
        <w:gridCol w:w="1156"/>
        <w:gridCol w:w="1156"/>
        <w:gridCol w:w="1156"/>
        <w:gridCol w:w="1156"/>
        <w:gridCol w:w="1156"/>
        <w:gridCol w:w="1156"/>
      </w:tblGrid>
      <w:tr w:rsidR="00CB68A7" w:rsidRPr="003B6A3A" w:rsidTr="003B6A3A">
        <w:trPr>
          <w:cantSplit/>
        </w:trPr>
        <w:tc>
          <w:tcPr>
            <w:tcW w:w="1250" w:type="pct"/>
            <w:gridSpan w:val="2"/>
            <w:tcBorders>
              <w:top w:val="single" w:sz="4" w:space="0" w:color="auto"/>
              <w:left w:val="nil"/>
              <w:bottom w:val="nil"/>
              <w:right w:val="single" w:sz="4" w:space="0" w:color="A6A6A6" w:themeColor="background1" w:themeShade="A6"/>
            </w:tcBorders>
            <w:shd w:val="clear" w:color="auto" w:fill="auto"/>
            <w:tcMar>
              <w:top w:w="0" w:type="dxa"/>
              <w:left w:w="28" w:type="dxa"/>
              <w:bottom w:w="0" w:type="dxa"/>
              <w:right w:w="28" w:type="dxa"/>
            </w:tcMar>
          </w:tcPr>
          <w:p w:rsidR="00CB68A7" w:rsidRPr="003B6A3A" w:rsidRDefault="00CB68A7" w:rsidP="003B6A3A">
            <w:pPr>
              <w:pStyle w:val="TableText"/>
              <w:jc w:val="center"/>
              <w:rPr>
                <w:rFonts w:eastAsia="Arial Unicode MS"/>
                <w:b/>
                <w:sz w:val="16"/>
                <w:szCs w:val="16"/>
              </w:rPr>
            </w:pPr>
            <w:r w:rsidRPr="003B6A3A">
              <w:rPr>
                <w:b/>
                <w:sz w:val="16"/>
                <w:szCs w:val="16"/>
              </w:rPr>
              <w:t>NCGMs</w:t>
            </w:r>
          </w:p>
        </w:tc>
        <w:tc>
          <w:tcPr>
            <w:tcW w:w="1250" w:type="pct"/>
            <w:gridSpan w:val="2"/>
            <w:tcBorders>
              <w:top w:val="single" w:sz="4" w:space="0" w:color="auto"/>
              <w:left w:val="single" w:sz="4" w:space="0" w:color="A6A6A6" w:themeColor="background1" w:themeShade="A6"/>
              <w:bottom w:val="nil"/>
              <w:right w:val="single" w:sz="4" w:space="0" w:color="A6A6A6" w:themeColor="background1" w:themeShade="A6"/>
            </w:tcBorders>
            <w:shd w:val="clear" w:color="auto" w:fill="auto"/>
            <w:tcMar>
              <w:top w:w="0" w:type="dxa"/>
              <w:left w:w="28" w:type="dxa"/>
              <w:bottom w:w="0" w:type="dxa"/>
              <w:right w:w="28" w:type="dxa"/>
            </w:tcMar>
          </w:tcPr>
          <w:p w:rsidR="00CB68A7" w:rsidRPr="003B6A3A" w:rsidRDefault="00CB68A7" w:rsidP="003B6A3A">
            <w:pPr>
              <w:pStyle w:val="TableText"/>
              <w:jc w:val="center"/>
              <w:rPr>
                <w:rFonts w:eastAsia="Arial Unicode MS"/>
                <w:b/>
                <w:sz w:val="16"/>
                <w:szCs w:val="16"/>
              </w:rPr>
            </w:pPr>
            <w:r w:rsidRPr="003B6A3A">
              <w:rPr>
                <w:b/>
                <w:sz w:val="16"/>
                <w:szCs w:val="16"/>
              </w:rPr>
              <w:t>Casinos</w:t>
            </w:r>
          </w:p>
        </w:tc>
        <w:tc>
          <w:tcPr>
            <w:tcW w:w="1250" w:type="pct"/>
            <w:gridSpan w:val="2"/>
            <w:tcBorders>
              <w:top w:val="single" w:sz="4" w:space="0" w:color="auto"/>
              <w:left w:val="single" w:sz="4" w:space="0" w:color="A6A6A6" w:themeColor="background1" w:themeShade="A6"/>
              <w:bottom w:val="nil"/>
              <w:right w:val="single" w:sz="4" w:space="0" w:color="A6A6A6" w:themeColor="background1" w:themeShade="A6"/>
            </w:tcBorders>
            <w:shd w:val="clear" w:color="auto" w:fill="auto"/>
            <w:tcMar>
              <w:top w:w="0" w:type="dxa"/>
              <w:left w:w="28" w:type="dxa"/>
              <w:bottom w:w="0" w:type="dxa"/>
              <w:right w:w="28" w:type="dxa"/>
            </w:tcMar>
          </w:tcPr>
          <w:p w:rsidR="00CB68A7" w:rsidRPr="003B6A3A" w:rsidRDefault="00CB68A7" w:rsidP="003B6A3A">
            <w:pPr>
              <w:pStyle w:val="TableText"/>
              <w:jc w:val="center"/>
              <w:rPr>
                <w:rFonts w:eastAsia="Arial Unicode MS"/>
                <w:b/>
                <w:sz w:val="16"/>
                <w:szCs w:val="16"/>
              </w:rPr>
            </w:pPr>
            <w:r w:rsidRPr="003B6A3A">
              <w:rPr>
                <w:b/>
                <w:sz w:val="16"/>
                <w:szCs w:val="16"/>
              </w:rPr>
              <w:t>NZRB</w:t>
            </w:r>
          </w:p>
        </w:tc>
        <w:tc>
          <w:tcPr>
            <w:tcW w:w="1250" w:type="pct"/>
            <w:gridSpan w:val="2"/>
            <w:tcBorders>
              <w:top w:val="single" w:sz="4" w:space="0" w:color="auto"/>
              <w:left w:val="single" w:sz="4" w:space="0" w:color="A6A6A6" w:themeColor="background1" w:themeShade="A6"/>
              <w:bottom w:val="nil"/>
            </w:tcBorders>
            <w:shd w:val="clear" w:color="auto" w:fill="auto"/>
          </w:tcPr>
          <w:p w:rsidR="00CB68A7" w:rsidRPr="003B6A3A" w:rsidRDefault="00CB68A7" w:rsidP="003B6A3A">
            <w:pPr>
              <w:pStyle w:val="TableText"/>
              <w:jc w:val="center"/>
              <w:rPr>
                <w:b/>
                <w:sz w:val="16"/>
                <w:szCs w:val="16"/>
              </w:rPr>
            </w:pPr>
            <w:r w:rsidRPr="003B6A3A">
              <w:rPr>
                <w:b/>
                <w:sz w:val="16"/>
                <w:szCs w:val="16"/>
              </w:rPr>
              <w:t>NZLC</w:t>
            </w:r>
          </w:p>
        </w:tc>
      </w:tr>
      <w:tr w:rsidR="00CB68A7" w:rsidRPr="003B6A3A" w:rsidTr="003B6A3A">
        <w:trPr>
          <w:cantSplit/>
        </w:trPr>
        <w:tc>
          <w:tcPr>
            <w:tcW w:w="625" w:type="pct"/>
            <w:tcBorders>
              <w:top w:val="nil"/>
              <w:left w:val="nil"/>
              <w:bottom w:val="single" w:sz="4" w:space="0" w:color="auto"/>
              <w:right w:val="nil"/>
            </w:tcBorders>
            <w:shd w:val="clear" w:color="auto" w:fill="auto"/>
            <w:tcMar>
              <w:top w:w="0" w:type="dxa"/>
              <w:left w:w="28" w:type="dxa"/>
              <w:bottom w:w="0" w:type="dxa"/>
              <w:right w:w="28" w:type="dxa"/>
            </w:tcMar>
          </w:tcPr>
          <w:p w:rsidR="00CB68A7" w:rsidRPr="003B6A3A" w:rsidRDefault="00CB68A7" w:rsidP="003B6A3A">
            <w:pPr>
              <w:pStyle w:val="TableText"/>
              <w:spacing w:before="0"/>
              <w:jc w:val="center"/>
              <w:rPr>
                <w:sz w:val="16"/>
                <w:szCs w:val="16"/>
              </w:rPr>
            </w:pPr>
            <w:r w:rsidRPr="003B6A3A">
              <w:rPr>
                <w:sz w:val="16"/>
                <w:szCs w:val="16"/>
              </w:rPr>
              <w:t>Presentations</w:t>
            </w:r>
          </w:p>
        </w:tc>
        <w:tc>
          <w:tcPr>
            <w:tcW w:w="625" w:type="pct"/>
            <w:tcBorders>
              <w:top w:val="nil"/>
              <w:left w:val="nil"/>
              <w:bottom w:val="single" w:sz="4" w:space="0" w:color="auto"/>
              <w:right w:val="single" w:sz="4" w:space="0" w:color="A6A6A6" w:themeColor="background1" w:themeShade="A6"/>
            </w:tcBorders>
            <w:shd w:val="clear" w:color="auto" w:fill="auto"/>
          </w:tcPr>
          <w:p w:rsidR="00CB68A7" w:rsidRPr="003B6A3A" w:rsidRDefault="00CB68A7" w:rsidP="003B6A3A">
            <w:pPr>
              <w:pStyle w:val="TableText"/>
              <w:spacing w:before="0"/>
              <w:jc w:val="center"/>
              <w:rPr>
                <w:sz w:val="16"/>
                <w:szCs w:val="16"/>
              </w:rPr>
            </w:pPr>
            <w:r w:rsidRPr="003B6A3A">
              <w:rPr>
                <w:sz w:val="16"/>
                <w:szCs w:val="16"/>
              </w:rPr>
              <w:t>Expenditure</w:t>
            </w:r>
          </w:p>
        </w:tc>
        <w:tc>
          <w:tcPr>
            <w:tcW w:w="625" w:type="pct"/>
            <w:tcBorders>
              <w:top w:val="nil"/>
              <w:left w:val="single" w:sz="4" w:space="0" w:color="A6A6A6" w:themeColor="background1" w:themeShade="A6"/>
              <w:bottom w:val="single" w:sz="4" w:space="0" w:color="auto"/>
              <w:right w:val="nil"/>
            </w:tcBorders>
            <w:shd w:val="clear" w:color="auto" w:fill="auto"/>
            <w:tcMar>
              <w:top w:w="0" w:type="dxa"/>
              <w:left w:w="28" w:type="dxa"/>
              <w:bottom w:w="0" w:type="dxa"/>
              <w:right w:w="28" w:type="dxa"/>
            </w:tcMar>
          </w:tcPr>
          <w:p w:rsidR="00CB68A7" w:rsidRPr="003B6A3A" w:rsidRDefault="00CB68A7" w:rsidP="003B6A3A">
            <w:pPr>
              <w:pStyle w:val="TableText"/>
              <w:spacing w:before="0"/>
              <w:jc w:val="center"/>
              <w:rPr>
                <w:sz w:val="16"/>
                <w:szCs w:val="16"/>
              </w:rPr>
            </w:pPr>
            <w:r w:rsidRPr="003B6A3A">
              <w:rPr>
                <w:sz w:val="16"/>
                <w:szCs w:val="16"/>
              </w:rPr>
              <w:t>Presentations</w:t>
            </w:r>
          </w:p>
        </w:tc>
        <w:tc>
          <w:tcPr>
            <w:tcW w:w="625" w:type="pct"/>
            <w:tcBorders>
              <w:top w:val="nil"/>
              <w:left w:val="nil"/>
              <w:bottom w:val="single" w:sz="4" w:space="0" w:color="auto"/>
              <w:right w:val="single" w:sz="4" w:space="0" w:color="A6A6A6" w:themeColor="background1" w:themeShade="A6"/>
            </w:tcBorders>
            <w:shd w:val="clear" w:color="auto" w:fill="auto"/>
          </w:tcPr>
          <w:p w:rsidR="00CB68A7" w:rsidRPr="003B6A3A" w:rsidRDefault="00CB68A7" w:rsidP="003B6A3A">
            <w:pPr>
              <w:pStyle w:val="TableText"/>
              <w:spacing w:before="0"/>
              <w:jc w:val="center"/>
              <w:rPr>
                <w:sz w:val="16"/>
                <w:szCs w:val="16"/>
              </w:rPr>
            </w:pPr>
            <w:r w:rsidRPr="003B6A3A">
              <w:rPr>
                <w:sz w:val="16"/>
                <w:szCs w:val="16"/>
              </w:rPr>
              <w:t>Expenditure</w:t>
            </w:r>
          </w:p>
        </w:tc>
        <w:tc>
          <w:tcPr>
            <w:tcW w:w="625" w:type="pct"/>
            <w:tcBorders>
              <w:top w:val="nil"/>
              <w:left w:val="single" w:sz="4" w:space="0" w:color="A6A6A6" w:themeColor="background1" w:themeShade="A6"/>
              <w:bottom w:val="single" w:sz="4" w:space="0" w:color="auto"/>
              <w:right w:val="nil"/>
            </w:tcBorders>
            <w:shd w:val="clear" w:color="auto" w:fill="auto"/>
            <w:tcMar>
              <w:top w:w="0" w:type="dxa"/>
              <w:left w:w="28" w:type="dxa"/>
              <w:bottom w:w="0" w:type="dxa"/>
              <w:right w:w="28" w:type="dxa"/>
            </w:tcMar>
          </w:tcPr>
          <w:p w:rsidR="00CB68A7" w:rsidRPr="003B6A3A" w:rsidRDefault="00CB68A7" w:rsidP="003B6A3A">
            <w:pPr>
              <w:pStyle w:val="TableText"/>
              <w:spacing w:before="0"/>
              <w:jc w:val="center"/>
              <w:rPr>
                <w:sz w:val="16"/>
                <w:szCs w:val="16"/>
              </w:rPr>
            </w:pPr>
            <w:r w:rsidRPr="003B6A3A">
              <w:rPr>
                <w:sz w:val="16"/>
                <w:szCs w:val="16"/>
              </w:rPr>
              <w:t>Presentations</w:t>
            </w:r>
          </w:p>
        </w:tc>
        <w:tc>
          <w:tcPr>
            <w:tcW w:w="625" w:type="pct"/>
            <w:tcBorders>
              <w:top w:val="nil"/>
              <w:left w:val="nil"/>
              <w:bottom w:val="single" w:sz="4" w:space="0" w:color="auto"/>
              <w:right w:val="single" w:sz="4" w:space="0" w:color="A6A6A6" w:themeColor="background1" w:themeShade="A6"/>
            </w:tcBorders>
            <w:shd w:val="clear" w:color="auto" w:fill="auto"/>
          </w:tcPr>
          <w:p w:rsidR="00CB68A7" w:rsidRPr="003B6A3A" w:rsidRDefault="00CB68A7" w:rsidP="003B6A3A">
            <w:pPr>
              <w:pStyle w:val="TableText"/>
              <w:spacing w:before="0"/>
              <w:jc w:val="center"/>
              <w:rPr>
                <w:sz w:val="16"/>
                <w:szCs w:val="16"/>
              </w:rPr>
            </w:pPr>
            <w:r w:rsidRPr="003B6A3A">
              <w:rPr>
                <w:sz w:val="16"/>
                <w:szCs w:val="16"/>
              </w:rPr>
              <w:t>Expenditure</w:t>
            </w:r>
          </w:p>
        </w:tc>
        <w:tc>
          <w:tcPr>
            <w:tcW w:w="625" w:type="pct"/>
            <w:tcBorders>
              <w:top w:val="nil"/>
              <w:left w:val="single" w:sz="4" w:space="0" w:color="A6A6A6" w:themeColor="background1" w:themeShade="A6"/>
              <w:bottom w:val="single" w:sz="4" w:space="0" w:color="auto"/>
              <w:right w:val="nil"/>
            </w:tcBorders>
            <w:shd w:val="clear" w:color="auto" w:fill="auto"/>
          </w:tcPr>
          <w:p w:rsidR="00CB68A7" w:rsidRPr="003B6A3A" w:rsidRDefault="00CB68A7" w:rsidP="003B6A3A">
            <w:pPr>
              <w:pStyle w:val="TableText"/>
              <w:spacing w:before="0"/>
              <w:jc w:val="center"/>
              <w:rPr>
                <w:sz w:val="16"/>
                <w:szCs w:val="16"/>
              </w:rPr>
            </w:pPr>
            <w:r w:rsidRPr="003B6A3A">
              <w:rPr>
                <w:sz w:val="16"/>
                <w:szCs w:val="16"/>
              </w:rPr>
              <w:t>Presentations</w:t>
            </w:r>
          </w:p>
        </w:tc>
        <w:tc>
          <w:tcPr>
            <w:tcW w:w="625" w:type="pct"/>
            <w:tcBorders>
              <w:top w:val="nil"/>
              <w:left w:val="nil"/>
              <w:bottom w:val="single" w:sz="4" w:space="0" w:color="auto"/>
            </w:tcBorders>
            <w:shd w:val="clear" w:color="auto" w:fill="auto"/>
          </w:tcPr>
          <w:p w:rsidR="00CB68A7" w:rsidRPr="003B6A3A" w:rsidRDefault="00CB68A7" w:rsidP="003B6A3A">
            <w:pPr>
              <w:pStyle w:val="TableText"/>
              <w:spacing w:before="0"/>
              <w:jc w:val="center"/>
              <w:rPr>
                <w:sz w:val="16"/>
                <w:szCs w:val="16"/>
              </w:rPr>
            </w:pPr>
            <w:r w:rsidRPr="003B6A3A">
              <w:rPr>
                <w:sz w:val="16"/>
                <w:szCs w:val="16"/>
              </w:rPr>
              <w:t>Expenditure</w:t>
            </w:r>
          </w:p>
        </w:tc>
      </w:tr>
      <w:tr w:rsidR="00CB68A7" w:rsidRPr="003B6A3A" w:rsidTr="003B6A3A">
        <w:trPr>
          <w:cantSplit/>
        </w:trPr>
        <w:tc>
          <w:tcPr>
            <w:tcW w:w="625" w:type="pct"/>
            <w:tcBorders>
              <w:top w:val="single" w:sz="4" w:space="0" w:color="auto"/>
              <w:left w:val="nil"/>
              <w:bottom w:val="single" w:sz="4" w:space="0" w:color="auto"/>
              <w:right w:val="nil"/>
            </w:tcBorders>
            <w:shd w:val="clear" w:color="auto" w:fill="auto"/>
            <w:noWrap/>
            <w:tcMar>
              <w:top w:w="0" w:type="dxa"/>
              <w:left w:w="28" w:type="dxa"/>
              <w:bottom w:w="0" w:type="dxa"/>
              <w:right w:w="28" w:type="dxa"/>
            </w:tcMar>
          </w:tcPr>
          <w:p w:rsidR="00CB68A7" w:rsidRPr="003B6A3A" w:rsidRDefault="00CB68A7" w:rsidP="003B6A3A">
            <w:pPr>
              <w:pStyle w:val="TableText"/>
              <w:jc w:val="center"/>
              <w:rPr>
                <w:rFonts w:eastAsia="Arial Unicode MS"/>
                <w:sz w:val="16"/>
                <w:szCs w:val="16"/>
              </w:rPr>
            </w:pPr>
            <w:bookmarkStart w:id="221" w:name="_Toc516835903"/>
            <w:bookmarkStart w:id="222" w:name="_Toc516836151"/>
            <w:r w:rsidRPr="003B6A3A">
              <w:rPr>
                <w:rFonts w:eastAsia="Arial Unicode MS"/>
                <w:sz w:val="16"/>
                <w:szCs w:val="16"/>
              </w:rPr>
              <w:t>0.53</w:t>
            </w:r>
            <w:bookmarkEnd w:id="221"/>
            <w:bookmarkEnd w:id="222"/>
          </w:p>
        </w:tc>
        <w:tc>
          <w:tcPr>
            <w:tcW w:w="625" w:type="pct"/>
            <w:tcBorders>
              <w:top w:val="single" w:sz="4" w:space="0" w:color="auto"/>
              <w:left w:val="nil"/>
              <w:bottom w:val="single" w:sz="4" w:space="0" w:color="auto"/>
              <w:right w:val="single" w:sz="4" w:space="0" w:color="A6A6A6" w:themeColor="background1" w:themeShade="A6"/>
            </w:tcBorders>
            <w:shd w:val="clear" w:color="auto" w:fill="auto"/>
          </w:tcPr>
          <w:p w:rsidR="00CB68A7" w:rsidRPr="003B6A3A" w:rsidRDefault="00CB68A7" w:rsidP="003B6A3A">
            <w:pPr>
              <w:pStyle w:val="TableText"/>
              <w:jc w:val="center"/>
              <w:rPr>
                <w:rFonts w:eastAsia="Arial Unicode MS"/>
                <w:sz w:val="16"/>
                <w:szCs w:val="16"/>
              </w:rPr>
            </w:pPr>
            <w:r w:rsidRPr="003B6A3A">
              <w:rPr>
                <w:rFonts w:eastAsia="Arial Unicode MS"/>
                <w:sz w:val="16"/>
                <w:szCs w:val="16"/>
              </w:rPr>
              <w:t>0.373</w:t>
            </w:r>
          </w:p>
        </w:tc>
        <w:tc>
          <w:tcPr>
            <w:tcW w:w="625" w:type="pct"/>
            <w:tcBorders>
              <w:top w:val="single" w:sz="4" w:space="0" w:color="auto"/>
              <w:left w:val="single" w:sz="4" w:space="0" w:color="A6A6A6" w:themeColor="background1" w:themeShade="A6"/>
              <w:bottom w:val="single" w:sz="4" w:space="0" w:color="auto"/>
              <w:right w:val="nil"/>
            </w:tcBorders>
            <w:shd w:val="clear" w:color="auto" w:fill="auto"/>
            <w:noWrap/>
            <w:tcMar>
              <w:top w:w="0" w:type="dxa"/>
              <w:left w:w="28" w:type="dxa"/>
              <w:bottom w:w="0" w:type="dxa"/>
              <w:right w:w="28" w:type="dxa"/>
            </w:tcMar>
          </w:tcPr>
          <w:p w:rsidR="00CB68A7" w:rsidRPr="003B6A3A" w:rsidRDefault="00CB68A7" w:rsidP="003B6A3A">
            <w:pPr>
              <w:pStyle w:val="TableText"/>
              <w:jc w:val="center"/>
              <w:rPr>
                <w:rFonts w:eastAsia="Arial Unicode MS"/>
                <w:sz w:val="16"/>
                <w:szCs w:val="16"/>
              </w:rPr>
            </w:pPr>
            <w:r w:rsidRPr="003B6A3A">
              <w:rPr>
                <w:rFonts w:eastAsia="Arial Unicode MS"/>
                <w:sz w:val="16"/>
                <w:szCs w:val="16"/>
              </w:rPr>
              <w:t>0.23</w:t>
            </w:r>
          </w:p>
        </w:tc>
        <w:tc>
          <w:tcPr>
            <w:tcW w:w="625" w:type="pct"/>
            <w:tcBorders>
              <w:top w:val="single" w:sz="4" w:space="0" w:color="auto"/>
              <w:left w:val="nil"/>
              <w:bottom w:val="single" w:sz="4" w:space="0" w:color="auto"/>
              <w:right w:val="single" w:sz="4" w:space="0" w:color="A6A6A6" w:themeColor="background1" w:themeShade="A6"/>
            </w:tcBorders>
            <w:shd w:val="clear" w:color="auto" w:fill="auto"/>
          </w:tcPr>
          <w:p w:rsidR="00CB68A7" w:rsidRPr="003B6A3A" w:rsidRDefault="00CB68A7" w:rsidP="003B6A3A">
            <w:pPr>
              <w:pStyle w:val="TableText"/>
              <w:jc w:val="center"/>
              <w:rPr>
                <w:rFonts w:eastAsia="Arial Unicode MS"/>
                <w:sz w:val="16"/>
                <w:szCs w:val="16"/>
              </w:rPr>
            </w:pPr>
            <w:r w:rsidRPr="003B6A3A">
              <w:rPr>
                <w:rFonts w:eastAsia="Arial Unicode MS"/>
                <w:sz w:val="16"/>
                <w:szCs w:val="16"/>
              </w:rPr>
              <w:t>0.245</w:t>
            </w:r>
          </w:p>
        </w:tc>
        <w:tc>
          <w:tcPr>
            <w:tcW w:w="625" w:type="pct"/>
            <w:tcBorders>
              <w:top w:val="single" w:sz="4" w:space="0" w:color="auto"/>
              <w:left w:val="single" w:sz="4" w:space="0" w:color="A6A6A6" w:themeColor="background1" w:themeShade="A6"/>
              <w:bottom w:val="single" w:sz="4" w:space="0" w:color="auto"/>
              <w:right w:val="nil"/>
            </w:tcBorders>
            <w:shd w:val="clear" w:color="auto" w:fill="auto"/>
            <w:noWrap/>
            <w:tcMar>
              <w:top w:w="0" w:type="dxa"/>
              <w:left w:w="28" w:type="dxa"/>
              <w:bottom w:w="0" w:type="dxa"/>
              <w:right w:w="28" w:type="dxa"/>
            </w:tcMar>
          </w:tcPr>
          <w:p w:rsidR="00CB68A7" w:rsidRPr="003B6A3A" w:rsidRDefault="00CB68A7" w:rsidP="003B6A3A">
            <w:pPr>
              <w:pStyle w:val="TableText"/>
              <w:jc w:val="center"/>
              <w:rPr>
                <w:rFonts w:eastAsia="Arial Unicode MS"/>
                <w:sz w:val="16"/>
                <w:szCs w:val="16"/>
              </w:rPr>
            </w:pPr>
            <w:r w:rsidRPr="003B6A3A">
              <w:rPr>
                <w:rFonts w:eastAsia="Arial Unicode MS"/>
                <w:sz w:val="16"/>
                <w:szCs w:val="16"/>
              </w:rPr>
              <w:t>0.10</w:t>
            </w:r>
          </w:p>
        </w:tc>
        <w:tc>
          <w:tcPr>
            <w:tcW w:w="625" w:type="pct"/>
            <w:tcBorders>
              <w:top w:val="single" w:sz="4" w:space="0" w:color="auto"/>
              <w:left w:val="nil"/>
              <w:bottom w:val="single" w:sz="4" w:space="0" w:color="auto"/>
              <w:right w:val="single" w:sz="4" w:space="0" w:color="A6A6A6" w:themeColor="background1" w:themeShade="A6"/>
            </w:tcBorders>
            <w:shd w:val="clear" w:color="auto" w:fill="auto"/>
          </w:tcPr>
          <w:p w:rsidR="00CB68A7" w:rsidRPr="003B6A3A" w:rsidRDefault="00CB68A7" w:rsidP="003B6A3A">
            <w:pPr>
              <w:pStyle w:val="TableText"/>
              <w:jc w:val="center"/>
              <w:rPr>
                <w:rFonts w:eastAsia="Arial Unicode MS"/>
                <w:sz w:val="16"/>
                <w:szCs w:val="16"/>
              </w:rPr>
            </w:pPr>
            <w:r w:rsidRPr="003B6A3A">
              <w:rPr>
                <w:rFonts w:eastAsia="Arial Unicode MS"/>
                <w:sz w:val="16"/>
                <w:szCs w:val="16"/>
              </w:rPr>
              <w:t>0.145</w:t>
            </w:r>
          </w:p>
        </w:tc>
        <w:tc>
          <w:tcPr>
            <w:tcW w:w="625" w:type="pct"/>
            <w:tcBorders>
              <w:top w:val="single" w:sz="4" w:space="0" w:color="auto"/>
              <w:left w:val="single" w:sz="4" w:space="0" w:color="A6A6A6" w:themeColor="background1" w:themeShade="A6"/>
              <w:bottom w:val="single" w:sz="4" w:space="0" w:color="auto"/>
              <w:right w:val="nil"/>
            </w:tcBorders>
            <w:shd w:val="clear" w:color="auto" w:fill="auto"/>
          </w:tcPr>
          <w:p w:rsidR="00CB68A7" w:rsidRPr="003B6A3A" w:rsidRDefault="00CB68A7" w:rsidP="003B6A3A">
            <w:pPr>
              <w:pStyle w:val="TableText"/>
              <w:jc w:val="center"/>
              <w:rPr>
                <w:rFonts w:eastAsia="Arial Unicode MS"/>
                <w:sz w:val="16"/>
                <w:szCs w:val="16"/>
              </w:rPr>
            </w:pPr>
            <w:r w:rsidRPr="003B6A3A">
              <w:rPr>
                <w:rFonts w:eastAsia="Arial Unicode MS"/>
                <w:sz w:val="16"/>
                <w:szCs w:val="16"/>
              </w:rPr>
              <w:t>0.15</w:t>
            </w:r>
          </w:p>
        </w:tc>
        <w:tc>
          <w:tcPr>
            <w:tcW w:w="625" w:type="pct"/>
            <w:tcBorders>
              <w:top w:val="single" w:sz="4" w:space="0" w:color="auto"/>
              <w:left w:val="nil"/>
              <w:bottom w:val="single" w:sz="4" w:space="0" w:color="auto"/>
            </w:tcBorders>
            <w:shd w:val="clear" w:color="auto" w:fill="auto"/>
          </w:tcPr>
          <w:p w:rsidR="00CB68A7" w:rsidRPr="003B6A3A" w:rsidRDefault="00CB68A7" w:rsidP="003B6A3A">
            <w:pPr>
              <w:pStyle w:val="TableText"/>
              <w:jc w:val="center"/>
              <w:rPr>
                <w:rFonts w:eastAsia="Arial Unicode MS"/>
                <w:sz w:val="16"/>
                <w:szCs w:val="16"/>
              </w:rPr>
            </w:pPr>
            <w:r w:rsidRPr="003B6A3A">
              <w:rPr>
                <w:rFonts w:eastAsia="Arial Unicode MS"/>
                <w:sz w:val="16"/>
                <w:szCs w:val="16"/>
              </w:rPr>
              <w:t>0.238</w:t>
            </w:r>
          </w:p>
        </w:tc>
      </w:tr>
    </w:tbl>
    <w:p w:rsidR="00BA7A29" w:rsidRDefault="00BA7A29" w:rsidP="00BA7A29">
      <w:bookmarkStart w:id="223" w:name="_Toc516836152"/>
    </w:p>
    <w:p w:rsidR="00CB68A7" w:rsidRPr="00FA4BE0" w:rsidRDefault="00CB68A7" w:rsidP="00BA7A29">
      <w:pPr>
        <w:pStyle w:val="Figure"/>
      </w:pPr>
      <w:bookmarkStart w:id="224" w:name="_Toc522089429"/>
      <w:r>
        <w:lastRenderedPageBreak/>
        <w:t xml:space="preserve">Figure </w:t>
      </w:r>
      <w:r w:rsidR="005754D6">
        <w:t>8</w:t>
      </w:r>
      <w:r w:rsidR="00BA7A29">
        <w:t>:</w:t>
      </w:r>
      <w:r>
        <w:t xml:space="preserve"> S</w:t>
      </w:r>
      <w:r w:rsidRPr="00FA4BE0">
        <w:t>hare of presentations and expenditure by sector, for 2017</w:t>
      </w:r>
      <w:bookmarkEnd w:id="223"/>
      <w:bookmarkEnd w:id="224"/>
    </w:p>
    <w:p w:rsidR="00CB68A7" w:rsidRDefault="003824E9" w:rsidP="003B6A3A">
      <w:r>
        <w:rPr>
          <w:noProof/>
          <w:lang w:eastAsia="en-NZ"/>
        </w:rPr>
        <w:drawing>
          <wp:inline distT="0" distB="0" distL="0" distR="0" wp14:anchorId="0C2D85F3" wp14:editId="497871D3">
            <wp:extent cx="5852160" cy="1787236"/>
            <wp:effectExtent l="0" t="0" r="0" b="3810"/>
            <wp:docPr id="15" name="Picture 15" title="Figure 8: Share of presentations and expenditure by sector, fo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6">
                      <a:extLst>
                        <a:ext uri="{28A0092B-C50C-407E-A947-70E740481C1C}">
                          <a14:useLocalDpi xmlns:a14="http://schemas.microsoft.com/office/drawing/2010/main" val="0"/>
                        </a:ext>
                      </a:extLst>
                    </a:blip>
                    <a:srcRect l="1657" r="1241" b="5701"/>
                    <a:stretch/>
                  </pic:blipFill>
                  <pic:spPr bwMode="auto">
                    <a:xfrm>
                      <a:off x="0" y="0"/>
                      <a:ext cx="5854682" cy="1788006"/>
                    </a:xfrm>
                    <a:prstGeom prst="rect">
                      <a:avLst/>
                    </a:prstGeom>
                    <a:noFill/>
                    <a:ln>
                      <a:noFill/>
                    </a:ln>
                    <a:extLst>
                      <a:ext uri="{53640926-AAD7-44D8-BBD7-CCE9431645EC}">
                        <a14:shadowObscured xmlns:a14="http://schemas.microsoft.com/office/drawing/2010/main"/>
                      </a:ext>
                    </a:extLst>
                  </pic:spPr>
                </pic:pic>
              </a:graphicData>
            </a:graphic>
          </wp:inline>
        </w:drawing>
      </w:r>
    </w:p>
    <w:p w:rsidR="00CB68A7" w:rsidRDefault="00CB68A7" w:rsidP="003B6A3A"/>
    <w:p w:rsidR="00CB68A7" w:rsidRPr="00C10A99" w:rsidRDefault="00CB68A7" w:rsidP="003B6A3A">
      <w:r w:rsidRPr="00E312E8">
        <w:t>The top line of the formula determines the amount to be paid by each sector. When a sector</w:t>
      </w:r>
      <w:r w:rsidR="00EC3578">
        <w:t>’</w:t>
      </w:r>
      <w:r w:rsidRPr="00E312E8">
        <w:t>s proportion of expenditure is substantially different from its proportion of presentations</w:t>
      </w:r>
      <w:r>
        <w:t xml:space="preserve"> (</w:t>
      </w:r>
      <w:r w:rsidRPr="00D65DD0">
        <w:t>W1</w:t>
      </w:r>
      <w:r w:rsidRPr="00792FE4">
        <w:t xml:space="preserve"> </w:t>
      </w:r>
      <w:r w:rsidRPr="00E312E8">
        <w:t xml:space="preserve">and </w:t>
      </w:r>
      <w:r w:rsidRPr="00D65DD0">
        <w:t>W2</w:t>
      </w:r>
      <w:r>
        <w:t xml:space="preserve"> respectively</w:t>
      </w:r>
      <w:r w:rsidRPr="00D65DD0">
        <w:t>)</w:t>
      </w:r>
      <w:r w:rsidRPr="00C10A99">
        <w:t>, the weighting between expenditure and presentations is critical to determin</w:t>
      </w:r>
      <w:r>
        <w:t xml:space="preserve">e how much each </w:t>
      </w:r>
      <w:r w:rsidRPr="00C10A99">
        <w:t>sector will be required to pay</w:t>
      </w:r>
      <w:r>
        <w:t>. Weighting options are described in Tables 24 to</w:t>
      </w:r>
      <w:r w:rsidR="003B6A3A">
        <w:t> </w:t>
      </w:r>
      <w:r>
        <w:t>27.</w:t>
      </w:r>
    </w:p>
    <w:p w:rsidR="003B6A3A" w:rsidRDefault="003B6A3A" w:rsidP="003B6A3A"/>
    <w:p w:rsidR="00CB68A7" w:rsidRPr="00C10A99" w:rsidRDefault="00CB68A7" w:rsidP="003B6A3A">
      <w:r>
        <w:t>T</w:t>
      </w:r>
      <w:r w:rsidRPr="00C10A99">
        <w:t xml:space="preserve">he weighting approach is </w:t>
      </w:r>
      <w:r>
        <w:t xml:space="preserve">limited in </w:t>
      </w:r>
      <w:r w:rsidRPr="00C10A99">
        <w:t>that there may be no single weighting that could be applied to determine each sector</w:t>
      </w:r>
      <w:r w:rsidR="00EC3578">
        <w:t>’</w:t>
      </w:r>
      <w:r w:rsidRPr="00C10A99">
        <w:t xml:space="preserve">s fairest share of the levy. However, the Act </w:t>
      </w:r>
      <w:r>
        <w:t>specifies that these weightings must be used to determine the levy for each sector.</w:t>
      </w:r>
    </w:p>
    <w:p w:rsidR="003B6A3A" w:rsidRDefault="003B6A3A" w:rsidP="003B6A3A"/>
    <w:p w:rsidR="00CB68A7" w:rsidRPr="00C10A99" w:rsidRDefault="00CB68A7" w:rsidP="003B6A3A">
      <w:r w:rsidRPr="00C10A99">
        <w:t xml:space="preserve">The strategy is intended to prevent and minimise gambling </w:t>
      </w:r>
      <w:r w:rsidRPr="00C10A99">
        <w:rPr>
          <w:i/>
        </w:rPr>
        <w:t>harm</w:t>
      </w:r>
      <w:r w:rsidRPr="00C10A99">
        <w:t>; it is not intended to address the amount spent by gamblers per se. Therefore, the Ministry considers that any weighting of more than 30 percent on expenditure</w:t>
      </w:r>
      <w:r w:rsidRPr="00C10A99">
        <w:rPr>
          <w:i/>
        </w:rPr>
        <w:t xml:space="preserve"> </w:t>
      </w:r>
      <w:r w:rsidRPr="00C10A99">
        <w:t>would be inappropriate because it would unfairly penalise operators of relatively benign forms of gambling with high expenditure. A weighting of 30 percent or less on expenditure necessarily implies a weighting of 70 percent or more on presentations.</w:t>
      </w:r>
    </w:p>
    <w:p w:rsidR="003B6A3A" w:rsidRDefault="003B6A3A" w:rsidP="003B6A3A"/>
    <w:p w:rsidR="00CB68A7" w:rsidRPr="00C10A99" w:rsidRDefault="00CB68A7" w:rsidP="003B6A3A">
      <w:r w:rsidRPr="00C10A99">
        <w:t xml:space="preserve">Each </w:t>
      </w:r>
      <w:r w:rsidR="00EC3578">
        <w:t>‘</w:t>
      </w:r>
      <w:r w:rsidRPr="00C10A99">
        <w:rPr>
          <w:szCs w:val="24"/>
        </w:rPr>
        <w:t>presentation</w:t>
      </w:r>
      <w:r w:rsidR="00EC3578">
        <w:rPr>
          <w:szCs w:val="24"/>
        </w:rPr>
        <w:t>’</w:t>
      </w:r>
      <w:r w:rsidRPr="00C10A99">
        <w:t xml:space="preserve"> represents a person who is seeking help because they have been harmed, either by their own or by someone else</w:t>
      </w:r>
      <w:r w:rsidR="00EC3578">
        <w:t>’</w:t>
      </w:r>
      <w:r w:rsidRPr="00C10A99">
        <w:t>s gambling. Each presentation is attributed across the PPGMs for that client. Therefore, the Ministry considers that presentations, as one indicator of harm</w:t>
      </w:r>
      <w:r>
        <w:t xml:space="preserve"> –</w:t>
      </w:r>
      <w:r w:rsidRPr="00C10A99">
        <w:t xml:space="preserve"> albeit harm at the acute end of the continuum, should be allocated a substantially heavier weighting than expenditure. This also tends to support a weighting of at least 70 percent on presentations and no more than 30 percent on expenditure.</w:t>
      </w:r>
    </w:p>
    <w:p w:rsidR="003B6A3A" w:rsidRDefault="003B6A3A" w:rsidP="003B6A3A"/>
    <w:p w:rsidR="00CB68A7" w:rsidRPr="00E312E8" w:rsidRDefault="00CB68A7" w:rsidP="003B6A3A">
      <w:r w:rsidRPr="00C10A99">
        <w:t>However, as the Gambling Commission noted</w:t>
      </w:r>
      <w:r>
        <w:t xml:space="preserve"> in a report on the proposed problem gambling levy, submitted to the Ministers in November 2009</w:t>
      </w:r>
      <w:r w:rsidRPr="00C10A99">
        <w:t>,</w:t>
      </w:r>
      <w:r w:rsidRPr="00E312E8">
        <w:t xml:space="preserve"> a very high weighting on presentations might mean that </w:t>
      </w:r>
      <w:r w:rsidR="00EC3578">
        <w:t>‘</w:t>
      </w:r>
      <w:r w:rsidRPr="00E312E8">
        <w:t>diligent host responsibility in detecting problem gambling and encouraging the seeking of assistance is punished not rewarded</w:t>
      </w:r>
      <w:r w:rsidR="00EC3578">
        <w:t>’</w:t>
      </w:r>
      <w:r>
        <w:t xml:space="preserve"> (Gambling Commission New Zealand 2009)</w:t>
      </w:r>
      <w:r w:rsidRPr="00E312E8">
        <w:t>.</w:t>
      </w:r>
    </w:p>
    <w:p w:rsidR="003B6A3A" w:rsidRDefault="003B6A3A" w:rsidP="003B6A3A"/>
    <w:p w:rsidR="00CB68A7" w:rsidRDefault="00CB68A7" w:rsidP="003B6A3A">
      <w:r w:rsidRPr="00E312E8">
        <w:t xml:space="preserve">Presentations are not the only available indicator of harm. Other examples include estimates of problem gambling prevalence using screening instruments such as the PGSI, or survey questions that directly address the risk of harm (for example, questions about various forms of </w:t>
      </w:r>
      <w:r w:rsidR="00EC3578">
        <w:t>‘</w:t>
      </w:r>
      <w:r w:rsidRPr="00E312E8">
        <w:t>household harm</w:t>
      </w:r>
      <w:r w:rsidR="00EC3578">
        <w:t>’</w:t>
      </w:r>
      <w:r w:rsidRPr="00E312E8">
        <w:t>) associated with particular gambling products. Some of these measures suggest that the proportion of gambling harm that is properly attributable to the NZRB and the NZLC in particular might be higher than their sha</w:t>
      </w:r>
      <w:r w:rsidRPr="00C10A99">
        <w:t xml:space="preserve">res of the presentation figures in earlier years would have suggested. This is one reason why the Ministry considers that </w:t>
      </w:r>
      <w:r>
        <w:t xml:space="preserve">presentation figures for the more recent levy periods, </w:t>
      </w:r>
      <w:r w:rsidRPr="00C10A99">
        <w:t>in which the NZRB and NZLC shares of presentations are somewhat higher, are the most reliable and appropriate.</w:t>
      </w:r>
    </w:p>
    <w:p w:rsidR="003B6A3A" w:rsidRPr="00C10A99" w:rsidRDefault="003B6A3A" w:rsidP="003B6A3A"/>
    <w:p w:rsidR="00CB68A7" w:rsidRDefault="00CB68A7" w:rsidP="003B6A3A">
      <w:r>
        <w:lastRenderedPageBreak/>
        <w:t xml:space="preserve">Four </w:t>
      </w:r>
      <w:r w:rsidRPr="00C10A99">
        <w:t xml:space="preserve">options </w:t>
      </w:r>
      <w:r>
        <w:t xml:space="preserve">are </w:t>
      </w:r>
      <w:r w:rsidRPr="00C10A99">
        <w:t>set out in this consultation document</w:t>
      </w:r>
      <w:r>
        <w:t xml:space="preserve">. The Ministry notes that, in all five levy periods to date, the option chosen by Ministers has been the 10/90 weighting, that is </w:t>
      </w:r>
      <w:r w:rsidRPr="00C10A99">
        <w:t>0.1 (10%) on expenditure and 0.9 (90%) on presentations</w:t>
      </w:r>
      <w:r>
        <w:t>.</w:t>
      </w:r>
    </w:p>
    <w:p w:rsidR="003B6A3A" w:rsidRDefault="003B6A3A" w:rsidP="003B6A3A"/>
    <w:p w:rsidR="00EC3578" w:rsidRDefault="00CB68A7" w:rsidP="003B6A3A">
      <w:r w:rsidRPr="00C10A99">
        <w:t>For the 2019/20 to 2021/22 period</w:t>
      </w:r>
      <w:r>
        <w:t xml:space="preserve">, a change to a 20/80 weighting may be appropriate, given the presentation trends noted above. However, the Ministry </w:t>
      </w:r>
      <w:r w:rsidRPr="00C10A99">
        <w:t>considers that any weighting from 30/70 to 5/95 would be reasonable.</w:t>
      </w:r>
    </w:p>
    <w:p w:rsidR="003B6A3A" w:rsidRDefault="003B6A3A" w:rsidP="003B6A3A"/>
    <w:p w:rsidR="00316294" w:rsidRPr="00316294" w:rsidRDefault="00316294" w:rsidP="003B6A3A">
      <w:pPr>
        <w:pStyle w:val="Box"/>
        <w:rPr>
          <w:b/>
        </w:rPr>
      </w:pPr>
      <w:r w:rsidRPr="00316294">
        <w:rPr>
          <w:b/>
        </w:rPr>
        <w:t>Consultation question</w:t>
      </w:r>
    </w:p>
    <w:p w:rsidR="00CB68A7" w:rsidRDefault="00CB68A7" w:rsidP="003B6A3A">
      <w:pPr>
        <w:pStyle w:val="Box"/>
      </w:pPr>
      <w:r w:rsidRPr="00C10A99">
        <w:t xml:space="preserve">The Ministry is seeking feedback through this consultation document on which weighting </w:t>
      </w:r>
      <w:r w:rsidR="00425670" w:rsidRPr="00C10A99">
        <w:t>option</w:t>
      </w:r>
      <w:r w:rsidR="00425670">
        <w:t xml:space="preserve"> of presentations and weightings (</w:t>
      </w:r>
      <w:r>
        <w:t>W1 and W2</w:t>
      </w:r>
      <w:r w:rsidR="00425670">
        <w:t>)</w:t>
      </w:r>
      <w:r>
        <w:t xml:space="preserve"> – </w:t>
      </w:r>
      <w:r w:rsidRPr="00C10A99">
        <w:t>stakeholders prefer and why. It is important to note that the levy weighting options do not affect the total amount of the levy. The weighting chosen only affects the share of the levy to be paid by each gambling sector.</w:t>
      </w:r>
    </w:p>
    <w:p w:rsidR="000A71B9" w:rsidRPr="00AC2731" w:rsidRDefault="000A71B9" w:rsidP="00AB4C8A">
      <w:pPr>
        <w:pStyle w:val="Box"/>
        <w:rPr>
          <w:b/>
        </w:rPr>
      </w:pPr>
      <w:r w:rsidRPr="00AC2731">
        <w:rPr>
          <w:b/>
        </w:rPr>
        <w:t>Whil</w:t>
      </w:r>
      <w:r w:rsidR="00316294">
        <w:rPr>
          <w:b/>
        </w:rPr>
        <w:t>e the proposed levy is based on</w:t>
      </w:r>
      <w:r w:rsidRPr="00AC2731">
        <w:rPr>
          <w:b/>
        </w:rPr>
        <w:t xml:space="preserve"> and will be set using the current formula</w:t>
      </w:r>
      <w:r w:rsidR="00425670">
        <w:rPr>
          <w:b/>
        </w:rPr>
        <w:t xml:space="preserve"> set out in the Act</w:t>
      </w:r>
      <w:r w:rsidRPr="00AC2731">
        <w:rPr>
          <w:b/>
        </w:rPr>
        <w:t xml:space="preserve">, the Ministry and DIA are </w:t>
      </w:r>
      <w:r w:rsidR="00425670">
        <w:rPr>
          <w:b/>
        </w:rPr>
        <w:t xml:space="preserve">also </w:t>
      </w:r>
      <w:r w:rsidRPr="00AC2731">
        <w:rPr>
          <w:b/>
        </w:rPr>
        <w:t>interested in your views of what could change in the future</w:t>
      </w:r>
      <w:r w:rsidR="00316294">
        <w:rPr>
          <w:b/>
        </w:rPr>
        <w:t>.</w:t>
      </w:r>
    </w:p>
    <w:p w:rsidR="000A71B9" w:rsidRDefault="00316294" w:rsidP="000A71B9">
      <w:pPr>
        <w:pStyle w:val="Box"/>
        <w:ind w:left="851" w:hanging="567"/>
      </w:pPr>
      <w:r>
        <w:t>D</w:t>
      </w:r>
      <w:r w:rsidR="000A71B9">
        <w:t>.</w:t>
      </w:r>
      <w:r w:rsidR="000A71B9">
        <w:tab/>
        <w:t xml:space="preserve">Does the current formula provide a reasonable </w:t>
      </w:r>
      <w:r w:rsidR="00EF2A39">
        <w:t xml:space="preserve">way to </w:t>
      </w:r>
      <w:r w:rsidR="000A71B9">
        <w:t>reflect the relative harm caused by each gambling sector? If not, what sort of formula would better reflect the relative harm</w:t>
      </w:r>
      <w:r w:rsidR="00EF2A39">
        <w:t xml:space="preserve"> caused by each </w:t>
      </w:r>
      <w:r w:rsidR="002A0B8C">
        <w:t>sector and</w:t>
      </w:r>
      <w:r w:rsidR="000A71B9">
        <w:t xml:space="preserve"> what factors</w:t>
      </w:r>
      <w:r>
        <w:t>, if any,</w:t>
      </w:r>
      <w:r w:rsidR="000A71B9">
        <w:t xml:space="preserve"> other than presentations and expenditure could be considered?</w:t>
      </w:r>
    </w:p>
    <w:p w:rsidR="00CB68A7" w:rsidRDefault="00CB68A7" w:rsidP="003B6A3A"/>
    <w:p w:rsidR="00CB68A7" w:rsidRPr="00E0156C" w:rsidRDefault="00CB68A7" w:rsidP="003B6A3A">
      <w:pPr>
        <w:pStyle w:val="Heading2"/>
      </w:pPr>
      <w:bookmarkStart w:id="225" w:name="_Toc65389480"/>
      <w:bookmarkStart w:id="226" w:name="_Toc230066537"/>
      <w:bookmarkStart w:id="227" w:name="_Toc329860065"/>
      <w:bookmarkStart w:id="228" w:name="_Toc421026480"/>
      <w:bookmarkStart w:id="229" w:name="_Toc517090914"/>
      <w:bookmarkStart w:id="230" w:name="_Toc522089416"/>
      <w:bookmarkEnd w:id="214"/>
      <w:r w:rsidRPr="00C10A99">
        <w:t>Levy calculations</w:t>
      </w:r>
      <w:bookmarkEnd w:id="225"/>
      <w:bookmarkEnd w:id="226"/>
      <w:bookmarkEnd w:id="227"/>
      <w:bookmarkEnd w:id="228"/>
      <w:bookmarkEnd w:id="229"/>
      <w:bookmarkEnd w:id="230"/>
    </w:p>
    <w:p w:rsidR="00EC3578" w:rsidRDefault="00CB68A7" w:rsidP="003B6A3A">
      <w:r w:rsidRPr="009A6D57">
        <w:t xml:space="preserve">Tables </w:t>
      </w:r>
      <w:r>
        <w:t xml:space="preserve">24–27 </w:t>
      </w:r>
      <w:r w:rsidRPr="009A6D57">
        <w:t xml:space="preserve">set out the implications </w:t>
      </w:r>
      <w:r>
        <w:t xml:space="preserve">for </w:t>
      </w:r>
      <w:r w:rsidRPr="00E312E8">
        <w:t xml:space="preserve">each of the four alternative </w:t>
      </w:r>
      <w:r>
        <w:t xml:space="preserve">levy </w:t>
      </w:r>
      <w:r w:rsidRPr="00E312E8">
        <w:t>weightings</w:t>
      </w:r>
      <w:r>
        <w:t xml:space="preserve"> 5/95, 10/90, 20/80 and 30/70</w:t>
      </w:r>
      <w:r w:rsidRPr="003D2737">
        <w:t xml:space="preserve"> </w:t>
      </w:r>
      <w:r>
        <w:t xml:space="preserve">respectively </w:t>
      </w:r>
      <w:r w:rsidRPr="009A6D57">
        <w:t>based on an appropriation of $5</w:t>
      </w:r>
      <w:r w:rsidR="001C71D3">
        <w:t>5</w:t>
      </w:r>
      <w:r w:rsidRPr="009A6D57">
        <w:t>.339 million to the Ministry for problem gambling activities for 2019/20</w:t>
      </w:r>
      <w:r>
        <w:t>–</w:t>
      </w:r>
      <w:r w:rsidRPr="009A6D57">
        <w:t>2021/22</w:t>
      </w:r>
      <w:r>
        <w:t xml:space="preserve">. Each table shows the levy rate per sector and the expected amount of </w:t>
      </w:r>
      <w:r w:rsidRPr="009A6D57">
        <w:t>levy payments over the three</w:t>
      </w:r>
      <w:r>
        <w:t>-</w:t>
      </w:r>
      <w:r w:rsidRPr="009A6D57">
        <w:t>year period</w:t>
      </w:r>
      <w:r>
        <w:t xml:space="preserve"> and compares these with each sector</w:t>
      </w:r>
      <w:r w:rsidR="00EC3578">
        <w:t>’</w:t>
      </w:r>
      <w:r>
        <w:t>s levy payments for the current levy period. A positive figure indicates that the sector is expected to pay more in the next levy period, and a negative figure indicates that the sector is expected to pay less.</w:t>
      </w:r>
    </w:p>
    <w:p w:rsidR="00CB68A7" w:rsidRDefault="00CB68A7" w:rsidP="003B6A3A"/>
    <w:p w:rsidR="00CB68A7" w:rsidRPr="00FA4BE0" w:rsidRDefault="00CB68A7" w:rsidP="003B6A3A">
      <w:pPr>
        <w:pStyle w:val="Table"/>
      </w:pPr>
      <w:bookmarkStart w:id="231" w:name="_Toc517091249"/>
      <w:bookmarkStart w:id="232" w:name="_Toc522089453"/>
      <w:bookmarkStart w:id="233" w:name="_Toc130198439"/>
      <w:bookmarkStart w:id="234" w:name="_Toc230066538"/>
      <w:r w:rsidRPr="00FA4BE0">
        <w:t>Table</w:t>
      </w:r>
      <w:r>
        <w:t xml:space="preserve"> 24</w:t>
      </w:r>
      <w:r w:rsidRPr="00FA4BE0">
        <w:t>: Estimated levy rates and payments ($m) per sector: 5/95 weighting</w:t>
      </w:r>
      <w:bookmarkEnd w:id="231"/>
      <w:bookmarkEnd w:id="232"/>
    </w:p>
    <w:tbl>
      <w:tblPr>
        <w:tblW w:w="4971" w:type="pct"/>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5239"/>
        <w:gridCol w:w="1014"/>
        <w:gridCol w:w="1016"/>
        <w:gridCol w:w="1016"/>
        <w:gridCol w:w="1016"/>
      </w:tblGrid>
      <w:tr w:rsidR="000E397F" w:rsidRPr="000E397F" w:rsidTr="00AB4C8A">
        <w:trPr>
          <w:cantSplit/>
          <w:trHeight w:val="230"/>
        </w:trPr>
        <w:tc>
          <w:tcPr>
            <w:tcW w:w="2816" w:type="pct"/>
            <w:tcBorders>
              <w:top w:val="single" w:sz="4" w:space="0" w:color="auto"/>
              <w:bottom w:val="single" w:sz="4" w:space="0" w:color="auto"/>
              <w:right w:val="nil"/>
            </w:tcBorders>
            <w:shd w:val="clear" w:color="auto" w:fill="auto"/>
            <w:tcMar>
              <w:top w:w="0" w:type="dxa"/>
              <w:left w:w="57" w:type="dxa"/>
              <w:bottom w:w="0" w:type="dxa"/>
              <w:right w:w="57" w:type="dxa"/>
            </w:tcMar>
          </w:tcPr>
          <w:p w:rsidR="00CB68A7" w:rsidRPr="000E397F" w:rsidRDefault="00CB68A7" w:rsidP="000E397F">
            <w:pPr>
              <w:pStyle w:val="TableText"/>
              <w:rPr>
                <w:rFonts w:eastAsia="Arial Unicode MS"/>
                <w:b/>
              </w:rPr>
            </w:pPr>
            <w:r w:rsidRPr="000E397F">
              <w:rPr>
                <w:rFonts w:eastAsia="Arial Unicode MS"/>
                <w:b/>
              </w:rPr>
              <w:t>Collection period starts 1 July 2019 (all GST exclusive)</w:t>
            </w:r>
          </w:p>
        </w:tc>
        <w:tc>
          <w:tcPr>
            <w:tcW w:w="545" w:type="pct"/>
            <w:tcBorders>
              <w:top w:val="single" w:sz="4" w:space="0" w:color="auto"/>
              <w:left w:val="nil"/>
              <w:bottom w:val="single" w:sz="4" w:space="0" w:color="auto"/>
            </w:tcBorders>
            <w:shd w:val="clear" w:color="auto" w:fill="auto"/>
            <w:tcMar>
              <w:top w:w="0" w:type="dxa"/>
              <w:left w:w="108" w:type="dxa"/>
              <w:bottom w:w="0" w:type="dxa"/>
              <w:right w:w="108" w:type="dxa"/>
            </w:tcMar>
          </w:tcPr>
          <w:p w:rsidR="00CB68A7" w:rsidRPr="000E397F" w:rsidRDefault="00CB68A7" w:rsidP="000E397F">
            <w:pPr>
              <w:pStyle w:val="TableText"/>
              <w:jc w:val="center"/>
              <w:rPr>
                <w:rFonts w:eastAsia="Arial Unicode MS"/>
                <w:b/>
              </w:rPr>
            </w:pPr>
            <w:r w:rsidRPr="000E397F">
              <w:rPr>
                <w:rFonts w:eastAsia="Arial Unicode MS"/>
                <w:b/>
              </w:rPr>
              <w:t>NCGMs</w:t>
            </w:r>
          </w:p>
        </w:tc>
        <w:tc>
          <w:tcPr>
            <w:tcW w:w="546" w:type="pct"/>
            <w:tcBorders>
              <w:top w:val="single" w:sz="4" w:space="0" w:color="auto"/>
              <w:bottom w:val="single" w:sz="4" w:space="0" w:color="auto"/>
            </w:tcBorders>
            <w:shd w:val="clear" w:color="auto" w:fill="auto"/>
            <w:tcMar>
              <w:top w:w="0" w:type="dxa"/>
              <w:left w:w="108" w:type="dxa"/>
              <w:bottom w:w="0" w:type="dxa"/>
              <w:right w:w="108" w:type="dxa"/>
            </w:tcMar>
          </w:tcPr>
          <w:p w:rsidR="00CB68A7" w:rsidRPr="000E397F" w:rsidRDefault="00CB68A7" w:rsidP="000E397F">
            <w:pPr>
              <w:pStyle w:val="TableText"/>
              <w:jc w:val="center"/>
              <w:rPr>
                <w:rFonts w:eastAsia="Arial Unicode MS"/>
                <w:b/>
              </w:rPr>
            </w:pPr>
            <w:r w:rsidRPr="000E397F">
              <w:rPr>
                <w:rFonts w:eastAsia="Arial Unicode MS"/>
                <w:b/>
              </w:rPr>
              <w:t>Casinos</w:t>
            </w:r>
          </w:p>
        </w:tc>
        <w:tc>
          <w:tcPr>
            <w:tcW w:w="546" w:type="pct"/>
            <w:tcBorders>
              <w:top w:val="single" w:sz="4" w:space="0" w:color="auto"/>
              <w:bottom w:val="single" w:sz="4" w:space="0" w:color="auto"/>
            </w:tcBorders>
            <w:shd w:val="clear" w:color="auto" w:fill="auto"/>
            <w:tcMar>
              <w:top w:w="0" w:type="dxa"/>
              <w:left w:w="108" w:type="dxa"/>
              <w:bottom w:w="0" w:type="dxa"/>
              <w:right w:w="108" w:type="dxa"/>
            </w:tcMar>
          </w:tcPr>
          <w:p w:rsidR="00CB68A7" w:rsidRPr="000E397F" w:rsidRDefault="00CB68A7" w:rsidP="000E397F">
            <w:pPr>
              <w:pStyle w:val="TableText"/>
              <w:jc w:val="center"/>
              <w:rPr>
                <w:rFonts w:eastAsia="Arial Unicode MS"/>
                <w:b/>
              </w:rPr>
            </w:pPr>
            <w:r w:rsidRPr="000E397F">
              <w:rPr>
                <w:rFonts w:eastAsia="Arial Unicode MS"/>
                <w:b/>
              </w:rPr>
              <w:t>NZRB</w:t>
            </w:r>
          </w:p>
        </w:tc>
        <w:tc>
          <w:tcPr>
            <w:tcW w:w="546" w:type="pct"/>
            <w:tcBorders>
              <w:top w:val="single" w:sz="4" w:space="0" w:color="auto"/>
              <w:bottom w:val="single" w:sz="4" w:space="0" w:color="auto"/>
            </w:tcBorders>
            <w:shd w:val="clear" w:color="auto" w:fill="auto"/>
          </w:tcPr>
          <w:p w:rsidR="00CB68A7" w:rsidRPr="000E397F" w:rsidRDefault="00CB68A7" w:rsidP="000E397F">
            <w:pPr>
              <w:pStyle w:val="TableText"/>
              <w:jc w:val="center"/>
              <w:rPr>
                <w:rFonts w:eastAsia="Arial Unicode MS"/>
                <w:b/>
              </w:rPr>
            </w:pPr>
            <w:r w:rsidRPr="000E397F">
              <w:rPr>
                <w:rFonts w:eastAsia="Arial Unicode MS"/>
                <w:b/>
              </w:rPr>
              <w:t>NZLC</w:t>
            </w:r>
          </w:p>
        </w:tc>
      </w:tr>
      <w:tr w:rsidR="002A0B8C" w:rsidRPr="00496788" w:rsidTr="00B30A95">
        <w:trPr>
          <w:cantSplit/>
        </w:trPr>
        <w:tc>
          <w:tcPr>
            <w:tcW w:w="2816" w:type="pct"/>
            <w:tcBorders>
              <w:top w:val="single" w:sz="4" w:space="0" w:color="auto"/>
              <w:bottom w:val="single" w:sz="4" w:space="0" w:color="BFBFBF" w:themeColor="background1" w:themeShade="BF"/>
              <w:right w:val="nil"/>
            </w:tcBorders>
            <w:shd w:val="clear" w:color="auto" w:fill="auto"/>
            <w:noWrap/>
            <w:tcMar>
              <w:top w:w="0" w:type="dxa"/>
              <w:left w:w="57" w:type="dxa"/>
              <w:bottom w:w="0" w:type="dxa"/>
              <w:right w:w="57" w:type="dxa"/>
            </w:tcMar>
          </w:tcPr>
          <w:p w:rsidR="002A0B8C" w:rsidRPr="00FA4BE0" w:rsidRDefault="002A0B8C" w:rsidP="002A0B8C">
            <w:pPr>
              <w:pStyle w:val="TableText"/>
              <w:rPr>
                <w:rFonts w:eastAsia="Arial Unicode MS"/>
              </w:rPr>
            </w:pPr>
            <w:r w:rsidRPr="008B36C8">
              <w:rPr>
                <w:rFonts w:eastAsia="Arial Unicode MS"/>
              </w:rPr>
              <w:t>Sector levy rates (%)</w:t>
            </w:r>
          </w:p>
        </w:tc>
        <w:tc>
          <w:tcPr>
            <w:tcW w:w="545" w:type="pct"/>
            <w:tcBorders>
              <w:top w:val="single" w:sz="4" w:space="0" w:color="auto"/>
              <w:left w:val="nil"/>
              <w:bottom w:val="single" w:sz="4" w:space="0" w:color="A6A6A6" w:themeColor="background1" w:themeShade="A6"/>
              <w:right w:val="nil"/>
            </w:tcBorders>
            <w:shd w:val="clear" w:color="auto" w:fill="auto"/>
            <w:noWrap/>
            <w:tcMar>
              <w:top w:w="0" w:type="dxa"/>
              <w:left w:w="108" w:type="dxa"/>
              <w:bottom w:w="0" w:type="dxa"/>
              <w:right w:w="108" w:type="dxa"/>
            </w:tcMar>
            <w:vAlign w:val="center"/>
          </w:tcPr>
          <w:p w:rsidR="002A0B8C" w:rsidRPr="00AB4C8A" w:rsidRDefault="002A0B8C" w:rsidP="002A0B8C">
            <w:pPr>
              <w:pStyle w:val="TableText"/>
              <w:jc w:val="center"/>
              <w:rPr>
                <w:rFonts w:eastAsia="Arial Unicode MS"/>
              </w:rPr>
            </w:pPr>
            <w:r w:rsidRPr="00AB4C8A">
              <w:rPr>
                <w:rFonts w:eastAsia="Arial Unicode MS"/>
              </w:rPr>
              <w:t>0.86</w:t>
            </w:r>
          </w:p>
        </w:tc>
        <w:tc>
          <w:tcPr>
            <w:tcW w:w="546" w:type="pct"/>
            <w:tcBorders>
              <w:top w:val="single" w:sz="4" w:space="0" w:color="auto"/>
              <w:left w:val="nil"/>
              <w:bottom w:val="single" w:sz="4" w:space="0" w:color="A6A6A6" w:themeColor="background1" w:themeShade="A6"/>
              <w:right w:val="nil"/>
            </w:tcBorders>
            <w:shd w:val="clear" w:color="auto" w:fill="auto"/>
            <w:noWrap/>
            <w:tcMar>
              <w:top w:w="0" w:type="dxa"/>
              <w:left w:w="108" w:type="dxa"/>
              <w:bottom w:w="0" w:type="dxa"/>
              <w:right w:w="108" w:type="dxa"/>
            </w:tcMar>
            <w:vAlign w:val="center"/>
          </w:tcPr>
          <w:p w:rsidR="002A0B8C" w:rsidRPr="00AB4C8A" w:rsidRDefault="002A0B8C" w:rsidP="002A0B8C">
            <w:pPr>
              <w:pStyle w:val="TableText"/>
              <w:jc w:val="center"/>
              <w:rPr>
                <w:rFonts w:eastAsia="Arial Unicode MS"/>
              </w:rPr>
            </w:pPr>
            <w:r w:rsidRPr="00AB4C8A">
              <w:rPr>
                <w:rFonts w:eastAsia="Arial Unicode MS"/>
              </w:rPr>
              <w:t>0.53</w:t>
            </w:r>
          </w:p>
        </w:tc>
        <w:tc>
          <w:tcPr>
            <w:tcW w:w="546" w:type="pct"/>
            <w:tcBorders>
              <w:top w:val="single" w:sz="4" w:space="0" w:color="auto"/>
              <w:left w:val="nil"/>
              <w:bottom w:val="single" w:sz="4" w:space="0" w:color="A6A6A6" w:themeColor="background1" w:themeShade="A6"/>
              <w:right w:val="nil"/>
            </w:tcBorders>
            <w:shd w:val="clear" w:color="auto" w:fill="auto"/>
            <w:noWrap/>
            <w:tcMar>
              <w:top w:w="0" w:type="dxa"/>
              <w:left w:w="108" w:type="dxa"/>
              <w:bottom w:w="0" w:type="dxa"/>
              <w:right w:w="108" w:type="dxa"/>
            </w:tcMar>
            <w:vAlign w:val="center"/>
          </w:tcPr>
          <w:p w:rsidR="002A0B8C" w:rsidRPr="00AB4C8A" w:rsidRDefault="002A0B8C" w:rsidP="002A0B8C">
            <w:pPr>
              <w:pStyle w:val="TableText"/>
              <w:jc w:val="center"/>
              <w:rPr>
                <w:rFonts w:eastAsia="Arial Unicode MS"/>
              </w:rPr>
            </w:pPr>
            <w:r w:rsidRPr="00AB4C8A">
              <w:rPr>
                <w:rFonts w:eastAsia="Arial Unicode MS"/>
              </w:rPr>
              <w:t>0.44</w:t>
            </w:r>
          </w:p>
        </w:tc>
        <w:tc>
          <w:tcPr>
            <w:tcW w:w="546" w:type="pct"/>
            <w:tcBorders>
              <w:top w:val="single" w:sz="4" w:space="0" w:color="auto"/>
              <w:left w:val="nil"/>
              <w:bottom w:val="single" w:sz="4" w:space="0" w:color="A6A6A6" w:themeColor="background1" w:themeShade="A6"/>
              <w:right w:val="nil"/>
            </w:tcBorders>
            <w:shd w:val="clear" w:color="auto" w:fill="auto"/>
            <w:vAlign w:val="center"/>
          </w:tcPr>
          <w:p w:rsidR="002A0B8C" w:rsidRPr="00AB4C8A" w:rsidRDefault="002A0B8C" w:rsidP="002A0B8C">
            <w:pPr>
              <w:pStyle w:val="TableText"/>
              <w:jc w:val="center"/>
              <w:rPr>
                <w:rFonts w:eastAsia="Arial Unicode MS"/>
              </w:rPr>
            </w:pPr>
            <w:r w:rsidRPr="00AB4C8A">
              <w:rPr>
                <w:rFonts w:eastAsia="Arial Unicode MS"/>
              </w:rPr>
              <w:t>0.31</w:t>
            </w:r>
          </w:p>
        </w:tc>
      </w:tr>
      <w:tr w:rsidR="002A0B8C" w:rsidRPr="00496788" w:rsidTr="00B30A95">
        <w:trPr>
          <w:cantSplit/>
        </w:trPr>
        <w:tc>
          <w:tcPr>
            <w:tcW w:w="2816" w:type="pct"/>
            <w:tcBorders>
              <w:top w:val="single" w:sz="4" w:space="0" w:color="BFBFBF" w:themeColor="background1" w:themeShade="BF"/>
              <w:bottom w:val="single" w:sz="4" w:space="0" w:color="BFBFBF" w:themeColor="background1" w:themeShade="BF"/>
              <w:right w:val="nil"/>
            </w:tcBorders>
            <w:shd w:val="clear" w:color="auto" w:fill="auto"/>
            <w:noWrap/>
            <w:tcMar>
              <w:top w:w="0" w:type="dxa"/>
              <w:left w:w="57" w:type="dxa"/>
              <w:bottom w:w="0" w:type="dxa"/>
              <w:right w:w="57" w:type="dxa"/>
            </w:tcMar>
          </w:tcPr>
          <w:p w:rsidR="002A0B8C" w:rsidRPr="00FA4BE0" w:rsidRDefault="002A0B8C" w:rsidP="002A0B8C">
            <w:pPr>
              <w:pStyle w:val="TableText"/>
              <w:rPr>
                <w:rFonts w:eastAsia="Arial Unicode MS"/>
              </w:rPr>
            </w:pPr>
            <w:r w:rsidRPr="008B36C8">
              <w:rPr>
                <w:rFonts w:eastAsia="Arial Unicode MS"/>
              </w:rPr>
              <w:t>Expected levy payment</w:t>
            </w:r>
            <w:r w:rsidR="00B30A95">
              <w:rPr>
                <w:rFonts w:eastAsia="Arial Unicode MS"/>
              </w:rPr>
              <w:t xml:space="preserve"> </w:t>
            </w:r>
            <w:r w:rsidRPr="008B36C8">
              <w:rPr>
                <w:rFonts w:eastAsia="Arial Unicode MS"/>
              </w:rPr>
              <w:t>($m)</w:t>
            </w:r>
          </w:p>
        </w:tc>
        <w:tc>
          <w:tcPr>
            <w:tcW w:w="545" w:type="pct"/>
            <w:tcBorders>
              <w:top w:val="single" w:sz="4" w:space="0" w:color="A6A6A6" w:themeColor="background1" w:themeShade="A6"/>
              <w:left w:val="nil"/>
              <w:bottom w:val="single" w:sz="4" w:space="0" w:color="A6A6A6" w:themeColor="background1" w:themeShade="A6"/>
              <w:right w:val="nil"/>
            </w:tcBorders>
            <w:shd w:val="clear" w:color="auto" w:fill="auto"/>
            <w:noWrap/>
            <w:tcMar>
              <w:top w:w="0" w:type="dxa"/>
              <w:left w:w="108" w:type="dxa"/>
              <w:bottom w:w="0" w:type="dxa"/>
              <w:right w:w="108" w:type="dxa"/>
            </w:tcMar>
            <w:vAlign w:val="center"/>
          </w:tcPr>
          <w:p w:rsidR="002A0B8C" w:rsidRPr="00AB4C8A" w:rsidRDefault="002A0B8C" w:rsidP="002A0B8C">
            <w:pPr>
              <w:pStyle w:val="TableText"/>
              <w:jc w:val="center"/>
              <w:rPr>
                <w:rFonts w:eastAsia="Arial Unicode MS"/>
              </w:rPr>
            </w:pPr>
            <w:r w:rsidRPr="00AB4C8A">
              <w:rPr>
                <w:rFonts w:eastAsia="Arial Unicode MS"/>
              </w:rPr>
              <w:t>25.323</w:t>
            </w:r>
          </w:p>
        </w:tc>
        <w:tc>
          <w:tcPr>
            <w:tcW w:w="546" w:type="pct"/>
            <w:tcBorders>
              <w:top w:val="single" w:sz="4" w:space="0" w:color="A6A6A6" w:themeColor="background1" w:themeShade="A6"/>
              <w:left w:val="nil"/>
              <w:bottom w:val="single" w:sz="4" w:space="0" w:color="A6A6A6" w:themeColor="background1" w:themeShade="A6"/>
              <w:right w:val="nil"/>
            </w:tcBorders>
            <w:shd w:val="clear" w:color="auto" w:fill="auto"/>
            <w:noWrap/>
            <w:tcMar>
              <w:top w:w="0" w:type="dxa"/>
              <w:left w:w="108" w:type="dxa"/>
              <w:bottom w:w="0" w:type="dxa"/>
              <w:right w:w="108" w:type="dxa"/>
            </w:tcMar>
            <w:vAlign w:val="center"/>
          </w:tcPr>
          <w:p w:rsidR="002A0B8C" w:rsidRPr="005F7726" w:rsidRDefault="002A0B8C" w:rsidP="002A0B8C">
            <w:pPr>
              <w:pStyle w:val="TableText"/>
              <w:jc w:val="center"/>
              <w:rPr>
                <w:rFonts w:eastAsia="Arial Unicode MS"/>
              </w:rPr>
            </w:pPr>
            <w:r w:rsidRPr="005F7726">
              <w:rPr>
                <w:rFonts w:eastAsia="Arial Unicode MS"/>
              </w:rPr>
              <w:t>10.613</w:t>
            </w:r>
          </w:p>
        </w:tc>
        <w:tc>
          <w:tcPr>
            <w:tcW w:w="546" w:type="pct"/>
            <w:tcBorders>
              <w:top w:val="single" w:sz="4" w:space="0" w:color="A6A6A6" w:themeColor="background1" w:themeShade="A6"/>
              <w:left w:val="nil"/>
              <w:bottom w:val="single" w:sz="4" w:space="0" w:color="A6A6A6" w:themeColor="background1" w:themeShade="A6"/>
              <w:right w:val="nil"/>
            </w:tcBorders>
            <w:shd w:val="clear" w:color="auto" w:fill="auto"/>
            <w:noWrap/>
            <w:tcMar>
              <w:top w:w="0" w:type="dxa"/>
              <w:left w:w="108" w:type="dxa"/>
              <w:bottom w:w="0" w:type="dxa"/>
              <w:right w:w="108" w:type="dxa"/>
            </w:tcMar>
            <w:vAlign w:val="center"/>
          </w:tcPr>
          <w:p w:rsidR="002A0B8C" w:rsidRPr="00AB4C8A" w:rsidRDefault="002A0B8C" w:rsidP="002A0B8C">
            <w:pPr>
              <w:pStyle w:val="TableText"/>
              <w:jc w:val="center"/>
              <w:rPr>
                <w:rFonts w:eastAsia="Arial Unicode MS"/>
              </w:rPr>
            </w:pPr>
            <w:r w:rsidRPr="005F7726">
              <w:rPr>
                <w:rFonts w:eastAsia="Arial Unicode MS"/>
              </w:rPr>
              <w:t>5.224</w:t>
            </w:r>
          </w:p>
        </w:tc>
        <w:tc>
          <w:tcPr>
            <w:tcW w:w="546" w:type="pct"/>
            <w:tcBorders>
              <w:top w:val="single" w:sz="4" w:space="0" w:color="A6A6A6" w:themeColor="background1" w:themeShade="A6"/>
              <w:left w:val="nil"/>
              <w:bottom w:val="single" w:sz="4" w:space="0" w:color="A6A6A6" w:themeColor="background1" w:themeShade="A6"/>
              <w:right w:val="nil"/>
            </w:tcBorders>
            <w:shd w:val="clear" w:color="auto" w:fill="auto"/>
            <w:vAlign w:val="center"/>
          </w:tcPr>
          <w:p w:rsidR="002A0B8C" w:rsidRPr="005F7726" w:rsidRDefault="002A0B8C" w:rsidP="002A0B8C">
            <w:pPr>
              <w:pStyle w:val="TableText"/>
              <w:jc w:val="center"/>
              <w:rPr>
                <w:rFonts w:eastAsia="Arial Unicode MS"/>
              </w:rPr>
            </w:pPr>
            <w:r w:rsidRPr="00AB4C8A">
              <w:rPr>
                <w:rFonts w:eastAsia="Arial Unicode MS"/>
              </w:rPr>
              <w:t>6.620</w:t>
            </w:r>
          </w:p>
        </w:tc>
      </w:tr>
      <w:tr w:rsidR="002A0B8C" w:rsidRPr="005F7726" w:rsidTr="00B30A95">
        <w:trPr>
          <w:cantSplit/>
        </w:trPr>
        <w:tc>
          <w:tcPr>
            <w:tcW w:w="2816" w:type="pct"/>
            <w:tcBorders>
              <w:top w:val="single" w:sz="4" w:space="0" w:color="BFBFBF" w:themeColor="background1" w:themeShade="BF"/>
              <w:bottom w:val="single" w:sz="4" w:space="0" w:color="auto"/>
              <w:right w:val="nil"/>
            </w:tcBorders>
            <w:shd w:val="clear" w:color="auto" w:fill="auto"/>
            <w:noWrap/>
            <w:tcMar>
              <w:top w:w="0" w:type="dxa"/>
              <w:left w:w="57" w:type="dxa"/>
              <w:bottom w:w="0" w:type="dxa"/>
              <w:right w:w="57" w:type="dxa"/>
            </w:tcMar>
          </w:tcPr>
          <w:p w:rsidR="002A0B8C" w:rsidRPr="00FA4BE0" w:rsidRDefault="002A0B8C" w:rsidP="002A0B8C">
            <w:pPr>
              <w:pStyle w:val="TableText"/>
              <w:rPr>
                <w:rFonts w:eastAsia="Arial Unicode MS"/>
              </w:rPr>
            </w:pPr>
            <w:r w:rsidRPr="008B36C8">
              <w:rPr>
                <w:rFonts w:eastAsia="Arial Unicode MS"/>
              </w:rPr>
              <w:t>($m) Comparison with current levy payments (negative = less)</w:t>
            </w:r>
          </w:p>
        </w:tc>
        <w:tc>
          <w:tcPr>
            <w:tcW w:w="545" w:type="pct"/>
            <w:tcBorders>
              <w:top w:val="single" w:sz="4" w:space="0" w:color="A6A6A6" w:themeColor="background1" w:themeShade="A6"/>
              <w:left w:val="nil"/>
              <w:bottom w:val="single" w:sz="4" w:space="0" w:color="auto"/>
              <w:right w:val="nil"/>
            </w:tcBorders>
            <w:shd w:val="clear" w:color="auto" w:fill="auto"/>
            <w:noWrap/>
            <w:tcMar>
              <w:top w:w="0" w:type="dxa"/>
              <w:left w:w="108" w:type="dxa"/>
              <w:bottom w:w="0" w:type="dxa"/>
              <w:right w:w="108" w:type="dxa"/>
            </w:tcMar>
            <w:vAlign w:val="bottom"/>
          </w:tcPr>
          <w:p w:rsidR="002A0B8C" w:rsidRPr="00AB4C8A" w:rsidRDefault="002A0B8C" w:rsidP="002A0B8C">
            <w:pPr>
              <w:pStyle w:val="TableText"/>
              <w:jc w:val="center"/>
              <w:rPr>
                <w:rFonts w:eastAsia="Arial Unicode MS"/>
              </w:rPr>
            </w:pPr>
            <w:r w:rsidRPr="00AB4C8A">
              <w:rPr>
                <w:rFonts w:eastAsia="Arial Unicode MS"/>
              </w:rPr>
              <w:t>-6.360</w:t>
            </w:r>
          </w:p>
        </w:tc>
        <w:tc>
          <w:tcPr>
            <w:tcW w:w="546" w:type="pct"/>
            <w:tcBorders>
              <w:top w:val="single" w:sz="4" w:space="0" w:color="A6A6A6" w:themeColor="background1" w:themeShade="A6"/>
              <w:left w:val="nil"/>
              <w:bottom w:val="single" w:sz="4" w:space="0" w:color="auto"/>
              <w:right w:val="nil"/>
            </w:tcBorders>
            <w:shd w:val="clear" w:color="auto" w:fill="auto"/>
            <w:noWrap/>
            <w:tcMar>
              <w:top w:w="0" w:type="dxa"/>
              <w:left w:w="108" w:type="dxa"/>
              <w:bottom w:w="0" w:type="dxa"/>
              <w:right w:w="108" w:type="dxa"/>
            </w:tcMar>
            <w:vAlign w:val="bottom"/>
          </w:tcPr>
          <w:p w:rsidR="002A0B8C" w:rsidRPr="00AB4C8A" w:rsidRDefault="002A0B8C" w:rsidP="002A0B8C">
            <w:pPr>
              <w:pStyle w:val="TableText"/>
              <w:jc w:val="center"/>
              <w:rPr>
                <w:rFonts w:eastAsia="Arial Unicode MS"/>
              </w:rPr>
            </w:pPr>
            <w:r w:rsidRPr="005F7726">
              <w:rPr>
                <w:rFonts w:eastAsia="Arial Unicode MS"/>
              </w:rPr>
              <w:t>-3.445</w:t>
            </w:r>
          </w:p>
        </w:tc>
        <w:tc>
          <w:tcPr>
            <w:tcW w:w="546" w:type="pct"/>
            <w:tcBorders>
              <w:top w:val="single" w:sz="4" w:space="0" w:color="A6A6A6" w:themeColor="background1" w:themeShade="A6"/>
              <w:left w:val="nil"/>
              <w:bottom w:val="single" w:sz="4" w:space="0" w:color="auto"/>
              <w:right w:val="nil"/>
            </w:tcBorders>
            <w:shd w:val="clear" w:color="auto" w:fill="auto"/>
            <w:noWrap/>
            <w:tcMar>
              <w:top w:w="0" w:type="dxa"/>
              <w:left w:w="108" w:type="dxa"/>
              <w:bottom w:w="0" w:type="dxa"/>
              <w:right w:w="108" w:type="dxa"/>
            </w:tcMar>
            <w:vAlign w:val="bottom"/>
          </w:tcPr>
          <w:p w:rsidR="002A0B8C" w:rsidRPr="005F7726" w:rsidRDefault="002A0B8C" w:rsidP="002A0B8C">
            <w:pPr>
              <w:pStyle w:val="TableText"/>
              <w:jc w:val="center"/>
              <w:rPr>
                <w:rFonts w:eastAsia="Arial Unicode MS"/>
              </w:rPr>
            </w:pPr>
            <w:r w:rsidRPr="00AB4C8A">
              <w:rPr>
                <w:rFonts w:eastAsia="Arial Unicode MS"/>
              </w:rPr>
              <w:t>0.076</w:t>
            </w:r>
          </w:p>
        </w:tc>
        <w:tc>
          <w:tcPr>
            <w:tcW w:w="546" w:type="pct"/>
            <w:tcBorders>
              <w:top w:val="single" w:sz="4" w:space="0" w:color="A6A6A6" w:themeColor="background1" w:themeShade="A6"/>
              <w:left w:val="nil"/>
              <w:bottom w:val="single" w:sz="4" w:space="0" w:color="auto"/>
              <w:right w:val="nil"/>
            </w:tcBorders>
            <w:shd w:val="clear" w:color="auto" w:fill="auto"/>
            <w:vAlign w:val="bottom"/>
          </w:tcPr>
          <w:p w:rsidR="002A0B8C" w:rsidRPr="005F7726" w:rsidRDefault="002A0B8C" w:rsidP="002A0B8C">
            <w:pPr>
              <w:pStyle w:val="TableText"/>
              <w:jc w:val="center"/>
              <w:rPr>
                <w:rFonts w:eastAsia="Arial Unicode MS"/>
              </w:rPr>
            </w:pPr>
            <w:r w:rsidRPr="005F7726">
              <w:rPr>
                <w:rFonts w:eastAsia="Arial Unicode MS"/>
              </w:rPr>
              <w:t>1.479</w:t>
            </w:r>
          </w:p>
        </w:tc>
      </w:tr>
    </w:tbl>
    <w:p w:rsidR="00CB68A7" w:rsidRPr="00FA4BE0" w:rsidRDefault="00CB68A7" w:rsidP="003B6A3A"/>
    <w:p w:rsidR="00CB68A7" w:rsidRPr="00FA4BE0" w:rsidRDefault="00CB68A7" w:rsidP="003B6A3A">
      <w:pPr>
        <w:pStyle w:val="Table"/>
      </w:pPr>
      <w:bookmarkStart w:id="235" w:name="_Toc517091250"/>
      <w:bookmarkStart w:id="236" w:name="_Toc522089454"/>
      <w:r w:rsidRPr="00FA4BE0">
        <w:t>Table</w:t>
      </w:r>
      <w:r>
        <w:t xml:space="preserve"> 25</w:t>
      </w:r>
      <w:r w:rsidRPr="00FA4BE0">
        <w:t>: Estimated levy rates and payments ($m) per sector: 10/90 weighting</w:t>
      </w:r>
      <w:bookmarkEnd w:id="235"/>
      <w:bookmarkEnd w:id="236"/>
    </w:p>
    <w:tbl>
      <w:tblPr>
        <w:tblW w:w="4940" w:type="pct"/>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5183"/>
        <w:gridCol w:w="1015"/>
        <w:gridCol w:w="1015"/>
        <w:gridCol w:w="1015"/>
        <w:gridCol w:w="1015"/>
      </w:tblGrid>
      <w:tr w:rsidR="000E397F" w:rsidRPr="000E397F" w:rsidTr="005F7726">
        <w:trPr>
          <w:cantSplit/>
        </w:trPr>
        <w:tc>
          <w:tcPr>
            <w:tcW w:w="2804" w:type="pct"/>
            <w:tcBorders>
              <w:top w:val="single" w:sz="4" w:space="0" w:color="auto"/>
              <w:bottom w:val="single" w:sz="4" w:space="0" w:color="auto"/>
            </w:tcBorders>
            <w:shd w:val="clear" w:color="auto" w:fill="auto"/>
            <w:tcMar>
              <w:top w:w="0" w:type="dxa"/>
              <w:left w:w="57" w:type="dxa"/>
              <w:bottom w:w="0" w:type="dxa"/>
              <w:right w:w="57" w:type="dxa"/>
            </w:tcMar>
          </w:tcPr>
          <w:p w:rsidR="00CB68A7" w:rsidRPr="000E397F" w:rsidRDefault="00CB68A7" w:rsidP="000E397F">
            <w:pPr>
              <w:pStyle w:val="TableText"/>
              <w:rPr>
                <w:rFonts w:eastAsia="Arial Unicode MS"/>
                <w:b/>
              </w:rPr>
            </w:pPr>
            <w:r w:rsidRPr="000E397F">
              <w:rPr>
                <w:rFonts w:eastAsia="Arial Unicode MS"/>
                <w:b/>
              </w:rPr>
              <w:t>Collection period starts 1 July 2019 (all GST exclusive)</w:t>
            </w:r>
          </w:p>
        </w:tc>
        <w:tc>
          <w:tcPr>
            <w:tcW w:w="549" w:type="pct"/>
            <w:tcBorders>
              <w:top w:val="single" w:sz="4" w:space="0" w:color="auto"/>
              <w:bottom w:val="single" w:sz="4" w:space="0" w:color="auto"/>
            </w:tcBorders>
            <w:shd w:val="clear" w:color="auto" w:fill="auto"/>
            <w:tcMar>
              <w:top w:w="0" w:type="dxa"/>
              <w:left w:w="108" w:type="dxa"/>
              <w:bottom w:w="0" w:type="dxa"/>
              <w:right w:w="108" w:type="dxa"/>
            </w:tcMar>
          </w:tcPr>
          <w:p w:rsidR="00CB68A7" w:rsidRPr="000E397F" w:rsidRDefault="00CB68A7" w:rsidP="000E397F">
            <w:pPr>
              <w:pStyle w:val="TableText"/>
              <w:jc w:val="center"/>
              <w:rPr>
                <w:rFonts w:eastAsia="Arial Unicode MS"/>
                <w:b/>
              </w:rPr>
            </w:pPr>
            <w:r w:rsidRPr="000E397F">
              <w:rPr>
                <w:rFonts w:eastAsia="Arial Unicode MS"/>
                <w:b/>
              </w:rPr>
              <w:t>NCGMs</w:t>
            </w:r>
          </w:p>
        </w:tc>
        <w:tc>
          <w:tcPr>
            <w:tcW w:w="549" w:type="pct"/>
            <w:tcBorders>
              <w:top w:val="single" w:sz="4" w:space="0" w:color="auto"/>
              <w:bottom w:val="single" w:sz="4" w:space="0" w:color="auto"/>
            </w:tcBorders>
            <w:shd w:val="clear" w:color="auto" w:fill="auto"/>
            <w:tcMar>
              <w:top w:w="0" w:type="dxa"/>
              <w:left w:w="108" w:type="dxa"/>
              <w:bottom w:w="0" w:type="dxa"/>
              <w:right w:w="108" w:type="dxa"/>
            </w:tcMar>
          </w:tcPr>
          <w:p w:rsidR="00CB68A7" w:rsidRPr="000E397F" w:rsidRDefault="00CB68A7" w:rsidP="000E397F">
            <w:pPr>
              <w:pStyle w:val="TableText"/>
              <w:jc w:val="center"/>
              <w:rPr>
                <w:rFonts w:eastAsia="Arial Unicode MS"/>
                <w:b/>
              </w:rPr>
            </w:pPr>
            <w:r w:rsidRPr="000E397F">
              <w:rPr>
                <w:rFonts w:eastAsia="Arial Unicode MS"/>
                <w:b/>
              </w:rPr>
              <w:t>Casinos</w:t>
            </w:r>
          </w:p>
        </w:tc>
        <w:tc>
          <w:tcPr>
            <w:tcW w:w="549" w:type="pct"/>
            <w:tcBorders>
              <w:top w:val="single" w:sz="4" w:space="0" w:color="auto"/>
              <w:bottom w:val="single" w:sz="4" w:space="0" w:color="auto"/>
            </w:tcBorders>
            <w:shd w:val="clear" w:color="auto" w:fill="auto"/>
            <w:tcMar>
              <w:top w:w="0" w:type="dxa"/>
              <w:left w:w="108" w:type="dxa"/>
              <w:bottom w:w="0" w:type="dxa"/>
              <w:right w:w="108" w:type="dxa"/>
            </w:tcMar>
          </w:tcPr>
          <w:p w:rsidR="00CB68A7" w:rsidRPr="000E397F" w:rsidRDefault="00CB68A7" w:rsidP="000E397F">
            <w:pPr>
              <w:pStyle w:val="TableText"/>
              <w:jc w:val="center"/>
              <w:rPr>
                <w:rFonts w:eastAsia="Arial Unicode MS"/>
                <w:b/>
              </w:rPr>
            </w:pPr>
            <w:r w:rsidRPr="000E397F">
              <w:rPr>
                <w:rFonts w:eastAsia="Arial Unicode MS"/>
                <w:b/>
              </w:rPr>
              <w:t>NZRB</w:t>
            </w:r>
          </w:p>
        </w:tc>
        <w:tc>
          <w:tcPr>
            <w:tcW w:w="549" w:type="pct"/>
            <w:tcBorders>
              <w:top w:val="single" w:sz="4" w:space="0" w:color="auto"/>
              <w:bottom w:val="single" w:sz="4" w:space="0" w:color="auto"/>
            </w:tcBorders>
            <w:shd w:val="clear" w:color="auto" w:fill="auto"/>
          </w:tcPr>
          <w:p w:rsidR="00CB68A7" w:rsidRPr="000E397F" w:rsidRDefault="00CB68A7" w:rsidP="000E397F">
            <w:pPr>
              <w:pStyle w:val="TableText"/>
              <w:jc w:val="center"/>
              <w:rPr>
                <w:rFonts w:eastAsia="Arial Unicode MS"/>
                <w:b/>
              </w:rPr>
            </w:pPr>
            <w:r w:rsidRPr="000E397F">
              <w:rPr>
                <w:rFonts w:eastAsia="Arial Unicode MS"/>
                <w:b/>
              </w:rPr>
              <w:t>NZLC</w:t>
            </w:r>
          </w:p>
        </w:tc>
      </w:tr>
      <w:tr w:rsidR="002A0B8C" w:rsidRPr="002A0B8C" w:rsidTr="00B30A95">
        <w:trPr>
          <w:cantSplit/>
        </w:trPr>
        <w:tc>
          <w:tcPr>
            <w:tcW w:w="2804" w:type="pct"/>
            <w:tcBorders>
              <w:top w:val="single" w:sz="4" w:space="0" w:color="auto"/>
              <w:bottom w:val="single" w:sz="4" w:space="0" w:color="BFBFBF" w:themeColor="background1" w:themeShade="BF"/>
            </w:tcBorders>
            <w:shd w:val="clear" w:color="auto" w:fill="auto"/>
            <w:noWrap/>
            <w:tcMar>
              <w:top w:w="0" w:type="dxa"/>
              <w:left w:w="57" w:type="dxa"/>
              <w:bottom w:w="0" w:type="dxa"/>
              <w:right w:w="57" w:type="dxa"/>
            </w:tcMar>
          </w:tcPr>
          <w:p w:rsidR="002A0B8C" w:rsidRPr="002A0B8C" w:rsidRDefault="002A0B8C" w:rsidP="002A0B8C">
            <w:pPr>
              <w:pStyle w:val="TableText"/>
              <w:rPr>
                <w:rFonts w:eastAsia="Arial Unicode MS"/>
              </w:rPr>
            </w:pPr>
            <w:r w:rsidRPr="002A0B8C">
              <w:rPr>
                <w:rFonts w:eastAsia="Arial Unicode MS"/>
              </w:rPr>
              <w:t>Sector levy rates (%)</w:t>
            </w:r>
          </w:p>
        </w:tc>
        <w:tc>
          <w:tcPr>
            <w:tcW w:w="549" w:type="pct"/>
            <w:tcBorders>
              <w:top w:val="single" w:sz="4" w:space="0" w:color="auto"/>
              <w:left w:val="nil"/>
              <w:bottom w:val="single" w:sz="4" w:space="0" w:color="A6A6A6" w:themeColor="background1" w:themeShade="A6"/>
              <w:right w:val="nil"/>
            </w:tcBorders>
            <w:shd w:val="clear" w:color="auto" w:fill="auto"/>
            <w:noWrap/>
            <w:tcMar>
              <w:top w:w="0" w:type="dxa"/>
              <w:left w:w="108" w:type="dxa"/>
              <w:bottom w:w="0" w:type="dxa"/>
              <w:right w:w="108" w:type="dxa"/>
            </w:tcMar>
            <w:vAlign w:val="center"/>
          </w:tcPr>
          <w:p w:rsidR="002A0B8C" w:rsidRPr="002A0B8C" w:rsidRDefault="002A0B8C" w:rsidP="002A0B8C">
            <w:pPr>
              <w:pStyle w:val="TableText"/>
              <w:jc w:val="center"/>
              <w:rPr>
                <w:rFonts w:eastAsia="Arial Unicode MS"/>
              </w:rPr>
            </w:pPr>
            <w:r w:rsidRPr="005F7726">
              <w:rPr>
                <w:rFonts w:eastAsia="Arial Unicode MS"/>
              </w:rPr>
              <w:t>0.84</w:t>
            </w:r>
          </w:p>
        </w:tc>
        <w:tc>
          <w:tcPr>
            <w:tcW w:w="549" w:type="pct"/>
            <w:tcBorders>
              <w:top w:val="single" w:sz="4" w:space="0" w:color="auto"/>
              <w:left w:val="nil"/>
              <w:bottom w:val="single" w:sz="4" w:space="0" w:color="A6A6A6" w:themeColor="background1" w:themeShade="A6"/>
              <w:right w:val="nil"/>
            </w:tcBorders>
            <w:shd w:val="clear" w:color="auto" w:fill="auto"/>
            <w:noWrap/>
            <w:tcMar>
              <w:top w:w="0" w:type="dxa"/>
              <w:left w:w="108" w:type="dxa"/>
              <w:bottom w:w="0" w:type="dxa"/>
              <w:right w:w="108" w:type="dxa"/>
            </w:tcMar>
            <w:vAlign w:val="center"/>
          </w:tcPr>
          <w:p w:rsidR="002A0B8C" w:rsidRPr="002A0B8C" w:rsidRDefault="002A0B8C" w:rsidP="002A0B8C">
            <w:pPr>
              <w:pStyle w:val="TableText"/>
              <w:jc w:val="center"/>
              <w:rPr>
                <w:rFonts w:eastAsia="Arial Unicode MS"/>
              </w:rPr>
            </w:pPr>
            <w:r w:rsidRPr="00355F7E">
              <w:rPr>
                <w:rFonts w:eastAsia="Arial Unicode MS"/>
              </w:rPr>
              <w:t>0.53</w:t>
            </w:r>
          </w:p>
        </w:tc>
        <w:tc>
          <w:tcPr>
            <w:tcW w:w="549" w:type="pct"/>
            <w:tcBorders>
              <w:top w:val="single" w:sz="4" w:space="0" w:color="auto"/>
              <w:left w:val="nil"/>
              <w:bottom w:val="single" w:sz="4" w:space="0" w:color="A6A6A6" w:themeColor="background1" w:themeShade="A6"/>
              <w:right w:val="nil"/>
            </w:tcBorders>
            <w:shd w:val="clear" w:color="auto" w:fill="auto"/>
            <w:noWrap/>
            <w:tcMar>
              <w:top w:w="0" w:type="dxa"/>
              <w:left w:w="108" w:type="dxa"/>
              <w:bottom w:w="0" w:type="dxa"/>
              <w:right w:w="108" w:type="dxa"/>
            </w:tcMar>
            <w:vAlign w:val="center"/>
          </w:tcPr>
          <w:p w:rsidR="002A0B8C" w:rsidRPr="002A0B8C" w:rsidRDefault="002A0B8C" w:rsidP="002A0B8C">
            <w:pPr>
              <w:pStyle w:val="TableText"/>
              <w:jc w:val="center"/>
              <w:rPr>
                <w:rFonts w:eastAsia="Arial Unicode MS"/>
              </w:rPr>
            </w:pPr>
            <w:r w:rsidRPr="00355F7E">
              <w:rPr>
                <w:rFonts w:eastAsia="Arial Unicode MS"/>
              </w:rPr>
              <w:t>0.45</w:t>
            </w:r>
          </w:p>
        </w:tc>
        <w:tc>
          <w:tcPr>
            <w:tcW w:w="549" w:type="pct"/>
            <w:tcBorders>
              <w:top w:val="single" w:sz="4" w:space="0" w:color="auto"/>
              <w:left w:val="nil"/>
              <w:bottom w:val="single" w:sz="4" w:space="0" w:color="A6A6A6" w:themeColor="background1" w:themeShade="A6"/>
              <w:right w:val="nil"/>
            </w:tcBorders>
            <w:shd w:val="clear" w:color="auto" w:fill="auto"/>
            <w:vAlign w:val="center"/>
          </w:tcPr>
          <w:p w:rsidR="002A0B8C" w:rsidRPr="002A0B8C" w:rsidRDefault="002A0B8C" w:rsidP="002A0B8C">
            <w:pPr>
              <w:pStyle w:val="TableText"/>
              <w:jc w:val="center"/>
              <w:rPr>
                <w:rFonts w:eastAsia="Arial Unicode MS"/>
              </w:rPr>
            </w:pPr>
            <w:r w:rsidRPr="00355F7E">
              <w:rPr>
                <w:rFonts w:eastAsia="Arial Unicode MS"/>
              </w:rPr>
              <w:t>0.32</w:t>
            </w:r>
          </w:p>
        </w:tc>
      </w:tr>
      <w:tr w:rsidR="002A0B8C" w:rsidRPr="002A0B8C" w:rsidTr="00B30A95">
        <w:trPr>
          <w:cantSplit/>
        </w:trPr>
        <w:tc>
          <w:tcPr>
            <w:tcW w:w="2804" w:type="pct"/>
            <w:tcBorders>
              <w:top w:val="single" w:sz="4" w:space="0" w:color="BFBFBF" w:themeColor="background1" w:themeShade="BF"/>
              <w:bottom w:val="single" w:sz="4" w:space="0" w:color="BFBFBF" w:themeColor="background1" w:themeShade="BF"/>
            </w:tcBorders>
            <w:shd w:val="clear" w:color="auto" w:fill="auto"/>
            <w:noWrap/>
            <w:tcMar>
              <w:top w:w="0" w:type="dxa"/>
              <w:left w:w="57" w:type="dxa"/>
              <w:bottom w:w="0" w:type="dxa"/>
              <w:right w:w="57" w:type="dxa"/>
            </w:tcMar>
          </w:tcPr>
          <w:p w:rsidR="002A0B8C" w:rsidRPr="002A0B8C" w:rsidRDefault="002A0B8C" w:rsidP="002A0B8C">
            <w:pPr>
              <w:pStyle w:val="TableText"/>
              <w:rPr>
                <w:rFonts w:eastAsia="Arial Unicode MS"/>
              </w:rPr>
            </w:pPr>
            <w:r w:rsidRPr="002A0B8C">
              <w:rPr>
                <w:rFonts w:eastAsia="Arial Unicode MS"/>
              </w:rPr>
              <w:t>Expected levy payment ($m)</w:t>
            </w:r>
          </w:p>
        </w:tc>
        <w:tc>
          <w:tcPr>
            <w:tcW w:w="549" w:type="pct"/>
            <w:tcBorders>
              <w:top w:val="single" w:sz="4" w:space="0" w:color="A6A6A6" w:themeColor="background1" w:themeShade="A6"/>
              <w:left w:val="nil"/>
              <w:bottom w:val="single" w:sz="4" w:space="0" w:color="A6A6A6" w:themeColor="background1" w:themeShade="A6"/>
              <w:right w:val="nil"/>
            </w:tcBorders>
            <w:shd w:val="clear" w:color="auto" w:fill="auto"/>
            <w:noWrap/>
            <w:tcMar>
              <w:top w:w="0" w:type="dxa"/>
              <w:left w:w="108" w:type="dxa"/>
              <w:bottom w:w="0" w:type="dxa"/>
              <w:right w:w="108" w:type="dxa"/>
            </w:tcMar>
            <w:vAlign w:val="center"/>
          </w:tcPr>
          <w:p w:rsidR="002A0B8C" w:rsidRPr="002A0B8C" w:rsidRDefault="002A0B8C" w:rsidP="002A0B8C">
            <w:pPr>
              <w:pStyle w:val="TableText"/>
              <w:jc w:val="center"/>
              <w:rPr>
                <w:rFonts w:eastAsia="Arial Unicode MS"/>
              </w:rPr>
            </w:pPr>
            <w:r w:rsidRPr="005F7726">
              <w:rPr>
                <w:rFonts w:eastAsia="Arial Unicode MS"/>
              </w:rPr>
              <w:t>24.734</w:t>
            </w:r>
          </w:p>
        </w:tc>
        <w:tc>
          <w:tcPr>
            <w:tcW w:w="549" w:type="pct"/>
            <w:tcBorders>
              <w:top w:val="single" w:sz="4" w:space="0" w:color="A6A6A6" w:themeColor="background1" w:themeShade="A6"/>
              <w:left w:val="nil"/>
              <w:bottom w:val="single" w:sz="4" w:space="0" w:color="A6A6A6" w:themeColor="background1" w:themeShade="A6"/>
              <w:right w:val="nil"/>
            </w:tcBorders>
            <w:shd w:val="clear" w:color="auto" w:fill="auto"/>
            <w:noWrap/>
            <w:tcMar>
              <w:top w:w="0" w:type="dxa"/>
              <w:left w:w="108" w:type="dxa"/>
              <w:bottom w:w="0" w:type="dxa"/>
              <w:right w:w="108" w:type="dxa"/>
            </w:tcMar>
            <w:vAlign w:val="center"/>
          </w:tcPr>
          <w:p w:rsidR="002A0B8C" w:rsidRPr="002A0B8C" w:rsidRDefault="002A0B8C" w:rsidP="002A0B8C">
            <w:pPr>
              <w:pStyle w:val="TableText"/>
              <w:jc w:val="center"/>
              <w:rPr>
                <w:rFonts w:eastAsia="Arial Unicode MS"/>
              </w:rPr>
            </w:pPr>
            <w:r w:rsidRPr="00355F7E">
              <w:rPr>
                <w:rFonts w:eastAsia="Arial Unicode MS"/>
              </w:rPr>
              <w:t>10.613</w:t>
            </w:r>
          </w:p>
        </w:tc>
        <w:tc>
          <w:tcPr>
            <w:tcW w:w="549" w:type="pct"/>
            <w:tcBorders>
              <w:top w:val="single" w:sz="4" w:space="0" w:color="A6A6A6" w:themeColor="background1" w:themeShade="A6"/>
              <w:left w:val="nil"/>
              <w:bottom w:val="single" w:sz="4" w:space="0" w:color="A6A6A6" w:themeColor="background1" w:themeShade="A6"/>
              <w:right w:val="nil"/>
            </w:tcBorders>
            <w:shd w:val="clear" w:color="auto" w:fill="auto"/>
            <w:noWrap/>
            <w:tcMar>
              <w:top w:w="0" w:type="dxa"/>
              <w:left w:w="108" w:type="dxa"/>
              <w:bottom w:w="0" w:type="dxa"/>
              <w:right w:w="108" w:type="dxa"/>
            </w:tcMar>
            <w:vAlign w:val="center"/>
          </w:tcPr>
          <w:p w:rsidR="002A0B8C" w:rsidRPr="002A0B8C" w:rsidRDefault="002A0B8C" w:rsidP="002A0B8C">
            <w:pPr>
              <w:pStyle w:val="TableText"/>
              <w:jc w:val="center"/>
              <w:rPr>
                <w:rFonts w:eastAsia="Arial Unicode MS"/>
              </w:rPr>
            </w:pPr>
            <w:r w:rsidRPr="005F7726">
              <w:rPr>
                <w:rFonts w:eastAsia="Arial Unicode MS"/>
              </w:rPr>
              <w:t>5.343</w:t>
            </w:r>
          </w:p>
        </w:tc>
        <w:tc>
          <w:tcPr>
            <w:tcW w:w="549" w:type="pct"/>
            <w:tcBorders>
              <w:top w:val="single" w:sz="4" w:space="0" w:color="A6A6A6" w:themeColor="background1" w:themeShade="A6"/>
              <w:left w:val="nil"/>
              <w:bottom w:val="single" w:sz="4" w:space="0" w:color="A6A6A6" w:themeColor="background1" w:themeShade="A6"/>
              <w:right w:val="nil"/>
            </w:tcBorders>
            <w:shd w:val="clear" w:color="auto" w:fill="auto"/>
            <w:vAlign w:val="center"/>
          </w:tcPr>
          <w:p w:rsidR="002A0B8C" w:rsidRPr="002A0B8C" w:rsidRDefault="002A0B8C" w:rsidP="002A0B8C">
            <w:pPr>
              <w:pStyle w:val="TableText"/>
              <w:jc w:val="center"/>
              <w:rPr>
                <w:rFonts w:eastAsia="Arial Unicode MS"/>
              </w:rPr>
            </w:pPr>
            <w:r w:rsidRPr="00355F7E">
              <w:rPr>
                <w:rFonts w:eastAsia="Arial Unicode MS"/>
              </w:rPr>
              <w:t>6.833</w:t>
            </w:r>
          </w:p>
        </w:tc>
      </w:tr>
      <w:tr w:rsidR="002A0B8C" w:rsidRPr="002A0B8C" w:rsidTr="00B30A95">
        <w:trPr>
          <w:cantSplit/>
        </w:trPr>
        <w:tc>
          <w:tcPr>
            <w:tcW w:w="2804" w:type="pct"/>
            <w:tcBorders>
              <w:top w:val="single" w:sz="4" w:space="0" w:color="BFBFBF" w:themeColor="background1" w:themeShade="BF"/>
            </w:tcBorders>
            <w:shd w:val="clear" w:color="auto" w:fill="auto"/>
            <w:noWrap/>
            <w:tcMar>
              <w:top w:w="0" w:type="dxa"/>
              <w:left w:w="57" w:type="dxa"/>
              <w:bottom w:w="0" w:type="dxa"/>
              <w:right w:w="57" w:type="dxa"/>
            </w:tcMar>
          </w:tcPr>
          <w:p w:rsidR="002A0B8C" w:rsidRPr="002A0B8C" w:rsidRDefault="002A0B8C" w:rsidP="002A0B8C">
            <w:pPr>
              <w:pStyle w:val="TableText"/>
              <w:rPr>
                <w:rFonts w:eastAsia="Arial Unicode MS"/>
              </w:rPr>
            </w:pPr>
            <w:r w:rsidRPr="002A0B8C">
              <w:rPr>
                <w:rFonts w:eastAsia="Arial Unicode MS"/>
              </w:rPr>
              <w:t>($m) Comparison with current levy payments (negative = less)</w:t>
            </w:r>
          </w:p>
        </w:tc>
        <w:tc>
          <w:tcPr>
            <w:tcW w:w="549" w:type="pct"/>
            <w:tcBorders>
              <w:top w:val="single" w:sz="4" w:space="0" w:color="A6A6A6" w:themeColor="background1" w:themeShade="A6"/>
              <w:left w:val="nil"/>
              <w:bottom w:val="single" w:sz="4" w:space="0" w:color="auto"/>
              <w:right w:val="nil"/>
            </w:tcBorders>
            <w:shd w:val="clear" w:color="auto" w:fill="auto"/>
            <w:noWrap/>
            <w:tcMar>
              <w:top w:w="0" w:type="dxa"/>
              <w:left w:w="108" w:type="dxa"/>
              <w:bottom w:w="0" w:type="dxa"/>
              <w:right w:w="108" w:type="dxa"/>
            </w:tcMar>
            <w:vAlign w:val="bottom"/>
          </w:tcPr>
          <w:p w:rsidR="002A0B8C" w:rsidRPr="002A0B8C" w:rsidRDefault="002A0B8C" w:rsidP="002A0B8C">
            <w:pPr>
              <w:pStyle w:val="TableText"/>
              <w:jc w:val="center"/>
              <w:rPr>
                <w:rFonts w:eastAsia="Arial Unicode MS"/>
              </w:rPr>
            </w:pPr>
            <w:r w:rsidRPr="005F7726">
              <w:rPr>
                <w:rFonts w:eastAsia="Arial Unicode MS"/>
              </w:rPr>
              <w:t>-6.949</w:t>
            </w:r>
          </w:p>
        </w:tc>
        <w:tc>
          <w:tcPr>
            <w:tcW w:w="549" w:type="pct"/>
            <w:tcBorders>
              <w:top w:val="single" w:sz="4" w:space="0" w:color="A6A6A6" w:themeColor="background1" w:themeShade="A6"/>
              <w:left w:val="nil"/>
              <w:bottom w:val="single" w:sz="4" w:space="0" w:color="auto"/>
              <w:right w:val="nil"/>
            </w:tcBorders>
            <w:shd w:val="clear" w:color="auto" w:fill="auto"/>
            <w:noWrap/>
            <w:tcMar>
              <w:top w:w="0" w:type="dxa"/>
              <w:left w:w="108" w:type="dxa"/>
              <w:bottom w:w="0" w:type="dxa"/>
              <w:right w:w="108" w:type="dxa"/>
            </w:tcMar>
            <w:vAlign w:val="bottom"/>
          </w:tcPr>
          <w:p w:rsidR="002A0B8C" w:rsidRPr="002A0B8C" w:rsidRDefault="002A0B8C" w:rsidP="002A0B8C">
            <w:pPr>
              <w:pStyle w:val="TableText"/>
              <w:jc w:val="center"/>
              <w:rPr>
                <w:rFonts w:eastAsia="Arial Unicode MS"/>
              </w:rPr>
            </w:pPr>
            <w:r w:rsidRPr="00355F7E">
              <w:rPr>
                <w:rFonts w:eastAsia="Arial Unicode MS"/>
              </w:rPr>
              <w:t>-3.445</w:t>
            </w:r>
          </w:p>
        </w:tc>
        <w:tc>
          <w:tcPr>
            <w:tcW w:w="549" w:type="pct"/>
            <w:tcBorders>
              <w:top w:val="single" w:sz="4" w:space="0" w:color="A6A6A6" w:themeColor="background1" w:themeShade="A6"/>
              <w:left w:val="nil"/>
              <w:bottom w:val="single" w:sz="4" w:space="0" w:color="auto"/>
              <w:right w:val="nil"/>
            </w:tcBorders>
            <w:shd w:val="clear" w:color="auto" w:fill="auto"/>
            <w:noWrap/>
            <w:tcMar>
              <w:top w:w="0" w:type="dxa"/>
              <w:left w:w="108" w:type="dxa"/>
              <w:bottom w:w="0" w:type="dxa"/>
              <w:right w:w="108" w:type="dxa"/>
            </w:tcMar>
            <w:vAlign w:val="bottom"/>
          </w:tcPr>
          <w:p w:rsidR="002A0B8C" w:rsidRPr="002A0B8C" w:rsidRDefault="002A0B8C" w:rsidP="002A0B8C">
            <w:pPr>
              <w:pStyle w:val="TableText"/>
              <w:jc w:val="center"/>
              <w:rPr>
                <w:rFonts w:eastAsia="Arial Unicode MS"/>
              </w:rPr>
            </w:pPr>
            <w:r w:rsidRPr="00355F7E">
              <w:rPr>
                <w:rFonts w:eastAsia="Arial Unicode MS"/>
              </w:rPr>
              <w:t>0.195</w:t>
            </w:r>
          </w:p>
        </w:tc>
        <w:tc>
          <w:tcPr>
            <w:tcW w:w="549" w:type="pct"/>
            <w:tcBorders>
              <w:top w:val="single" w:sz="4" w:space="0" w:color="A6A6A6" w:themeColor="background1" w:themeShade="A6"/>
              <w:left w:val="nil"/>
              <w:bottom w:val="single" w:sz="4" w:space="0" w:color="auto"/>
              <w:right w:val="nil"/>
            </w:tcBorders>
            <w:shd w:val="clear" w:color="auto" w:fill="auto"/>
            <w:vAlign w:val="bottom"/>
          </w:tcPr>
          <w:p w:rsidR="002A0B8C" w:rsidRPr="002A0B8C" w:rsidRDefault="002A0B8C" w:rsidP="002A0B8C">
            <w:pPr>
              <w:pStyle w:val="TableText"/>
              <w:jc w:val="center"/>
              <w:rPr>
                <w:rFonts w:eastAsia="Arial Unicode MS"/>
              </w:rPr>
            </w:pPr>
            <w:r w:rsidRPr="00355F7E">
              <w:rPr>
                <w:rFonts w:eastAsia="Arial Unicode MS"/>
              </w:rPr>
              <w:t>1.685</w:t>
            </w:r>
          </w:p>
        </w:tc>
      </w:tr>
    </w:tbl>
    <w:p w:rsidR="00CB68A7" w:rsidRDefault="00CB68A7" w:rsidP="003B6A3A"/>
    <w:p w:rsidR="00CB68A7" w:rsidRPr="00FA4BE0" w:rsidRDefault="00CB68A7" w:rsidP="003B6A3A">
      <w:pPr>
        <w:pStyle w:val="Table"/>
      </w:pPr>
      <w:bookmarkStart w:id="237" w:name="_Toc517091251"/>
      <w:bookmarkStart w:id="238" w:name="_Toc522089455"/>
      <w:r w:rsidRPr="00FA4BE0">
        <w:lastRenderedPageBreak/>
        <w:t xml:space="preserve">Table </w:t>
      </w:r>
      <w:r>
        <w:t>26</w:t>
      </w:r>
      <w:r w:rsidRPr="00FA4BE0">
        <w:t>: Estimated levy rates and payments ($m) per sector: 20/80 weighting</w:t>
      </w:r>
      <w:bookmarkEnd w:id="237"/>
      <w:bookmarkEnd w:id="238"/>
    </w:p>
    <w:tbl>
      <w:tblPr>
        <w:tblW w:w="5000" w:type="pct"/>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5124"/>
        <w:gridCol w:w="1003"/>
        <w:gridCol w:w="1003"/>
        <w:gridCol w:w="1003"/>
        <w:gridCol w:w="1222"/>
      </w:tblGrid>
      <w:tr w:rsidR="000E397F" w:rsidRPr="000E397F" w:rsidTr="005F7726">
        <w:trPr>
          <w:cantSplit/>
        </w:trPr>
        <w:tc>
          <w:tcPr>
            <w:tcW w:w="2738" w:type="pct"/>
            <w:tcBorders>
              <w:top w:val="single" w:sz="4" w:space="0" w:color="auto"/>
              <w:bottom w:val="single" w:sz="4" w:space="0" w:color="auto"/>
            </w:tcBorders>
            <w:shd w:val="clear" w:color="auto" w:fill="auto"/>
            <w:tcMar>
              <w:top w:w="0" w:type="dxa"/>
              <w:left w:w="57" w:type="dxa"/>
              <w:bottom w:w="0" w:type="dxa"/>
              <w:right w:w="57" w:type="dxa"/>
            </w:tcMar>
          </w:tcPr>
          <w:p w:rsidR="00CB68A7" w:rsidRPr="000E397F" w:rsidRDefault="00CB68A7" w:rsidP="00B30A95">
            <w:pPr>
              <w:pStyle w:val="TableText"/>
              <w:keepNext/>
              <w:rPr>
                <w:rFonts w:eastAsia="Arial Unicode MS"/>
                <w:b/>
              </w:rPr>
            </w:pPr>
            <w:r w:rsidRPr="000E397F">
              <w:rPr>
                <w:rFonts w:eastAsia="Arial Unicode MS"/>
                <w:b/>
              </w:rPr>
              <w:t>Collection period starts 1 July 2019 (all GST exclusive)</w:t>
            </w:r>
          </w:p>
        </w:tc>
        <w:tc>
          <w:tcPr>
            <w:tcW w:w="536" w:type="pct"/>
            <w:tcBorders>
              <w:top w:val="single" w:sz="4" w:space="0" w:color="auto"/>
              <w:bottom w:val="single" w:sz="4" w:space="0" w:color="auto"/>
            </w:tcBorders>
            <w:shd w:val="clear" w:color="auto" w:fill="auto"/>
            <w:tcMar>
              <w:top w:w="0" w:type="dxa"/>
              <w:left w:w="108" w:type="dxa"/>
              <w:bottom w:w="0" w:type="dxa"/>
              <w:right w:w="108" w:type="dxa"/>
            </w:tcMar>
          </w:tcPr>
          <w:p w:rsidR="00CB68A7" w:rsidRPr="000E397F" w:rsidRDefault="00CB68A7" w:rsidP="00B30A95">
            <w:pPr>
              <w:pStyle w:val="TableText"/>
              <w:keepNext/>
              <w:jc w:val="center"/>
              <w:rPr>
                <w:rFonts w:eastAsia="Arial Unicode MS"/>
                <w:b/>
              </w:rPr>
            </w:pPr>
            <w:r w:rsidRPr="000E397F">
              <w:rPr>
                <w:rFonts w:eastAsia="Arial Unicode MS"/>
                <w:b/>
              </w:rPr>
              <w:t>NCGMs</w:t>
            </w:r>
          </w:p>
        </w:tc>
        <w:tc>
          <w:tcPr>
            <w:tcW w:w="536" w:type="pct"/>
            <w:tcBorders>
              <w:top w:val="single" w:sz="4" w:space="0" w:color="auto"/>
              <w:bottom w:val="single" w:sz="4" w:space="0" w:color="auto"/>
            </w:tcBorders>
            <w:shd w:val="clear" w:color="auto" w:fill="auto"/>
            <w:tcMar>
              <w:top w:w="0" w:type="dxa"/>
              <w:left w:w="108" w:type="dxa"/>
              <w:bottom w:w="0" w:type="dxa"/>
              <w:right w:w="108" w:type="dxa"/>
            </w:tcMar>
          </w:tcPr>
          <w:p w:rsidR="00CB68A7" w:rsidRPr="000E397F" w:rsidRDefault="00CB68A7" w:rsidP="00B30A95">
            <w:pPr>
              <w:pStyle w:val="TableText"/>
              <w:keepNext/>
              <w:jc w:val="center"/>
              <w:rPr>
                <w:rFonts w:eastAsia="Arial Unicode MS"/>
                <w:b/>
              </w:rPr>
            </w:pPr>
            <w:r w:rsidRPr="000E397F">
              <w:rPr>
                <w:rFonts w:eastAsia="Arial Unicode MS"/>
                <w:b/>
              </w:rPr>
              <w:t>Casinos</w:t>
            </w:r>
          </w:p>
        </w:tc>
        <w:tc>
          <w:tcPr>
            <w:tcW w:w="536" w:type="pct"/>
            <w:tcBorders>
              <w:top w:val="single" w:sz="4" w:space="0" w:color="auto"/>
              <w:bottom w:val="single" w:sz="4" w:space="0" w:color="auto"/>
            </w:tcBorders>
            <w:shd w:val="clear" w:color="auto" w:fill="auto"/>
            <w:tcMar>
              <w:top w:w="0" w:type="dxa"/>
              <w:left w:w="108" w:type="dxa"/>
              <w:bottom w:w="0" w:type="dxa"/>
              <w:right w:w="108" w:type="dxa"/>
            </w:tcMar>
          </w:tcPr>
          <w:p w:rsidR="00CB68A7" w:rsidRPr="000E397F" w:rsidRDefault="00CB68A7" w:rsidP="00B30A95">
            <w:pPr>
              <w:pStyle w:val="TableText"/>
              <w:keepNext/>
              <w:jc w:val="center"/>
              <w:rPr>
                <w:rFonts w:eastAsia="Arial Unicode MS"/>
                <w:b/>
              </w:rPr>
            </w:pPr>
            <w:r w:rsidRPr="000E397F">
              <w:rPr>
                <w:rFonts w:eastAsia="Arial Unicode MS"/>
                <w:b/>
              </w:rPr>
              <w:t>NZRB</w:t>
            </w:r>
          </w:p>
        </w:tc>
        <w:tc>
          <w:tcPr>
            <w:tcW w:w="653" w:type="pct"/>
            <w:tcBorders>
              <w:top w:val="single" w:sz="4" w:space="0" w:color="auto"/>
              <w:bottom w:val="single" w:sz="4" w:space="0" w:color="auto"/>
            </w:tcBorders>
            <w:shd w:val="clear" w:color="auto" w:fill="auto"/>
          </w:tcPr>
          <w:p w:rsidR="00CB68A7" w:rsidRPr="000E397F" w:rsidRDefault="00CB68A7" w:rsidP="00B30A95">
            <w:pPr>
              <w:pStyle w:val="TableText"/>
              <w:keepNext/>
              <w:jc w:val="center"/>
              <w:rPr>
                <w:rFonts w:eastAsia="Arial Unicode MS"/>
                <w:b/>
              </w:rPr>
            </w:pPr>
            <w:r w:rsidRPr="000E397F">
              <w:rPr>
                <w:rFonts w:eastAsia="Arial Unicode MS"/>
                <w:b/>
              </w:rPr>
              <w:t>NZLC</w:t>
            </w:r>
          </w:p>
        </w:tc>
      </w:tr>
      <w:tr w:rsidR="002A0B8C" w:rsidRPr="00035132" w:rsidTr="00B30A95">
        <w:trPr>
          <w:cantSplit/>
        </w:trPr>
        <w:tc>
          <w:tcPr>
            <w:tcW w:w="2738" w:type="pct"/>
            <w:tcBorders>
              <w:top w:val="single" w:sz="4" w:space="0" w:color="auto"/>
              <w:bottom w:val="single" w:sz="4" w:space="0" w:color="BFBFBF" w:themeColor="background1" w:themeShade="BF"/>
            </w:tcBorders>
            <w:shd w:val="clear" w:color="auto" w:fill="auto"/>
            <w:tcMar>
              <w:top w:w="0" w:type="dxa"/>
              <w:left w:w="57" w:type="dxa"/>
              <w:bottom w:w="0" w:type="dxa"/>
              <w:right w:w="57" w:type="dxa"/>
            </w:tcMar>
          </w:tcPr>
          <w:p w:rsidR="002A0B8C" w:rsidRPr="002A0B8C" w:rsidRDefault="002A0B8C" w:rsidP="002A0B8C">
            <w:pPr>
              <w:pStyle w:val="TableText"/>
              <w:rPr>
                <w:rFonts w:eastAsia="Arial Unicode MS"/>
              </w:rPr>
            </w:pPr>
            <w:r w:rsidRPr="002A0B8C">
              <w:rPr>
                <w:rFonts w:eastAsia="Arial Unicode MS"/>
              </w:rPr>
              <w:t>Sector levy rates (%)</w:t>
            </w:r>
          </w:p>
        </w:tc>
        <w:tc>
          <w:tcPr>
            <w:tcW w:w="536" w:type="pct"/>
            <w:tcBorders>
              <w:top w:val="single" w:sz="4" w:space="0" w:color="auto"/>
              <w:left w:val="nil"/>
              <w:bottom w:val="single" w:sz="4" w:space="0" w:color="A6A6A6" w:themeColor="background1" w:themeShade="A6"/>
              <w:right w:val="nil"/>
            </w:tcBorders>
            <w:shd w:val="clear" w:color="auto" w:fill="auto"/>
            <w:noWrap/>
            <w:tcMar>
              <w:top w:w="0" w:type="dxa"/>
              <w:left w:w="108" w:type="dxa"/>
              <w:bottom w:w="0" w:type="dxa"/>
              <w:right w:w="108" w:type="dxa"/>
            </w:tcMar>
            <w:vAlign w:val="center"/>
          </w:tcPr>
          <w:p w:rsidR="002A0B8C" w:rsidRPr="00355F7E" w:rsidRDefault="002A0B8C" w:rsidP="002A0B8C">
            <w:pPr>
              <w:pStyle w:val="TableText"/>
              <w:jc w:val="center"/>
              <w:rPr>
                <w:rFonts w:eastAsia="Arial Unicode MS"/>
              </w:rPr>
            </w:pPr>
            <w:r w:rsidRPr="00355F7E">
              <w:rPr>
                <w:rFonts w:eastAsia="Arial Unicode MS"/>
              </w:rPr>
              <w:t>0.81</w:t>
            </w:r>
          </w:p>
        </w:tc>
        <w:tc>
          <w:tcPr>
            <w:tcW w:w="536" w:type="pct"/>
            <w:tcBorders>
              <w:top w:val="single" w:sz="4" w:space="0" w:color="auto"/>
              <w:left w:val="nil"/>
              <w:bottom w:val="single" w:sz="4" w:space="0" w:color="A6A6A6" w:themeColor="background1" w:themeShade="A6"/>
              <w:right w:val="nil"/>
            </w:tcBorders>
            <w:shd w:val="clear" w:color="auto" w:fill="auto"/>
            <w:noWrap/>
            <w:tcMar>
              <w:top w:w="0" w:type="dxa"/>
              <w:left w:w="108" w:type="dxa"/>
              <w:bottom w:w="0" w:type="dxa"/>
              <w:right w:w="108" w:type="dxa"/>
            </w:tcMar>
            <w:vAlign w:val="center"/>
          </w:tcPr>
          <w:p w:rsidR="002A0B8C" w:rsidRPr="00355F7E" w:rsidRDefault="002A0B8C" w:rsidP="002A0B8C">
            <w:pPr>
              <w:pStyle w:val="TableText"/>
              <w:jc w:val="center"/>
              <w:rPr>
                <w:rFonts w:eastAsia="Arial Unicode MS"/>
              </w:rPr>
            </w:pPr>
            <w:r w:rsidRPr="00355F7E">
              <w:rPr>
                <w:rFonts w:eastAsia="Arial Unicode MS"/>
              </w:rPr>
              <w:t>0.54</w:t>
            </w:r>
          </w:p>
        </w:tc>
        <w:tc>
          <w:tcPr>
            <w:tcW w:w="536" w:type="pct"/>
            <w:tcBorders>
              <w:top w:val="single" w:sz="4" w:space="0" w:color="auto"/>
              <w:left w:val="nil"/>
              <w:bottom w:val="single" w:sz="4" w:space="0" w:color="A6A6A6" w:themeColor="background1" w:themeShade="A6"/>
              <w:right w:val="nil"/>
            </w:tcBorders>
            <w:shd w:val="clear" w:color="auto" w:fill="auto"/>
            <w:noWrap/>
            <w:tcMar>
              <w:top w:w="0" w:type="dxa"/>
              <w:left w:w="108" w:type="dxa"/>
              <w:bottom w:w="0" w:type="dxa"/>
              <w:right w:w="108" w:type="dxa"/>
            </w:tcMar>
            <w:vAlign w:val="center"/>
          </w:tcPr>
          <w:p w:rsidR="002A0B8C" w:rsidRPr="00355F7E" w:rsidRDefault="002A0B8C" w:rsidP="002A0B8C">
            <w:pPr>
              <w:pStyle w:val="TableText"/>
              <w:jc w:val="center"/>
              <w:rPr>
                <w:rFonts w:eastAsia="Arial Unicode MS"/>
              </w:rPr>
            </w:pPr>
            <w:r w:rsidRPr="00355F7E">
              <w:rPr>
                <w:rFonts w:eastAsia="Arial Unicode MS"/>
              </w:rPr>
              <w:t>0.48</w:t>
            </w:r>
          </w:p>
        </w:tc>
        <w:tc>
          <w:tcPr>
            <w:tcW w:w="653" w:type="pct"/>
            <w:tcBorders>
              <w:top w:val="single" w:sz="4" w:space="0" w:color="auto"/>
              <w:left w:val="nil"/>
              <w:bottom w:val="single" w:sz="4" w:space="0" w:color="A6A6A6" w:themeColor="background1" w:themeShade="A6"/>
              <w:right w:val="nil"/>
            </w:tcBorders>
            <w:shd w:val="clear" w:color="auto" w:fill="auto"/>
            <w:vAlign w:val="center"/>
          </w:tcPr>
          <w:p w:rsidR="002A0B8C" w:rsidRPr="00355F7E" w:rsidRDefault="002A0B8C" w:rsidP="002A0B8C">
            <w:pPr>
              <w:pStyle w:val="TableText"/>
              <w:jc w:val="center"/>
              <w:rPr>
                <w:rFonts w:eastAsia="Arial Unicode MS"/>
              </w:rPr>
            </w:pPr>
            <w:r w:rsidRPr="00355F7E">
              <w:rPr>
                <w:rFonts w:eastAsia="Arial Unicode MS"/>
              </w:rPr>
              <w:t>0.34</w:t>
            </w:r>
          </w:p>
        </w:tc>
      </w:tr>
      <w:tr w:rsidR="002A0B8C" w:rsidRPr="00035132" w:rsidTr="00B30A95">
        <w:trPr>
          <w:cantSplit/>
        </w:trPr>
        <w:tc>
          <w:tcPr>
            <w:tcW w:w="2738" w:type="pct"/>
            <w:tcBorders>
              <w:top w:val="single" w:sz="4" w:space="0" w:color="BFBFBF" w:themeColor="background1" w:themeShade="BF"/>
              <w:bottom w:val="single" w:sz="4" w:space="0" w:color="BFBFBF" w:themeColor="background1" w:themeShade="BF"/>
            </w:tcBorders>
            <w:shd w:val="clear" w:color="auto" w:fill="auto"/>
            <w:tcMar>
              <w:top w:w="0" w:type="dxa"/>
              <w:left w:w="57" w:type="dxa"/>
              <w:bottom w:w="0" w:type="dxa"/>
              <w:right w:w="57" w:type="dxa"/>
            </w:tcMar>
          </w:tcPr>
          <w:p w:rsidR="002A0B8C" w:rsidRPr="002A0B8C" w:rsidRDefault="002A0B8C" w:rsidP="002A0B8C">
            <w:pPr>
              <w:pStyle w:val="TableText"/>
              <w:rPr>
                <w:rFonts w:eastAsia="Arial Unicode MS"/>
              </w:rPr>
            </w:pPr>
            <w:r w:rsidRPr="002A0B8C">
              <w:rPr>
                <w:rFonts w:eastAsia="Arial Unicode MS"/>
              </w:rPr>
              <w:t>Expected levy payment ($m)</w:t>
            </w:r>
          </w:p>
        </w:tc>
        <w:tc>
          <w:tcPr>
            <w:tcW w:w="536" w:type="pct"/>
            <w:tcBorders>
              <w:top w:val="single" w:sz="4" w:space="0" w:color="A6A6A6" w:themeColor="background1" w:themeShade="A6"/>
              <w:left w:val="nil"/>
              <w:bottom w:val="single" w:sz="4" w:space="0" w:color="A6A6A6" w:themeColor="background1" w:themeShade="A6"/>
              <w:right w:val="nil"/>
            </w:tcBorders>
            <w:shd w:val="clear" w:color="auto" w:fill="auto"/>
            <w:noWrap/>
            <w:tcMar>
              <w:top w:w="0" w:type="dxa"/>
              <w:left w:w="108" w:type="dxa"/>
              <w:bottom w:w="0" w:type="dxa"/>
              <w:right w:w="108" w:type="dxa"/>
            </w:tcMar>
            <w:vAlign w:val="center"/>
          </w:tcPr>
          <w:p w:rsidR="002A0B8C" w:rsidRPr="00355F7E" w:rsidRDefault="002A0B8C" w:rsidP="002A0B8C">
            <w:pPr>
              <w:pStyle w:val="TableText"/>
              <w:jc w:val="center"/>
              <w:rPr>
                <w:rFonts w:eastAsia="Arial Unicode MS"/>
              </w:rPr>
            </w:pPr>
            <w:r w:rsidRPr="00355F7E">
              <w:rPr>
                <w:rFonts w:eastAsia="Arial Unicode MS"/>
              </w:rPr>
              <w:t>23.850</w:t>
            </w:r>
          </w:p>
        </w:tc>
        <w:tc>
          <w:tcPr>
            <w:tcW w:w="536" w:type="pct"/>
            <w:tcBorders>
              <w:top w:val="single" w:sz="4" w:space="0" w:color="A6A6A6" w:themeColor="background1" w:themeShade="A6"/>
              <w:left w:val="nil"/>
              <w:bottom w:val="single" w:sz="4" w:space="0" w:color="A6A6A6" w:themeColor="background1" w:themeShade="A6"/>
              <w:right w:val="nil"/>
            </w:tcBorders>
            <w:shd w:val="clear" w:color="auto" w:fill="auto"/>
            <w:noWrap/>
            <w:tcMar>
              <w:top w:w="0" w:type="dxa"/>
              <w:left w:w="108" w:type="dxa"/>
              <w:bottom w:w="0" w:type="dxa"/>
              <w:right w:w="108" w:type="dxa"/>
            </w:tcMar>
            <w:vAlign w:val="center"/>
          </w:tcPr>
          <w:p w:rsidR="002A0B8C" w:rsidRPr="00355F7E" w:rsidRDefault="002A0B8C" w:rsidP="002A0B8C">
            <w:pPr>
              <w:pStyle w:val="TableText"/>
              <w:jc w:val="center"/>
              <w:rPr>
                <w:rFonts w:eastAsia="Arial Unicode MS"/>
              </w:rPr>
            </w:pPr>
            <w:r w:rsidRPr="00355F7E">
              <w:rPr>
                <w:rFonts w:eastAsia="Arial Unicode MS"/>
              </w:rPr>
              <w:t>10.813</w:t>
            </w:r>
          </w:p>
        </w:tc>
        <w:tc>
          <w:tcPr>
            <w:tcW w:w="536" w:type="pct"/>
            <w:tcBorders>
              <w:top w:val="single" w:sz="4" w:space="0" w:color="A6A6A6" w:themeColor="background1" w:themeShade="A6"/>
              <w:left w:val="nil"/>
              <w:bottom w:val="single" w:sz="4" w:space="0" w:color="A6A6A6" w:themeColor="background1" w:themeShade="A6"/>
              <w:right w:val="nil"/>
            </w:tcBorders>
            <w:shd w:val="clear" w:color="auto" w:fill="auto"/>
            <w:noWrap/>
            <w:tcMar>
              <w:top w:w="0" w:type="dxa"/>
              <w:left w:w="108" w:type="dxa"/>
              <w:bottom w:w="0" w:type="dxa"/>
              <w:right w:w="108" w:type="dxa"/>
            </w:tcMar>
            <w:vAlign w:val="center"/>
          </w:tcPr>
          <w:p w:rsidR="002A0B8C" w:rsidRPr="00355F7E" w:rsidRDefault="002A0B8C" w:rsidP="002A0B8C">
            <w:pPr>
              <w:pStyle w:val="TableText"/>
              <w:jc w:val="center"/>
              <w:rPr>
                <w:rFonts w:eastAsia="Arial Unicode MS"/>
              </w:rPr>
            </w:pPr>
            <w:r w:rsidRPr="00355F7E">
              <w:rPr>
                <w:rFonts w:eastAsia="Arial Unicode MS"/>
              </w:rPr>
              <w:t>5.699</w:t>
            </w:r>
          </w:p>
        </w:tc>
        <w:tc>
          <w:tcPr>
            <w:tcW w:w="653" w:type="pct"/>
            <w:tcBorders>
              <w:top w:val="single" w:sz="4" w:space="0" w:color="A6A6A6" w:themeColor="background1" w:themeShade="A6"/>
              <w:left w:val="nil"/>
              <w:bottom w:val="single" w:sz="4" w:space="0" w:color="A6A6A6" w:themeColor="background1" w:themeShade="A6"/>
              <w:right w:val="nil"/>
            </w:tcBorders>
            <w:shd w:val="clear" w:color="auto" w:fill="auto"/>
            <w:vAlign w:val="center"/>
          </w:tcPr>
          <w:p w:rsidR="002A0B8C" w:rsidRPr="00355F7E" w:rsidRDefault="002A0B8C" w:rsidP="002A0B8C">
            <w:pPr>
              <w:pStyle w:val="TableText"/>
              <w:jc w:val="center"/>
              <w:rPr>
                <w:rFonts w:eastAsia="Arial Unicode MS"/>
              </w:rPr>
            </w:pPr>
            <w:r w:rsidRPr="00355F7E">
              <w:rPr>
                <w:rFonts w:eastAsia="Arial Unicode MS"/>
              </w:rPr>
              <w:t>7.260</w:t>
            </w:r>
          </w:p>
        </w:tc>
      </w:tr>
      <w:tr w:rsidR="002A0B8C" w:rsidRPr="00035132" w:rsidTr="00B30A95">
        <w:trPr>
          <w:cantSplit/>
        </w:trPr>
        <w:tc>
          <w:tcPr>
            <w:tcW w:w="2738" w:type="pct"/>
            <w:tcBorders>
              <w:top w:val="single" w:sz="4" w:space="0" w:color="BFBFBF" w:themeColor="background1" w:themeShade="BF"/>
            </w:tcBorders>
            <w:shd w:val="clear" w:color="auto" w:fill="auto"/>
            <w:tcMar>
              <w:top w:w="0" w:type="dxa"/>
              <w:left w:w="57" w:type="dxa"/>
              <w:bottom w:w="0" w:type="dxa"/>
              <w:right w:w="57" w:type="dxa"/>
            </w:tcMar>
          </w:tcPr>
          <w:p w:rsidR="002A0B8C" w:rsidRPr="002A0B8C" w:rsidRDefault="002A0B8C" w:rsidP="002A0B8C">
            <w:pPr>
              <w:pStyle w:val="TableText"/>
              <w:rPr>
                <w:rFonts w:eastAsia="Arial Unicode MS"/>
              </w:rPr>
            </w:pPr>
            <w:r w:rsidRPr="002A0B8C">
              <w:rPr>
                <w:rFonts w:eastAsia="Arial Unicode MS"/>
              </w:rPr>
              <w:t>($m) Comparison with current levy payments (negative = less)</w:t>
            </w:r>
          </w:p>
        </w:tc>
        <w:tc>
          <w:tcPr>
            <w:tcW w:w="536" w:type="pct"/>
            <w:tcBorders>
              <w:top w:val="single" w:sz="4" w:space="0" w:color="A6A6A6" w:themeColor="background1" w:themeShade="A6"/>
              <w:left w:val="nil"/>
              <w:bottom w:val="single" w:sz="4" w:space="0" w:color="auto"/>
              <w:right w:val="nil"/>
            </w:tcBorders>
            <w:shd w:val="clear" w:color="auto" w:fill="auto"/>
            <w:noWrap/>
            <w:tcMar>
              <w:top w:w="0" w:type="dxa"/>
              <w:left w:w="108" w:type="dxa"/>
              <w:bottom w:w="0" w:type="dxa"/>
              <w:right w:w="108" w:type="dxa"/>
            </w:tcMar>
            <w:vAlign w:val="bottom"/>
          </w:tcPr>
          <w:p w:rsidR="002A0B8C" w:rsidRPr="00355F7E" w:rsidRDefault="002A0B8C" w:rsidP="002A0B8C">
            <w:pPr>
              <w:pStyle w:val="TableText"/>
              <w:jc w:val="center"/>
              <w:rPr>
                <w:rFonts w:eastAsia="Arial Unicode MS"/>
              </w:rPr>
            </w:pPr>
            <w:r w:rsidRPr="00355F7E">
              <w:rPr>
                <w:rFonts w:eastAsia="Arial Unicode MS"/>
              </w:rPr>
              <w:t>-7.833</w:t>
            </w:r>
          </w:p>
        </w:tc>
        <w:tc>
          <w:tcPr>
            <w:tcW w:w="536" w:type="pct"/>
            <w:tcBorders>
              <w:top w:val="single" w:sz="4" w:space="0" w:color="A6A6A6" w:themeColor="background1" w:themeShade="A6"/>
              <w:left w:val="nil"/>
              <w:bottom w:val="single" w:sz="4" w:space="0" w:color="auto"/>
              <w:right w:val="nil"/>
            </w:tcBorders>
            <w:shd w:val="clear" w:color="auto" w:fill="auto"/>
            <w:noWrap/>
            <w:tcMar>
              <w:top w:w="0" w:type="dxa"/>
              <w:left w:w="108" w:type="dxa"/>
              <w:bottom w:w="0" w:type="dxa"/>
              <w:right w:w="108" w:type="dxa"/>
            </w:tcMar>
            <w:vAlign w:val="bottom"/>
          </w:tcPr>
          <w:p w:rsidR="002A0B8C" w:rsidRPr="00355F7E" w:rsidRDefault="002A0B8C" w:rsidP="002A0B8C">
            <w:pPr>
              <w:pStyle w:val="TableText"/>
              <w:jc w:val="center"/>
              <w:rPr>
                <w:rFonts w:eastAsia="Arial Unicode MS"/>
              </w:rPr>
            </w:pPr>
            <w:r w:rsidRPr="00355F7E">
              <w:rPr>
                <w:rFonts w:eastAsia="Arial Unicode MS"/>
              </w:rPr>
              <w:t>-3.245</w:t>
            </w:r>
          </w:p>
        </w:tc>
        <w:tc>
          <w:tcPr>
            <w:tcW w:w="536" w:type="pct"/>
            <w:tcBorders>
              <w:top w:val="single" w:sz="4" w:space="0" w:color="A6A6A6" w:themeColor="background1" w:themeShade="A6"/>
              <w:left w:val="nil"/>
              <w:bottom w:val="single" w:sz="4" w:space="0" w:color="auto"/>
              <w:right w:val="nil"/>
            </w:tcBorders>
            <w:shd w:val="clear" w:color="auto" w:fill="auto"/>
            <w:noWrap/>
            <w:tcMar>
              <w:top w:w="0" w:type="dxa"/>
              <w:left w:w="108" w:type="dxa"/>
              <w:bottom w:w="0" w:type="dxa"/>
              <w:right w:w="108" w:type="dxa"/>
            </w:tcMar>
            <w:vAlign w:val="bottom"/>
          </w:tcPr>
          <w:p w:rsidR="002A0B8C" w:rsidRPr="00355F7E" w:rsidRDefault="002A0B8C" w:rsidP="002A0B8C">
            <w:pPr>
              <w:pStyle w:val="TableText"/>
              <w:jc w:val="center"/>
              <w:rPr>
                <w:rFonts w:eastAsia="Arial Unicode MS"/>
              </w:rPr>
            </w:pPr>
            <w:r w:rsidRPr="00355F7E">
              <w:rPr>
                <w:rFonts w:eastAsia="Arial Unicode MS"/>
              </w:rPr>
              <w:t>0.551</w:t>
            </w:r>
          </w:p>
        </w:tc>
        <w:tc>
          <w:tcPr>
            <w:tcW w:w="653" w:type="pct"/>
            <w:tcBorders>
              <w:top w:val="single" w:sz="4" w:space="0" w:color="A6A6A6" w:themeColor="background1" w:themeShade="A6"/>
              <w:left w:val="nil"/>
              <w:bottom w:val="single" w:sz="4" w:space="0" w:color="auto"/>
              <w:right w:val="nil"/>
            </w:tcBorders>
            <w:shd w:val="clear" w:color="auto" w:fill="auto"/>
            <w:vAlign w:val="bottom"/>
          </w:tcPr>
          <w:p w:rsidR="002A0B8C" w:rsidRPr="00355F7E" w:rsidRDefault="002A0B8C" w:rsidP="002A0B8C">
            <w:pPr>
              <w:pStyle w:val="TableText"/>
              <w:jc w:val="center"/>
              <w:rPr>
                <w:rFonts w:eastAsia="Arial Unicode MS"/>
              </w:rPr>
            </w:pPr>
            <w:r w:rsidRPr="00355F7E">
              <w:rPr>
                <w:rFonts w:eastAsia="Arial Unicode MS"/>
              </w:rPr>
              <w:t>2.119</w:t>
            </w:r>
          </w:p>
        </w:tc>
      </w:tr>
    </w:tbl>
    <w:p w:rsidR="00EC3578" w:rsidRDefault="00EC3578" w:rsidP="003B6A3A"/>
    <w:p w:rsidR="00CB68A7" w:rsidRPr="00FA4BE0" w:rsidRDefault="00CB68A7" w:rsidP="003B6A3A">
      <w:pPr>
        <w:pStyle w:val="Table"/>
      </w:pPr>
      <w:bookmarkStart w:id="239" w:name="_Toc517091252"/>
      <w:bookmarkStart w:id="240" w:name="_Toc522089456"/>
      <w:r w:rsidRPr="00FA4BE0">
        <w:t>Table</w:t>
      </w:r>
      <w:r>
        <w:t xml:space="preserve"> 27</w:t>
      </w:r>
      <w:r w:rsidRPr="00FA4BE0">
        <w:t>: Estimated levy rates and payments ($m) per sector: 30/70 weighting</w:t>
      </w:r>
      <w:bookmarkEnd w:id="239"/>
      <w:bookmarkEnd w:id="240"/>
    </w:p>
    <w:tbl>
      <w:tblPr>
        <w:tblW w:w="4971" w:type="pct"/>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5185"/>
        <w:gridCol w:w="1029"/>
        <w:gridCol w:w="1029"/>
        <w:gridCol w:w="1029"/>
        <w:gridCol w:w="1029"/>
      </w:tblGrid>
      <w:tr w:rsidR="000E397F" w:rsidRPr="000E397F" w:rsidTr="00355F7E">
        <w:trPr>
          <w:cantSplit/>
        </w:trPr>
        <w:tc>
          <w:tcPr>
            <w:tcW w:w="2787" w:type="pct"/>
            <w:tcBorders>
              <w:top w:val="single" w:sz="4" w:space="0" w:color="auto"/>
              <w:bottom w:val="single" w:sz="4" w:space="0" w:color="auto"/>
            </w:tcBorders>
            <w:shd w:val="clear" w:color="auto" w:fill="auto"/>
            <w:tcMar>
              <w:top w:w="0" w:type="dxa"/>
              <w:left w:w="57" w:type="dxa"/>
              <w:bottom w:w="0" w:type="dxa"/>
              <w:right w:w="57" w:type="dxa"/>
            </w:tcMar>
          </w:tcPr>
          <w:p w:rsidR="00CB68A7" w:rsidRPr="000E397F" w:rsidRDefault="00CB68A7" w:rsidP="00B30A95">
            <w:pPr>
              <w:pStyle w:val="TableText"/>
              <w:rPr>
                <w:rFonts w:eastAsia="Arial Unicode MS"/>
                <w:b/>
              </w:rPr>
            </w:pPr>
            <w:r w:rsidRPr="000E397F">
              <w:rPr>
                <w:rFonts w:eastAsia="Arial Unicode MS"/>
                <w:b/>
              </w:rPr>
              <w:t>Collection period starts 1 July 2019 (all GST exclusive)</w:t>
            </w:r>
          </w:p>
        </w:tc>
        <w:tc>
          <w:tcPr>
            <w:tcW w:w="553" w:type="pct"/>
            <w:tcBorders>
              <w:top w:val="single" w:sz="4" w:space="0" w:color="auto"/>
              <w:bottom w:val="single" w:sz="4" w:space="0" w:color="auto"/>
            </w:tcBorders>
            <w:shd w:val="clear" w:color="auto" w:fill="auto"/>
            <w:tcMar>
              <w:top w:w="0" w:type="dxa"/>
              <w:left w:w="108" w:type="dxa"/>
              <w:bottom w:w="0" w:type="dxa"/>
              <w:right w:w="108" w:type="dxa"/>
            </w:tcMar>
          </w:tcPr>
          <w:p w:rsidR="00CB68A7" w:rsidRPr="000E397F" w:rsidRDefault="00CB68A7" w:rsidP="00B30A95">
            <w:pPr>
              <w:pStyle w:val="TableText"/>
              <w:jc w:val="center"/>
              <w:rPr>
                <w:rFonts w:eastAsia="Arial Unicode MS"/>
                <w:b/>
              </w:rPr>
            </w:pPr>
            <w:r w:rsidRPr="000E397F">
              <w:rPr>
                <w:rFonts w:eastAsia="Arial Unicode MS"/>
                <w:b/>
              </w:rPr>
              <w:t>NCGMs</w:t>
            </w:r>
          </w:p>
        </w:tc>
        <w:tc>
          <w:tcPr>
            <w:tcW w:w="553" w:type="pct"/>
            <w:tcBorders>
              <w:top w:val="single" w:sz="4" w:space="0" w:color="auto"/>
              <w:bottom w:val="single" w:sz="4" w:space="0" w:color="auto"/>
            </w:tcBorders>
            <w:shd w:val="clear" w:color="auto" w:fill="auto"/>
            <w:tcMar>
              <w:top w:w="0" w:type="dxa"/>
              <w:left w:w="108" w:type="dxa"/>
              <w:bottom w:w="0" w:type="dxa"/>
              <w:right w:w="108" w:type="dxa"/>
            </w:tcMar>
          </w:tcPr>
          <w:p w:rsidR="00CB68A7" w:rsidRPr="000E397F" w:rsidRDefault="00CB68A7" w:rsidP="00B30A95">
            <w:pPr>
              <w:pStyle w:val="TableText"/>
              <w:jc w:val="center"/>
              <w:rPr>
                <w:rFonts w:eastAsia="Arial Unicode MS"/>
                <w:b/>
              </w:rPr>
            </w:pPr>
            <w:r w:rsidRPr="000E397F">
              <w:rPr>
                <w:rFonts w:eastAsia="Arial Unicode MS"/>
                <w:b/>
              </w:rPr>
              <w:t>Casinos</w:t>
            </w:r>
          </w:p>
        </w:tc>
        <w:tc>
          <w:tcPr>
            <w:tcW w:w="553" w:type="pct"/>
            <w:tcBorders>
              <w:top w:val="single" w:sz="4" w:space="0" w:color="auto"/>
              <w:bottom w:val="single" w:sz="4" w:space="0" w:color="auto"/>
            </w:tcBorders>
            <w:shd w:val="clear" w:color="auto" w:fill="auto"/>
            <w:tcMar>
              <w:top w:w="0" w:type="dxa"/>
              <w:left w:w="108" w:type="dxa"/>
              <w:bottom w:w="0" w:type="dxa"/>
              <w:right w:w="108" w:type="dxa"/>
            </w:tcMar>
          </w:tcPr>
          <w:p w:rsidR="00CB68A7" w:rsidRPr="000E397F" w:rsidRDefault="00CB68A7" w:rsidP="00B30A95">
            <w:pPr>
              <w:pStyle w:val="TableText"/>
              <w:jc w:val="center"/>
              <w:rPr>
                <w:rFonts w:eastAsia="Arial Unicode MS"/>
                <w:b/>
              </w:rPr>
            </w:pPr>
            <w:r w:rsidRPr="000E397F">
              <w:rPr>
                <w:rFonts w:eastAsia="Arial Unicode MS"/>
                <w:b/>
              </w:rPr>
              <w:t>NZRB</w:t>
            </w:r>
          </w:p>
        </w:tc>
        <w:tc>
          <w:tcPr>
            <w:tcW w:w="553" w:type="pct"/>
            <w:tcBorders>
              <w:top w:val="single" w:sz="4" w:space="0" w:color="auto"/>
              <w:bottom w:val="single" w:sz="4" w:space="0" w:color="auto"/>
            </w:tcBorders>
            <w:shd w:val="clear" w:color="auto" w:fill="auto"/>
          </w:tcPr>
          <w:p w:rsidR="00CB68A7" w:rsidRPr="000E397F" w:rsidRDefault="00CB68A7" w:rsidP="00B30A95">
            <w:pPr>
              <w:pStyle w:val="TableText"/>
              <w:jc w:val="center"/>
              <w:rPr>
                <w:rFonts w:eastAsia="Arial Unicode MS"/>
                <w:b/>
              </w:rPr>
            </w:pPr>
            <w:r w:rsidRPr="000E397F">
              <w:rPr>
                <w:rFonts w:eastAsia="Arial Unicode MS"/>
                <w:b/>
              </w:rPr>
              <w:t>NZLC</w:t>
            </w:r>
          </w:p>
        </w:tc>
      </w:tr>
      <w:tr w:rsidR="002A0B8C" w:rsidRPr="001A2E4A" w:rsidTr="00B30A95">
        <w:trPr>
          <w:cantSplit/>
        </w:trPr>
        <w:tc>
          <w:tcPr>
            <w:tcW w:w="2787" w:type="pct"/>
            <w:tcBorders>
              <w:top w:val="single" w:sz="4" w:space="0" w:color="auto"/>
              <w:bottom w:val="single" w:sz="4" w:space="0" w:color="BFBFBF" w:themeColor="background1" w:themeShade="BF"/>
              <w:right w:val="nil"/>
            </w:tcBorders>
            <w:shd w:val="clear" w:color="auto" w:fill="auto"/>
            <w:tcMar>
              <w:top w:w="0" w:type="dxa"/>
              <w:left w:w="57" w:type="dxa"/>
              <w:bottom w:w="0" w:type="dxa"/>
              <w:right w:w="57" w:type="dxa"/>
            </w:tcMar>
          </w:tcPr>
          <w:p w:rsidR="002A0B8C" w:rsidRPr="00FA4BE0" w:rsidRDefault="002A0B8C" w:rsidP="00B30A95">
            <w:pPr>
              <w:pStyle w:val="TableText"/>
              <w:rPr>
                <w:rFonts w:eastAsia="Arial Unicode MS"/>
              </w:rPr>
            </w:pPr>
            <w:r w:rsidRPr="008B36C8">
              <w:rPr>
                <w:rFonts w:eastAsia="Arial Unicode MS"/>
              </w:rPr>
              <w:t>Sector levy rates (%)</w:t>
            </w:r>
          </w:p>
        </w:tc>
        <w:tc>
          <w:tcPr>
            <w:tcW w:w="553" w:type="pct"/>
            <w:tcBorders>
              <w:top w:val="single" w:sz="4" w:space="0" w:color="auto"/>
              <w:left w:val="nil"/>
              <w:bottom w:val="single" w:sz="4" w:space="0" w:color="A6A6A6" w:themeColor="background1" w:themeShade="A6"/>
              <w:right w:val="nil"/>
            </w:tcBorders>
            <w:shd w:val="clear" w:color="000000" w:fill="FFFFFF"/>
            <w:noWrap/>
            <w:tcMar>
              <w:top w:w="0" w:type="dxa"/>
              <w:left w:w="108" w:type="dxa"/>
              <w:bottom w:w="0" w:type="dxa"/>
              <w:right w:w="108" w:type="dxa"/>
            </w:tcMar>
            <w:vAlign w:val="bottom"/>
          </w:tcPr>
          <w:p w:rsidR="002A0B8C" w:rsidRPr="00A540BA" w:rsidRDefault="002A0B8C" w:rsidP="00B30A95">
            <w:pPr>
              <w:pStyle w:val="TableText"/>
              <w:jc w:val="center"/>
              <w:rPr>
                <w:rFonts w:eastAsia="Arial Unicode MS"/>
                <w:szCs w:val="18"/>
              </w:rPr>
            </w:pPr>
            <w:r w:rsidRPr="00355F7E">
              <w:rPr>
                <w:rFonts w:cs="Arial"/>
                <w:bCs/>
                <w:szCs w:val="18"/>
              </w:rPr>
              <w:t>0.78</w:t>
            </w:r>
          </w:p>
        </w:tc>
        <w:tc>
          <w:tcPr>
            <w:tcW w:w="553" w:type="pct"/>
            <w:tcBorders>
              <w:top w:val="single" w:sz="4" w:space="0" w:color="auto"/>
              <w:left w:val="nil"/>
              <w:bottom w:val="single" w:sz="4" w:space="0" w:color="A6A6A6" w:themeColor="background1" w:themeShade="A6"/>
              <w:right w:val="nil"/>
            </w:tcBorders>
            <w:shd w:val="clear" w:color="000000" w:fill="FFFFFF"/>
            <w:noWrap/>
            <w:tcMar>
              <w:top w:w="0" w:type="dxa"/>
              <w:left w:w="108" w:type="dxa"/>
              <w:bottom w:w="0" w:type="dxa"/>
              <w:right w:w="108" w:type="dxa"/>
            </w:tcMar>
            <w:vAlign w:val="bottom"/>
          </w:tcPr>
          <w:p w:rsidR="002A0B8C" w:rsidRPr="00A540BA" w:rsidRDefault="002A0B8C" w:rsidP="00B30A95">
            <w:pPr>
              <w:pStyle w:val="TableText"/>
              <w:jc w:val="center"/>
              <w:rPr>
                <w:rFonts w:eastAsia="Arial Unicode MS"/>
                <w:szCs w:val="18"/>
              </w:rPr>
            </w:pPr>
            <w:r w:rsidRPr="00355F7E">
              <w:rPr>
                <w:rFonts w:cs="Arial"/>
                <w:bCs/>
                <w:szCs w:val="18"/>
              </w:rPr>
              <w:t>0.54</w:t>
            </w:r>
          </w:p>
        </w:tc>
        <w:tc>
          <w:tcPr>
            <w:tcW w:w="553" w:type="pct"/>
            <w:tcBorders>
              <w:top w:val="single" w:sz="4" w:space="0" w:color="auto"/>
              <w:left w:val="nil"/>
              <w:bottom w:val="single" w:sz="4" w:space="0" w:color="A6A6A6" w:themeColor="background1" w:themeShade="A6"/>
              <w:right w:val="nil"/>
            </w:tcBorders>
            <w:shd w:val="clear" w:color="000000" w:fill="FFFFFF"/>
            <w:noWrap/>
            <w:tcMar>
              <w:top w:w="0" w:type="dxa"/>
              <w:left w:w="108" w:type="dxa"/>
              <w:bottom w:w="0" w:type="dxa"/>
              <w:right w:w="108" w:type="dxa"/>
            </w:tcMar>
            <w:vAlign w:val="bottom"/>
          </w:tcPr>
          <w:p w:rsidR="002A0B8C" w:rsidRPr="00A540BA" w:rsidRDefault="002A0B8C" w:rsidP="00B30A95">
            <w:pPr>
              <w:pStyle w:val="TableText"/>
              <w:jc w:val="center"/>
              <w:rPr>
                <w:rFonts w:eastAsia="Arial Unicode MS"/>
                <w:szCs w:val="18"/>
              </w:rPr>
            </w:pPr>
            <w:r w:rsidRPr="00355F7E">
              <w:rPr>
                <w:rFonts w:cs="Arial"/>
                <w:bCs/>
                <w:szCs w:val="18"/>
              </w:rPr>
              <w:t>0.50</w:t>
            </w:r>
          </w:p>
        </w:tc>
        <w:tc>
          <w:tcPr>
            <w:tcW w:w="553" w:type="pct"/>
            <w:tcBorders>
              <w:top w:val="single" w:sz="4" w:space="0" w:color="auto"/>
              <w:left w:val="nil"/>
              <w:bottom w:val="single" w:sz="4" w:space="0" w:color="A6A6A6" w:themeColor="background1" w:themeShade="A6"/>
              <w:right w:val="nil"/>
            </w:tcBorders>
            <w:shd w:val="clear" w:color="000000" w:fill="FFFFFF"/>
            <w:vAlign w:val="bottom"/>
          </w:tcPr>
          <w:p w:rsidR="002A0B8C" w:rsidRPr="00A540BA" w:rsidRDefault="002A0B8C" w:rsidP="00B30A95">
            <w:pPr>
              <w:pStyle w:val="TableText"/>
              <w:jc w:val="center"/>
              <w:rPr>
                <w:szCs w:val="18"/>
              </w:rPr>
            </w:pPr>
            <w:r w:rsidRPr="00355F7E">
              <w:rPr>
                <w:rFonts w:cs="Arial"/>
                <w:bCs/>
                <w:szCs w:val="18"/>
              </w:rPr>
              <w:t>0.36</w:t>
            </w:r>
          </w:p>
        </w:tc>
      </w:tr>
      <w:tr w:rsidR="002A0B8C" w:rsidRPr="001A2E4A" w:rsidTr="00B30A95">
        <w:trPr>
          <w:cantSplit/>
        </w:trPr>
        <w:tc>
          <w:tcPr>
            <w:tcW w:w="2787" w:type="pct"/>
            <w:tcBorders>
              <w:top w:val="single" w:sz="4" w:space="0" w:color="BFBFBF" w:themeColor="background1" w:themeShade="BF"/>
              <w:bottom w:val="single" w:sz="4" w:space="0" w:color="BFBFBF" w:themeColor="background1" w:themeShade="BF"/>
            </w:tcBorders>
            <w:shd w:val="clear" w:color="auto" w:fill="auto"/>
            <w:tcMar>
              <w:top w:w="0" w:type="dxa"/>
              <w:left w:w="57" w:type="dxa"/>
              <w:bottom w:w="0" w:type="dxa"/>
              <w:right w:w="57" w:type="dxa"/>
            </w:tcMar>
          </w:tcPr>
          <w:p w:rsidR="002A0B8C" w:rsidRPr="00FA4BE0" w:rsidRDefault="002A0B8C" w:rsidP="002A0B8C">
            <w:pPr>
              <w:pStyle w:val="TableText"/>
              <w:rPr>
                <w:rFonts w:eastAsia="Arial Unicode MS"/>
              </w:rPr>
            </w:pPr>
            <w:r w:rsidRPr="008B36C8">
              <w:rPr>
                <w:rFonts w:eastAsia="Arial Unicode MS"/>
              </w:rPr>
              <w:t>Expected levy payment ($m)</w:t>
            </w:r>
          </w:p>
        </w:tc>
        <w:tc>
          <w:tcPr>
            <w:tcW w:w="553" w:type="pct"/>
            <w:tcBorders>
              <w:top w:val="single" w:sz="4" w:space="0" w:color="A6A6A6" w:themeColor="background1" w:themeShade="A6"/>
              <w:left w:val="nil"/>
              <w:bottom w:val="single" w:sz="4" w:space="0" w:color="A6A6A6" w:themeColor="background1" w:themeShade="A6"/>
              <w:right w:val="nil"/>
            </w:tcBorders>
            <w:shd w:val="clear" w:color="auto" w:fill="auto"/>
            <w:noWrap/>
            <w:tcMar>
              <w:top w:w="0" w:type="dxa"/>
              <w:left w:w="108" w:type="dxa"/>
              <w:bottom w:w="0" w:type="dxa"/>
              <w:right w:w="108" w:type="dxa"/>
            </w:tcMar>
            <w:vAlign w:val="center"/>
          </w:tcPr>
          <w:p w:rsidR="002A0B8C" w:rsidRPr="00A540BA" w:rsidRDefault="002A0B8C" w:rsidP="002A0B8C">
            <w:pPr>
              <w:pStyle w:val="TableText"/>
              <w:jc w:val="center"/>
              <w:rPr>
                <w:rFonts w:eastAsia="Arial Unicode MS"/>
                <w:szCs w:val="18"/>
              </w:rPr>
            </w:pPr>
            <w:r w:rsidRPr="00355F7E">
              <w:rPr>
                <w:rFonts w:cs="Arial"/>
                <w:color w:val="000000"/>
                <w:szCs w:val="18"/>
              </w:rPr>
              <w:t>22.967</w:t>
            </w:r>
          </w:p>
        </w:tc>
        <w:tc>
          <w:tcPr>
            <w:tcW w:w="553" w:type="pct"/>
            <w:tcBorders>
              <w:top w:val="single" w:sz="4" w:space="0" w:color="A6A6A6" w:themeColor="background1" w:themeShade="A6"/>
              <w:left w:val="nil"/>
              <w:bottom w:val="single" w:sz="4" w:space="0" w:color="A6A6A6" w:themeColor="background1" w:themeShade="A6"/>
              <w:right w:val="nil"/>
            </w:tcBorders>
            <w:shd w:val="clear" w:color="auto" w:fill="auto"/>
            <w:noWrap/>
            <w:tcMar>
              <w:top w:w="0" w:type="dxa"/>
              <w:left w:w="108" w:type="dxa"/>
              <w:bottom w:w="0" w:type="dxa"/>
              <w:right w:w="108" w:type="dxa"/>
            </w:tcMar>
            <w:vAlign w:val="center"/>
          </w:tcPr>
          <w:p w:rsidR="002A0B8C" w:rsidRPr="00A540BA" w:rsidRDefault="002A0B8C" w:rsidP="002A0B8C">
            <w:pPr>
              <w:pStyle w:val="TableText"/>
              <w:jc w:val="center"/>
              <w:rPr>
                <w:rFonts w:eastAsia="Arial Unicode MS"/>
                <w:szCs w:val="18"/>
              </w:rPr>
            </w:pPr>
            <w:r w:rsidRPr="00355F7E">
              <w:rPr>
                <w:rFonts w:cs="Arial"/>
                <w:color w:val="000000"/>
                <w:szCs w:val="18"/>
              </w:rPr>
              <w:t>10.813</w:t>
            </w:r>
          </w:p>
        </w:tc>
        <w:tc>
          <w:tcPr>
            <w:tcW w:w="553" w:type="pct"/>
            <w:tcBorders>
              <w:top w:val="single" w:sz="4" w:space="0" w:color="A6A6A6" w:themeColor="background1" w:themeShade="A6"/>
              <w:left w:val="nil"/>
              <w:bottom w:val="single" w:sz="4" w:space="0" w:color="A6A6A6" w:themeColor="background1" w:themeShade="A6"/>
              <w:right w:val="nil"/>
            </w:tcBorders>
            <w:shd w:val="clear" w:color="auto" w:fill="auto"/>
            <w:noWrap/>
            <w:tcMar>
              <w:top w:w="0" w:type="dxa"/>
              <w:left w:w="108" w:type="dxa"/>
              <w:bottom w:w="0" w:type="dxa"/>
              <w:right w:w="108" w:type="dxa"/>
            </w:tcMar>
            <w:vAlign w:val="center"/>
          </w:tcPr>
          <w:p w:rsidR="002A0B8C" w:rsidRPr="00A540BA" w:rsidRDefault="002A0B8C" w:rsidP="002A0B8C">
            <w:pPr>
              <w:pStyle w:val="TableText"/>
              <w:jc w:val="center"/>
              <w:rPr>
                <w:rFonts w:eastAsia="Arial Unicode MS"/>
                <w:szCs w:val="18"/>
              </w:rPr>
            </w:pPr>
            <w:r w:rsidRPr="00355F7E">
              <w:rPr>
                <w:rFonts w:cs="Arial"/>
                <w:color w:val="000000"/>
                <w:szCs w:val="18"/>
              </w:rPr>
              <w:t>5.937</w:t>
            </w:r>
          </w:p>
        </w:tc>
        <w:tc>
          <w:tcPr>
            <w:tcW w:w="553" w:type="pct"/>
            <w:tcBorders>
              <w:top w:val="single" w:sz="4" w:space="0" w:color="A6A6A6" w:themeColor="background1" w:themeShade="A6"/>
              <w:left w:val="nil"/>
              <w:bottom w:val="single" w:sz="4" w:space="0" w:color="A6A6A6" w:themeColor="background1" w:themeShade="A6"/>
              <w:right w:val="nil"/>
            </w:tcBorders>
            <w:shd w:val="clear" w:color="auto" w:fill="auto"/>
            <w:vAlign w:val="center"/>
          </w:tcPr>
          <w:p w:rsidR="002A0B8C" w:rsidRPr="00A540BA" w:rsidRDefault="002A0B8C" w:rsidP="002A0B8C">
            <w:pPr>
              <w:pStyle w:val="TableText"/>
              <w:jc w:val="center"/>
              <w:rPr>
                <w:szCs w:val="18"/>
              </w:rPr>
            </w:pPr>
            <w:r w:rsidRPr="00355F7E">
              <w:rPr>
                <w:rFonts w:cs="Arial"/>
                <w:color w:val="000000"/>
                <w:szCs w:val="18"/>
              </w:rPr>
              <w:t>7.687</w:t>
            </w:r>
          </w:p>
        </w:tc>
      </w:tr>
      <w:tr w:rsidR="002A0B8C" w:rsidRPr="001A2E4A" w:rsidTr="00B30A95">
        <w:trPr>
          <w:cantSplit/>
        </w:trPr>
        <w:tc>
          <w:tcPr>
            <w:tcW w:w="2787" w:type="pct"/>
            <w:tcBorders>
              <w:top w:val="single" w:sz="4" w:space="0" w:color="BFBFBF" w:themeColor="background1" w:themeShade="BF"/>
            </w:tcBorders>
            <w:shd w:val="clear" w:color="auto" w:fill="auto"/>
            <w:tcMar>
              <w:top w:w="0" w:type="dxa"/>
              <w:left w:w="57" w:type="dxa"/>
              <w:bottom w:w="0" w:type="dxa"/>
              <w:right w:w="57" w:type="dxa"/>
            </w:tcMar>
          </w:tcPr>
          <w:p w:rsidR="002A0B8C" w:rsidRPr="00FA4BE0" w:rsidRDefault="002A0B8C" w:rsidP="002A0B8C">
            <w:pPr>
              <w:pStyle w:val="TableText"/>
              <w:rPr>
                <w:rFonts w:eastAsia="Arial Unicode MS"/>
              </w:rPr>
            </w:pPr>
            <w:r w:rsidRPr="008B36C8">
              <w:rPr>
                <w:rFonts w:eastAsia="Arial Unicode MS"/>
              </w:rPr>
              <w:t>($m) Comparison with current levy payments (negative = less)</w:t>
            </w:r>
          </w:p>
        </w:tc>
        <w:tc>
          <w:tcPr>
            <w:tcW w:w="553" w:type="pct"/>
            <w:tcBorders>
              <w:top w:val="single" w:sz="4" w:space="0" w:color="A6A6A6" w:themeColor="background1" w:themeShade="A6"/>
              <w:left w:val="nil"/>
              <w:bottom w:val="single" w:sz="4" w:space="0" w:color="auto"/>
              <w:right w:val="nil"/>
            </w:tcBorders>
            <w:shd w:val="clear" w:color="auto" w:fill="auto"/>
            <w:noWrap/>
            <w:tcMar>
              <w:top w:w="0" w:type="dxa"/>
              <w:left w:w="108" w:type="dxa"/>
              <w:bottom w:w="0" w:type="dxa"/>
              <w:right w:w="108" w:type="dxa"/>
            </w:tcMar>
            <w:vAlign w:val="bottom"/>
          </w:tcPr>
          <w:p w:rsidR="002A0B8C" w:rsidRPr="00A540BA" w:rsidRDefault="002A0B8C" w:rsidP="002A0B8C">
            <w:pPr>
              <w:pStyle w:val="TableText"/>
              <w:jc w:val="center"/>
              <w:rPr>
                <w:rFonts w:eastAsia="Arial Unicode MS"/>
                <w:szCs w:val="18"/>
              </w:rPr>
            </w:pPr>
            <w:r w:rsidRPr="00355F7E">
              <w:rPr>
                <w:rFonts w:cs="Arial"/>
                <w:color w:val="000000"/>
                <w:szCs w:val="18"/>
              </w:rPr>
              <w:t>-8.716</w:t>
            </w:r>
          </w:p>
        </w:tc>
        <w:tc>
          <w:tcPr>
            <w:tcW w:w="553" w:type="pct"/>
            <w:tcBorders>
              <w:top w:val="single" w:sz="4" w:space="0" w:color="A6A6A6" w:themeColor="background1" w:themeShade="A6"/>
              <w:left w:val="nil"/>
              <w:bottom w:val="single" w:sz="4" w:space="0" w:color="auto"/>
              <w:right w:val="nil"/>
            </w:tcBorders>
            <w:shd w:val="clear" w:color="auto" w:fill="auto"/>
            <w:noWrap/>
            <w:tcMar>
              <w:top w:w="0" w:type="dxa"/>
              <w:left w:w="108" w:type="dxa"/>
              <w:bottom w:w="0" w:type="dxa"/>
              <w:right w:w="108" w:type="dxa"/>
            </w:tcMar>
            <w:vAlign w:val="bottom"/>
          </w:tcPr>
          <w:p w:rsidR="002A0B8C" w:rsidRPr="00A540BA" w:rsidRDefault="002A0B8C" w:rsidP="002A0B8C">
            <w:pPr>
              <w:pStyle w:val="TableText"/>
              <w:jc w:val="center"/>
              <w:rPr>
                <w:rFonts w:eastAsia="Arial Unicode MS"/>
                <w:szCs w:val="18"/>
              </w:rPr>
            </w:pPr>
            <w:r w:rsidRPr="00355F7E">
              <w:rPr>
                <w:rFonts w:cs="Arial"/>
                <w:color w:val="000000"/>
                <w:szCs w:val="18"/>
              </w:rPr>
              <w:t>-3.245</w:t>
            </w:r>
          </w:p>
        </w:tc>
        <w:tc>
          <w:tcPr>
            <w:tcW w:w="553" w:type="pct"/>
            <w:tcBorders>
              <w:top w:val="single" w:sz="4" w:space="0" w:color="A6A6A6" w:themeColor="background1" w:themeShade="A6"/>
              <w:left w:val="nil"/>
              <w:bottom w:val="single" w:sz="4" w:space="0" w:color="auto"/>
              <w:right w:val="nil"/>
            </w:tcBorders>
            <w:shd w:val="clear" w:color="auto" w:fill="auto"/>
            <w:noWrap/>
            <w:tcMar>
              <w:top w:w="0" w:type="dxa"/>
              <w:left w:w="108" w:type="dxa"/>
              <w:bottom w:w="0" w:type="dxa"/>
              <w:right w:w="108" w:type="dxa"/>
            </w:tcMar>
            <w:vAlign w:val="bottom"/>
          </w:tcPr>
          <w:p w:rsidR="002A0B8C" w:rsidRPr="00A540BA" w:rsidRDefault="002A0B8C" w:rsidP="002A0B8C">
            <w:pPr>
              <w:pStyle w:val="TableText"/>
              <w:jc w:val="center"/>
              <w:rPr>
                <w:rFonts w:eastAsia="Arial Unicode MS"/>
                <w:szCs w:val="18"/>
              </w:rPr>
            </w:pPr>
            <w:r w:rsidRPr="00355F7E">
              <w:rPr>
                <w:rFonts w:cs="Arial"/>
                <w:color w:val="000000"/>
                <w:szCs w:val="18"/>
              </w:rPr>
              <w:t>0.789</w:t>
            </w:r>
          </w:p>
        </w:tc>
        <w:tc>
          <w:tcPr>
            <w:tcW w:w="553" w:type="pct"/>
            <w:tcBorders>
              <w:top w:val="single" w:sz="4" w:space="0" w:color="A6A6A6" w:themeColor="background1" w:themeShade="A6"/>
              <w:left w:val="nil"/>
              <w:bottom w:val="single" w:sz="4" w:space="0" w:color="auto"/>
              <w:right w:val="nil"/>
            </w:tcBorders>
            <w:shd w:val="clear" w:color="auto" w:fill="auto"/>
            <w:vAlign w:val="bottom"/>
          </w:tcPr>
          <w:p w:rsidR="002A0B8C" w:rsidRPr="00A540BA" w:rsidRDefault="002A0B8C" w:rsidP="002A0B8C">
            <w:pPr>
              <w:pStyle w:val="TableText"/>
              <w:jc w:val="center"/>
              <w:rPr>
                <w:szCs w:val="18"/>
              </w:rPr>
            </w:pPr>
            <w:r w:rsidRPr="00355F7E">
              <w:rPr>
                <w:rFonts w:cs="Arial"/>
                <w:color w:val="000000"/>
                <w:szCs w:val="18"/>
              </w:rPr>
              <w:t>2.546</w:t>
            </w:r>
          </w:p>
        </w:tc>
      </w:tr>
    </w:tbl>
    <w:p w:rsidR="00CB68A7" w:rsidRPr="002555C4" w:rsidRDefault="00CB68A7" w:rsidP="000E397F"/>
    <w:p w:rsidR="00EC3578" w:rsidRDefault="00CB68A7" w:rsidP="00925F22">
      <w:pPr>
        <w:pStyle w:val="Heading2"/>
      </w:pPr>
      <w:bookmarkStart w:id="241" w:name="_Toc517090915"/>
      <w:bookmarkStart w:id="242" w:name="_Toc522089417"/>
      <w:r w:rsidRPr="005E3D21">
        <w:t>Comment on weighting options</w:t>
      </w:r>
      <w:bookmarkEnd w:id="241"/>
      <w:bookmarkEnd w:id="242"/>
    </w:p>
    <w:p w:rsidR="00EC3578" w:rsidRDefault="00CB68A7" w:rsidP="003B6A3A">
      <w:r w:rsidRPr="0047300B">
        <w:t xml:space="preserve">Tables </w:t>
      </w:r>
      <w:r>
        <w:t>24–27</w:t>
      </w:r>
      <w:r w:rsidRPr="0047300B">
        <w:t xml:space="preserve"> </w:t>
      </w:r>
      <w:r>
        <w:t xml:space="preserve">show that </w:t>
      </w:r>
      <w:r w:rsidRPr="0047300B">
        <w:t>under each scenario</w:t>
      </w:r>
      <w:r>
        <w:t>:</w:t>
      </w:r>
    </w:p>
    <w:p w:rsidR="00CB68A7" w:rsidRPr="00252C71" w:rsidRDefault="00CB68A7" w:rsidP="003B6A3A">
      <w:pPr>
        <w:pStyle w:val="Bullet"/>
      </w:pPr>
      <w:r w:rsidRPr="0047300B">
        <w:t xml:space="preserve">the higher the weighting on </w:t>
      </w:r>
      <w:r w:rsidRPr="00143771">
        <w:rPr>
          <w:i/>
        </w:rPr>
        <w:t>expenditure</w:t>
      </w:r>
      <w:r w:rsidRPr="00152903">
        <w:t>:</w:t>
      </w:r>
    </w:p>
    <w:p w:rsidR="00EC3578" w:rsidRDefault="00CB68A7" w:rsidP="003B6A3A">
      <w:pPr>
        <w:pStyle w:val="Dash"/>
      </w:pPr>
      <w:r w:rsidRPr="0047300B">
        <w:t>the higher the share of the levy to be paid by the NZLC</w:t>
      </w:r>
      <w:r>
        <w:t xml:space="preserve"> </w:t>
      </w:r>
      <w:r w:rsidRPr="0047300B">
        <w:t>because that sector</w:t>
      </w:r>
      <w:r w:rsidR="00EC3578">
        <w:t>’</w:t>
      </w:r>
      <w:r w:rsidRPr="0047300B">
        <w:t>s proportion of gambling expenditure is much higher than its proportion of presentations, and</w:t>
      </w:r>
    </w:p>
    <w:p w:rsidR="00CB68A7" w:rsidRPr="0047300B" w:rsidRDefault="00CB68A7" w:rsidP="003B6A3A">
      <w:pPr>
        <w:pStyle w:val="Dash"/>
      </w:pPr>
      <w:r w:rsidRPr="0047300B">
        <w:t>the higher the share to be paid by the NZRB</w:t>
      </w:r>
    </w:p>
    <w:p w:rsidR="00CB68A7" w:rsidRDefault="00CB68A7" w:rsidP="003B6A3A">
      <w:pPr>
        <w:pStyle w:val="Bullet"/>
      </w:pPr>
      <w:r w:rsidRPr="0047300B">
        <w:t xml:space="preserve">the higher the weighting on </w:t>
      </w:r>
      <w:r w:rsidRPr="00143771">
        <w:rPr>
          <w:i/>
        </w:rPr>
        <w:t>presentations</w:t>
      </w:r>
      <w:r w:rsidRPr="00152903">
        <w:t>:</w:t>
      </w:r>
    </w:p>
    <w:p w:rsidR="00EC3578" w:rsidRDefault="00CB68A7" w:rsidP="003B6A3A">
      <w:pPr>
        <w:pStyle w:val="Dash"/>
      </w:pPr>
      <w:r w:rsidRPr="0047300B">
        <w:t>the higher the share to be paid by the NCGM sector (because close to 60% of all presentations are attributed to that sector but its proportion of expenditure is much lower) and</w:t>
      </w:r>
    </w:p>
    <w:p w:rsidR="00CB68A7" w:rsidRPr="0047300B" w:rsidRDefault="00CB68A7" w:rsidP="003B6A3A">
      <w:pPr>
        <w:pStyle w:val="Dash"/>
      </w:pPr>
      <w:r w:rsidRPr="0047300B">
        <w:t>the lower the share to be paid by the NZLC and the NZRB</w:t>
      </w:r>
    </w:p>
    <w:p w:rsidR="00CB68A7" w:rsidRDefault="00CB68A7" w:rsidP="003B6A3A">
      <w:pPr>
        <w:pStyle w:val="Bullet"/>
      </w:pPr>
      <w:proofErr w:type="gramStart"/>
      <w:r w:rsidRPr="0047300B">
        <w:t>the</w:t>
      </w:r>
      <w:proofErr w:type="gramEnd"/>
      <w:r w:rsidRPr="0047300B">
        <w:t xml:space="preserve"> share of the levy to be paid by casinos is not very sensitive to any weighting changes because that sector</w:t>
      </w:r>
      <w:r w:rsidR="00EC3578">
        <w:t>’</w:t>
      </w:r>
      <w:r w:rsidRPr="0047300B">
        <w:t>s proportion of expenditure is relatively close to its proportion of presentations.</w:t>
      </w:r>
    </w:p>
    <w:p w:rsidR="00CB68A7" w:rsidRDefault="00CB68A7" w:rsidP="003B6A3A"/>
    <w:p w:rsidR="00EC3578" w:rsidRDefault="00CB68A7" w:rsidP="003B6A3A">
      <w:r w:rsidRPr="00252C71">
        <w:t>Overall, the amount of money raised by the proposed levy would be less than that required for the proposed budget appropriation of $5</w:t>
      </w:r>
      <w:r w:rsidR="001C71D3">
        <w:t>5</w:t>
      </w:r>
      <w:r w:rsidRPr="00252C71">
        <w:t>.339</w:t>
      </w:r>
      <w:r w:rsidRPr="00125ED0">
        <w:t xml:space="preserve"> </w:t>
      </w:r>
      <w:r w:rsidRPr="00252C71">
        <w:t>m</w:t>
      </w:r>
      <w:r>
        <w:t>illion</w:t>
      </w:r>
      <w:r w:rsidRPr="00252C71">
        <w:t xml:space="preserve"> because in total more levy </w:t>
      </w:r>
      <w:r>
        <w:t xml:space="preserve">is expected </w:t>
      </w:r>
      <w:r w:rsidRPr="00252C71">
        <w:t>to be paid for the three years to 30 June 2019 than was forecast when the levy was set. This overpayment carries over into the next period (as prescribed in the levy formula).</w:t>
      </w:r>
    </w:p>
    <w:p w:rsidR="003B6A3A" w:rsidRDefault="003B6A3A" w:rsidP="003B6A3A"/>
    <w:p w:rsidR="00EC3578" w:rsidRDefault="00CB68A7" w:rsidP="003B6A3A">
      <w:r w:rsidRPr="00252C71">
        <w:t>The proposed levy rate</w:t>
      </w:r>
      <w:r>
        <w:t>s</w:t>
      </w:r>
      <w:r w:rsidRPr="00252C71">
        <w:t xml:space="preserve"> for each gambling sector would be lower under any weighting option for 2019/20 to 2021/22 than they are for the current levy period; based on levy payments received</w:t>
      </w:r>
      <w:r>
        <w:t xml:space="preserve">, </w:t>
      </w:r>
      <w:r w:rsidRPr="00252C71">
        <w:t xml:space="preserve">forecast expenditure for the remaining three year period to 30 June 2019 and </w:t>
      </w:r>
      <w:r>
        <w:t xml:space="preserve">the </w:t>
      </w:r>
      <w:r w:rsidRPr="00252C71">
        <w:t>proposed budget appropriation</w:t>
      </w:r>
      <w:r>
        <w:t>s</w:t>
      </w:r>
      <w:r w:rsidRPr="00252C71">
        <w:t>.</w:t>
      </w:r>
    </w:p>
    <w:p w:rsidR="003B6A3A" w:rsidRDefault="003B6A3A" w:rsidP="003B6A3A"/>
    <w:p w:rsidR="00EC3578" w:rsidRDefault="00CB68A7" w:rsidP="003B6A3A">
      <w:r w:rsidRPr="00252C71">
        <w:t>While the levy rates would decrease, sector payments by NZLC and NZRB would increase compared with what they pay now. However</w:t>
      </w:r>
      <w:r>
        <w:t>,</w:t>
      </w:r>
      <w:r w:rsidRPr="00252C71">
        <w:t xml:space="preserve"> NCGM </w:t>
      </w:r>
      <w:r>
        <w:t xml:space="preserve">sector </w:t>
      </w:r>
      <w:r w:rsidRPr="00252C71">
        <w:t xml:space="preserve">and </w:t>
      </w:r>
      <w:r>
        <w:t>c</w:t>
      </w:r>
      <w:r w:rsidRPr="00252C71">
        <w:t>asino payments would decrease compared with what they</w:t>
      </w:r>
      <w:r>
        <w:t xml:space="preserve"> are</w:t>
      </w:r>
      <w:r w:rsidRPr="00252C71">
        <w:t xml:space="preserve"> expect to pay in the current </w:t>
      </w:r>
      <w:r>
        <w:t xml:space="preserve">levy </w:t>
      </w:r>
      <w:r w:rsidRPr="00252C71">
        <w:t>period.</w:t>
      </w:r>
    </w:p>
    <w:p w:rsidR="003B6A3A" w:rsidRDefault="003B6A3A" w:rsidP="003B6A3A"/>
    <w:p w:rsidR="00EC3578" w:rsidRDefault="00CB68A7" w:rsidP="003B6A3A">
      <w:r w:rsidRPr="00252C71">
        <w:t>For example, from Table 2</w:t>
      </w:r>
      <w:r>
        <w:t>5</w:t>
      </w:r>
      <w:r w:rsidRPr="00252C71">
        <w:t xml:space="preserve"> (the 10/90 weighting option)</w:t>
      </w:r>
      <w:r>
        <w:t>, it is</w:t>
      </w:r>
      <w:r w:rsidRPr="00252C71">
        <w:t xml:space="preserve"> expect</w:t>
      </w:r>
      <w:r>
        <w:t>ed</w:t>
      </w:r>
      <w:r w:rsidRPr="00252C71">
        <w:t xml:space="preserve"> over the next three years</w:t>
      </w:r>
      <w:r>
        <w:t xml:space="preserve"> that</w:t>
      </w:r>
      <w:r w:rsidRPr="00252C71">
        <w:t>:</w:t>
      </w:r>
    </w:p>
    <w:p w:rsidR="00CB68A7" w:rsidRPr="00252C71" w:rsidRDefault="00CB68A7" w:rsidP="003B6A3A">
      <w:pPr>
        <w:pStyle w:val="Bullet"/>
      </w:pPr>
      <w:r w:rsidRPr="00252C71">
        <w:t>NZLC would pay $</w:t>
      </w:r>
      <w:r w:rsidR="00A540BA">
        <w:t>1.685</w:t>
      </w:r>
      <w:r w:rsidRPr="00252C71">
        <w:t xml:space="preserve"> m</w:t>
      </w:r>
      <w:r>
        <w:t>illion</w:t>
      </w:r>
      <w:r w:rsidRPr="00252C71">
        <w:t xml:space="preserve"> more compared with the current period, partly due to NZLC products contributing an increase in the proportion of both gambling expenditure and gambling presentations</w:t>
      </w:r>
    </w:p>
    <w:p w:rsidR="00CB68A7" w:rsidRPr="00252C71" w:rsidRDefault="00CB68A7" w:rsidP="003B6A3A">
      <w:pPr>
        <w:pStyle w:val="Bullet"/>
      </w:pPr>
      <w:r>
        <w:lastRenderedPageBreak/>
        <w:t xml:space="preserve">the </w:t>
      </w:r>
      <w:r w:rsidRPr="00252C71">
        <w:t xml:space="preserve">NCGM </w:t>
      </w:r>
      <w:r>
        <w:t xml:space="preserve">sector </w:t>
      </w:r>
      <w:r w:rsidRPr="00252C71">
        <w:t>would still be the main source of levy payments but w</w:t>
      </w:r>
      <w:r>
        <w:t>ould</w:t>
      </w:r>
      <w:r w:rsidRPr="00252C71">
        <w:t xml:space="preserve"> pay</w:t>
      </w:r>
      <w:r>
        <w:t xml:space="preserve"> </w:t>
      </w:r>
      <w:r w:rsidRPr="00252C71">
        <w:t>$</w:t>
      </w:r>
      <w:r w:rsidR="00A540BA">
        <w:t>6.949</w:t>
      </w:r>
      <w:r>
        <w:t> </w:t>
      </w:r>
      <w:r w:rsidRPr="00252C71">
        <w:t>m</w:t>
      </w:r>
      <w:r>
        <w:t>illion</w:t>
      </w:r>
      <w:r w:rsidRPr="00252C71">
        <w:t xml:space="preserve"> less compared with what they will have paid in the current period</w:t>
      </w:r>
      <w:r>
        <w:t xml:space="preserve"> (</w:t>
      </w:r>
      <w:r w:rsidR="003B6A3A">
        <w:t>t</w:t>
      </w:r>
      <w:r w:rsidRPr="00252C71">
        <w:t xml:space="preserve">his in line with a steady decrease in the proportion of </w:t>
      </w:r>
      <w:r>
        <w:t>people</w:t>
      </w:r>
      <w:r w:rsidRPr="00252C71">
        <w:t xml:space="preserve"> presenting with harm due to NCGM gambling, although this sector still contributes about half of all presentations</w:t>
      </w:r>
      <w:r>
        <w:t>)</w:t>
      </w:r>
    </w:p>
    <w:p w:rsidR="00CB68A7" w:rsidRPr="00252C71" w:rsidRDefault="00CB68A7" w:rsidP="003B6A3A">
      <w:pPr>
        <w:pStyle w:val="Bullet"/>
      </w:pPr>
      <w:r w:rsidRPr="00252C71">
        <w:t>Casino payments would be $</w:t>
      </w:r>
      <w:r w:rsidR="00A540BA">
        <w:t>3.445</w:t>
      </w:r>
      <w:r w:rsidRPr="00252C71">
        <w:t xml:space="preserve"> m</w:t>
      </w:r>
      <w:r>
        <w:t>illion</w:t>
      </w:r>
      <w:r w:rsidRPr="00252C71">
        <w:t xml:space="preserve"> less than their payments in the current levy period</w:t>
      </w:r>
    </w:p>
    <w:p w:rsidR="00CB68A7" w:rsidRDefault="00CB68A7" w:rsidP="003B6A3A">
      <w:pPr>
        <w:pStyle w:val="Bullet"/>
      </w:pPr>
      <w:r w:rsidRPr="00252C71">
        <w:t>NZRB payments would be $0.</w:t>
      </w:r>
      <w:r w:rsidR="00A540BA">
        <w:t>195</w:t>
      </w:r>
      <w:r w:rsidR="00A540BA" w:rsidRPr="00252C71">
        <w:t xml:space="preserve"> </w:t>
      </w:r>
      <w:r w:rsidRPr="00252C71">
        <w:t>m</w:t>
      </w:r>
      <w:r>
        <w:t>illion</w:t>
      </w:r>
      <w:r w:rsidRPr="00252C71">
        <w:t xml:space="preserve"> more compared with </w:t>
      </w:r>
      <w:r>
        <w:t xml:space="preserve">its </w:t>
      </w:r>
      <w:r w:rsidRPr="00252C71">
        <w:t>payments in the current period.</w:t>
      </w:r>
    </w:p>
    <w:p w:rsidR="00CB68A7" w:rsidRPr="00252C71" w:rsidRDefault="00CB68A7" w:rsidP="000E397F">
      <w:pPr>
        <w:spacing w:before="240"/>
      </w:pPr>
      <w:bookmarkStart w:id="243" w:name="_Toc230066554"/>
      <w:r w:rsidRPr="00252C71">
        <w:t>These changes are a result of</w:t>
      </w:r>
      <w:r>
        <w:t>:</w:t>
      </w:r>
    </w:p>
    <w:p w:rsidR="00CB68A7" w:rsidRPr="00252C71" w:rsidRDefault="00CB68A7" w:rsidP="003B6A3A">
      <w:pPr>
        <w:pStyle w:val="Bullet"/>
      </w:pPr>
      <w:proofErr w:type="gramStart"/>
      <w:r w:rsidRPr="00252C71">
        <w:t>changes</w:t>
      </w:r>
      <w:proofErr w:type="gramEnd"/>
      <w:r w:rsidRPr="00252C71">
        <w:t xml:space="preserve"> in the proportions of gambling </w:t>
      </w:r>
      <w:r>
        <w:t>ex</w:t>
      </w:r>
      <w:r w:rsidRPr="00252C71">
        <w:t>pendi</w:t>
      </w:r>
      <w:r>
        <w:t>ture</w:t>
      </w:r>
      <w:r w:rsidRPr="00252C71">
        <w:t xml:space="preserve"> and presentations in each sector</w:t>
      </w:r>
      <w:r>
        <w:t xml:space="preserve"> (</w:t>
      </w:r>
      <w:r w:rsidRPr="00252C71">
        <w:t xml:space="preserve">A reduction </w:t>
      </w:r>
      <w:r>
        <w:t>in a sector</w:t>
      </w:r>
      <w:r w:rsidR="00EC3578">
        <w:t>’</w:t>
      </w:r>
      <w:r>
        <w:t xml:space="preserve">s share of expenditure or presentations would </w:t>
      </w:r>
      <w:r w:rsidRPr="00252C71">
        <w:t xml:space="preserve">reduce </w:t>
      </w:r>
      <w:r>
        <w:t>that</w:t>
      </w:r>
      <w:r w:rsidRPr="00252C71">
        <w:t xml:space="preserve"> sector</w:t>
      </w:r>
      <w:r w:rsidR="00EC3578">
        <w:t>’</w:t>
      </w:r>
      <w:r w:rsidRPr="00252C71">
        <w:t>s share</w:t>
      </w:r>
      <w:r>
        <w:t xml:space="preserve"> of payments</w:t>
      </w:r>
      <w:r w:rsidRPr="00252C71">
        <w:t>.</w:t>
      </w:r>
      <w:r>
        <w:t>)</w:t>
      </w:r>
    </w:p>
    <w:p w:rsidR="00CB68A7" w:rsidRPr="00252C71" w:rsidRDefault="00CB68A7" w:rsidP="003B6A3A">
      <w:pPr>
        <w:pStyle w:val="Bullet"/>
      </w:pPr>
      <w:r w:rsidRPr="00252C71">
        <w:t xml:space="preserve">actual gambling </w:t>
      </w:r>
      <w:r>
        <w:t>ex</w:t>
      </w:r>
      <w:r w:rsidRPr="008B36C8">
        <w:t>pendi</w:t>
      </w:r>
      <w:r>
        <w:t>ture</w:t>
      </w:r>
      <w:r w:rsidRPr="00252C71">
        <w:t xml:space="preserve"> for the current levy period exceeding forecasts, helping to create </w:t>
      </w:r>
      <w:r>
        <w:t>levy overpayments</w:t>
      </w:r>
    </w:p>
    <w:p w:rsidR="00CB68A7" w:rsidRDefault="00CB68A7" w:rsidP="003B6A3A">
      <w:pPr>
        <w:pStyle w:val="Bullet"/>
      </w:pPr>
      <w:proofErr w:type="gramStart"/>
      <w:r>
        <w:t>f</w:t>
      </w:r>
      <w:r w:rsidRPr="00252C71">
        <w:t>orecast</w:t>
      </w:r>
      <w:proofErr w:type="gramEnd"/>
      <w:r w:rsidRPr="00252C71">
        <w:t xml:space="preserve"> increases in gambling </w:t>
      </w:r>
      <w:r w:rsidRPr="00297985">
        <w:t>expenditure</w:t>
      </w:r>
      <w:r>
        <w:t>s</w:t>
      </w:r>
      <w:r w:rsidRPr="00252C71">
        <w:t xml:space="preserve"> for a sector, increasing the size of the pool to levy</w:t>
      </w:r>
      <w:r>
        <w:t>.</w:t>
      </w:r>
    </w:p>
    <w:p w:rsidR="00CB68A7" w:rsidRPr="00252C71" w:rsidRDefault="00CB68A7" w:rsidP="003B6A3A"/>
    <w:p w:rsidR="00EC3578" w:rsidRDefault="00CB68A7" w:rsidP="003B6A3A">
      <w:r w:rsidRPr="00252C71">
        <w:t>The levy formula adjusts for these factors in generating levy rates for the next levy period.</w:t>
      </w:r>
    </w:p>
    <w:p w:rsidR="003B6A3A" w:rsidRDefault="003B6A3A" w:rsidP="003B6A3A"/>
    <w:p w:rsidR="00EC3578" w:rsidRDefault="00CB68A7" w:rsidP="003B6A3A">
      <w:pPr>
        <w:pStyle w:val="BoxHeading"/>
      </w:pPr>
      <w:r w:rsidRPr="00D528A0">
        <w:t>Consultation questions</w:t>
      </w:r>
      <w:r w:rsidRPr="0047300B">
        <w:rPr>
          <w:sz w:val="22"/>
          <w:szCs w:val="22"/>
        </w:rPr>
        <w:t xml:space="preserve"> – </w:t>
      </w:r>
      <w:r w:rsidRPr="00C9524D">
        <w:t>Section 4</w:t>
      </w:r>
      <w:r>
        <w:t>:</w:t>
      </w:r>
      <w:r w:rsidRPr="00C9524D">
        <w:t xml:space="preserve"> Levy formula and rates</w:t>
      </w:r>
    </w:p>
    <w:p w:rsidR="00425670" w:rsidRDefault="00CB68A7" w:rsidP="003B6A3A">
      <w:pPr>
        <w:pStyle w:val="Box"/>
      </w:pPr>
      <w:r w:rsidRPr="004D113C">
        <w:t>The</w:t>
      </w:r>
      <w:r w:rsidR="00501201">
        <w:t xml:space="preserve"> proposed figures are set out using the</w:t>
      </w:r>
      <w:r w:rsidRPr="004D113C">
        <w:t xml:space="preserve"> levy formula </w:t>
      </w:r>
      <w:r w:rsidR="00501201">
        <w:t>currently</w:t>
      </w:r>
      <w:r w:rsidRPr="004D113C">
        <w:t xml:space="preserve"> prescribed in legislation</w:t>
      </w:r>
      <w:r w:rsidR="00EF2750">
        <w:t>. The Ministry and DIA do not propose to change the formula</w:t>
      </w:r>
      <w:r w:rsidRPr="004D113C">
        <w:t xml:space="preserve"> </w:t>
      </w:r>
      <w:r w:rsidR="00501201">
        <w:t>at this time</w:t>
      </w:r>
      <w:r w:rsidRPr="004D113C">
        <w:t>.</w:t>
      </w:r>
      <w:r w:rsidR="00501201">
        <w:t xml:space="preserve"> However the Ministry and DIA are interested in your views of what could chang</w:t>
      </w:r>
      <w:r w:rsidR="000A71B9">
        <w:t xml:space="preserve">e in the future (see </w:t>
      </w:r>
      <w:r w:rsidR="000A71B9" w:rsidRPr="00316294">
        <w:t>question</w:t>
      </w:r>
      <w:r w:rsidR="00316294">
        <w:t xml:space="preserve"> D</w:t>
      </w:r>
      <w:r w:rsidR="00501201">
        <w:t>).</w:t>
      </w:r>
    </w:p>
    <w:p w:rsidR="00EC3578" w:rsidRDefault="00CB68A7" w:rsidP="003B6A3A">
      <w:pPr>
        <w:pStyle w:val="Box"/>
      </w:pPr>
      <w:r w:rsidRPr="004D113C">
        <w:t>The figures for variables A, B and R are derived from data held by the Ministry, the DIA and IRD and are a matter of record. Comment on variable C (the $5</w:t>
      </w:r>
      <w:r w:rsidR="001C71D3">
        <w:t>5</w:t>
      </w:r>
      <w:r w:rsidRPr="004D113C">
        <w:t xml:space="preserve">.339 </w:t>
      </w:r>
      <w:r w:rsidRPr="00AA7ED7">
        <w:t>m</w:t>
      </w:r>
      <w:r>
        <w:t>illion</w:t>
      </w:r>
      <w:r w:rsidRPr="00B47658">
        <w:t xml:space="preserve"> </w:t>
      </w:r>
      <w:r w:rsidRPr="004D113C">
        <w:t xml:space="preserve">funding appropriation proposed for the strategy) is covered by the questions in </w:t>
      </w:r>
      <w:r>
        <w:t>s</w:t>
      </w:r>
      <w:r w:rsidRPr="004D113C">
        <w:t>ection 3.</w:t>
      </w:r>
    </w:p>
    <w:p w:rsidR="00EC3578" w:rsidRDefault="00CB68A7" w:rsidP="003B6A3A">
      <w:pPr>
        <w:pStyle w:val="Box"/>
      </w:pPr>
      <w:r w:rsidRPr="00C9524D">
        <w:t xml:space="preserve">In terms of the other components of the levy formula in </w:t>
      </w:r>
      <w:r>
        <w:t>s</w:t>
      </w:r>
      <w:r w:rsidRPr="00C9524D">
        <w:t>ection 4</w:t>
      </w:r>
      <w:r>
        <w:t>:</w:t>
      </w:r>
    </w:p>
    <w:p w:rsidR="00CB68A7" w:rsidRPr="00C9524D" w:rsidRDefault="00425670" w:rsidP="003B6A3A">
      <w:pPr>
        <w:pStyle w:val="Box"/>
        <w:ind w:left="851" w:hanging="567"/>
      </w:pPr>
      <w:r>
        <w:t>11</w:t>
      </w:r>
      <w:r w:rsidR="003B6A3A">
        <w:t>.</w:t>
      </w:r>
      <w:r w:rsidR="003B6A3A">
        <w:tab/>
      </w:r>
      <w:r w:rsidR="00CB68A7" w:rsidRPr="00C9524D">
        <w:t>Are the player expenditure forecasts for each gambling sector (D) realistic? If not, please explain why</w:t>
      </w:r>
      <w:r w:rsidR="00CB68A7">
        <w:t xml:space="preserve"> not.</w:t>
      </w:r>
    </w:p>
    <w:p w:rsidR="00CB68A7" w:rsidRPr="003B6A3A" w:rsidRDefault="00425670" w:rsidP="003B6A3A">
      <w:pPr>
        <w:pStyle w:val="Box"/>
        <w:ind w:left="851" w:hanging="567"/>
      </w:pPr>
      <w:r>
        <w:t>12</w:t>
      </w:r>
      <w:r w:rsidR="003B6A3A">
        <w:t>.</w:t>
      </w:r>
      <w:r w:rsidR="003B6A3A">
        <w:tab/>
      </w:r>
      <w:r w:rsidR="00CB68A7" w:rsidRPr="00C9524D">
        <w:t>Are there realistic pairs of weightings (W1 and W2) other than those discussed in this consultation document? If so</w:t>
      </w:r>
      <w:r w:rsidR="00CB68A7">
        <w:t>,</w:t>
      </w:r>
      <w:r w:rsidR="00CB68A7" w:rsidRPr="00C9524D">
        <w:t xml:space="preserve"> what and why?</w:t>
      </w:r>
    </w:p>
    <w:p w:rsidR="00CB68A7" w:rsidRPr="00B47658" w:rsidRDefault="00866507" w:rsidP="003B6A3A">
      <w:pPr>
        <w:pStyle w:val="Box"/>
        <w:ind w:left="851" w:hanging="567"/>
      </w:pPr>
      <w:r>
        <w:t>13</w:t>
      </w:r>
      <w:r w:rsidR="003B6A3A">
        <w:t>.</w:t>
      </w:r>
      <w:r w:rsidR="003B6A3A">
        <w:tab/>
      </w:r>
      <w:r w:rsidR="00CB68A7" w:rsidRPr="00C9524D">
        <w:t xml:space="preserve">Which pair of weighting options for W1 and W2 do you prefer, if any, and why? </w:t>
      </w:r>
      <w:r w:rsidR="00CB68A7" w:rsidRPr="004D113C">
        <w:t>Please keep in mind that the levy weighting options only affect the proportion of levy to be paid by each gambling sector and do not affect the total amount of the levy.</w:t>
      </w:r>
    </w:p>
    <w:p w:rsidR="00CB68A7" w:rsidRDefault="003B6A3A" w:rsidP="003B6A3A">
      <w:pPr>
        <w:pStyle w:val="Box"/>
        <w:ind w:left="851" w:hanging="567"/>
      </w:pPr>
      <w:r>
        <w:t>1</w:t>
      </w:r>
      <w:r w:rsidR="00866507">
        <w:t>4</w:t>
      </w:r>
      <w:r>
        <w:t>.</w:t>
      </w:r>
      <w:r>
        <w:tab/>
      </w:r>
      <w:r w:rsidR="00CB68A7" w:rsidRPr="00C9524D">
        <w:t xml:space="preserve">Do you have any comment on the estimated levy rates for each sector, keeping in mind </w:t>
      </w:r>
      <w:r w:rsidR="00CB68A7">
        <w:t xml:space="preserve">that </w:t>
      </w:r>
      <w:r w:rsidR="00CB68A7" w:rsidRPr="00C9524D">
        <w:t>the levy formula itself is set out in legislation</w:t>
      </w:r>
      <w:r w:rsidR="00501201">
        <w:t>?</w:t>
      </w:r>
    </w:p>
    <w:p w:rsidR="003B6A3A" w:rsidRDefault="003B6A3A" w:rsidP="003B6A3A"/>
    <w:p w:rsidR="00EC3578" w:rsidRDefault="00CB68A7" w:rsidP="000E397F">
      <w:pPr>
        <w:pStyle w:val="Heading1"/>
        <w:numPr>
          <w:ilvl w:val="0"/>
          <w:numId w:val="0"/>
        </w:numPr>
      </w:pPr>
      <w:bookmarkStart w:id="244" w:name="_Toc329860066"/>
      <w:bookmarkStart w:id="245" w:name="_Toc517090916"/>
      <w:bookmarkStart w:id="246" w:name="_Toc522089418"/>
      <w:bookmarkEnd w:id="233"/>
      <w:bookmarkEnd w:id="234"/>
      <w:bookmarkEnd w:id="243"/>
      <w:r>
        <w:lastRenderedPageBreak/>
        <w:t>References</w:t>
      </w:r>
      <w:bookmarkEnd w:id="244"/>
      <w:bookmarkEnd w:id="245"/>
      <w:bookmarkEnd w:id="246"/>
    </w:p>
    <w:p w:rsidR="00CC6A26" w:rsidRPr="00CC6A26" w:rsidRDefault="00CC6A26" w:rsidP="00CC6A26">
      <w:pPr>
        <w:pStyle w:val="References"/>
        <w:rPr>
          <w:noProof/>
        </w:rPr>
      </w:pPr>
      <w:r w:rsidRPr="00CC6A26">
        <w:rPr>
          <w:noProof/>
        </w:rPr>
        <w:t xml:space="preserve">Abbott M. 2017. Gambling and Gambling Harm in New Zealand: a 28-Year Case Study. </w:t>
      </w:r>
      <w:r w:rsidRPr="00CC6A26">
        <w:rPr>
          <w:i/>
          <w:noProof/>
        </w:rPr>
        <w:t>International Journal of Mental Health and Addiction</w:t>
      </w:r>
      <w:r w:rsidR="0099629C">
        <w:rPr>
          <w:i/>
          <w:noProof/>
        </w:rPr>
        <w:t xml:space="preserve"> </w:t>
      </w:r>
      <w:r w:rsidR="0099629C" w:rsidRPr="0099629C">
        <w:rPr>
          <w:noProof/>
        </w:rPr>
        <w:t>15(1221)</w:t>
      </w:r>
      <w:r w:rsidRPr="00CC6A26">
        <w:rPr>
          <w:noProof/>
        </w:rPr>
        <w:t>.</w:t>
      </w:r>
    </w:p>
    <w:p w:rsidR="0099629C" w:rsidRPr="0099629C" w:rsidRDefault="0099629C" w:rsidP="0099629C">
      <w:pPr>
        <w:autoSpaceDE w:val="0"/>
        <w:autoSpaceDN w:val="0"/>
        <w:adjustRightInd w:val="0"/>
        <w:spacing w:line="240" w:lineRule="auto"/>
        <w:rPr>
          <w:rFonts w:cs="Segoe UI"/>
          <w:sz w:val="21"/>
          <w:szCs w:val="21"/>
          <w:lang w:eastAsia="en-NZ"/>
        </w:rPr>
      </w:pPr>
      <w:r w:rsidRPr="0099629C">
        <w:rPr>
          <w:rFonts w:cs="Segoe UI"/>
          <w:sz w:val="21"/>
          <w:szCs w:val="21"/>
          <w:lang w:eastAsia="en-NZ"/>
        </w:rPr>
        <w:t xml:space="preserve">Abbott M, </w:t>
      </w:r>
      <w:proofErr w:type="spellStart"/>
      <w:r w:rsidRPr="0099629C">
        <w:rPr>
          <w:rFonts w:cs="Segoe UI"/>
          <w:sz w:val="21"/>
          <w:szCs w:val="21"/>
          <w:lang w:eastAsia="en-NZ"/>
        </w:rPr>
        <w:t>Bellringer</w:t>
      </w:r>
      <w:proofErr w:type="spellEnd"/>
      <w:r w:rsidRPr="0099629C">
        <w:rPr>
          <w:rFonts w:cs="Segoe UI"/>
          <w:sz w:val="21"/>
          <w:szCs w:val="21"/>
          <w:lang w:eastAsia="en-NZ"/>
        </w:rPr>
        <w:t xml:space="preserve"> M, Garrett N. 2018. </w:t>
      </w:r>
      <w:r w:rsidRPr="0099629C">
        <w:rPr>
          <w:rFonts w:cs="Segoe UI"/>
          <w:i/>
          <w:sz w:val="21"/>
          <w:szCs w:val="21"/>
          <w:lang w:eastAsia="en-NZ"/>
        </w:rPr>
        <w:t>New Zealand National Gambling Study: Wave 4 (2015). Report number 6.</w:t>
      </w:r>
      <w:r w:rsidRPr="0099629C">
        <w:rPr>
          <w:rFonts w:cs="Segoe UI"/>
          <w:sz w:val="21"/>
          <w:szCs w:val="21"/>
          <w:lang w:eastAsia="en-NZ"/>
        </w:rPr>
        <w:t xml:space="preserve"> Auckland: Auckland University of Technology, Gambling and Addictions Research Centre.</w:t>
      </w:r>
    </w:p>
    <w:p w:rsidR="00CB68A7" w:rsidRPr="00DF2546" w:rsidRDefault="00CB68A7" w:rsidP="0099629C">
      <w:pPr>
        <w:pStyle w:val="References"/>
        <w:spacing w:before="240"/>
        <w:rPr>
          <w:noProof/>
        </w:rPr>
      </w:pPr>
      <w:r w:rsidRPr="00295D21">
        <w:fldChar w:fldCharType="begin"/>
      </w:r>
      <w:r w:rsidRPr="00295D21">
        <w:instrText xml:space="preserve"> ADDIN EN.REFLIST </w:instrText>
      </w:r>
      <w:r w:rsidRPr="00295D21">
        <w:fldChar w:fldCharType="separate"/>
      </w:r>
      <w:bookmarkStart w:id="247" w:name="_ENREF_4"/>
      <w:r>
        <w:rPr>
          <w:noProof/>
        </w:rPr>
        <w:t xml:space="preserve">Bellringer M, Garrett N, Kolandai-Matchett K, et al. 2015. </w:t>
      </w:r>
      <w:r>
        <w:rPr>
          <w:i/>
          <w:noProof/>
        </w:rPr>
        <w:t xml:space="preserve">Offshore Gambling by New Zealanders Study: Final report, 11 September 2015. </w:t>
      </w:r>
      <w:r>
        <w:rPr>
          <w:noProof/>
        </w:rPr>
        <w:t xml:space="preserve">Wellington: Ministry of Health. URL: </w:t>
      </w:r>
      <w:r w:rsidRPr="00414699">
        <w:t>www.health.govt.nz/our-work/mental-health-and-addictions/problem-gambling/research-and-evaluation/implementation-2013-2014-2015-2016/offshore-gambling-new-zealanders-study</w:t>
      </w:r>
      <w:r>
        <w:t xml:space="preserve"> (accessed 9 June 2018).</w:t>
      </w:r>
    </w:p>
    <w:p w:rsidR="00CB68A7" w:rsidRPr="00295D21" w:rsidRDefault="00CB68A7" w:rsidP="00925F22">
      <w:pPr>
        <w:pStyle w:val="References"/>
        <w:rPr>
          <w:noProof/>
        </w:rPr>
      </w:pPr>
      <w:bookmarkStart w:id="248" w:name="_ENREF_5"/>
      <w:bookmarkEnd w:id="247"/>
      <w:r w:rsidRPr="00295D21">
        <w:rPr>
          <w:noProof/>
        </w:rPr>
        <w:t xml:space="preserve">Canale N, Vieno A, Lenzi M, et al. 2017. Income </w:t>
      </w:r>
      <w:r>
        <w:rPr>
          <w:noProof/>
        </w:rPr>
        <w:t>i</w:t>
      </w:r>
      <w:r w:rsidRPr="00295D21">
        <w:rPr>
          <w:noProof/>
        </w:rPr>
        <w:t xml:space="preserve">nequality and </w:t>
      </w:r>
      <w:r>
        <w:rPr>
          <w:noProof/>
        </w:rPr>
        <w:t>a</w:t>
      </w:r>
      <w:r w:rsidRPr="00295D21">
        <w:rPr>
          <w:noProof/>
        </w:rPr>
        <w:t xml:space="preserve">dolescent </w:t>
      </w:r>
      <w:r>
        <w:rPr>
          <w:noProof/>
        </w:rPr>
        <w:t>g</w:t>
      </w:r>
      <w:r w:rsidRPr="00295D21">
        <w:rPr>
          <w:noProof/>
        </w:rPr>
        <w:t xml:space="preserve">ambling </w:t>
      </w:r>
      <w:r>
        <w:rPr>
          <w:noProof/>
        </w:rPr>
        <w:t>s</w:t>
      </w:r>
      <w:r w:rsidRPr="00295D21">
        <w:rPr>
          <w:noProof/>
        </w:rPr>
        <w:t xml:space="preserve">everity: </w:t>
      </w:r>
      <w:r>
        <w:rPr>
          <w:noProof/>
        </w:rPr>
        <w:t>f</w:t>
      </w:r>
      <w:r w:rsidRPr="00295D21">
        <w:rPr>
          <w:noProof/>
        </w:rPr>
        <w:t xml:space="preserve">indings from a </w:t>
      </w:r>
      <w:r>
        <w:rPr>
          <w:noProof/>
        </w:rPr>
        <w:t>l</w:t>
      </w:r>
      <w:r w:rsidRPr="00295D21">
        <w:rPr>
          <w:noProof/>
        </w:rPr>
        <w:t>arge-</w:t>
      </w:r>
      <w:r>
        <w:rPr>
          <w:noProof/>
        </w:rPr>
        <w:t>s</w:t>
      </w:r>
      <w:r w:rsidRPr="00295D21">
        <w:rPr>
          <w:noProof/>
        </w:rPr>
        <w:t xml:space="preserve">cale Italian </w:t>
      </w:r>
      <w:r>
        <w:rPr>
          <w:noProof/>
        </w:rPr>
        <w:t>r</w:t>
      </w:r>
      <w:r w:rsidRPr="00295D21">
        <w:rPr>
          <w:noProof/>
        </w:rPr>
        <w:t xml:space="preserve">epresentative </w:t>
      </w:r>
      <w:r>
        <w:rPr>
          <w:noProof/>
        </w:rPr>
        <w:t>s</w:t>
      </w:r>
      <w:r w:rsidRPr="00295D21">
        <w:rPr>
          <w:noProof/>
        </w:rPr>
        <w:t xml:space="preserve">urvey. </w:t>
      </w:r>
      <w:r w:rsidRPr="00295D21">
        <w:rPr>
          <w:i/>
          <w:noProof/>
        </w:rPr>
        <w:t>Frontiers in Psychology</w:t>
      </w:r>
      <w:r w:rsidRPr="00295D21">
        <w:rPr>
          <w:noProof/>
        </w:rPr>
        <w:t xml:space="preserve"> 8: 1318.</w:t>
      </w:r>
    </w:p>
    <w:p w:rsidR="00CB68A7" w:rsidRPr="006B22B7" w:rsidRDefault="00CB68A7" w:rsidP="00925F22">
      <w:pPr>
        <w:pStyle w:val="References"/>
        <w:rPr>
          <w:noProof/>
        </w:rPr>
      </w:pPr>
      <w:bookmarkStart w:id="249" w:name="_ENREF_7"/>
      <w:bookmarkEnd w:id="248"/>
      <w:r>
        <w:rPr>
          <w:noProof/>
        </w:rPr>
        <w:t xml:space="preserve">DAPAANZ. 2011. </w:t>
      </w:r>
      <w:r>
        <w:rPr>
          <w:i/>
          <w:noProof/>
        </w:rPr>
        <w:t xml:space="preserve">Addiction Intervention Competency Framework: A competency framework for professionals specialising in problem gambling, alcohol and other drug and smoking cessation intervention. </w:t>
      </w:r>
      <w:r>
        <w:rPr>
          <w:noProof/>
        </w:rPr>
        <w:t>Wellington: Addiction Practitioners</w:t>
      </w:r>
      <w:r w:rsidR="00EC3578">
        <w:rPr>
          <w:noProof/>
        </w:rPr>
        <w:t>’</w:t>
      </w:r>
      <w:r>
        <w:rPr>
          <w:noProof/>
        </w:rPr>
        <w:t xml:space="preserve"> Association Aotearoa New Zealand (DAPAANZ).</w:t>
      </w:r>
    </w:p>
    <w:p w:rsidR="00CB68A7" w:rsidRDefault="00CB68A7" w:rsidP="00925F22">
      <w:pPr>
        <w:pStyle w:val="References"/>
        <w:rPr>
          <w:noProof/>
        </w:rPr>
      </w:pPr>
      <w:r>
        <w:rPr>
          <w:noProof/>
        </w:rPr>
        <w:t xml:space="preserve">Department of Internal Affairs. 2018. Gamblers spent $125 million more in FY 2016/17. Wellington: The Department of Internal Affairs. URL: </w:t>
      </w:r>
      <w:r w:rsidRPr="00411A71">
        <w:rPr>
          <w:noProof/>
        </w:rPr>
        <w:t>www.dia.govt.nz/press.nsf/d77da9b523f12931cc256ac5000d19b6/4f9778fc3a2fed9dcc25823a00002b04!OpenDocument</w:t>
      </w:r>
      <w:r>
        <w:rPr>
          <w:noProof/>
        </w:rPr>
        <w:t xml:space="preserve"> (accessed 10 June 2018).</w:t>
      </w:r>
    </w:p>
    <w:p w:rsidR="00CB68A7" w:rsidRDefault="00CB68A7" w:rsidP="00925F22">
      <w:pPr>
        <w:pStyle w:val="References"/>
      </w:pPr>
      <w:r>
        <w:t xml:space="preserve">Gambling Commission New Zealand. 2009. </w:t>
      </w:r>
      <w:r w:rsidRPr="004D113C">
        <w:rPr>
          <w:i/>
        </w:rPr>
        <w:t>Report on the Proposed Problem Gambling Levy</w:t>
      </w:r>
      <w:r w:rsidR="00925F22">
        <w:rPr>
          <w:i/>
        </w:rPr>
        <w:br/>
      </w:r>
      <w:r w:rsidRPr="004D113C">
        <w:rPr>
          <w:i/>
        </w:rPr>
        <w:t>2010–2013</w:t>
      </w:r>
      <w:r>
        <w:rPr>
          <w:i/>
        </w:rPr>
        <w:t xml:space="preserve">. </w:t>
      </w:r>
      <w:r w:rsidRPr="004D113C">
        <w:t>Report to Ministers Hon Nathan Guy and Hon Peter Dunne, 25 November</w:t>
      </w:r>
      <w:r w:rsidRPr="00792FE4">
        <w:t>.</w:t>
      </w:r>
      <w:r>
        <w:t xml:space="preserve"> </w:t>
      </w:r>
      <w:hyperlink r:id="rId67" w:history="1">
        <w:r w:rsidRPr="00BE78D0">
          <w:t>URL: www.gamblingcommission.govt.nz/GCwebsite.nsf/wpg_URL/Reports-Publications-Proposed-Problem-Gambling-Levy-(November-2009)!OpenDocument</w:t>
        </w:r>
      </w:hyperlink>
      <w:r>
        <w:t xml:space="preserve"> (accessed 10 June 2018).</w:t>
      </w:r>
    </w:p>
    <w:p w:rsidR="00CB68A7" w:rsidRDefault="00CB68A7" w:rsidP="00925F22">
      <w:pPr>
        <w:pStyle w:val="References"/>
      </w:pPr>
      <w:r>
        <w:t>Health and Safety Commission. 2011. The Triple Aim (December 2011).</w:t>
      </w:r>
      <w:r w:rsidR="00544734">
        <w:t xml:space="preserve"> </w:t>
      </w:r>
      <w:r w:rsidR="00390525">
        <w:t xml:space="preserve">URL: </w:t>
      </w:r>
      <w:r w:rsidRPr="00BE78D0">
        <w:t>www.hqsc.govt.nz/news-and-events/news/126/</w:t>
      </w:r>
      <w:r>
        <w:t xml:space="preserve"> (accessed 18 June 2018)</w:t>
      </w:r>
      <w:r w:rsidR="00925F22">
        <w:t>.</w:t>
      </w:r>
    </w:p>
    <w:p w:rsidR="00CB68A7" w:rsidRDefault="00CB68A7" w:rsidP="00925F22">
      <w:pPr>
        <w:pStyle w:val="References"/>
        <w:rPr>
          <w:noProof/>
        </w:rPr>
      </w:pPr>
      <w:bookmarkStart w:id="250" w:name="_ENREF_9"/>
      <w:bookmarkEnd w:id="249"/>
      <w:r w:rsidRPr="00295D21">
        <w:rPr>
          <w:noProof/>
        </w:rPr>
        <w:t xml:space="preserve">Kolandai-Matchett K, Langham E, Bellringer M, et al. 2017. How gambling harms experienced by Pacific people in New Zealand amplify when they are culture-related. </w:t>
      </w:r>
      <w:r w:rsidRPr="00295D21">
        <w:rPr>
          <w:i/>
          <w:noProof/>
        </w:rPr>
        <w:t>Asian J Gambl Issues Public Health</w:t>
      </w:r>
      <w:r w:rsidRPr="00295D21">
        <w:rPr>
          <w:noProof/>
        </w:rPr>
        <w:t xml:space="preserve"> 7(1): 5.</w:t>
      </w:r>
    </w:p>
    <w:p w:rsidR="00CB68A7" w:rsidRDefault="00CB68A7" w:rsidP="00925F22">
      <w:pPr>
        <w:pStyle w:val="References"/>
        <w:rPr>
          <w:noProof/>
        </w:rPr>
      </w:pPr>
      <w:r>
        <w:rPr>
          <w:noProof/>
        </w:rPr>
        <w:t xml:space="preserve">Korn DA, Shaffer HJ. 1999. Gambling and the health of the public: adopting a public health perspective. </w:t>
      </w:r>
      <w:r>
        <w:rPr>
          <w:i/>
          <w:noProof/>
        </w:rPr>
        <w:t xml:space="preserve">Journal of Gambling Studies </w:t>
      </w:r>
      <w:r>
        <w:rPr>
          <w:noProof/>
        </w:rPr>
        <w:t>15(4).</w:t>
      </w:r>
    </w:p>
    <w:p w:rsidR="00CB68A7" w:rsidRDefault="00CB68A7" w:rsidP="00925F22">
      <w:pPr>
        <w:pStyle w:val="References"/>
        <w:rPr>
          <w:noProof/>
        </w:rPr>
      </w:pPr>
      <w:r>
        <w:rPr>
          <w:noProof/>
        </w:rPr>
        <w:t xml:space="preserve">Minister of Health. 2016. </w:t>
      </w:r>
      <w:r>
        <w:rPr>
          <w:i/>
          <w:noProof/>
        </w:rPr>
        <w:t xml:space="preserve">New Zealand Health Strategy: Future direction. </w:t>
      </w:r>
      <w:r>
        <w:rPr>
          <w:noProof/>
        </w:rPr>
        <w:t>Wellington: Ministry of Health.</w:t>
      </w:r>
    </w:p>
    <w:p w:rsidR="00CB68A7" w:rsidRPr="00FF62A5" w:rsidRDefault="00CB68A7" w:rsidP="00925F22">
      <w:pPr>
        <w:pStyle w:val="References"/>
        <w:rPr>
          <w:noProof/>
        </w:rPr>
      </w:pPr>
      <w:r>
        <w:rPr>
          <w:noProof/>
        </w:rPr>
        <w:t xml:space="preserve">Ministry of Health. 2007. </w:t>
      </w:r>
      <w:r>
        <w:rPr>
          <w:i/>
          <w:noProof/>
        </w:rPr>
        <w:t xml:space="preserve">Te Uru Kahikatea: Public Health Workforce Development Plan. </w:t>
      </w:r>
      <w:r>
        <w:rPr>
          <w:noProof/>
        </w:rPr>
        <w:t>Wellington: Ministry of Health.</w:t>
      </w:r>
    </w:p>
    <w:p w:rsidR="00CB68A7" w:rsidRDefault="00CB68A7" w:rsidP="00925F22">
      <w:pPr>
        <w:pStyle w:val="References"/>
        <w:rPr>
          <w:noProof/>
        </w:rPr>
      </w:pPr>
      <w:r>
        <w:rPr>
          <w:noProof/>
        </w:rPr>
        <w:t xml:space="preserve">Ministry of Health. 2014a. </w:t>
      </w:r>
      <w:r w:rsidR="00925F22">
        <w:rPr>
          <w:i/>
        </w:rPr>
        <w:t>'A</w:t>
      </w:r>
      <w:r w:rsidRPr="00C10A99">
        <w:rPr>
          <w:i/>
        </w:rPr>
        <w:t>la Mo</w:t>
      </w:r>
      <w:r w:rsidR="00EC3578">
        <w:rPr>
          <w:i/>
        </w:rPr>
        <w:t>’</w:t>
      </w:r>
      <w:r w:rsidRPr="00C10A99">
        <w:rPr>
          <w:i/>
        </w:rPr>
        <w:t>ui: Pathways to Pacific Health and Wellbeing 2014–2018</w:t>
      </w:r>
      <w:r>
        <w:t>. Wellington: Ministry of Health.</w:t>
      </w:r>
    </w:p>
    <w:p w:rsidR="00CB68A7" w:rsidRDefault="00CB68A7" w:rsidP="00925F22">
      <w:pPr>
        <w:pStyle w:val="References"/>
        <w:rPr>
          <w:noProof/>
        </w:rPr>
      </w:pPr>
      <w:r>
        <w:rPr>
          <w:noProof/>
        </w:rPr>
        <w:t xml:space="preserve">Ministry of Health. 2014b. </w:t>
      </w:r>
      <w:r>
        <w:rPr>
          <w:i/>
          <w:noProof/>
        </w:rPr>
        <w:t xml:space="preserve">Equity of Health Care for Māori: A framework. </w:t>
      </w:r>
      <w:r>
        <w:rPr>
          <w:noProof/>
        </w:rPr>
        <w:t>Wellington: Ministry of Health.</w:t>
      </w:r>
    </w:p>
    <w:p w:rsidR="00CB68A7" w:rsidRDefault="00CB68A7" w:rsidP="00925F22">
      <w:pPr>
        <w:pStyle w:val="References"/>
        <w:rPr>
          <w:noProof/>
        </w:rPr>
      </w:pPr>
      <w:r>
        <w:rPr>
          <w:noProof/>
        </w:rPr>
        <w:t xml:space="preserve">Ministry of Health. 2014c. </w:t>
      </w:r>
      <w:r w:rsidRPr="004D113C">
        <w:rPr>
          <w:noProof/>
        </w:rPr>
        <w:t>He Korowai Oranga</w:t>
      </w:r>
      <w:r>
        <w:rPr>
          <w:i/>
          <w:noProof/>
        </w:rPr>
        <w:t xml:space="preserve">. </w:t>
      </w:r>
      <w:r>
        <w:rPr>
          <w:noProof/>
        </w:rPr>
        <w:t xml:space="preserve">Wellington: Ministry of Health. URL: </w:t>
      </w:r>
      <w:r w:rsidRPr="00567B53">
        <w:rPr>
          <w:noProof/>
        </w:rPr>
        <w:t>www.health.govt.nz/our-work/populations/maori-health/he-korowai-oranga</w:t>
      </w:r>
      <w:r>
        <w:rPr>
          <w:noProof/>
        </w:rPr>
        <w:t xml:space="preserve"> (accessed 7 June 2018).</w:t>
      </w:r>
    </w:p>
    <w:p w:rsidR="00CB68A7" w:rsidRDefault="00CB68A7" w:rsidP="00925F22">
      <w:pPr>
        <w:pStyle w:val="References"/>
        <w:rPr>
          <w:noProof/>
        </w:rPr>
      </w:pPr>
      <w:r>
        <w:rPr>
          <w:noProof/>
        </w:rPr>
        <w:lastRenderedPageBreak/>
        <w:t xml:space="preserve">Ministry of Health. 2015. </w:t>
      </w:r>
      <w:r>
        <w:rPr>
          <w:i/>
          <w:noProof/>
        </w:rPr>
        <w:t xml:space="preserve">A Framework for Health Literacy. </w:t>
      </w:r>
      <w:r>
        <w:rPr>
          <w:noProof/>
        </w:rPr>
        <w:t>Wellington: Ministry of Health.</w:t>
      </w:r>
    </w:p>
    <w:p w:rsidR="00CB68A7" w:rsidRPr="009A7FB6" w:rsidRDefault="00CB68A7" w:rsidP="00925F22">
      <w:pPr>
        <w:pStyle w:val="References"/>
        <w:rPr>
          <w:noProof/>
        </w:rPr>
      </w:pPr>
      <w:r w:rsidRPr="004D113C">
        <w:rPr>
          <w:sz w:val="22"/>
        </w:rPr>
        <w:t>Ministry</w:t>
      </w:r>
      <w:r w:rsidRPr="004D113C">
        <w:rPr>
          <w:rFonts w:cs="Arial"/>
          <w:color w:val="002639"/>
          <w:sz w:val="22"/>
          <w:lang w:val="en" w:eastAsia="en-NZ"/>
        </w:rPr>
        <w:t xml:space="preserve"> of Health. 2016. </w:t>
      </w:r>
      <w:r w:rsidRPr="00544734">
        <w:rPr>
          <w:rFonts w:cs="Arial"/>
          <w:i/>
          <w:color w:val="002639"/>
          <w:sz w:val="22"/>
          <w:lang w:val="en" w:eastAsia="en-NZ"/>
        </w:rPr>
        <w:t>Strategy to Prevent and</w:t>
      </w:r>
      <w:r w:rsidRPr="00544734">
        <w:rPr>
          <w:rFonts w:cs="Arial"/>
          <w:i/>
          <w:color w:val="002639"/>
          <w:sz w:val="22"/>
          <w:lang w:eastAsia="en-NZ"/>
        </w:rPr>
        <w:t xml:space="preserve"> Minimise</w:t>
      </w:r>
      <w:r w:rsidRPr="00544734">
        <w:rPr>
          <w:rFonts w:cs="Arial"/>
          <w:i/>
          <w:color w:val="002639"/>
          <w:sz w:val="22"/>
          <w:lang w:val="en" w:eastAsia="en-NZ"/>
        </w:rPr>
        <w:t xml:space="preserve"> Gambling Harm 2016/17 to 2018/19</w:t>
      </w:r>
      <w:r w:rsidRPr="004D113C">
        <w:rPr>
          <w:rFonts w:cs="Arial"/>
          <w:color w:val="002639"/>
          <w:sz w:val="22"/>
          <w:lang w:val="en" w:eastAsia="en-NZ"/>
        </w:rPr>
        <w:t>. Wellington</w:t>
      </w:r>
      <w:r w:rsidRPr="009A7FB6">
        <w:rPr>
          <w:rFonts w:cs="Arial"/>
          <w:color w:val="002639"/>
          <w:sz w:val="22"/>
          <w:lang w:val="en" w:eastAsia="en-NZ"/>
        </w:rPr>
        <w:t xml:space="preserve">: </w:t>
      </w:r>
      <w:r w:rsidRPr="004D113C">
        <w:rPr>
          <w:rFonts w:cs="Arial"/>
          <w:color w:val="002639"/>
          <w:sz w:val="22"/>
          <w:lang w:val="en" w:eastAsia="en-NZ"/>
        </w:rPr>
        <w:t>Ministry of Health</w:t>
      </w:r>
      <w:r w:rsidR="00390525">
        <w:rPr>
          <w:rFonts w:cs="Arial"/>
          <w:color w:val="002639"/>
          <w:sz w:val="22"/>
          <w:lang w:val="en" w:eastAsia="en-NZ"/>
        </w:rPr>
        <w:t>.</w:t>
      </w:r>
    </w:p>
    <w:p w:rsidR="00CB68A7" w:rsidRDefault="00CB68A7" w:rsidP="00925F22">
      <w:pPr>
        <w:pStyle w:val="References"/>
        <w:rPr>
          <w:noProof/>
        </w:rPr>
      </w:pPr>
      <w:bookmarkStart w:id="251" w:name="_ENREF_11"/>
      <w:bookmarkEnd w:id="250"/>
      <w:r w:rsidRPr="00295D21">
        <w:rPr>
          <w:noProof/>
        </w:rPr>
        <w:t xml:space="preserve">Rintoul AC, Livingstone C, Mellor AP, et al. 2013. Modelling vulnerability to gambling related harm: How disadvantage predicts gambling losses. </w:t>
      </w:r>
      <w:r w:rsidRPr="00295D21">
        <w:rPr>
          <w:i/>
          <w:noProof/>
        </w:rPr>
        <w:t>Addiction Research &amp; Theory</w:t>
      </w:r>
      <w:r w:rsidRPr="00295D21">
        <w:rPr>
          <w:noProof/>
        </w:rPr>
        <w:t xml:space="preserve"> 21(4): 329</w:t>
      </w:r>
      <w:r>
        <w:rPr>
          <w:noProof/>
        </w:rPr>
        <w:t>–</w:t>
      </w:r>
      <w:r w:rsidRPr="00295D21">
        <w:rPr>
          <w:noProof/>
        </w:rPr>
        <w:t>38.</w:t>
      </w:r>
    </w:p>
    <w:p w:rsidR="00CB68A7" w:rsidRPr="00295D21" w:rsidRDefault="00CB68A7" w:rsidP="00925F22">
      <w:pPr>
        <w:pStyle w:val="References"/>
        <w:rPr>
          <w:noProof/>
        </w:rPr>
      </w:pPr>
      <w:r w:rsidRPr="00B47AE6">
        <w:t xml:space="preserve">Rook H, Rippon R, Pauls R, et al. 2018. </w:t>
      </w:r>
      <w:r w:rsidRPr="00925F22">
        <w:rPr>
          <w:i/>
        </w:rPr>
        <w:t>Gambling Harm Reduction Needs Assessment</w:t>
      </w:r>
      <w:r>
        <w:t xml:space="preserve">. Wellington: Sapere </w:t>
      </w:r>
      <w:r w:rsidRPr="00B47AE6">
        <w:t>Research Group</w:t>
      </w:r>
      <w:r w:rsidR="00925F22">
        <w:t>.</w:t>
      </w:r>
    </w:p>
    <w:p w:rsidR="00CB68A7" w:rsidRDefault="00CB68A7" w:rsidP="00925F22">
      <w:pPr>
        <w:pStyle w:val="References"/>
        <w:rPr>
          <w:rFonts w:cs="Segoe UI"/>
          <w:szCs w:val="21"/>
        </w:rPr>
      </w:pPr>
      <w:bookmarkStart w:id="252" w:name="_ENREF_12"/>
      <w:bookmarkEnd w:id="251"/>
      <w:r w:rsidRPr="004D113C">
        <w:rPr>
          <w:rFonts w:cs="Segoe UI"/>
          <w:szCs w:val="21"/>
        </w:rPr>
        <w:t xml:space="preserve">Thimasarn-Anwar T, Squire H, Trowland H, et al. 2017. </w:t>
      </w:r>
      <w:r w:rsidRPr="00925F22">
        <w:rPr>
          <w:rFonts w:cs="Segoe UI"/>
          <w:i/>
          <w:szCs w:val="21"/>
        </w:rPr>
        <w:t xml:space="preserve">Gambling </w:t>
      </w:r>
      <w:r w:rsidR="00925F22">
        <w:rPr>
          <w:rFonts w:cs="Segoe UI"/>
          <w:i/>
          <w:szCs w:val="21"/>
        </w:rPr>
        <w:t>R</w:t>
      </w:r>
      <w:r w:rsidRPr="00925F22">
        <w:rPr>
          <w:rFonts w:cs="Segoe UI"/>
          <w:i/>
          <w:szCs w:val="21"/>
        </w:rPr>
        <w:t>eport: Results from the 2016 Health and Lifestyles Survey</w:t>
      </w:r>
      <w:r w:rsidRPr="004D113C">
        <w:rPr>
          <w:rFonts w:cs="Segoe UI"/>
          <w:szCs w:val="21"/>
        </w:rPr>
        <w:t>. Wellington: Health Promotion Agency Research</w:t>
      </w:r>
      <w:r w:rsidRPr="008A28AE">
        <w:rPr>
          <w:rFonts w:cs="Segoe UI"/>
          <w:szCs w:val="21"/>
        </w:rPr>
        <w:t xml:space="preserve"> and Evaluation Unit</w:t>
      </w:r>
      <w:r w:rsidRPr="004D113C">
        <w:rPr>
          <w:rFonts w:cs="Segoe UI"/>
          <w:szCs w:val="21"/>
        </w:rPr>
        <w:t>.</w:t>
      </w:r>
    </w:p>
    <w:p w:rsidR="00925F22" w:rsidRDefault="00CB68A7" w:rsidP="00925F22">
      <w:pPr>
        <w:pStyle w:val="References"/>
      </w:pPr>
      <w:bookmarkStart w:id="253" w:name="_ENREF_13"/>
      <w:bookmarkEnd w:id="252"/>
      <w:r w:rsidRPr="00295D21">
        <w:rPr>
          <w:noProof/>
        </w:rPr>
        <w:t xml:space="preserve">van der Maas M. 2016. Problem gambling, anxiety and poverty: an examination of the relationship between poor mental health and gambling problems across socio-economic status. </w:t>
      </w:r>
      <w:r w:rsidRPr="00295D21">
        <w:rPr>
          <w:i/>
          <w:noProof/>
        </w:rPr>
        <w:t>International Gambling Studies</w:t>
      </w:r>
      <w:r w:rsidRPr="00295D21">
        <w:rPr>
          <w:noProof/>
        </w:rPr>
        <w:t xml:space="preserve"> 16(2): 281</w:t>
      </w:r>
      <w:r>
        <w:rPr>
          <w:noProof/>
        </w:rPr>
        <w:t>–</w:t>
      </w:r>
      <w:r w:rsidRPr="00295D21">
        <w:rPr>
          <w:noProof/>
        </w:rPr>
        <w:t>95.</w:t>
      </w:r>
      <w:bookmarkEnd w:id="253"/>
      <w:r w:rsidRPr="00295D21">
        <w:fldChar w:fldCharType="end"/>
      </w:r>
    </w:p>
    <w:p w:rsidR="00CB68A7" w:rsidRPr="00E312E8" w:rsidRDefault="00CB68A7" w:rsidP="00925F22">
      <w:pPr>
        <w:pStyle w:val="Heading1"/>
        <w:numPr>
          <w:ilvl w:val="0"/>
          <w:numId w:val="0"/>
        </w:numPr>
      </w:pPr>
      <w:bookmarkStart w:id="254" w:name="_Toc517090918"/>
      <w:bookmarkStart w:id="255" w:name="_Toc522089419"/>
      <w:r w:rsidRPr="00E312E8">
        <w:lastRenderedPageBreak/>
        <w:t>Glossary</w:t>
      </w:r>
      <w:bookmarkEnd w:id="254"/>
      <w:bookmarkEnd w:id="255"/>
    </w:p>
    <w:tbl>
      <w:tblPr>
        <w:tblW w:w="0" w:type="auto"/>
        <w:tblLook w:val="04A0" w:firstRow="1" w:lastRow="0" w:firstColumn="1" w:lastColumn="0" w:noHBand="0" w:noVBand="1"/>
      </w:tblPr>
      <w:tblGrid>
        <w:gridCol w:w="1555"/>
        <w:gridCol w:w="7790"/>
      </w:tblGrid>
      <w:tr w:rsidR="00CB68A7" w:rsidRPr="00C10A99" w:rsidTr="00EC3578">
        <w:tc>
          <w:tcPr>
            <w:tcW w:w="1555" w:type="dxa"/>
          </w:tcPr>
          <w:p w:rsidR="00CB68A7" w:rsidRDefault="00CB68A7" w:rsidP="00EC3578">
            <w:pPr>
              <w:spacing w:before="120"/>
            </w:pPr>
            <w:r>
              <w:t>AUT</w:t>
            </w:r>
          </w:p>
        </w:tc>
        <w:tc>
          <w:tcPr>
            <w:tcW w:w="7790" w:type="dxa"/>
          </w:tcPr>
          <w:p w:rsidR="00CB68A7" w:rsidRDefault="00CB68A7" w:rsidP="00EC3578">
            <w:pPr>
              <w:spacing w:before="120"/>
            </w:pPr>
            <w:r>
              <w:t>Auckland University of Technology</w:t>
            </w:r>
          </w:p>
        </w:tc>
      </w:tr>
      <w:tr w:rsidR="00CB68A7" w:rsidRPr="00C10A99" w:rsidTr="00EC3578">
        <w:tc>
          <w:tcPr>
            <w:tcW w:w="1555" w:type="dxa"/>
          </w:tcPr>
          <w:p w:rsidR="00CB68A7" w:rsidRDefault="00CB68A7" w:rsidP="00EC3578">
            <w:pPr>
              <w:spacing w:before="120"/>
            </w:pPr>
            <w:r>
              <w:t>CLIC</w:t>
            </w:r>
          </w:p>
        </w:tc>
        <w:tc>
          <w:tcPr>
            <w:tcW w:w="7790" w:type="dxa"/>
          </w:tcPr>
          <w:p w:rsidR="00CB68A7" w:rsidRDefault="00CB68A7" w:rsidP="00EC3578">
            <w:pPr>
              <w:spacing w:before="120"/>
            </w:pPr>
            <w:r>
              <w:t>Client Information Collection</w:t>
            </w:r>
          </w:p>
        </w:tc>
      </w:tr>
      <w:tr w:rsidR="00CB68A7" w:rsidRPr="00C10A99" w:rsidTr="00EC3578">
        <w:tc>
          <w:tcPr>
            <w:tcW w:w="1555" w:type="dxa"/>
          </w:tcPr>
          <w:p w:rsidR="00CB68A7" w:rsidRPr="00E312E8" w:rsidRDefault="00CB68A7" w:rsidP="00EC3578">
            <w:pPr>
              <w:spacing w:before="120"/>
            </w:pPr>
            <w:r>
              <w:t>DAPAANZ</w:t>
            </w:r>
          </w:p>
        </w:tc>
        <w:tc>
          <w:tcPr>
            <w:tcW w:w="7790" w:type="dxa"/>
          </w:tcPr>
          <w:p w:rsidR="00CB68A7" w:rsidRPr="00E312E8" w:rsidRDefault="00CB68A7" w:rsidP="00EC3578">
            <w:pPr>
              <w:spacing w:before="120"/>
            </w:pPr>
            <w:r>
              <w:t>Addiction Practitioners</w:t>
            </w:r>
            <w:r w:rsidR="00EC3578">
              <w:t>’</w:t>
            </w:r>
            <w:r>
              <w:t xml:space="preserve"> Association </w:t>
            </w:r>
            <w:proofErr w:type="spellStart"/>
            <w:r>
              <w:t>Aotearoa</w:t>
            </w:r>
            <w:proofErr w:type="spellEnd"/>
            <w:r>
              <w:t xml:space="preserve"> New Zealand</w:t>
            </w:r>
          </w:p>
        </w:tc>
      </w:tr>
      <w:tr w:rsidR="00CB68A7" w:rsidRPr="00C10A99" w:rsidTr="00EC3578">
        <w:tc>
          <w:tcPr>
            <w:tcW w:w="1555" w:type="dxa"/>
          </w:tcPr>
          <w:p w:rsidR="00CB68A7" w:rsidRPr="00E312E8" w:rsidRDefault="00CB68A7" w:rsidP="00EC3578">
            <w:pPr>
              <w:spacing w:before="120"/>
            </w:pPr>
            <w:r w:rsidRPr="00E312E8">
              <w:t>DIA</w:t>
            </w:r>
          </w:p>
        </w:tc>
        <w:tc>
          <w:tcPr>
            <w:tcW w:w="7790" w:type="dxa"/>
          </w:tcPr>
          <w:p w:rsidR="00CB68A7" w:rsidRPr="00E312E8" w:rsidRDefault="00CB68A7" w:rsidP="00EC3578">
            <w:pPr>
              <w:spacing w:before="120"/>
            </w:pPr>
            <w:r w:rsidRPr="00E312E8">
              <w:t>Department of Internal Affairs</w:t>
            </w:r>
          </w:p>
        </w:tc>
      </w:tr>
      <w:tr w:rsidR="00CB68A7" w:rsidRPr="00C10A99" w:rsidTr="00EC3578">
        <w:tc>
          <w:tcPr>
            <w:tcW w:w="1555" w:type="dxa"/>
          </w:tcPr>
          <w:p w:rsidR="00CB68A7" w:rsidRPr="00E312E8" w:rsidRDefault="00CB68A7" w:rsidP="00EC3578">
            <w:pPr>
              <w:spacing w:before="120"/>
            </w:pPr>
            <w:r w:rsidRPr="00E312E8">
              <w:t>EGM</w:t>
            </w:r>
          </w:p>
        </w:tc>
        <w:tc>
          <w:tcPr>
            <w:tcW w:w="7790" w:type="dxa"/>
          </w:tcPr>
          <w:p w:rsidR="00CB68A7" w:rsidRPr="00E312E8" w:rsidRDefault="00CB68A7" w:rsidP="00EC3578">
            <w:pPr>
              <w:spacing w:before="120"/>
            </w:pPr>
            <w:r w:rsidRPr="00E312E8">
              <w:t>Electronic gaming machine</w:t>
            </w:r>
          </w:p>
        </w:tc>
      </w:tr>
      <w:tr w:rsidR="00CB68A7" w:rsidRPr="00C10A99" w:rsidTr="00EC3578">
        <w:tc>
          <w:tcPr>
            <w:tcW w:w="1555" w:type="dxa"/>
          </w:tcPr>
          <w:p w:rsidR="00CB68A7" w:rsidRPr="00E312E8" w:rsidRDefault="00CB68A7" w:rsidP="00EC3578">
            <w:pPr>
              <w:spacing w:before="120"/>
            </w:pPr>
            <w:r>
              <w:t>EMS</w:t>
            </w:r>
          </w:p>
        </w:tc>
        <w:tc>
          <w:tcPr>
            <w:tcW w:w="7790" w:type="dxa"/>
          </w:tcPr>
          <w:p w:rsidR="00CB68A7" w:rsidRPr="00E312E8" w:rsidRDefault="00CB68A7" w:rsidP="00EC3578">
            <w:pPr>
              <w:spacing w:before="120"/>
            </w:pPr>
            <w:r>
              <w:t>Electronic monitoring system</w:t>
            </w:r>
          </w:p>
        </w:tc>
      </w:tr>
      <w:tr w:rsidR="00CB68A7" w:rsidRPr="00C10A99" w:rsidTr="00EC3578">
        <w:tc>
          <w:tcPr>
            <w:tcW w:w="1555" w:type="dxa"/>
          </w:tcPr>
          <w:p w:rsidR="00CB68A7" w:rsidRPr="00E312E8" w:rsidRDefault="00CB68A7" w:rsidP="00EC3578">
            <w:pPr>
              <w:spacing w:before="120"/>
            </w:pPr>
            <w:r>
              <w:t>FTE</w:t>
            </w:r>
          </w:p>
        </w:tc>
        <w:tc>
          <w:tcPr>
            <w:tcW w:w="7790" w:type="dxa"/>
          </w:tcPr>
          <w:p w:rsidR="00CB68A7" w:rsidRPr="00E312E8" w:rsidRDefault="00CB68A7" w:rsidP="00EC3578">
            <w:pPr>
              <w:spacing w:before="120"/>
            </w:pPr>
            <w:r>
              <w:t>Full-time equivalent</w:t>
            </w:r>
          </w:p>
        </w:tc>
      </w:tr>
      <w:tr w:rsidR="00CB68A7" w:rsidRPr="00C10A99" w:rsidTr="00EC3578">
        <w:tc>
          <w:tcPr>
            <w:tcW w:w="1555" w:type="dxa"/>
          </w:tcPr>
          <w:p w:rsidR="00CB68A7" w:rsidRPr="00E312E8" w:rsidRDefault="00CB68A7" w:rsidP="00EC3578">
            <w:pPr>
              <w:spacing w:before="120"/>
            </w:pPr>
            <w:r w:rsidRPr="00E312E8">
              <w:t>HLS</w:t>
            </w:r>
          </w:p>
        </w:tc>
        <w:tc>
          <w:tcPr>
            <w:tcW w:w="7790" w:type="dxa"/>
          </w:tcPr>
          <w:p w:rsidR="00CB68A7" w:rsidRPr="00E312E8" w:rsidRDefault="00CB68A7" w:rsidP="00EC3578">
            <w:pPr>
              <w:spacing w:before="120"/>
            </w:pPr>
            <w:r w:rsidRPr="00E312E8">
              <w:t>Health and Lifestyles Survey</w:t>
            </w:r>
          </w:p>
        </w:tc>
      </w:tr>
      <w:tr w:rsidR="00CB68A7" w:rsidRPr="00C10A99" w:rsidTr="00EC3578">
        <w:tc>
          <w:tcPr>
            <w:tcW w:w="1555" w:type="dxa"/>
          </w:tcPr>
          <w:p w:rsidR="00CB68A7" w:rsidRPr="00E312E8" w:rsidRDefault="00CB68A7" w:rsidP="00EC3578">
            <w:pPr>
              <w:spacing w:before="120"/>
            </w:pPr>
            <w:r w:rsidRPr="00E312E8">
              <w:t>HPA</w:t>
            </w:r>
          </w:p>
        </w:tc>
        <w:tc>
          <w:tcPr>
            <w:tcW w:w="7790" w:type="dxa"/>
          </w:tcPr>
          <w:p w:rsidR="00CB68A7" w:rsidRPr="00E312E8" w:rsidRDefault="00925F22" w:rsidP="00EC3578">
            <w:pPr>
              <w:spacing w:before="120"/>
            </w:pPr>
            <w:r>
              <w:t>Health Promotion Agency</w:t>
            </w:r>
          </w:p>
        </w:tc>
      </w:tr>
      <w:tr w:rsidR="00CB68A7" w:rsidRPr="00C10A99" w:rsidTr="00EC3578">
        <w:tc>
          <w:tcPr>
            <w:tcW w:w="1555" w:type="dxa"/>
          </w:tcPr>
          <w:p w:rsidR="00CB68A7" w:rsidRPr="00E312E8" w:rsidDel="00B77693" w:rsidRDefault="00CB68A7" w:rsidP="00EC3578">
            <w:pPr>
              <w:spacing w:before="120"/>
            </w:pPr>
            <w:r>
              <w:t>IRD</w:t>
            </w:r>
          </w:p>
        </w:tc>
        <w:tc>
          <w:tcPr>
            <w:tcW w:w="7790" w:type="dxa"/>
          </w:tcPr>
          <w:p w:rsidR="00CB68A7" w:rsidRPr="00E312E8" w:rsidDel="00B77693" w:rsidRDefault="00CB68A7" w:rsidP="00EC3578">
            <w:pPr>
              <w:spacing w:before="120"/>
            </w:pPr>
            <w:r>
              <w:t>Inland Revenue Department</w:t>
            </w:r>
          </w:p>
        </w:tc>
      </w:tr>
      <w:tr w:rsidR="00CB68A7" w:rsidRPr="00C10A99" w:rsidTr="00EC3578">
        <w:tc>
          <w:tcPr>
            <w:tcW w:w="1555" w:type="dxa"/>
          </w:tcPr>
          <w:p w:rsidR="00CB68A7" w:rsidRPr="00E312E8" w:rsidRDefault="00CB68A7" w:rsidP="00EC3578">
            <w:pPr>
              <w:spacing w:before="120"/>
            </w:pPr>
            <w:r w:rsidRPr="00E312E8">
              <w:t>Ministry</w:t>
            </w:r>
          </w:p>
        </w:tc>
        <w:tc>
          <w:tcPr>
            <w:tcW w:w="7790" w:type="dxa"/>
          </w:tcPr>
          <w:p w:rsidR="00CB68A7" w:rsidRPr="00E312E8" w:rsidRDefault="00CB68A7" w:rsidP="00EC3578">
            <w:pPr>
              <w:spacing w:before="120"/>
            </w:pPr>
            <w:r w:rsidRPr="00E312E8">
              <w:t>Ministry of Health</w:t>
            </w:r>
          </w:p>
        </w:tc>
      </w:tr>
      <w:tr w:rsidR="00CB68A7" w:rsidRPr="00C10A99" w:rsidTr="00EC3578">
        <w:tc>
          <w:tcPr>
            <w:tcW w:w="1555" w:type="dxa"/>
          </w:tcPr>
          <w:p w:rsidR="00CB68A7" w:rsidRPr="00E312E8" w:rsidRDefault="00CB68A7" w:rsidP="00EC3578">
            <w:pPr>
              <w:spacing w:before="120"/>
            </w:pPr>
            <w:r>
              <w:t>MVE</w:t>
            </w:r>
          </w:p>
        </w:tc>
        <w:tc>
          <w:tcPr>
            <w:tcW w:w="7790" w:type="dxa"/>
          </w:tcPr>
          <w:p w:rsidR="00CB68A7" w:rsidRPr="00E312E8" w:rsidRDefault="00CB68A7" w:rsidP="00EC3578">
            <w:pPr>
              <w:spacing w:before="120"/>
            </w:pPr>
            <w:r>
              <w:t>Multi-venue exclusion</w:t>
            </w:r>
          </w:p>
        </w:tc>
      </w:tr>
      <w:tr w:rsidR="00CB68A7" w:rsidRPr="00C10A99" w:rsidTr="00EC3578">
        <w:tc>
          <w:tcPr>
            <w:tcW w:w="1555" w:type="dxa"/>
          </w:tcPr>
          <w:p w:rsidR="00CB68A7" w:rsidRPr="00E312E8" w:rsidRDefault="00CB68A7" w:rsidP="00EC3578">
            <w:pPr>
              <w:spacing w:before="120"/>
            </w:pPr>
            <w:r>
              <w:t>NCGM</w:t>
            </w:r>
          </w:p>
        </w:tc>
        <w:tc>
          <w:tcPr>
            <w:tcW w:w="7790" w:type="dxa"/>
          </w:tcPr>
          <w:p w:rsidR="00CB68A7" w:rsidRPr="00E312E8" w:rsidRDefault="00CB68A7" w:rsidP="00EC3578">
            <w:pPr>
              <w:spacing w:before="120"/>
            </w:pPr>
            <w:r>
              <w:t>Non-casino gaming machine</w:t>
            </w:r>
          </w:p>
        </w:tc>
      </w:tr>
      <w:tr w:rsidR="00CB68A7" w:rsidRPr="00C10A99" w:rsidTr="00EC3578">
        <w:tc>
          <w:tcPr>
            <w:tcW w:w="1555" w:type="dxa"/>
          </w:tcPr>
          <w:p w:rsidR="00CB68A7" w:rsidRDefault="00CB68A7" w:rsidP="00EC3578">
            <w:pPr>
              <w:spacing w:before="120"/>
            </w:pPr>
            <w:r>
              <w:t>NCS</w:t>
            </w:r>
          </w:p>
        </w:tc>
        <w:tc>
          <w:tcPr>
            <w:tcW w:w="7790" w:type="dxa"/>
          </w:tcPr>
          <w:p w:rsidR="00CB68A7" w:rsidRDefault="00CB68A7" w:rsidP="00EC3578">
            <w:pPr>
              <w:spacing w:before="120"/>
            </w:pPr>
            <w:r>
              <w:t>National coordination service</w:t>
            </w:r>
          </w:p>
        </w:tc>
      </w:tr>
      <w:tr w:rsidR="00CB68A7" w:rsidRPr="00C10A99" w:rsidTr="00EC3578">
        <w:tc>
          <w:tcPr>
            <w:tcW w:w="1555" w:type="dxa"/>
          </w:tcPr>
          <w:p w:rsidR="00CB68A7" w:rsidRDefault="00CB68A7" w:rsidP="00EC3578">
            <w:pPr>
              <w:spacing w:before="120"/>
            </w:pPr>
            <w:r>
              <w:t>NGO</w:t>
            </w:r>
          </w:p>
        </w:tc>
        <w:tc>
          <w:tcPr>
            <w:tcW w:w="7790" w:type="dxa"/>
          </w:tcPr>
          <w:p w:rsidR="00CB68A7" w:rsidRDefault="00CB68A7" w:rsidP="00EC3578">
            <w:pPr>
              <w:spacing w:before="120"/>
            </w:pPr>
            <w:r>
              <w:t>Non-governmental organisation</w:t>
            </w:r>
          </w:p>
        </w:tc>
      </w:tr>
      <w:tr w:rsidR="00CB68A7" w:rsidRPr="00C10A99" w:rsidTr="00EC3578">
        <w:tc>
          <w:tcPr>
            <w:tcW w:w="1555" w:type="dxa"/>
          </w:tcPr>
          <w:p w:rsidR="00CB68A7" w:rsidRPr="00E312E8" w:rsidRDefault="00CB68A7" w:rsidP="00EC3578">
            <w:pPr>
              <w:spacing w:before="120"/>
            </w:pPr>
            <w:r>
              <w:t>NGS</w:t>
            </w:r>
          </w:p>
        </w:tc>
        <w:tc>
          <w:tcPr>
            <w:tcW w:w="7790" w:type="dxa"/>
          </w:tcPr>
          <w:p w:rsidR="00CB68A7" w:rsidRPr="00E312E8" w:rsidRDefault="00CB68A7" w:rsidP="00EC3578">
            <w:pPr>
              <w:spacing w:before="120"/>
            </w:pPr>
            <w:r>
              <w:t>New Zealand National Gambling Study</w:t>
            </w:r>
          </w:p>
        </w:tc>
      </w:tr>
      <w:tr w:rsidR="00CB68A7" w:rsidRPr="00C10A99" w:rsidTr="00EC3578">
        <w:tc>
          <w:tcPr>
            <w:tcW w:w="1555" w:type="dxa"/>
          </w:tcPr>
          <w:p w:rsidR="00CB68A7" w:rsidRDefault="00CB68A7" w:rsidP="00EC3578">
            <w:pPr>
              <w:spacing w:before="120"/>
            </w:pPr>
            <w:r>
              <w:t>NHI</w:t>
            </w:r>
          </w:p>
        </w:tc>
        <w:tc>
          <w:tcPr>
            <w:tcW w:w="7790" w:type="dxa"/>
          </w:tcPr>
          <w:p w:rsidR="00CB68A7" w:rsidRDefault="00CB68A7" w:rsidP="00EC3578">
            <w:pPr>
              <w:spacing w:before="120"/>
            </w:pPr>
            <w:r>
              <w:t>National Health Index</w:t>
            </w:r>
          </w:p>
        </w:tc>
      </w:tr>
      <w:tr w:rsidR="00CB68A7" w:rsidRPr="00C10A99" w:rsidTr="00EC3578">
        <w:tc>
          <w:tcPr>
            <w:tcW w:w="1555" w:type="dxa"/>
          </w:tcPr>
          <w:p w:rsidR="00CB68A7" w:rsidRDefault="00CB68A7" w:rsidP="00EC3578">
            <w:pPr>
              <w:spacing w:before="120"/>
            </w:pPr>
            <w:r>
              <w:t>NZLC</w:t>
            </w:r>
          </w:p>
        </w:tc>
        <w:tc>
          <w:tcPr>
            <w:tcW w:w="7790" w:type="dxa"/>
          </w:tcPr>
          <w:p w:rsidR="00CB68A7" w:rsidRDefault="00CB68A7" w:rsidP="00EC3578">
            <w:pPr>
              <w:spacing w:before="120"/>
            </w:pPr>
            <w:r>
              <w:t>New Zealand Lotteries Commission</w:t>
            </w:r>
          </w:p>
        </w:tc>
      </w:tr>
      <w:tr w:rsidR="00CB68A7" w:rsidRPr="00C10A99" w:rsidTr="00EC3578">
        <w:tc>
          <w:tcPr>
            <w:tcW w:w="1555" w:type="dxa"/>
          </w:tcPr>
          <w:p w:rsidR="00CB68A7" w:rsidRPr="00E312E8" w:rsidRDefault="00CB68A7" w:rsidP="00EC3578">
            <w:pPr>
              <w:spacing w:before="120"/>
            </w:pPr>
            <w:r>
              <w:t>NZRB</w:t>
            </w:r>
          </w:p>
        </w:tc>
        <w:tc>
          <w:tcPr>
            <w:tcW w:w="7790" w:type="dxa"/>
          </w:tcPr>
          <w:p w:rsidR="00CB68A7" w:rsidRPr="00E312E8" w:rsidRDefault="00CB68A7" w:rsidP="00EC3578">
            <w:pPr>
              <w:spacing w:before="120"/>
            </w:pPr>
            <w:r>
              <w:t>New Zealand Racing Board</w:t>
            </w:r>
          </w:p>
        </w:tc>
      </w:tr>
      <w:tr w:rsidR="00CB68A7" w:rsidRPr="00C10A99" w:rsidTr="00EC3578">
        <w:tc>
          <w:tcPr>
            <w:tcW w:w="1555" w:type="dxa"/>
          </w:tcPr>
          <w:p w:rsidR="00CB68A7" w:rsidRDefault="00CB68A7" w:rsidP="00EC3578">
            <w:pPr>
              <w:spacing w:before="120"/>
            </w:pPr>
            <w:r>
              <w:t>PGF</w:t>
            </w:r>
          </w:p>
        </w:tc>
        <w:tc>
          <w:tcPr>
            <w:tcW w:w="7790" w:type="dxa"/>
          </w:tcPr>
          <w:p w:rsidR="00CB68A7" w:rsidRDefault="00CB68A7" w:rsidP="00EC3578">
            <w:pPr>
              <w:spacing w:before="120"/>
            </w:pPr>
            <w:r>
              <w:t>Problem Gambling Foundation of New Zealand</w:t>
            </w:r>
          </w:p>
        </w:tc>
      </w:tr>
      <w:tr w:rsidR="00CB68A7" w:rsidRPr="00C10A99" w:rsidTr="00EC3578">
        <w:tc>
          <w:tcPr>
            <w:tcW w:w="1555" w:type="dxa"/>
          </w:tcPr>
          <w:p w:rsidR="00CB68A7" w:rsidRDefault="00CB68A7" w:rsidP="00EC3578">
            <w:pPr>
              <w:spacing w:before="120"/>
            </w:pPr>
            <w:r>
              <w:t>PGSI</w:t>
            </w:r>
          </w:p>
        </w:tc>
        <w:tc>
          <w:tcPr>
            <w:tcW w:w="7790" w:type="dxa"/>
          </w:tcPr>
          <w:p w:rsidR="00CB68A7" w:rsidRDefault="00CB68A7" w:rsidP="00EC3578">
            <w:pPr>
              <w:spacing w:before="120"/>
            </w:pPr>
            <w:r>
              <w:t>Problem gambling severity index</w:t>
            </w:r>
          </w:p>
        </w:tc>
      </w:tr>
      <w:tr w:rsidR="00CB68A7" w:rsidRPr="00C10A99" w:rsidTr="00EC3578">
        <w:tc>
          <w:tcPr>
            <w:tcW w:w="1555" w:type="dxa"/>
          </w:tcPr>
          <w:p w:rsidR="00CB68A7" w:rsidRPr="00E312E8" w:rsidRDefault="00CB68A7" w:rsidP="00EC3578">
            <w:pPr>
              <w:spacing w:before="120"/>
            </w:pPr>
            <w:r>
              <w:t>PPGM</w:t>
            </w:r>
          </w:p>
        </w:tc>
        <w:tc>
          <w:tcPr>
            <w:tcW w:w="7790" w:type="dxa"/>
          </w:tcPr>
          <w:p w:rsidR="00CB68A7" w:rsidRPr="00E312E8" w:rsidRDefault="00CB68A7" w:rsidP="00EC3578">
            <w:pPr>
              <w:spacing w:before="120"/>
            </w:pPr>
            <w:r>
              <w:t>Primary problem gambling mode</w:t>
            </w:r>
          </w:p>
        </w:tc>
      </w:tr>
      <w:tr w:rsidR="00CB68A7" w:rsidRPr="00C10A99" w:rsidTr="00EC3578">
        <w:tc>
          <w:tcPr>
            <w:tcW w:w="1555" w:type="dxa"/>
          </w:tcPr>
          <w:p w:rsidR="00CB68A7" w:rsidRDefault="00CB68A7" w:rsidP="00EC3578">
            <w:pPr>
              <w:spacing w:before="120"/>
            </w:pPr>
            <w:r>
              <w:t>SGHS</w:t>
            </w:r>
          </w:p>
        </w:tc>
        <w:tc>
          <w:tcPr>
            <w:tcW w:w="7790" w:type="dxa"/>
          </w:tcPr>
          <w:p w:rsidR="00CB68A7" w:rsidRDefault="00CB68A7" w:rsidP="00EC3578">
            <w:pPr>
              <w:spacing w:before="120"/>
            </w:pPr>
            <w:r>
              <w:t>Short gambling harms scale</w:t>
            </w:r>
          </w:p>
        </w:tc>
      </w:tr>
      <w:tr w:rsidR="00CB68A7" w:rsidRPr="00C10A99" w:rsidTr="00EC3578">
        <w:tc>
          <w:tcPr>
            <w:tcW w:w="1555" w:type="dxa"/>
          </w:tcPr>
          <w:p w:rsidR="00CB68A7" w:rsidRPr="00E312E8" w:rsidRDefault="00CB68A7" w:rsidP="00EC3578">
            <w:pPr>
              <w:spacing w:before="120"/>
            </w:pPr>
            <w:r>
              <w:t>WHO</w:t>
            </w:r>
          </w:p>
        </w:tc>
        <w:tc>
          <w:tcPr>
            <w:tcW w:w="7790" w:type="dxa"/>
          </w:tcPr>
          <w:p w:rsidR="00CB68A7" w:rsidRPr="00E312E8" w:rsidRDefault="00CB68A7" w:rsidP="00EC3578">
            <w:pPr>
              <w:spacing w:before="120"/>
            </w:pPr>
            <w:r>
              <w:t>World Health Organization</w:t>
            </w:r>
          </w:p>
        </w:tc>
      </w:tr>
    </w:tbl>
    <w:p w:rsidR="00CB68A7" w:rsidRPr="00E312E8" w:rsidRDefault="00CB68A7" w:rsidP="00925F22"/>
    <w:p w:rsidR="00CB68A7" w:rsidRPr="000E397F" w:rsidRDefault="00CB68A7" w:rsidP="00925F22">
      <w:pPr>
        <w:pStyle w:val="Heading1"/>
        <w:numPr>
          <w:ilvl w:val="0"/>
          <w:numId w:val="0"/>
        </w:numPr>
        <w:rPr>
          <w:spacing w:val="-4"/>
        </w:rPr>
      </w:pPr>
      <w:bookmarkStart w:id="256" w:name="_Toc517090919"/>
      <w:bookmarkStart w:id="257" w:name="_Toc522089420"/>
      <w:r w:rsidRPr="000E397F">
        <w:rPr>
          <w:spacing w:val="-4"/>
        </w:rPr>
        <w:lastRenderedPageBreak/>
        <w:t>Appendix 1: Potential research and evaluation activities for 2019/20 to 2021/22</w:t>
      </w:r>
      <w:bookmarkEnd w:id="256"/>
      <w:bookmarkEnd w:id="257"/>
    </w:p>
    <w:p w:rsidR="00EC3578" w:rsidRDefault="00CB68A7" w:rsidP="000E397F">
      <w:pPr>
        <w:pStyle w:val="Box"/>
      </w:pPr>
      <w:r w:rsidRPr="00E312E8">
        <w:t>Below is a list of potential research and evaluation activities/areas</w:t>
      </w:r>
      <w:r w:rsidRPr="00C10A99">
        <w:t xml:space="preserve"> </w:t>
      </w:r>
      <w:r>
        <w:t>the Ministry</w:t>
      </w:r>
      <w:r w:rsidRPr="00C10A99">
        <w:t xml:space="preserve"> may undertake in the next three years.</w:t>
      </w:r>
    </w:p>
    <w:p w:rsidR="00CB68A7" w:rsidRDefault="00CB68A7" w:rsidP="000E397F">
      <w:pPr>
        <w:pStyle w:val="Box"/>
      </w:pPr>
      <w:r w:rsidRPr="00C10A99">
        <w:t>Please indicate in your submission which items you consider should be a high priority and which should be a low priority, for our limited research and evaluation budget, and please explain why.</w:t>
      </w:r>
    </w:p>
    <w:p w:rsidR="000E397F" w:rsidRDefault="000E397F" w:rsidP="000E397F"/>
    <w:p w:rsidR="00CB68A7" w:rsidRPr="008D0326" w:rsidRDefault="00CB68A7" w:rsidP="000E397F">
      <w:pPr>
        <w:pStyle w:val="Number"/>
        <w:rPr>
          <w:rFonts w:eastAsiaTheme="minorHAnsi"/>
          <w:b/>
        </w:rPr>
      </w:pPr>
      <w:r w:rsidRPr="008D0326">
        <w:rPr>
          <w:rFonts w:eastAsiaTheme="minorHAnsi"/>
          <w:b/>
        </w:rPr>
        <w:t>The prevalence and incidence of problem gambling and gambling-related harms and risk factors</w:t>
      </w:r>
    </w:p>
    <w:p w:rsidR="00CB68A7" w:rsidRPr="005F09D9" w:rsidRDefault="00CB68A7" w:rsidP="008D0326">
      <w:pPr>
        <w:pStyle w:val="Bullet"/>
        <w:ind w:left="851"/>
      </w:pPr>
      <w:r>
        <w:t>Conduct a s</w:t>
      </w:r>
      <w:r w:rsidRPr="005F09D9">
        <w:t>econdary analysis of the existing four waves of National Gambling Study (NGS) data and the analysis of the Health and Lifestyle</w:t>
      </w:r>
      <w:r>
        <w:t>s</w:t>
      </w:r>
      <w:r w:rsidRPr="005F09D9">
        <w:t xml:space="preserve"> Survey (HLS) gambling module data held by the Health Promotion Agency </w:t>
      </w:r>
      <w:r>
        <w:t>(HPA).</w:t>
      </w:r>
    </w:p>
    <w:p w:rsidR="00CB68A7" w:rsidRPr="005F09D9" w:rsidRDefault="00CB68A7" w:rsidP="008D0326">
      <w:pPr>
        <w:pStyle w:val="Bullet"/>
        <w:ind w:left="851"/>
      </w:pPr>
      <w:r>
        <w:t>Complete a m</w:t>
      </w:r>
      <w:r w:rsidRPr="005F09D9">
        <w:t>eta-analysis of previous years</w:t>
      </w:r>
      <w:r w:rsidR="00EC3578">
        <w:t>’</w:t>
      </w:r>
      <w:r w:rsidRPr="005F09D9">
        <w:t xml:space="preserve"> HLS data to explore a range of topics of interest</w:t>
      </w:r>
      <w:r>
        <w:t>,</w:t>
      </w:r>
      <w:r w:rsidRPr="005F09D9">
        <w:t xml:space="preserve"> including: change over time in gambling participation and harm, evidence for inequalities and inequities in exposure to sources of gambling harm, attitudes to gambling and access to gambling services</w:t>
      </w:r>
      <w:r>
        <w:t>.</w:t>
      </w:r>
    </w:p>
    <w:p w:rsidR="00EC3578" w:rsidRDefault="00CB68A7" w:rsidP="008D0326">
      <w:pPr>
        <w:pStyle w:val="Bullet"/>
        <w:ind w:left="851"/>
      </w:pPr>
      <w:r>
        <w:t>R</w:t>
      </w:r>
      <w:r w:rsidRPr="005F09D9">
        <w:t>efresh the NGS to develop a new gambling behaviour longitudinal cohort study commencing 2019/20. This would include considering long</w:t>
      </w:r>
      <w:r>
        <w:t>-</w:t>
      </w:r>
      <w:r w:rsidRPr="005F09D9">
        <w:t>term funding, with regular reviews. Note</w:t>
      </w:r>
      <w:r>
        <w:t>:</w:t>
      </w:r>
      <w:r w:rsidRPr="005F09D9">
        <w:t xml:space="preserve"> this would require a review of the NGS in 2018/19 to identify learnings from its design and delivery, to incorporate into the refresh; which would focus on understanding in detail the drivers of gamblers</w:t>
      </w:r>
      <w:r w:rsidR="00EC3578">
        <w:t>’</w:t>
      </w:r>
      <w:r w:rsidRPr="005F09D9">
        <w:t xml:space="preserve"> behaviour.</w:t>
      </w:r>
    </w:p>
    <w:p w:rsidR="00CB68A7" w:rsidRPr="005F09D9" w:rsidRDefault="00CB68A7" w:rsidP="008D0326">
      <w:pPr>
        <w:pStyle w:val="Bullet"/>
        <w:ind w:left="851"/>
      </w:pPr>
      <w:r>
        <w:t>C</w:t>
      </w:r>
      <w:r w:rsidRPr="005F09D9">
        <w:t xml:space="preserve">ontinue the biennial national prevalence survey through the </w:t>
      </w:r>
      <w:r>
        <w:t>HLS</w:t>
      </w:r>
      <w:r w:rsidRPr="005F09D9">
        <w:t xml:space="preserve"> of gambling participation and harm in New Zealand. Survey results are particularly useful </w:t>
      </w:r>
      <w:r>
        <w:t>for</w:t>
      </w:r>
      <w:r w:rsidRPr="005F09D9">
        <w:t xml:space="preserve"> inform</w:t>
      </w:r>
      <w:r>
        <w:t>ing</w:t>
      </w:r>
      <w:r w:rsidRPr="005F09D9">
        <w:t xml:space="preserve"> outcomes against a number of the strategy objectives</w:t>
      </w:r>
      <w:r>
        <w:t>.</w:t>
      </w:r>
    </w:p>
    <w:p w:rsidR="00CB68A7" w:rsidRPr="005F09D9" w:rsidRDefault="00CB68A7" w:rsidP="008D0326">
      <w:pPr>
        <w:pStyle w:val="Bullet"/>
        <w:ind w:left="851"/>
      </w:pPr>
      <w:r>
        <w:t>P</w:t>
      </w:r>
      <w:r w:rsidRPr="005F09D9">
        <w:t>romote in-depth analyses using innovative and new perspectives on: changes over time in gambling participation and harm</w:t>
      </w:r>
      <w:r>
        <w:t>;</w:t>
      </w:r>
      <w:r w:rsidRPr="005F09D9">
        <w:t xml:space="preserve"> evidence for inequalities and inequities in exposure to sources of gambling harm and in attitudes to gambling</w:t>
      </w:r>
      <w:r>
        <w:t>;</w:t>
      </w:r>
      <w:r w:rsidRPr="005F09D9">
        <w:t xml:space="preserve"> and access to gambling services</w:t>
      </w:r>
      <w:r>
        <w:t>.</w:t>
      </w:r>
    </w:p>
    <w:p w:rsidR="00CB68A7" w:rsidRPr="005F09D9" w:rsidRDefault="00CB68A7" w:rsidP="008D0326">
      <w:pPr>
        <w:pStyle w:val="Bullet"/>
        <w:ind w:left="851"/>
      </w:pPr>
      <w:r>
        <w:t>P</w:t>
      </w:r>
      <w:r w:rsidRPr="005F09D9">
        <w:t>lac</w:t>
      </w:r>
      <w:r>
        <w:t>e</w:t>
      </w:r>
      <w:r w:rsidRPr="005F09D9">
        <w:t>/promot</w:t>
      </w:r>
      <w:r>
        <w:t>e</w:t>
      </w:r>
      <w:r w:rsidRPr="005F09D9">
        <w:t xml:space="preserve"> the New Zealand experience of gambling participation, gambling harm and harm minimisation activities in an international context.</w:t>
      </w:r>
    </w:p>
    <w:p w:rsidR="00EC3578" w:rsidRDefault="00CB68A7" w:rsidP="008D0326">
      <w:pPr>
        <w:pStyle w:val="Bullet"/>
        <w:ind w:left="851"/>
      </w:pPr>
      <w:r>
        <w:t>E</w:t>
      </w:r>
      <w:r w:rsidRPr="005F09D9">
        <w:t>xplore the development and use of new methods to estimate the burden of gambling harm occurring in the New Zealand population</w:t>
      </w:r>
      <w:r>
        <w:t>.</w:t>
      </w:r>
    </w:p>
    <w:p w:rsidR="00EC3578" w:rsidRDefault="00CB68A7" w:rsidP="008D0326">
      <w:pPr>
        <w:pStyle w:val="Bullet"/>
        <w:ind w:left="851"/>
      </w:pPr>
      <w:r>
        <w:t>D</w:t>
      </w:r>
      <w:r w:rsidRPr="005F09D9">
        <w:t xml:space="preserve">evelop a better understanding of gambling advertising exposure on a range of population groups and the effects of the advertising on </w:t>
      </w:r>
      <w:r>
        <w:t>those groups</w:t>
      </w:r>
      <w:r w:rsidR="00EC3578">
        <w:t>’</w:t>
      </w:r>
      <w:r w:rsidRPr="005F09D9">
        <w:t xml:space="preserve"> propensity to gamble</w:t>
      </w:r>
      <w:r>
        <w:t>.</w:t>
      </w:r>
    </w:p>
    <w:p w:rsidR="00CB68A7" w:rsidRPr="008D0326" w:rsidRDefault="00CB68A7" w:rsidP="008D0326">
      <w:pPr>
        <w:pStyle w:val="Bullet"/>
        <w:ind w:left="851"/>
        <w:rPr>
          <w:rFonts w:eastAsiaTheme="minorHAnsi"/>
        </w:rPr>
      </w:pPr>
      <w:r>
        <w:t>E</w:t>
      </w:r>
      <w:r w:rsidRPr="005F09D9">
        <w:t>xplore the social and economic trade-off between gambling participation and gambling harm</w:t>
      </w:r>
      <w:r>
        <w:t>.</w:t>
      </w:r>
    </w:p>
    <w:p w:rsidR="008D0326" w:rsidRPr="008D0326" w:rsidRDefault="008D0326" w:rsidP="008D0326">
      <w:pPr>
        <w:rPr>
          <w:rFonts w:eastAsiaTheme="minorHAnsi"/>
        </w:rPr>
      </w:pPr>
    </w:p>
    <w:p w:rsidR="00EC3578" w:rsidRPr="008D0326" w:rsidRDefault="00CB68A7" w:rsidP="008D0326">
      <w:pPr>
        <w:pStyle w:val="Number"/>
        <w:rPr>
          <w:rFonts w:eastAsiaTheme="minorHAnsi"/>
          <w:b/>
        </w:rPr>
      </w:pPr>
      <w:r w:rsidRPr="008D0326">
        <w:rPr>
          <w:rFonts w:eastAsiaTheme="minorHAnsi"/>
          <w:b/>
        </w:rPr>
        <w:lastRenderedPageBreak/>
        <w:t>Inequality and inequity / research into vulnerable at-risk populations, particularly Māori, Pacific and</w:t>
      </w:r>
      <w:r w:rsidRPr="008D0326">
        <w:rPr>
          <w:rFonts w:asciiTheme="minorHAnsi" w:eastAsiaTheme="minorHAnsi" w:hAnsiTheme="minorHAnsi"/>
          <w:b/>
        </w:rPr>
        <w:t xml:space="preserve"> </w:t>
      </w:r>
      <w:r w:rsidRPr="008D0326">
        <w:rPr>
          <w:rFonts w:eastAsiaTheme="minorHAnsi"/>
          <w:b/>
        </w:rPr>
        <w:t>Asian peoples and youth/children</w:t>
      </w:r>
    </w:p>
    <w:p w:rsidR="00CB68A7" w:rsidRPr="005F09D9" w:rsidRDefault="00CB68A7" w:rsidP="008D0326">
      <w:pPr>
        <w:pStyle w:val="Bullet"/>
        <w:ind w:left="851"/>
      </w:pPr>
      <w:r>
        <w:t>I</w:t>
      </w:r>
      <w:r w:rsidRPr="005F09D9">
        <w:t>mprov</w:t>
      </w:r>
      <w:r>
        <w:t>e</w:t>
      </w:r>
      <w:r w:rsidRPr="005F09D9">
        <w:t xml:space="preserve"> our understanding</w:t>
      </w:r>
      <w:r>
        <w:t xml:space="preserve"> of</w:t>
      </w:r>
      <w:r w:rsidRPr="005F09D9">
        <w:t xml:space="preserve"> the causes of gambling harm inequality and inequities between a </w:t>
      </w:r>
      <w:proofErr w:type="gramStart"/>
      <w:r w:rsidRPr="005F09D9">
        <w:t>range</w:t>
      </w:r>
      <w:proofErr w:type="gramEnd"/>
      <w:r w:rsidRPr="005F09D9">
        <w:t xml:space="preserve"> of New Zealand population groups</w:t>
      </w:r>
      <w:r>
        <w:t>.</w:t>
      </w:r>
    </w:p>
    <w:p w:rsidR="00EC3578" w:rsidRDefault="00CB68A7" w:rsidP="008D0326">
      <w:pPr>
        <w:pStyle w:val="Bullet"/>
        <w:ind w:left="851"/>
      </w:pPr>
      <w:r>
        <w:t xml:space="preserve">Consider </w:t>
      </w:r>
      <w:r w:rsidRPr="00252C71">
        <w:t>what drives the differences among and between population groups and how th</w:t>
      </w:r>
      <w:r>
        <w:t>ose differences are</w:t>
      </w:r>
      <w:r w:rsidRPr="00252C71">
        <w:t xml:space="preserve"> changing</w:t>
      </w:r>
      <w:r>
        <w:t>.</w:t>
      </w:r>
    </w:p>
    <w:p w:rsidR="00EC3578" w:rsidRDefault="00CB68A7" w:rsidP="008D0326">
      <w:pPr>
        <w:pStyle w:val="Bullet"/>
        <w:ind w:left="851"/>
      </w:pPr>
      <w:r>
        <w:t>T</w:t>
      </w:r>
      <w:r w:rsidRPr="00252C71">
        <w:t>arget populations experiencing the most harm from gambling – in particular M</w:t>
      </w:r>
      <w:r>
        <w:t>ā</w:t>
      </w:r>
      <w:r w:rsidRPr="00252C71">
        <w:t>ori, Pa</w:t>
      </w:r>
      <w:r>
        <w:t>cific peoples</w:t>
      </w:r>
      <w:r w:rsidRPr="00252C71">
        <w:t xml:space="preserve"> and those in high</w:t>
      </w:r>
      <w:r>
        <w:t>-</w:t>
      </w:r>
      <w:r w:rsidRPr="00252C71">
        <w:t>deprivation populations</w:t>
      </w:r>
      <w:r>
        <w:t>.</w:t>
      </w:r>
    </w:p>
    <w:p w:rsidR="00EC3578" w:rsidRDefault="00CB68A7" w:rsidP="008D0326">
      <w:pPr>
        <w:pStyle w:val="Bullet"/>
        <w:ind w:left="851"/>
      </w:pPr>
      <w:r>
        <w:t>D</w:t>
      </w:r>
      <w:r w:rsidRPr="005F09D9">
        <w:t>evelop methods and approaches that build the capacity and capability for Māori and Pacific people</w:t>
      </w:r>
      <w:r>
        <w:t>s</w:t>
      </w:r>
      <w:r w:rsidRPr="005F09D9">
        <w:t xml:space="preserve"> and other vulnerable groups to become involved with and participate in research and evaluation.</w:t>
      </w:r>
    </w:p>
    <w:p w:rsidR="00CB68A7" w:rsidRPr="005F09D9" w:rsidRDefault="00CB68A7" w:rsidP="008D0326">
      <w:pPr>
        <w:pStyle w:val="Bullet"/>
        <w:ind w:left="851"/>
      </w:pPr>
      <w:r>
        <w:t>D</w:t>
      </w:r>
      <w:r w:rsidRPr="005F09D9">
        <w:t>evelop knowledge about the New Zealand Asian population</w:t>
      </w:r>
      <w:r w:rsidR="00EC3578">
        <w:t>’</w:t>
      </w:r>
      <w:r>
        <w:t>s</w:t>
      </w:r>
      <w:r w:rsidRPr="005F09D9">
        <w:t xml:space="preserve"> gambling participation, harm and help</w:t>
      </w:r>
      <w:r>
        <w:t>-</w:t>
      </w:r>
      <w:r w:rsidRPr="005F09D9">
        <w:t>seeking behaviour</w:t>
      </w:r>
      <w:r>
        <w:t>.</w:t>
      </w:r>
    </w:p>
    <w:p w:rsidR="00CB68A7" w:rsidRPr="005F09D9" w:rsidRDefault="00CB68A7" w:rsidP="008D0326">
      <w:pPr>
        <w:pStyle w:val="Bullet"/>
        <w:ind w:left="851"/>
      </w:pPr>
      <w:r>
        <w:t>B</w:t>
      </w:r>
      <w:r w:rsidRPr="005F09D9">
        <w:t>uild gambling harm research capacity by supporting projects that develop new and emerging gambling harm researchers</w:t>
      </w:r>
      <w:r>
        <w:t>.</w:t>
      </w:r>
    </w:p>
    <w:p w:rsidR="00CB68A7" w:rsidRDefault="00CB68A7" w:rsidP="008D0326">
      <w:pPr>
        <w:pStyle w:val="Bullet"/>
        <w:ind w:left="851"/>
      </w:pPr>
      <w:r>
        <w:t>E</w:t>
      </w:r>
      <w:r w:rsidRPr="005F09D9">
        <w:t>nable the development and piloting of new research methods</w:t>
      </w:r>
      <w:r>
        <w:t>,</w:t>
      </w:r>
      <w:r w:rsidRPr="005F09D9">
        <w:t xml:space="preserve"> such as </w:t>
      </w:r>
      <w:proofErr w:type="spellStart"/>
      <w:r w:rsidRPr="005F09D9">
        <w:t>KidsCam</w:t>
      </w:r>
      <w:proofErr w:type="spellEnd"/>
      <w:r>
        <w:t>.</w:t>
      </w:r>
    </w:p>
    <w:p w:rsidR="008D0326" w:rsidRPr="005F09D9" w:rsidRDefault="008D0326" w:rsidP="008D0326"/>
    <w:p w:rsidR="00CB68A7" w:rsidRPr="008D0326" w:rsidRDefault="00CB68A7" w:rsidP="008D0326">
      <w:pPr>
        <w:pStyle w:val="Number"/>
        <w:rPr>
          <w:rFonts w:eastAsiaTheme="minorHAnsi"/>
          <w:b/>
        </w:rPr>
      </w:pPr>
      <w:r w:rsidRPr="008D0326">
        <w:rPr>
          <w:rFonts w:eastAsiaTheme="minorHAnsi"/>
          <w:b/>
        </w:rPr>
        <w:t>Evaluation to identify what works and why; what works best; and based on learnings from past activities, how to improve and innovate services, research and intervention</w:t>
      </w:r>
    </w:p>
    <w:p w:rsidR="00CB68A7" w:rsidRPr="005F09D9" w:rsidRDefault="00CB68A7" w:rsidP="008D0326">
      <w:pPr>
        <w:pStyle w:val="Bullet"/>
        <w:ind w:left="851"/>
      </w:pPr>
      <w:r>
        <w:t>S</w:t>
      </w:r>
      <w:r w:rsidRPr="005F09D9">
        <w:t>trengthen evaluation of the design, delivery and outcomes of services – particularly new services</w:t>
      </w:r>
      <w:r>
        <w:t>.</w:t>
      </w:r>
    </w:p>
    <w:p w:rsidR="00EC3578" w:rsidRDefault="00CB68A7" w:rsidP="008D0326">
      <w:pPr>
        <w:pStyle w:val="Bullet"/>
        <w:ind w:left="851"/>
        <w:rPr>
          <w:rFonts w:cs="Arial"/>
        </w:rPr>
      </w:pPr>
      <w:r>
        <w:rPr>
          <w:rFonts w:cs="Arial"/>
        </w:rPr>
        <w:t>I</w:t>
      </w:r>
      <w:r w:rsidRPr="00A11242">
        <w:rPr>
          <w:rFonts w:cs="Arial"/>
        </w:rPr>
        <w:t xml:space="preserve">ntroduce programme evaluation </w:t>
      </w:r>
      <w:r w:rsidRPr="005F09D9">
        <w:rPr>
          <w:rFonts w:cs="Arial"/>
        </w:rPr>
        <w:t>more widely into Ministry</w:t>
      </w:r>
      <w:r>
        <w:rPr>
          <w:rFonts w:cs="Arial"/>
        </w:rPr>
        <w:t>-funded</w:t>
      </w:r>
      <w:r w:rsidRPr="005F09D9">
        <w:rPr>
          <w:rFonts w:cs="Arial"/>
        </w:rPr>
        <w:t xml:space="preserve"> activities</w:t>
      </w:r>
      <w:r>
        <w:rPr>
          <w:rFonts w:cs="Arial"/>
        </w:rPr>
        <w:t>.</w:t>
      </w:r>
    </w:p>
    <w:p w:rsidR="00EC3578" w:rsidRDefault="00CB68A7" w:rsidP="008D0326">
      <w:pPr>
        <w:pStyle w:val="Bullet"/>
        <w:ind w:left="851"/>
        <w:rPr>
          <w:rFonts w:cs="Arial"/>
          <w:lang w:eastAsia="en-NZ"/>
        </w:rPr>
      </w:pPr>
      <w:r>
        <w:rPr>
          <w:rFonts w:cs="Arial"/>
          <w:lang w:eastAsia="en-NZ"/>
        </w:rPr>
        <w:t>E</w:t>
      </w:r>
      <w:r w:rsidRPr="005F09D9">
        <w:rPr>
          <w:rFonts w:cs="Arial"/>
          <w:lang w:eastAsia="en-NZ"/>
        </w:rPr>
        <w:t>valuate new and innovative approaches, for example, such as</w:t>
      </w:r>
      <w:r>
        <w:rPr>
          <w:rFonts w:cs="Arial"/>
          <w:lang w:eastAsia="en-NZ"/>
        </w:rPr>
        <w:t>:</w:t>
      </w:r>
    </w:p>
    <w:p w:rsidR="00EC3578" w:rsidRDefault="00CB68A7" w:rsidP="008D0326">
      <w:pPr>
        <w:pStyle w:val="Dash"/>
        <w:ind w:left="1135" w:hanging="284"/>
      </w:pPr>
      <w:r>
        <w:t>develop</w:t>
      </w:r>
      <w:r w:rsidRPr="005F09D9">
        <w:t xml:space="preserve"> consumer</w:t>
      </w:r>
      <w:r>
        <w:t>-</w:t>
      </w:r>
      <w:r w:rsidRPr="005F09D9">
        <w:t>based peer support networks</w:t>
      </w:r>
    </w:p>
    <w:p w:rsidR="00CB68A7" w:rsidRPr="005F09D9" w:rsidRDefault="00CB68A7" w:rsidP="008D0326">
      <w:pPr>
        <w:pStyle w:val="Dash"/>
        <w:ind w:left="1135" w:hanging="284"/>
      </w:pPr>
      <w:r>
        <w:t>test</w:t>
      </w:r>
      <w:r w:rsidRPr="005F09D9">
        <w:t xml:space="preserve"> the effectiveness of </w:t>
      </w:r>
      <w:r>
        <w:t>f</w:t>
      </w:r>
      <w:r w:rsidRPr="005F09D9">
        <w:t xml:space="preserve">acial </w:t>
      </w:r>
      <w:r>
        <w:t>r</w:t>
      </w:r>
      <w:r w:rsidRPr="005F09D9">
        <w:t xml:space="preserve">ecognition </w:t>
      </w:r>
      <w:r>
        <w:t>t</w:t>
      </w:r>
      <w:r w:rsidRPr="005F09D9">
        <w:t xml:space="preserve">echnology (FRT) within the </w:t>
      </w:r>
      <w:r>
        <w:t>m</w:t>
      </w:r>
      <w:r w:rsidRPr="005F09D9">
        <w:t>ulti</w:t>
      </w:r>
      <w:r>
        <w:t>-v</w:t>
      </w:r>
      <w:r w:rsidRPr="005F09D9">
        <w:t xml:space="preserve">enue </w:t>
      </w:r>
      <w:r>
        <w:t>e</w:t>
      </w:r>
      <w:r w:rsidRPr="005F09D9">
        <w:t>xclusion process (MVE)</w:t>
      </w:r>
    </w:p>
    <w:p w:rsidR="00EC3578" w:rsidRDefault="00CB68A7" w:rsidP="008D0326">
      <w:pPr>
        <w:pStyle w:val="Dash"/>
        <w:ind w:left="1135" w:hanging="284"/>
      </w:pPr>
      <w:r>
        <w:t>modify</w:t>
      </w:r>
      <w:r w:rsidRPr="005F09D9">
        <w:t xml:space="preserve"> existing service provision with better outcome measures</w:t>
      </w:r>
    </w:p>
    <w:p w:rsidR="00CB68A7" w:rsidRPr="005F09D9" w:rsidRDefault="00CB68A7" w:rsidP="008D0326">
      <w:pPr>
        <w:pStyle w:val="Dash"/>
        <w:ind w:left="1135" w:hanging="284"/>
      </w:pPr>
      <w:proofErr w:type="gramStart"/>
      <w:r>
        <w:t>investigate</w:t>
      </w:r>
      <w:proofErr w:type="gramEnd"/>
      <w:r w:rsidRPr="005F09D9">
        <w:t xml:space="preserve"> ways to provide ongoing support and prevent relapse within provider client populations.</w:t>
      </w:r>
    </w:p>
    <w:p w:rsidR="00CB68A7" w:rsidRPr="005F09D9" w:rsidRDefault="00CB68A7" w:rsidP="008D0326">
      <w:pPr>
        <w:pStyle w:val="Bullet"/>
        <w:ind w:left="851"/>
      </w:pPr>
      <w:r>
        <w:t xml:space="preserve">Consider </w:t>
      </w:r>
      <w:r w:rsidRPr="005F09D9">
        <w:t>consumers</w:t>
      </w:r>
      <w:r w:rsidR="00EC3578">
        <w:t>’</w:t>
      </w:r>
      <w:r w:rsidRPr="005F09D9">
        <w:t xml:space="preserve"> experiences of service delivery and what makes for successful services</w:t>
      </w:r>
      <w:r>
        <w:t>.</w:t>
      </w:r>
    </w:p>
    <w:p w:rsidR="00CB68A7" w:rsidRPr="005F09D9" w:rsidRDefault="00CB68A7" w:rsidP="008D0326">
      <w:pPr>
        <w:pStyle w:val="Bullet"/>
        <w:ind w:left="851"/>
      </w:pPr>
      <w:r>
        <w:t>E</w:t>
      </w:r>
      <w:r w:rsidRPr="005F09D9">
        <w:t>xplore evidence for under and over utilisation of harm</w:t>
      </w:r>
      <w:r>
        <w:t>-</w:t>
      </w:r>
      <w:r w:rsidRPr="005F09D9">
        <w:t>reduction services and the reasons for such utilisation</w:t>
      </w:r>
      <w:r>
        <w:t>.</w:t>
      </w:r>
    </w:p>
    <w:p w:rsidR="00EC3578" w:rsidRDefault="00CB68A7" w:rsidP="008D0326">
      <w:pPr>
        <w:pStyle w:val="Bullet"/>
        <w:ind w:left="851"/>
      </w:pPr>
      <w:r>
        <w:t>I</w:t>
      </w:r>
      <w:r w:rsidRPr="005F09D9">
        <w:t xml:space="preserve">nvestigate the effects of the range of </w:t>
      </w:r>
      <w:r>
        <w:t>t</w:t>
      </w:r>
      <w:r w:rsidRPr="005F09D9">
        <w:t xml:space="preserve">erritorial </w:t>
      </w:r>
      <w:r>
        <w:t>a</w:t>
      </w:r>
      <w:r w:rsidRPr="005F09D9">
        <w:t>uthority policies on gambling harm minimisation</w:t>
      </w:r>
      <w:r>
        <w:t>.</w:t>
      </w:r>
    </w:p>
    <w:p w:rsidR="00CB68A7" w:rsidRPr="005F09D9" w:rsidRDefault="00CB68A7" w:rsidP="008D0326">
      <w:pPr>
        <w:pStyle w:val="Bullet"/>
        <w:ind w:left="851"/>
      </w:pPr>
      <w:r>
        <w:t>I</w:t>
      </w:r>
      <w:r w:rsidRPr="005F09D9">
        <w:t>nvestigate/evaluate the design and delivery of gambling products to the New Zealand market, to better understand implications for harm minimisation</w:t>
      </w:r>
      <w:r>
        <w:t>.</w:t>
      </w:r>
    </w:p>
    <w:p w:rsidR="00EC3578" w:rsidRDefault="00CB68A7" w:rsidP="008D0326">
      <w:pPr>
        <w:pStyle w:val="Bullet"/>
        <w:ind w:left="851"/>
      </w:pPr>
      <w:r>
        <w:t xml:space="preserve">Explore </w:t>
      </w:r>
      <w:r w:rsidRPr="005F09D9">
        <w:t>how to effectively transfer what we learn about gambling harm in academic research to key stakeholders: the gambling sector, policy and operational decision-makers; groups that are receiving or likely to need harm</w:t>
      </w:r>
      <w:r>
        <w:t>-</w:t>
      </w:r>
      <w:r w:rsidRPr="005F09D9">
        <w:t>minimisation services and the general public.</w:t>
      </w:r>
    </w:p>
    <w:p w:rsidR="008D0326" w:rsidRDefault="008D0326" w:rsidP="008D0326"/>
    <w:p w:rsidR="00CB68A7" w:rsidRPr="008D0326" w:rsidRDefault="00CB68A7" w:rsidP="008D0326">
      <w:pPr>
        <w:pStyle w:val="Number"/>
        <w:keepNext/>
        <w:rPr>
          <w:rFonts w:eastAsiaTheme="minorHAnsi"/>
          <w:b/>
        </w:rPr>
      </w:pPr>
      <w:r w:rsidRPr="008D0326">
        <w:rPr>
          <w:rFonts w:eastAsiaTheme="minorHAnsi"/>
          <w:b/>
        </w:rPr>
        <w:lastRenderedPageBreak/>
        <w:t>Emerging issues</w:t>
      </w:r>
    </w:p>
    <w:p w:rsidR="00EC3578" w:rsidRDefault="00CB68A7" w:rsidP="008D0326">
      <w:pPr>
        <w:pStyle w:val="Bullet"/>
        <w:ind w:left="851"/>
      </w:pPr>
      <w:r>
        <w:t xml:space="preserve">Consider the </w:t>
      </w:r>
      <w:r w:rsidRPr="005F09D9">
        <w:t xml:space="preserve">use of internet or other digital distribution platforms </w:t>
      </w:r>
      <w:r>
        <w:t>in</w:t>
      </w:r>
      <w:r w:rsidRPr="005F09D9">
        <w:t xml:space="preserve"> provid</w:t>
      </w:r>
      <w:r>
        <w:t>ing</w:t>
      </w:r>
      <w:r w:rsidRPr="005F09D9">
        <w:t xml:space="preserve"> increased access to gambling opportunities and potentially increas</w:t>
      </w:r>
      <w:r>
        <w:t>ing</w:t>
      </w:r>
      <w:r w:rsidRPr="005F09D9">
        <w:t xml:space="preserve"> the prevalence of harm</w:t>
      </w:r>
      <w:r>
        <w:t>.</w:t>
      </w:r>
    </w:p>
    <w:p w:rsidR="00CB68A7" w:rsidRPr="005F09D9" w:rsidRDefault="00CB68A7" w:rsidP="008D0326">
      <w:pPr>
        <w:pStyle w:val="Bullet"/>
        <w:ind w:left="851"/>
      </w:pPr>
      <w:r>
        <w:t xml:space="preserve">Research </w:t>
      </w:r>
      <w:r w:rsidRPr="005F09D9">
        <w:t>the convergence of gambling and gaming</w:t>
      </w:r>
      <w:r>
        <w:t>:</w:t>
      </w:r>
    </w:p>
    <w:p w:rsidR="00CB68A7" w:rsidRPr="005F09D9" w:rsidRDefault="00CB68A7" w:rsidP="008D0326">
      <w:pPr>
        <w:pStyle w:val="Dash"/>
        <w:ind w:left="1135" w:hanging="284"/>
      </w:pPr>
      <w:r w:rsidRPr="005F09D9">
        <w:t>examin</w:t>
      </w:r>
      <w:r>
        <w:t>e</w:t>
      </w:r>
      <w:r w:rsidRPr="005F09D9">
        <w:t xml:space="preserve"> the convergence between gaming and gambling product design and products</w:t>
      </w:r>
    </w:p>
    <w:p w:rsidR="00CB68A7" w:rsidRPr="005F09D9" w:rsidRDefault="00CB68A7" w:rsidP="008D0326">
      <w:pPr>
        <w:pStyle w:val="Dash"/>
        <w:ind w:left="1135" w:hanging="284"/>
      </w:pPr>
      <w:proofErr w:type="gramStart"/>
      <w:r>
        <w:rPr>
          <w:rFonts w:cs="Arial"/>
          <w:kern w:val="24"/>
        </w:rPr>
        <w:t>consider</w:t>
      </w:r>
      <w:proofErr w:type="gramEnd"/>
      <w:r>
        <w:rPr>
          <w:rFonts w:cs="Arial"/>
          <w:kern w:val="24"/>
        </w:rPr>
        <w:t xml:space="preserve"> </w:t>
      </w:r>
      <w:r w:rsidRPr="005F09D9">
        <w:rPr>
          <w:rFonts w:cs="Arial"/>
          <w:kern w:val="24"/>
        </w:rPr>
        <w:t>how this may impact in the next 2</w:t>
      </w:r>
      <w:r>
        <w:rPr>
          <w:rFonts w:cs="Arial"/>
          <w:kern w:val="24"/>
        </w:rPr>
        <w:t>–</w:t>
      </w:r>
      <w:r w:rsidRPr="005F09D9">
        <w:rPr>
          <w:rFonts w:cs="Arial"/>
          <w:kern w:val="24"/>
        </w:rPr>
        <w:t>3 years as opportunities to gamble online from new and traditional providers increase (</w:t>
      </w:r>
      <w:proofErr w:type="spellStart"/>
      <w:r w:rsidRPr="005F09D9">
        <w:rPr>
          <w:rFonts w:cs="Arial"/>
          <w:kern w:val="24"/>
        </w:rPr>
        <w:t>eg</w:t>
      </w:r>
      <w:proofErr w:type="spellEnd"/>
      <w:r>
        <w:rPr>
          <w:rFonts w:cs="Arial"/>
          <w:kern w:val="24"/>
        </w:rPr>
        <w:t>,</w:t>
      </w:r>
      <w:r w:rsidRPr="005F09D9">
        <w:rPr>
          <w:rFonts w:cs="Arial"/>
          <w:kern w:val="24"/>
        </w:rPr>
        <w:t xml:space="preserve"> Lotto</w:t>
      </w:r>
      <w:r w:rsidR="00EC3578">
        <w:rPr>
          <w:rFonts w:cs="Arial"/>
          <w:kern w:val="24"/>
        </w:rPr>
        <w:t>’</w:t>
      </w:r>
      <w:r w:rsidRPr="005F09D9">
        <w:rPr>
          <w:rFonts w:cs="Arial"/>
          <w:kern w:val="24"/>
        </w:rPr>
        <w:t>s online instant win and online offerings).</w:t>
      </w:r>
    </w:p>
    <w:p w:rsidR="00CB68A7" w:rsidRDefault="00CB68A7" w:rsidP="008D0326">
      <w:pPr>
        <w:pStyle w:val="Bullet"/>
        <w:ind w:left="851"/>
      </w:pPr>
      <w:r>
        <w:t>Conduct a</w:t>
      </w:r>
      <w:r w:rsidRPr="005F09D9">
        <w:t>d hoc investigation</w:t>
      </w:r>
      <w:r>
        <w:t>s</w:t>
      </w:r>
      <w:r w:rsidRPr="005F09D9">
        <w:t>/responses to questions that emerge due to chan</w:t>
      </w:r>
      <w:r>
        <w:t>ges in the gambling environment.</w:t>
      </w:r>
    </w:p>
    <w:p w:rsidR="008D0326" w:rsidRDefault="008D0326" w:rsidP="008D0326"/>
    <w:p w:rsidR="008E1636" w:rsidRDefault="008E1636" w:rsidP="008D0326">
      <w:pPr>
        <w:sectPr w:rsidR="008E1636" w:rsidSect="00901F12">
          <w:headerReference w:type="even" r:id="rId68"/>
          <w:headerReference w:type="default" r:id="rId69"/>
          <w:footerReference w:type="even" r:id="rId70"/>
          <w:footerReference w:type="default" r:id="rId71"/>
          <w:headerReference w:type="first" r:id="rId72"/>
          <w:pgSz w:w="11907" w:h="16834" w:code="9"/>
          <w:pgMar w:top="851" w:right="1134" w:bottom="1134" w:left="1134" w:header="284" w:footer="567" w:gutter="284"/>
          <w:cols w:space="720"/>
        </w:sectPr>
      </w:pPr>
    </w:p>
    <w:p w:rsidR="008E1636" w:rsidRDefault="008E1636" w:rsidP="008D0326"/>
    <w:p w:rsidR="008E1636" w:rsidRDefault="008E1636" w:rsidP="008D0326"/>
    <w:p w:rsidR="008E1636" w:rsidRDefault="008E1636" w:rsidP="008D0326">
      <w:pPr>
        <w:sectPr w:rsidR="008E1636" w:rsidSect="00901F12">
          <w:headerReference w:type="even" r:id="rId73"/>
          <w:headerReference w:type="default" r:id="rId74"/>
          <w:footerReference w:type="even" r:id="rId75"/>
          <w:headerReference w:type="first" r:id="rId76"/>
          <w:pgSz w:w="11907" w:h="16834" w:code="9"/>
          <w:pgMar w:top="851" w:right="1134" w:bottom="1134" w:left="1134" w:header="284" w:footer="567" w:gutter="284"/>
          <w:cols w:space="720"/>
        </w:sectPr>
      </w:pPr>
    </w:p>
    <w:p w:rsidR="00925F22" w:rsidRDefault="00925F22" w:rsidP="00925F22">
      <w:pPr>
        <w:pStyle w:val="Heading1"/>
        <w:numPr>
          <w:ilvl w:val="0"/>
          <w:numId w:val="0"/>
        </w:numPr>
      </w:pPr>
      <w:bookmarkStart w:id="258" w:name="_Toc329860073"/>
      <w:bookmarkStart w:id="259" w:name="_Toc421026488"/>
      <w:bookmarkStart w:id="260" w:name="_Toc517090917"/>
      <w:bookmarkStart w:id="261" w:name="_Toc522089421"/>
      <w:r w:rsidRPr="00C10A99">
        <w:lastRenderedPageBreak/>
        <w:t>Making a submission</w:t>
      </w:r>
      <w:bookmarkEnd w:id="258"/>
      <w:bookmarkEnd w:id="259"/>
      <w:bookmarkEnd w:id="260"/>
      <w:bookmarkEnd w:id="261"/>
    </w:p>
    <w:p w:rsidR="00925F22" w:rsidRPr="004A5731" w:rsidRDefault="00925F22" w:rsidP="004A5731">
      <w:pPr>
        <w:rPr>
          <w:b/>
          <w:i/>
          <w:sz w:val="36"/>
          <w:szCs w:val="36"/>
        </w:rPr>
      </w:pPr>
      <w:bookmarkStart w:id="262" w:name="_Toc456090385"/>
      <w:bookmarkStart w:id="263" w:name="_Toc476904702"/>
      <w:r w:rsidRPr="004A5731">
        <w:rPr>
          <w:b/>
          <w:i/>
          <w:sz w:val="36"/>
          <w:szCs w:val="36"/>
        </w:rPr>
        <w:t>Strategy to Prevent and Minimise Gambling Harm: Consultation document</w:t>
      </w:r>
    </w:p>
    <w:p w:rsidR="00925F22" w:rsidRPr="00C9524D" w:rsidRDefault="00925F22" w:rsidP="004A5731">
      <w:pPr>
        <w:pStyle w:val="Heading3"/>
      </w:pPr>
      <w:r w:rsidRPr="00C9524D">
        <w:t>Your feedback</w:t>
      </w:r>
      <w:bookmarkEnd w:id="262"/>
      <w:bookmarkEnd w:id="263"/>
    </w:p>
    <w:p w:rsidR="00925F22" w:rsidRPr="00C9524D" w:rsidRDefault="00925F22" w:rsidP="004A5731">
      <w:r w:rsidRPr="00C9524D">
        <w:t>The Ministry welcomes your thoughts and feedback on this draft strategy, which outlines the proposed strategic direction and services to prevent and minimise gambling harm, and the associated gambling levy rates, to apply from 1 July 2019 to 30 June 2022.</w:t>
      </w:r>
    </w:p>
    <w:p w:rsidR="004A5731" w:rsidRDefault="004A5731" w:rsidP="004A5731"/>
    <w:p w:rsidR="00925F22" w:rsidRDefault="00925F22" w:rsidP="004A5731">
      <w:r w:rsidRPr="00C9524D">
        <w:t>Your feedback is vital to help us develop the final strategy.</w:t>
      </w:r>
    </w:p>
    <w:p w:rsidR="00925F22" w:rsidRPr="00C9524D" w:rsidRDefault="00925F22" w:rsidP="004A5731"/>
    <w:p w:rsidR="00925F22" w:rsidRPr="00C9524D" w:rsidRDefault="00925F22" w:rsidP="004A5731">
      <w:pPr>
        <w:pStyle w:val="Heading3"/>
      </w:pPr>
      <w:bookmarkStart w:id="264" w:name="_Toc478474661"/>
      <w:bookmarkStart w:id="265" w:name="_Toc478824394"/>
      <w:r w:rsidRPr="00C9524D">
        <w:t>How to provide feedback</w:t>
      </w:r>
      <w:bookmarkEnd w:id="264"/>
      <w:bookmarkEnd w:id="265"/>
    </w:p>
    <w:p w:rsidR="00844C9C" w:rsidRPr="00C9524D" w:rsidRDefault="00844C9C" w:rsidP="00844C9C">
      <w:r w:rsidRPr="00C9524D">
        <w:t>You can provide feedback by:</w:t>
      </w:r>
    </w:p>
    <w:p w:rsidR="00844C9C" w:rsidRDefault="00844C9C" w:rsidP="00844C9C">
      <w:pPr>
        <w:pStyle w:val="Bullet"/>
      </w:pPr>
      <w:r>
        <w:t xml:space="preserve">making an online submission at </w:t>
      </w:r>
      <w:hyperlink r:id="rId77" w:history="1">
        <w:r w:rsidRPr="00374EF4">
          <w:rPr>
            <w:rStyle w:val="Hyperlink"/>
          </w:rPr>
          <w:t>https://consult.health.govt.nz</w:t>
        </w:r>
      </w:hyperlink>
    </w:p>
    <w:p w:rsidR="00844C9C" w:rsidRDefault="00844C9C" w:rsidP="00844C9C">
      <w:pPr>
        <w:pStyle w:val="Bullet"/>
      </w:pPr>
      <w:r w:rsidRPr="00C9524D">
        <w:t xml:space="preserve">using the form </w:t>
      </w:r>
      <w:r>
        <w:t xml:space="preserve">at the end of this document and emailing it to </w:t>
      </w:r>
      <w:hyperlink r:id="rId78" w:history="1">
        <w:r w:rsidRPr="00C9524D">
          <w:t>gamblingharm@moh.govt.nz</w:t>
        </w:r>
      </w:hyperlink>
    </w:p>
    <w:p w:rsidR="00844C9C" w:rsidRPr="00C9524D" w:rsidRDefault="00844C9C" w:rsidP="00844C9C">
      <w:pPr>
        <w:pStyle w:val="Bullet"/>
      </w:pPr>
      <w:r w:rsidRPr="00C9524D">
        <w:t>send</w:t>
      </w:r>
      <w:r>
        <w:t xml:space="preserve">ing </w:t>
      </w:r>
      <w:r w:rsidRPr="00C9524D">
        <w:t>a hard copy to:</w:t>
      </w:r>
    </w:p>
    <w:p w:rsidR="00844C9C" w:rsidRPr="00C9524D" w:rsidRDefault="00844C9C" w:rsidP="00844C9C">
      <w:pPr>
        <w:ind w:firstLine="284"/>
      </w:pPr>
      <w:r w:rsidRPr="00C9524D">
        <w:t>Strategy to Prevent and Minimise Gambling Harm Consultation</w:t>
      </w:r>
    </w:p>
    <w:p w:rsidR="00844C9C" w:rsidRPr="00C9524D" w:rsidRDefault="00844C9C" w:rsidP="00844C9C">
      <w:pPr>
        <w:ind w:firstLine="284"/>
      </w:pPr>
      <w:r w:rsidRPr="00C9524D">
        <w:t>Ministry of Health</w:t>
      </w:r>
    </w:p>
    <w:p w:rsidR="00844C9C" w:rsidRPr="00C9524D" w:rsidRDefault="00844C9C" w:rsidP="00844C9C">
      <w:pPr>
        <w:ind w:firstLine="284"/>
      </w:pPr>
      <w:r w:rsidRPr="00C9524D">
        <w:t>PO Box 5013</w:t>
      </w:r>
    </w:p>
    <w:p w:rsidR="00844C9C" w:rsidRDefault="00844C9C" w:rsidP="00844C9C">
      <w:pPr>
        <w:ind w:firstLine="284"/>
      </w:pPr>
      <w:r w:rsidRPr="00C9524D">
        <w:t>Wellington 6140</w:t>
      </w:r>
    </w:p>
    <w:p w:rsidR="00844C9C" w:rsidRPr="00C9524D" w:rsidRDefault="00844C9C" w:rsidP="00844C9C">
      <w:pPr>
        <w:pStyle w:val="Bullet"/>
      </w:pPr>
      <w:proofErr w:type="gramStart"/>
      <w:r w:rsidRPr="00C9524D">
        <w:t>attending</w:t>
      </w:r>
      <w:proofErr w:type="gramEnd"/>
      <w:r w:rsidRPr="00C9524D">
        <w:t xml:space="preserve"> a discussion</w:t>
      </w:r>
      <w:r>
        <w:t xml:space="preserve"> and </w:t>
      </w:r>
      <w:r w:rsidRPr="00C9524D">
        <w:t xml:space="preserve">consultation meeting </w:t>
      </w:r>
      <w:r>
        <w:t>(m</w:t>
      </w:r>
      <w:r w:rsidRPr="00C9524D">
        <w:t>eeting details are available on our website</w:t>
      </w:r>
      <w:r>
        <w:t xml:space="preserve"> </w:t>
      </w:r>
      <w:r w:rsidRPr="00C9524D">
        <w:rPr>
          <w:rFonts w:cs="Arial Mäori"/>
          <w:color w:val="000000"/>
          <w:lang w:eastAsia="en-NZ"/>
        </w:rPr>
        <w:t>www.health.govt.nz/</w:t>
      </w:r>
      <w:r>
        <w:rPr>
          <w:rFonts w:cs="Arial Mäori"/>
          <w:color w:val="000000"/>
          <w:lang w:eastAsia="en-NZ"/>
        </w:rPr>
        <w:t>consultgambling).</w:t>
      </w:r>
    </w:p>
    <w:p w:rsidR="00925F22" w:rsidRDefault="00925F22" w:rsidP="004A5731"/>
    <w:p w:rsidR="00925F22" w:rsidRPr="00C9524D" w:rsidRDefault="00925F22" w:rsidP="004A5731">
      <w:pPr>
        <w:pStyle w:val="Heading3"/>
      </w:pPr>
      <w:r w:rsidRPr="00C9524D">
        <w:t>Publishing submissions</w:t>
      </w:r>
    </w:p>
    <w:p w:rsidR="00925F22" w:rsidRDefault="00925F22" w:rsidP="004A5731">
      <w:r w:rsidRPr="00C9524D">
        <w:t>We may publish all submissions or a summary of submissions on the Ministry of Health</w:t>
      </w:r>
      <w:r>
        <w:t>’</w:t>
      </w:r>
      <w:r w:rsidRPr="00C9524D">
        <w:t>s website, unless you have asked us not to.</w:t>
      </w:r>
    </w:p>
    <w:p w:rsidR="004A5731" w:rsidRDefault="004A5731" w:rsidP="004A5731"/>
    <w:p w:rsidR="00925F22" w:rsidRDefault="00925F22" w:rsidP="004A5731">
      <w:r w:rsidRPr="00C9524D">
        <w:t>If you are submitting as an individual, we will automatically remove your personal details and any identifiable information. You can also choose to have your personal details withheld if your submission is requested under the Official Information Act 1982.</w:t>
      </w:r>
    </w:p>
    <w:p w:rsidR="00925F22" w:rsidRPr="00C9524D" w:rsidRDefault="00925F22" w:rsidP="004A5731"/>
    <w:p w:rsidR="00925F22" w:rsidRPr="00C9524D" w:rsidRDefault="00925F22" w:rsidP="004A5731">
      <w:pPr>
        <w:pStyle w:val="Heading3"/>
      </w:pPr>
      <w:r w:rsidRPr="00C9524D">
        <w:t>Closing date for submissions</w:t>
      </w:r>
    </w:p>
    <w:p w:rsidR="00925F22" w:rsidRDefault="00925F22" w:rsidP="004A5731">
      <w:r w:rsidRPr="00C9524D">
        <w:t xml:space="preserve">The Ministry of Health must receive your submission by Friday </w:t>
      </w:r>
      <w:r w:rsidR="009A55BF">
        <w:t>21 September</w:t>
      </w:r>
      <w:r w:rsidRPr="00C9524D">
        <w:t xml:space="preserve"> 2018.</w:t>
      </w:r>
    </w:p>
    <w:p w:rsidR="004A5731" w:rsidRDefault="004A5731" w:rsidP="004A5731"/>
    <w:p w:rsidR="00925F22" w:rsidRDefault="00925F22" w:rsidP="004A5731">
      <w:r w:rsidRPr="00C9524D">
        <w:t>Any submissions received after this due date may not be included in the analysis of submissions, even if they have been posted earlier. You might prefer to email your submission to ensure that the Ministry receives it on time.</w:t>
      </w:r>
    </w:p>
    <w:p w:rsidR="00B30A95" w:rsidRDefault="00B30A95" w:rsidP="004A5731"/>
    <w:p w:rsidR="00925F22" w:rsidRPr="00C9524D" w:rsidRDefault="00925F22" w:rsidP="004A5731">
      <w:pPr>
        <w:pStyle w:val="Heading3"/>
        <w:spacing w:before="480"/>
      </w:pPr>
      <w:r w:rsidRPr="00C9524D">
        <w:lastRenderedPageBreak/>
        <w:t>Information about the person/organisation providing feedback</w:t>
      </w:r>
    </w:p>
    <w:p w:rsidR="00925F22" w:rsidRPr="00C9524D" w:rsidRDefault="00925F22" w:rsidP="004A5731">
      <w:r w:rsidRPr="00C9524D">
        <w:t xml:space="preserve">You are encouraged to fill in this section. The information you provide will help the Ministry analyse your feedback. However, your submission will </w:t>
      </w:r>
      <w:r>
        <w:t xml:space="preserve">still </w:t>
      </w:r>
      <w:r w:rsidRPr="00C9524D">
        <w:t>be accepted if you do not fill in this section.</w:t>
      </w:r>
    </w:p>
    <w:p w:rsidR="00925F22" w:rsidRPr="00C9524D" w:rsidRDefault="00925F22" w:rsidP="004A5731"/>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925F22" w:rsidRPr="00C9524D" w:rsidTr="0088653D">
        <w:trPr>
          <w:cantSplit/>
        </w:trPr>
        <w:tc>
          <w:tcPr>
            <w:tcW w:w="4307" w:type="dxa"/>
            <w:tcBorders>
              <w:top w:val="nil"/>
              <w:bottom w:val="nil"/>
            </w:tcBorders>
            <w:vAlign w:val="bottom"/>
          </w:tcPr>
          <w:p w:rsidR="00925F22" w:rsidRPr="00C9524D" w:rsidRDefault="00925F22" w:rsidP="004A5731">
            <w:pPr>
              <w:tabs>
                <w:tab w:val="right" w:pos="4199"/>
              </w:tabs>
              <w:spacing w:after="30" w:line="240" w:lineRule="auto"/>
              <w:rPr>
                <w:rFonts w:cs="Arial"/>
              </w:rPr>
            </w:pPr>
            <w:r w:rsidRPr="00C9524D">
              <w:t>This submission was completed by:</w:t>
            </w:r>
            <w:r w:rsidRPr="00C9524D">
              <w:rPr>
                <w:rFonts w:cs="Arial"/>
              </w:rPr>
              <w:tab/>
            </w:r>
            <w:r w:rsidRPr="00C9524D">
              <w:rPr>
                <w:rFonts w:cs="Arial"/>
                <w:i/>
                <w:sz w:val="18"/>
              </w:rPr>
              <w:t>(name)</w:t>
            </w:r>
          </w:p>
        </w:tc>
        <w:tc>
          <w:tcPr>
            <w:tcW w:w="5103" w:type="dxa"/>
            <w:tcBorders>
              <w:top w:val="nil"/>
            </w:tcBorders>
            <w:vAlign w:val="bottom"/>
          </w:tcPr>
          <w:p w:rsidR="00925F22" w:rsidRPr="00C9524D" w:rsidRDefault="00925F22" w:rsidP="004A5731">
            <w:pPr>
              <w:spacing w:after="30" w:line="240" w:lineRule="auto"/>
              <w:rPr>
                <w:rFonts w:cs="Arial"/>
                <w:sz w:val="20"/>
              </w:rPr>
            </w:pPr>
            <w:r w:rsidRPr="00C9524D">
              <w:rPr>
                <w:rFonts w:cs="Arial"/>
                <w:sz w:val="20"/>
              </w:rPr>
              <w:fldChar w:fldCharType="begin">
                <w:ffData>
                  <w:name w:val="Text1"/>
                  <w:enabled/>
                  <w:calcOnExit w:val="0"/>
                  <w:textInput/>
                </w:ffData>
              </w:fldChar>
            </w:r>
            <w:r w:rsidRPr="00C9524D">
              <w:rPr>
                <w:rFonts w:cs="Arial"/>
                <w:sz w:val="20"/>
              </w:rPr>
              <w:instrText xml:space="preserve"> FORMTEXT </w:instrText>
            </w:r>
            <w:r w:rsidRPr="00C9524D">
              <w:rPr>
                <w:rFonts w:cs="Arial"/>
                <w:sz w:val="20"/>
              </w:rPr>
            </w:r>
            <w:r w:rsidRPr="00C9524D">
              <w:rPr>
                <w:rFonts w:cs="Arial"/>
                <w:sz w:val="20"/>
              </w:rPr>
              <w:fldChar w:fldCharType="separate"/>
            </w:r>
            <w:r w:rsidRPr="00C9524D">
              <w:rPr>
                <w:rFonts w:cs="Arial"/>
                <w:noProof/>
                <w:sz w:val="20"/>
              </w:rPr>
              <w:t> </w:t>
            </w:r>
            <w:r w:rsidRPr="00C9524D">
              <w:rPr>
                <w:rFonts w:cs="Arial"/>
                <w:noProof/>
                <w:sz w:val="20"/>
              </w:rPr>
              <w:t> </w:t>
            </w:r>
            <w:r w:rsidRPr="00C9524D">
              <w:rPr>
                <w:rFonts w:cs="Arial"/>
                <w:noProof/>
                <w:sz w:val="20"/>
              </w:rPr>
              <w:t> </w:t>
            </w:r>
            <w:r w:rsidRPr="00C9524D">
              <w:rPr>
                <w:rFonts w:cs="Arial"/>
                <w:noProof/>
                <w:sz w:val="20"/>
              </w:rPr>
              <w:t> </w:t>
            </w:r>
            <w:r w:rsidRPr="00C9524D">
              <w:rPr>
                <w:rFonts w:cs="Arial"/>
                <w:noProof/>
                <w:sz w:val="20"/>
              </w:rPr>
              <w:t> </w:t>
            </w:r>
            <w:r w:rsidRPr="00C9524D">
              <w:rPr>
                <w:rFonts w:cs="Arial"/>
                <w:sz w:val="20"/>
              </w:rPr>
              <w:fldChar w:fldCharType="end"/>
            </w:r>
          </w:p>
        </w:tc>
      </w:tr>
      <w:tr w:rsidR="00925F22" w:rsidRPr="00C9524D" w:rsidTr="0088653D">
        <w:trPr>
          <w:cantSplit/>
        </w:trPr>
        <w:tc>
          <w:tcPr>
            <w:tcW w:w="4307" w:type="dxa"/>
            <w:tcBorders>
              <w:top w:val="nil"/>
              <w:bottom w:val="nil"/>
            </w:tcBorders>
            <w:vAlign w:val="bottom"/>
          </w:tcPr>
          <w:p w:rsidR="00925F22" w:rsidRPr="00C9524D" w:rsidRDefault="00925F22" w:rsidP="004A5731">
            <w:pPr>
              <w:tabs>
                <w:tab w:val="right" w:pos="4199"/>
              </w:tabs>
              <w:spacing w:before="90" w:after="30" w:line="240" w:lineRule="auto"/>
              <w:rPr>
                <w:rFonts w:cs="Arial"/>
              </w:rPr>
            </w:pPr>
            <w:r w:rsidRPr="00C9524D">
              <w:rPr>
                <w:rFonts w:cs="Arial"/>
              </w:rPr>
              <w:t>Address:</w:t>
            </w:r>
            <w:r w:rsidRPr="00C9524D">
              <w:rPr>
                <w:rFonts w:cs="Arial"/>
              </w:rPr>
              <w:tab/>
            </w:r>
            <w:r w:rsidRPr="00C9524D">
              <w:rPr>
                <w:rFonts w:cs="Arial"/>
                <w:i/>
                <w:sz w:val="18"/>
              </w:rPr>
              <w:t>(street/box number)</w:t>
            </w:r>
          </w:p>
        </w:tc>
        <w:tc>
          <w:tcPr>
            <w:tcW w:w="5103" w:type="dxa"/>
            <w:vAlign w:val="bottom"/>
          </w:tcPr>
          <w:p w:rsidR="00925F22" w:rsidRPr="00C9524D" w:rsidRDefault="00925F22" w:rsidP="004A5731">
            <w:pPr>
              <w:spacing w:before="90" w:after="30" w:line="240" w:lineRule="auto"/>
              <w:rPr>
                <w:rFonts w:cs="Arial"/>
                <w:sz w:val="20"/>
              </w:rPr>
            </w:pPr>
            <w:r w:rsidRPr="00C9524D">
              <w:rPr>
                <w:rFonts w:cs="Arial"/>
                <w:sz w:val="20"/>
              </w:rPr>
              <w:fldChar w:fldCharType="begin">
                <w:ffData>
                  <w:name w:val="Text1"/>
                  <w:enabled/>
                  <w:calcOnExit w:val="0"/>
                  <w:textInput/>
                </w:ffData>
              </w:fldChar>
            </w:r>
            <w:bookmarkStart w:id="266" w:name="Text1"/>
            <w:r w:rsidRPr="00C9524D">
              <w:rPr>
                <w:rFonts w:cs="Arial"/>
                <w:sz w:val="20"/>
              </w:rPr>
              <w:instrText xml:space="preserve"> FORMTEXT </w:instrText>
            </w:r>
            <w:r w:rsidRPr="00C9524D">
              <w:rPr>
                <w:rFonts w:cs="Arial"/>
                <w:sz w:val="20"/>
              </w:rPr>
            </w:r>
            <w:r w:rsidRPr="00C9524D">
              <w:rPr>
                <w:rFonts w:cs="Arial"/>
                <w:sz w:val="20"/>
              </w:rPr>
              <w:fldChar w:fldCharType="separate"/>
            </w:r>
            <w:r w:rsidRPr="00C9524D">
              <w:rPr>
                <w:rFonts w:cs="Arial"/>
                <w:noProof/>
                <w:sz w:val="20"/>
              </w:rPr>
              <w:t> </w:t>
            </w:r>
            <w:r w:rsidRPr="00C9524D">
              <w:rPr>
                <w:rFonts w:cs="Arial"/>
                <w:noProof/>
                <w:sz w:val="20"/>
              </w:rPr>
              <w:t> </w:t>
            </w:r>
            <w:r w:rsidRPr="00C9524D">
              <w:rPr>
                <w:rFonts w:cs="Arial"/>
                <w:noProof/>
                <w:sz w:val="20"/>
              </w:rPr>
              <w:t> </w:t>
            </w:r>
            <w:r w:rsidRPr="00C9524D">
              <w:rPr>
                <w:rFonts w:cs="Arial"/>
                <w:noProof/>
                <w:sz w:val="20"/>
              </w:rPr>
              <w:t> </w:t>
            </w:r>
            <w:r w:rsidRPr="00C9524D">
              <w:rPr>
                <w:rFonts w:cs="Arial"/>
                <w:noProof/>
                <w:sz w:val="20"/>
              </w:rPr>
              <w:t> </w:t>
            </w:r>
            <w:r w:rsidRPr="00C9524D">
              <w:rPr>
                <w:rFonts w:cs="Arial"/>
                <w:sz w:val="20"/>
              </w:rPr>
              <w:fldChar w:fldCharType="end"/>
            </w:r>
            <w:bookmarkEnd w:id="266"/>
          </w:p>
        </w:tc>
      </w:tr>
      <w:tr w:rsidR="00925F22" w:rsidRPr="00C9524D" w:rsidTr="0088653D">
        <w:trPr>
          <w:cantSplit/>
        </w:trPr>
        <w:tc>
          <w:tcPr>
            <w:tcW w:w="4307" w:type="dxa"/>
            <w:tcBorders>
              <w:top w:val="nil"/>
              <w:bottom w:val="nil"/>
            </w:tcBorders>
            <w:vAlign w:val="bottom"/>
          </w:tcPr>
          <w:p w:rsidR="00925F22" w:rsidRPr="00C9524D" w:rsidRDefault="00925F22" w:rsidP="004A5731">
            <w:pPr>
              <w:tabs>
                <w:tab w:val="right" w:pos="4199"/>
              </w:tabs>
              <w:spacing w:before="90" w:after="30" w:line="240" w:lineRule="auto"/>
              <w:rPr>
                <w:rFonts w:cs="Arial"/>
                <w:i/>
              </w:rPr>
            </w:pPr>
            <w:r w:rsidRPr="00C9524D">
              <w:rPr>
                <w:rFonts w:cs="Arial"/>
              </w:rPr>
              <w:tab/>
            </w:r>
            <w:r w:rsidRPr="00C9524D">
              <w:rPr>
                <w:rFonts w:cs="Arial"/>
                <w:i/>
                <w:sz w:val="18"/>
              </w:rPr>
              <w:t>(town/city)</w:t>
            </w:r>
          </w:p>
        </w:tc>
        <w:tc>
          <w:tcPr>
            <w:tcW w:w="5103" w:type="dxa"/>
            <w:vAlign w:val="bottom"/>
          </w:tcPr>
          <w:p w:rsidR="00925F22" w:rsidRPr="00C9524D" w:rsidRDefault="00925F22" w:rsidP="004A5731">
            <w:pPr>
              <w:spacing w:before="90" w:after="30" w:line="240" w:lineRule="auto"/>
              <w:rPr>
                <w:rFonts w:cs="Arial"/>
                <w:sz w:val="20"/>
              </w:rPr>
            </w:pPr>
            <w:r w:rsidRPr="00C9524D">
              <w:rPr>
                <w:rFonts w:cs="Arial"/>
                <w:sz w:val="20"/>
              </w:rPr>
              <w:fldChar w:fldCharType="begin">
                <w:ffData>
                  <w:name w:val="Text1"/>
                  <w:enabled/>
                  <w:calcOnExit w:val="0"/>
                  <w:textInput/>
                </w:ffData>
              </w:fldChar>
            </w:r>
            <w:r w:rsidRPr="00C9524D">
              <w:rPr>
                <w:rFonts w:cs="Arial"/>
                <w:sz w:val="20"/>
              </w:rPr>
              <w:instrText xml:space="preserve"> FORMTEXT </w:instrText>
            </w:r>
            <w:r w:rsidRPr="00C9524D">
              <w:rPr>
                <w:rFonts w:cs="Arial"/>
                <w:sz w:val="20"/>
              </w:rPr>
            </w:r>
            <w:r w:rsidRPr="00C9524D">
              <w:rPr>
                <w:rFonts w:cs="Arial"/>
                <w:sz w:val="20"/>
              </w:rPr>
              <w:fldChar w:fldCharType="separate"/>
            </w:r>
            <w:r w:rsidRPr="00C9524D">
              <w:rPr>
                <w:rFonts w:cs="Arial"/>
                <w:noProof/>
                <w:sz w:val="20"/>
              </w:rPr>
              <w:t> </w:t>
            </w:r>
            <w:r w:rsidRPr="00C9524D">
              <w:rPr>
                <w:rFonts w:cs="Arial"/>
                <w:noProof/>
                <w:sz w:val="20"/>
              </w:rPr>
              <w:t> </w:t>
            </w:r>
            <w:r w:rsidRPr="00C9524D">
              <w:rPr>
                <w:rFonts w:cs="Arial"/>
                <w:noProof/>
                <w:sz w:val="20"/>
              </w:rPr>
              <w:t> </w:t>
            </w:r>
            <w:r w:rsidRPr="00C9524D">
              <w:rPr>
                <w:rFonts w:cs="Arial"/>
                <w:noProof/>
                <w:sz w:val="20"/>
              </w:rPr>
              <w:t> </w:t>
            </w:r>
            <w:r w:rsidRPr="00C9524D">
              <w:rPr>
                <w:rFonts w:cs="Arial"/>
                <w:noProof/>
                <w:sz w:val="20"/>
              </w:rPr>
              <w:t> </w:t>
            </w:r>
            <w:r w:rsidRPr="00C9524D">
              <w:rPr>
                <w:rFonts w:cs="Arial"/>
                <w:sz w:val="20"/>
              </w:rPr>
              <w:fldChar w:fldCharType="end"/>
            </w:r>
          </w:p>
        </w:tc>
      </w:tr>
      <w:tr w:rsidR="00925F22" w:rsidRPr="00C9524D" w:rsidTr="0088653D">
        <w:trPr>
          <w:cantSplit/>
        </w:trPr>
        <w:tc>
          <w:tcPr>
            <w:tcW w:w="4307" w:type="dxa"/>
            <w:tcBorders>
              <w:top w:val="nil"/>
              <w:bottom w:val="nil"/>
            </w:tcBorders>
            <w:vAlign w:val="bottom"/>
          </w:tcPr>
          <w:p w:rsidR="00925F22" w:rsidRPr="00C9524D" w:rsidRDefault="00925F22" w:rsidP="004A5731">
            <w:pPr>
              <w:spacing w:before="90" w:after="30" w:line="240" w:lineRule="auto"/>
              <w:rPr>
                <w:rFonts w:cs="Arial"/>
              </w:rPr>
            </w:pPr>
            <w:r w:rsidRPr="00C9524D">
              <w:rPr>
                <w:rFonts w:cs="Arial"/>
              </w:rPr>
              <w:t>Email:</w:t>
            </w:r>
          </w:p>
        </w:tc>
        <w:tc>
          <w:tcPr>
            <w:tcW w:w="5103" w:type="dxa"/>
            <w:vAlign w:val="bottom"/>
          </w:tcPr>
          <w:p w:rsidR="00925F22" w:rsidRPr="00C9524D" w:rsidRDefault="00925F22" w:rsidP="004A5731">
            <w:pPr>
              <w:spacing w:before="90" w:after="30" w:line="240" w:lineRule="auto"/>
              <w:rPr>
                <w:rFonts w:cs="Arial"/>
                <w:sz w:val="20"/>
              </w:rPr>
            </w:pPr>
            <w:r w:rsidRPr="00C9524D">
              <w:rPr>
                <w:rFonts w:cs="Arial"/>
                <w:sz w:val="20"/>
              </w:rPr>
              <w:fldChar w:fldCharType="begin">
                <w:ffData>
                  <w:name w:val="Text1"/>
                  <w:enabled/>
                  <w:calcOnExit w:val="0"/>
                  <w:textInput/>
                </w:ffData>
              </w:fldChar>
            </w:r>
            <w:r w:rsidRPr="00C9524D">
              <w:rPr>
                <w:rFonts w:cs="Arial"/>
                <w:sz w:val="20"/>
              </w:rPr>
              <w:instrText xml:space="preserve"> FORMTEXT </w:instrText>
            </w:r>
            <w:r w:rsidRPr="00C9524D">
              <w:rPr>
                <w:rFonts w:cs="Arial"/>
                <w:sz w:val="20"/>
              </w:rPr>
            </w:r>
            <w:r w:rsidRPr="00C9524D">
              <w:rPr>
                <w:rFonts w:cs="Arial"/>
                <w:sz w:val="20"/>
              </w:rPr>
              <w:fldChar w:fldCharType="separate"/>
            </w:r>
            <w:r w:rsidRPr="00C9524D">
              <w:rPr>
                <w:rFonts w:cs="Arial"/>
                <w:noProof/>
                <w:sz w:val="20"/>
              </w:rPr>
              <w:t> </w:t>
            </w:r>
            <w:r w:rsidRPr="00C9524D">
              <w:rPr>
                <w:rFonts w:cs="Arial"/>
                <w:noProof/>
                <w:sz w:val="20"/>
              </w:rPr>
              <w:t> </w:t>
            </w:r>
            <w:r w:rsidRPr="00C9524D">
              <w:rPr>
                <w:rFonts w:cs="Arial"/>
                <w:noProof/>
                <w:sz w:val="20"/>
              </w:rPr>
              <w:t> </w:t>
            </w:r>
            <w:r w:rsidRPr="00C9524D">
              <w:rPr>
                <w:rFonts w:cs="Arial"/>
                <w:noProof/>
                <w:sz w:val="20"/>
              </w:rPr>
              <w:t> </w:t>
            </w:r>
            <w:r w:rsidRPr="00C9524D">
              <w:rPr>
                <w:rFonts w:cs="Arial"/>
                <w:noProof/>
                <w:sz w:val="20"/>
              </w:rPr>
              <w:t> </w:t>
            </w:r>
            <w:r w:rsidRPr="00C9524D">
              <w:rPr>
                <w:rFonts w:cs="Arial"/>
                <w:sz w:val="20"/>
              </w:rPr>
              <w:fldChar w:fldCharType="end"/>
            </w:r>
          </w:p>
        </w:tc>
      </w:tr>
      <w:tr w:rsidR="00925F22" w:rsidRPr="00C9524D" w:rsidTr="0088653D">
        <w:trPr>
          <w:cantSplit/>
        </w:trPr>
        <w:tc>
          <w:tcPr>
            <w:tcW w:w="4307" w:type="dxa"/>
            <w:tcBorders>
              <w:top w:val="nil"/>
              <w:bottom w:val="nil"/>
            </w:tcBorders>
            <w:vAlign w:val="bottom"/>
          </w:tcPr>
          <w:p w:rsidR="00925F22" w:rsidRPr="00C9524D" w:rsidRDefault="00925F22" w:rsidP="004A5731">
            <w:pPr>
              <w:spacing w:before="90" w:after="30" w:line="240" w:lineRule="auto"/>
              <w:rPr>
                <w:rFonts w:cs="Arial"/>
              </w:rPr>
            </w:pPr>
            <w:r w:rsidRPr="00C9524D">
              <w:rPr>
                <w:rFonts w:cs="Arial"/>
              </w:rPr>
              <w:t xml:space="preserve">Organisation </w:t>
            </w:r>
            <w:r w:rsidRPr="00C9524D">
              <w:rPr>
                <w:rFonts w:cs="Arial"/>
                <w:i/>
                <w:sz w:val="18"/>
              </w:rPr>
              <w:t>(if applicable)</w:t>
            </w:r>
            <w:r w:rsidRPr="00C9524D">
              <w:rPr>
                <w:rFonts w:cs="Arial"/>
                <w:sz w:val="18"/>
              </w:rPr>
              <w:t>:</w:t>
            </w:r>
          </w:p>
        </w:tc>
        <w:tc>
          <w:tcPr>
            <w:tcW w:w="5103" w:type="dxa"/>
            <w:vAlign w:val="bottom"/>
          </w:tcPr>
          <w:p w:rsidR="00925F22" w:rsidRPr="00C9524D" w:rsidRDefault="00925F22" w:rsidP="004A5731">
            <w:pPr>
              <w:spacing w:before="90" w:after="30" w:line="240" w:lineRule="auto"/>
              <w:rPr>
                <w:rFonts w:cs="Arial"/>
                <w:sz w:val="20"/>
              </w:rPr>
            </w:pPr>
            <w:r w:rsidRPr="00C9524D">
              <w:rPr>
                <w:rFonts w:cs="Arial"/>
                <w:sz w:val="20"/>
              </w:rPr>
              <w:fldChar w:fldCharType="begin">
                <w:ffData>
                  <w:name w:val="Text1"/>
                  <w:enabled/>
                  <w:calcOnExit w:val="0"/>
                  <w:textInput/>
                </w:ffData>
              </w:fldChar>
            </w:r>
            <w:r w:rsidRPr="00C9524D">
              <w:rPr>
                <w:rFonts w:cs="Arial"/>
                <w:sz w:val="20"/>
              </w:rPr>
              <w:instrText xml:space="preserve"> FORMTEXT </w:instrText>
            </w:r>
            <w:r w:rsidRPr="00C9524D">
              <w:rPr>
                <w:rFonts w:cs="Arial"/>
                <w:sz w:val="20"/>
              </w:rPr>
            </w:r>
            <w:r w:rsidRPr="00C9524D">
              <w:rPr>
                <w:rFonts w:cs="Arial"/>
                <w:sz w:val="20"/>
              </w:rPr>
              <w:fldChar w:fldCharType="separate"/>
            </w:r>
            <w:r w:rsidRPr="00C9524D">
              <w:rPr>
                <w:rFonts w:cs="Arial"/>
                <w:noProof/>
                <w:sz w:val="20"/>
              </w:rPr>
              <w:t> </w:t>
            </w:r>
            <w:r w:rsidRPr="00C9524D">
              <w:rPr>
                <w:rFonts w:cs="Arial"/>
                <w:noProof/>
                <w:sz w:val="20"/>
              </w:rPr>
              <w:t> </w:t>
            </w:r>
            <w:r w:rsidRPr="00C9524D">
              <w:rPr>
                <w:rFonts w:cs="Arial"/>
                <w:noProof/>
                <w:sz w:val="20"/>
              </w:rPr>
              <w:t> </w:t>
            </w:r>
            <w:r w:rsidRPr="00C9524D">
              <w:rPr>
                <w:rFonts w:cs="Arial"/>
                <w:noProof/>
                <w:sz w:val="20"/>
              </w:rPr>
              <w:t> </w:t>
            </w:r>
            <w:r w:rsidRPr="00C9524D">
              <w:rPr>
                <w:rFonts w:cs="Arial"/>
                <w:noProof/>
                <w:sz w:val="20"/>
              </w:rPr>
              <w:t> </w:t>
            </w:r>
            <w:r w:rsidRPr="00C9524D">
              <w:rPr>
                <w:rFonts w:cs="Arial"/>
                <w:sz w:val="20"/>
              </w:rPr>
              <w:fldChar w:fldCharType="end"/>
            </w:r>
          </w:p>
        </w:tc>
      </w:tr>
      <w:tr w:rsidR="00925F22" w:rsidRPr="00C9524D" w:rsidTr="0088653D">
        <w:trPr>
          <w:cantSplit/>
        </w:trPr>
        <w:tc>
          <w:tcPr>
            <w:tcW w:w="4307" w:type="dxa"/>
            <w:tcBorders>
              <w:top w:val="nil"/>
              <w:bottom w:val="nil"/>
            </w:tcBorders>
            <w:vAlign w:val="bottom"/>
          </w:tcPr>
          <w:p w:rsidR="00925F22" w:rsidRPr="00C9524D" w:rsidRDefault="00925F22" w:rsidP="0088653D">
            <w:pPr>
              <w:spacing w:before="90" w:after="30" w:line="240" w:lineRule="auto"/>
              <w:rPr>
                <w:rFonts w:cs="Arial"/>
              </w:rPr>
            </w:pPr>
            <w:r w:rsidRPr="00C9524D">
              <w:rPr>
                <w:rFonts w:cs="Arial"/>
              </w:rPr>
              <w:t xml:space="preserve">Position </w:t>
            </w:r>
            <w:r w:rsidRPr="00C9524D">
              <w:rPr>
                <w:rFonts w:cs="Arial"/>
                <w:i/>
                <w:sz w:val="18"/>
              </w:rPr>
              <w:t>(if applicable)</w:t>
            </w:r>
            <w:r w:rsidRPr="00C9524D">
              <w:rPr>
                <w:rFonts w:cs="Arial"/>
                <w:sz w:val="18"/>
              </w:rPr>
              <w:t>:</w:t>
            </w:r>
          </w:p>
        </w:tc>
        <w:tc>
          <w:tcPr>
            <w:tcW w:w="5103" w:type="dxa"/>
            <w:vAlign w:val="bottom"/>
          </w:tcPr>
          <w:p w:rsidR="00925F22" w:rsidRPr="00C9524D" w:rsidRDefault="00925F22" w:rsidP="0088653D">
            <w:pPr>
              <w:spacing w:before="90" w:after="30" w:line="240" w:lineRule="auto"/>
              <w:rPr>
                <w:rFonts w:cs="Arial"/>
                <w:sz w:val="20"/>
              </w:rPr>
            </w:pPr>
            <w:r w:rsidRPr="00C9524D">
              <w:rPr>
                <w:rFonts w:cs="Arial"/>
                <w:sz w:val="20"/>
              </w:rPr>
              <w:fldChar w:fldCharType="begin">
                <w:ffData>
                  <w:name w:val="Text1"/>
                  <w:enabled/>
                  <w:calcOnExit w:val="0"/>
                  <w:textInput/>
                </w:ffData>
              </w:fldChar>
            </w:r>
            <w:r w:rsidRPr="00C9524D">
              <w:rPr>
                <w:rFonts w:cs="Arial"/>
                <w:sz w:val="20"/>
              </w:rPr>
              <w:instrText xml:space="preserve"> FORMTEXT </w:instrText>
            </w:r>
            <w:r w:rsidRPr="00C9524D">
              <w:rPr>
                <w:rFonts w:cs="Arial"/>
                <w:sz w:val="20"/>
              </w:rPr>
            </w:r>
            <w:r w:rsidRPr="00C9524D">
              <w:rPr>
                <w:rFonts w:cs="Arial"/>
                <w:sz w:val="20"/>
              </w:rPr>
              <w:fldChar w:fldCharType="separate"/>
            </w:r>
            <w:r w:rsidRPr="00C9524D">
              <w:rPr>
                <w:rFonts w:cs="Arial"/>
                <w:noProof/>
                <w:sz w:val="20"/>
              </w:rPr>
              <w:t> </w:t>
            </w:r>
            <w:r w:rsidRPr="00C9524D">
              <w:rPr>
                <w:rFonts w:cs="Arial"/>
                <w:noProof/>
                <w:sz w:val="20"/>
              </w:rPr>
              <w:t> </w:t>
            </w:r>
            <w:r w:rsidRPr="00C9524D">
              <w:rPr>
                <w:rFonts w:cs="Arial"/>
                <w:noProof/>
                <w:sz w:val="20"/>
              </w:rPr>
              <w:t> </w:t>
            </w:r>
            <w:r w:rsidRPr="00C9524D">
              <w:rPr>
                <w:rFonts w:cs="Arial"/>
                <w:noProof/>
                <w:sz w:val="20"/>
              </w:rPr>
              <w:t> </w:t>
            </w:r>
            <w:r w:rsidRPr="00C9524D">
              <w:rPr>
                <w:rFonts w:cs="Arial"/>
                <w:noProof/>
                <w:sz w:val="20"/>
              </w:rPr>
              <w:t> </w:t>
            </w:r>
            <w:r w:rsidRPr="00C9524D">
              <w:rPr>
                <w:rFonts w:cs="Arial"/>
                <w:sz w:val="20"/>
              </w:rPr>
              <w:fldChar w:fldCharType="end"/>
            </w:r>
          </w:p>
        </w:tc>
      </w:tr>
    </w:tbl>
    <w:p w:rsidR="00925F22" w:rsidRPr="00C9524D" w:rsidRDefault="00925F22" w:rsidP="00925F22"/>
    <w:p w:rsidR="00925F22" w:rsidRPr="00C9524D" w:rsidRDefault="00925F22" w:rsidP="00925F22">
      <w:r w:rsidRPr="00C9524D">
        <w:t xml:space="preserve">This submission </w:t>
      </w:r>
      <w:r w:rsidRPr="00174E84">
        <w:rPr>
          <w:i/>
          <w:sz w:val="18"/>
          <w:szCs w:val="18"/>
        </w:rPr>
        <w:t>(tick one box only)</w:t>
      </w:r>
      <w:r w:rsidRPr="00174E84">
        <w:rPr>
          <w:sz w:val="18"/>
          <w:szCs w:val="18"/>
        </w:rPr>
        <w:t>:</w:t>
      </w:r>
    </w:p>
    <w:p w:rsidR="00925F22" w:rsidRPr="00C9524D" w:rsidRDefault="00925F22" w:rsidP="00925F22">
      <w:pPr>
        <w:spacing w:before="60"/>
        <w:ind w:left="567" w:hanging="567"/>
      </w:pPr>
      <w:r w:rsidRPr="00C9524D">
        <w:rPr>
          <w:sz w:val="24"/>
          <w:szCs w:val="24"/>
        </w:rPr>
        <w:fldChar w:fldCharType="begin">
          <w:ffData>
            <w:name w:val="Check1"/>
            <w:enabled/>
            <w:calcOnExit w:val="0"/>
            <w:checkBox>
              <w:sizeAuto/>
              <w:default w:val="0"/>
            </w:checkBox>
          </w:ffData>
        </w:fldChar>
      </w:r>
      <w:bookmarkStart w:id="267" w:name="Check1"/>
      <w:r w:rsidRPr="00C9524D">
        <w:rPr>
          <w:sz w:val="24"/>
          <w:szCs w:val="24"/>
        </w:rPr>
        <w:instrText xml:space="preserve"> FORMCHECKBOX </w:instrText>
      </w:r>
      <w:r w:rsidR="000D5C87">
        <w:rPr>
          <w:sz w:val="24"/>
          <w:szCs w:val="24"/>
        </w:rPr>
      </w:r>
      <w:r w:rsidR="000D5C87">
        <w:rPr>
          <w:sz w:val="24"/>
          <w:szCs w:val="24"/>
        </w:rPr>
        <w:fldChar w:fldCharType="separate"/>
      </w:r>
      <w:r w:rsidRPr="00C9524D">
        <w:rPr>
          <w:sz w:val="24"/>
          <w:szCs w:val="24"/>
        </w:rPr>
        <w:fldChar w:fldCharType="end"/>
      </w:r>
      <w:bookmarkEnd w:id="267"/>
      <w:r w:rsidRPr="00C9524D">
        <w:tab/>
      </w:r>
      <w:proofErr w:type="gramStart"/>
      <w:r w:rsidRPr="00C9524D">
        <w:t>is</w:t>
      </w:r>
      <w:proofErr w:type="gramEnd"/>
      <w:r w:rsidRPr="00C9524D">
        <w:t xml:space="preserve"> made by an individual or individuals (not on behalf of an organisation nor in their professional capacity)</w:t>
      </w:r>
    </w:p>
    <w:p w:rsidR="00925F22" w:rsidRPr="00D528A0" w:rsidRDefault="00925F22" w:rsidP="00925F22">
      <w:pPr>
        <w:spacing w:before="60"/>
        <w:ind w:left="567" w:hanging="567"/>
      </w:pPr>
      <w:r w:rsidRPr="00C9524D">
        <w:rPr>
          <w:sz w:val="24"/>
          <w:szCs w:val="24"/>
        </w:rPr>
        <w:fldChar w:fldCharType="begin">
          <w:ffData>
            <w:name w:val="Check2"/>
            <w:enabled/>
            <w:calcOnExit w:val="0"/>
            <w:checkBox>
              <w:sizeAuto/>
              <w:default w:val="0"/>
            </w:checkBox>
          </w:ffData>
        </w:fldChar>
      </w:r>
      <w:bookmarkStart w:id="268" w:name="Check2"/>
      <w:r w:rsidRPr="00C9524D">
        <w:rPr>
          <w:sz w:val="24"/>
          <w:szCs w:val="24"/>
        </w:rPr>
        <w:instrText xml:space="preserve"> FORMCHECKBOX </w:instrText>
      </w:r>
      <w:r w:rsidR="000D5C87">
        <w:rPr>
          <w:sz w:val="24"/>
          <w:szCs w:val="24"/>
        </w:rPr>
      </w:r>
      <w:r w:rsidR="000D5C87">
        <w:rPr>
          <w:sz w:val="24"/>
          <w:szCs w:val="24"/>
        </w:rPr>
        <w:fldChar w:fldCharType="separate"/>
      </w:r>
      <w:r w:rsidRPr="00C9524D">
        <w:rPr>
          <w:sz w:val="24"/>
          <w:szCs w:val="24"/>
        </w:rPr>
        <w:fldChar w:fldCharType="end"/>
      </w:r>
      <w:bookmarkEnd w:id="268"/>
      <w:r w:rsidRPr="00C9524D">
        <w:rPr>
          <w:sz w:val="24"/>
          <w:szCs w:val="24"/>
        </w:rPr>
        <w:tab/>
      </w:r>
      <w:proofErr w:type="gramStart"/>
      <w:r w:rsidRPr="00D528A0">
        <w:t>is</w:t>
      </w:r>
      <w:proofErr w:type="gramEnd"/>
      <w:r w:rsidRPr="00D528A0">
        <w:t xml:space="preserve"> made on behalf of a group or organisation(s).</w:t>
      </w:r>
    </w:p>
    <w:p w:rsidR="00925F22" w:rsidRPr="00C9524D" w:rsidRDefault="00925F22" w:rsidP="00925F22"/>
    <w:p w:rsidR="00925F22" w:rsidRPr="00C9524D" w:rsidRDefault="00925F22" w:rsidP="00925F22">
      <w:r w:rsidRPr="00C9524D">
        <w:t>Please indicate which sector(s) your submission represents (</w:t>
      </w:r>
      <w:r w:rsidRPr="00C9524D">
        <w:rPr>
          <w:i/>
        </w:rPr>
        <w:t>you may tick more than one box)</w:t>
      </w:r>
      <w:r w:rsidRPr="00C9524D">
        <w:t>:</w:t>
      </w:r>
    </w:p>
    <w:p w:rsidR="00925F22" w:rsidRPr="00C9524D" w:rsidRDefault="00925F22" w:rsidP="00925F22">
      <w:pPr>
        <w:tabs>
          <w:tab w:val="left" w:pos="1134"/>
          <w:tab w:val="left" w:pos="4536"/>
          <w:tab w:val="left" w:pos="4820"/>
        </w:tabs>
        <w:spacing w:before="60"/>
        <w:ind w:left="567"/>
        <w:rPr>
          <w:rFonts w:cs="Arial"/>
        </w:rPr>
      </w:pPr>
      <w:r w:rsidRPr="00C9524D">
        <w:rPr>
          <w:rFonts w:cs="Arial"/>
          <w:sz w:val="28"/>
          <w:szCs w:val="28"/>
        </w:rPr>
        <w:fldChar w:fldCharType="begin">
          <w:ffData>
            <w:name w:val="Check1"/>
            <w:enabled/>
            <w:calcOnExit w:val="0"/>
            <w:checkBox>
              <w:sizeAuto/>
              <w:default w:val="0"/>
            </w:checkBox>
          </w:ffData>
        </w:fldChar>
      </w:r>
      <w:r w:rsidRPr="00C9524D">
        <w:rPr>
          <w:rFonts w:cs="Arial"/>
          <w:sz w:val="28"/>
          <w:szCs w:val="28"/>
        </w:rPr>
        <w:instrText xml:space="preserve"> FORMCHECKBOX </w:instrText>
      </w:r>
      <w:r w:rsidR="000D5C87">
        <w:rPr>
          <w:rFonts w:cs="Arial"/>
          <w:sz w:val="28"/>
          <w:szCs w:val="28"/>
        </w:rPr>
      </w:r>
      <w:r w:rsidR="000D5C87">
        <w:rPr>
          <w:rFonts w:cs="Arial"/>
          <w:sz w:val="28"/>
          <w:szCs w:val="28"/>
        </w:rPr>
        <w:fldChar w:fldCharType="separate"/>
      </w:r>
      <w:r w:rsidRPr="00C9524D">
        <w:rPr>
          <w:rFonts w:cs="Arial"/>
          <w:sz w:val="28"/>
          <w:szCs w:val="28"/>
        </w:rPr>
        <w:fldChar w:fldCharType="end"/>
      </w:r>
      <w:r w:rsidRPr="00C9524D">
        <w:rPr>
          <w:rFonts w:cs="Arial"/>
        </w:rPr>
        <w:tab/>
        <w:t>Māori</w:t>
      </w:r>
      <w:r w:rsidRPr="00C9524D">
        <w:rPr>
          <w:rFonts w:cs="Arial"/>
        </w:rPr>
        <w:tab/>
      </w:r>
      <w:r w:rsidRPr="00C9524D">
        <w:rPr>
          <w:rFonts w:cs="Arial"/>
          <w:sz w:val="28"/>
          <w:szCs w:val="28"/>
        </w:rPr>
        <w:fldChar w:fldCharType="begin">
          <w:ffData>
            <w:name w:val="Check1"/>
            <w:enabled/>
            <w:calcOnExit w:val="0"/>
            <w:checkBox>
              <w:sizeAuto/>
              <w:default w:val="0"/>
            </w:checkBox>
          </w:ffData>
        </w:fldChar>
      </w:r>
      <w:r w:rsidRPr="00C9524D">
        <w:rPr>
          <w:rFonts w:cs="Arial"/>
          <w:sz w:val="28"/>
          <w:szCs w:val="28"/>
        </w:rPr>
        <w:instrText xml:space="preserve"> FORMCHECKBOX </w:instrText>
      </w:r>
      <w:r w:rsidR="000D5C87">
        <w:rPr>
          <w:rFonts w:cs="Arial"/>
          <w:sz w:val="28"/>
          <w:szCs w:val="28"/>
        </w:rPr>
      </w:r>
      <w:r w:rsidR="000D5C87">
        <w:rPr>
          <w:rFonts w:cs="Arial"/>
          <w:sz w:val="28"/>
          <w:szCs w:val="28"/>
        </w:rPr>
        <w:fldChar w:fldCharType="separate"/>
      </w:r>
      <w:r w:rsidRPr="00C9524D">
        <w:rPr>
          <w:rFonts w:cs="Arial"/>
          <w:sz w:val="28"/>
          <w:szCs w:val="28"/>
        </w:rPr>
        <w:fldChar w:fldCharType="end"/>
      </w:r>
      <w:r w:rsidRPr="00C9524D">
        <w:rPr>
          <w:rFonts w:cs="Arial"/>
        </w:rPr>
        <w:tab/>
        <w:t>Family/</w:t>
      </w:r>
      <w:proofErr w:type="spellStart"/>
      <w:r>
        <w:rPr>
          <w:rFonts w:cs="Arial"/>
        </w:rPr>
        <w:t>w</w:t>
      </w:r>
      <w:r w:rsidRPr="00C9524D">
        <w:rPr>
          <w:rFonts w:cs="Arial"/>
        </w:rPr>
        <w:t>hānau</w:t>
      </w:r>
      <w:proofErr w:type="spellEnd"/>
    </w:p>
    <w:p w:rsidR="00925F22" w:rsidRPr="00C9524D" w:rsidRDefault="00925F22" w:rsidP="00925F22">
      <w:pPr>
        <w:tabs>
          <w:tab w:val="left" w:pos="1134"/>
          <w:tab w:val="left" w:pos="4536"/>
          <w:tab w:val="left" w:pos="4820"/>
        </w:tabs>
        <w:spacing w:before="60"/>
        <w:ind w:left="567"/>
        <w:rPr>
          <w:rFonts w:cs="Arial"/>
        </w:rPr>
      </w:pPr>
      <w:r w:rsidRPr="00C9524D">
        <w:rPr>
          <w:rFonts w:cs="Arial"/>
          <w:sz w:val="28"/>
          <w:szCs w:val="28"/>
        </w:rPr>
        <w:fldChar w:fldCharType="begin">
          <w:ffData>
            <w:name w:val="Check1"/>
            <w:enabled/>
            <w:calcOnExit w:val="0"/>
            <w:checkBox>
              <w:sizeAuto/>
              <w:default w:val="0"/>
            </w:checkBox>
          </w:ffData>
        </w:fldChar>
      </w:r>
      <w:r w:rsidRPr="00C9524D">
        <w:rPr>
          <w:rFonts w:cs="Arial"/>
          <w:sz w:val="28"/>
          <w:szCs w:val="28"/>
        </w:rPr>
        <w:instrText xml:space="preserve"> FORMCHECKBOX </w:instrText>
      </w:r>
      <w:r w:rsidR="000D5C87">
        <w:rPr>
          <w:rFonts w:cs="Arial"/>
          <w:sz w:val="28"/>
          <w:szCs w:val="28"/>
        </w:rPr>
      </w:r>
      <w:r w:rsidR="000D5C87">
        <w:rPr>
          <w:rFonts w:cs="Arial"/>
          <w:sz w:val="28"/>
          <w:szCs w:val="28"/>
        </w:rPr>
        <w:fldChar w:fldCharType="separate"/>
      </w:r>
      <w:r w:rsidRPr="00C9524D">
        <w:rPr>
          <w:rFonts w:cs="Arial"/>
          <w:sz w:val="28"/>
          <w:szCs w:val="28"/>
        </w:rPr>
        <w:fldChar w:fldCharType="end"/>
      </w:r>
      <w:r w:rsidRPr="00C9524D">
        <w:rPr>
          <w:rFonts w:cs="Arial"/>
        </w:rPr>
        <w:tab/>
        <w:t>Pacific</w:t>
      </w:r>
      <w:r w:rsidRPr="00C9524D">
        <w:rPr>
          <w:rFonts w:cs="Arial"/>
        </w:rPr>
        <w:tab/>
      </w:r>
      <w:r w:rsidRPr="00C9524D">
        <w:rPr>
          <w:rFonts w:cs="Arial"/>
          <w:sz w:val="28"/>
          <w:szCs w:val="28"/>
        </w:rPr>
        <w:fldChar w:fldCharType="begin">
          <w:ffData>
            <w:name w:val="Check1"/>
            <w:enabled/>
            <w:calcOnExit w:val="0"/>
            <w:checkBox>
              <w:sizeAuto/>
              <w:default w:val="0"/>
            </w:checkBox>
          </w:ffData>
        </w:fldChar>
      </w:r>
      <w:r w:rsidRPr="00C9524D">
        <w:rPr>
          <w:rFonts w:cs="Arial"/>
          <w:sz w:val="28"/>
          <w:szCs w:val="28"/>
        </w:rPr>
        <w:instrText xml:space="preserve"> FORMCHECKBOX </w:instrText>
      </w:r>
      <w:r w:rsidR="000D5C87">
        <w:rPr>
          <w:rFonts w:cs="Arial"/>
          <w:sz w:val="28"/>
          <w:szCs w:val="28"/>
        </w:rPr>
      </w:r>
      <w:r w:rsidR="000D5C87">
        <w:rPr>
          <w:rFonts w:cs="Arial"/>
          <w:sz w:val="28"/>
          <w:szCs w:val="28"/>
        </w:rPr>
        <w:fldChar w:fldCharType="separate"/>
      </w:r>
      <w:r w:rsidRPr="00C9524D">
        <w:rPr>
          <w:rFonts w:cs="Arial"/>
          <w:sz w:val="28"/>
          <w:szCs w:val="28"/>
        </w:rPr>
        <w:fldChar w:fldCharType="end"/>
      </w:r>
      <w:r w:rsidRPr="00C9524D">
        <w:rPr>
          <w:rFonts w:cs="Arial"/>
        </w:rPr>
        <w:tab/>
        <w:t>Consumer</w:t>
      </w:r>
    </w:p>
    <w:p w:rsidR="00925F22" w:rsidRPr="00C9524D" w:rsidRDefault="00925F22" w:rsidP="00925F22">
      <w:pPr>
        <w:tabs>
          <w:tab w:val="left" w:pos="1134"/>
          <w:tab w:val="left" w:pos="4536"/>
          <w:tab w:val="left" w:pos="4820"/>
        </w:tabs>
        <w:spacing w:before="60"/>
        <w:ind w:left="567"/>
        <w:rPr>
          <w:rFonts w:cs="Arial"/>
        </w:rPr>
      </w:pPr>
      <w:r w:rsidRPr="00C9524D">
        <w:rPr>
          <w:rFonts w:cs="Arial"/>
          <w:sz w:val="28"/>
          <w:szCs w:val="28"/>
        </w:rPr>
        <w:fldChar w:fldCharType="begin">
          <w:ffData>
            <w:name w:val="Check1"/>
            <w:enabled/>
            <w:calcOnExit w:val="0"/>
            <w:checkBox>
              <w:sizeAuto/>
              <w:default w:val="0"/>
            </w:checkBox>
          </w:ffData>
        </w:fldChar>
      </w:r>
      <w:r w:rsidRPr="00C9524D">
        <w:rPr>
          <w:rFonts w:cs="Arial"/>
          <w:sz w:val="28"/>
          <w:szCs w:val="28"/>
        </w:rPr>
        <w:instrText xml:space="preserve"> FORMCHECKBOX </w:instrText>
      </w:r>
      <w:r w:rsidR="000D5C87">
        <w:rPr>
          <w:rFonts w:cs="Arial"/>
          <w:sz w:val="28"/>
          <w:szCs w:val="28"/>
        </w:rPr>
      </w:r>
      <w:r w:rsidR="000D5C87">
        <w:rPr>
          <w:rFonts w:cs="Arial"/>
          <w:sz w:val="28"/>
          <w:szCs w:val="28"/>
        </w:rPr>
        <w:fldChar w:fldCharType="separate"/>
      </w:r>
      <w:r w:rsidRPr="00C9524D">
        <w:rPr>
          <w:rFonts w:cs="Arial"/>
          <w:sz w:val="28"/>
          <w:szCs w:val="28"/>
        </w:rPr>
        <w:fldChar w:fldCharType="end"/>
      </w:r>
      <w:r w:rsidRPr="00C9524D">
        <w:rPr>
          <w:rFonts w:cs="Arial"/>
        </w:rPr>
        <w:tab/>
        <w:t>Asian</w:t>
      </w:r>
      <w:r w:rsidRPr="00C9524D">
        <w:rPr>
          <w:rFonts w:cs="Arial"/>
        </w:rPr>
        <w:tab/>
      </w:r>
      <w:r w:rsidRPr="00C9524D">
        <w:rPr>
          <w:rFonts w:cs="Arial"/>
          <w:sz w:val="28"/>
          <w:szCs w:val="28"/>
        </w:rPr>
        <w:fldChar w:fldCharType="begin">
          <w:ffData>
            <w:name w:val="Check1"/>
            <w:enabled/>
            <w:calcOnExit w:val="0"/>
            <w:checkBox>
              <w:sizeAuto/>
              <w:default w:val="0"/>
            </w:checkBox>
          </w:ffData>
        </w:fldChar>
      </w:r>
      <w:r w:rsidRPr="00C9524D">
        <w:rPr>
          <w:rFonts w:cs="Arial"/>
          <w:sz w:val="28"/>
          <w:szCs w:val="28"/>
        </w:rPr>
        <w:instrText xml:space="preserve"> FORMCHECKBOX </w:instrText>
      </w:r>
      <w:r w:rsidR="000D5C87">
        <w:rPr>
          <w:rFonts w:cs="Arial"/>
          <w:sz w:val="28"/>
          <w:szCs w:val="28"/>
        </w:rPr>
      </w:r>
      <w:r w:rsidR="000D5C87">
        <w:rPr>
          <w:rFonts w:cs="Arial"/>
          <w:sz w:val="28"/>
          <w:szCs w:val="28"/>
        </w:rPr>
        <w:fldChar w:fldCharType="separate"/>
      </w:r>
      <w:r w:rsidRPr="00C9524D">
        <w:rPr>
          <w:rFonts w:cs="Arial"/>
          <w:sz w:val="28"/>
          <w:szCs w:val="28"/>
        </w:rPr>
        <w:fldChar w:fldCharType="end"/>
      </w:r>
      <w:r w:rsidRPr="00C9524D">
        <w:rPr>
          <w:rFonts w:cs="Arial"/>
        </w:rPr>
        <w:tab/>
        <w:t xml:space="preserve">Local </w:t>
      </w:r>
      <w:r>
        <w:rPr>
          <w:rFonts w:cs="Arial"/>
        </w:rPr>
        <w:t>g</w:t>
      </w:r>
      <w:r w:rsidRPr="00C9524D">
        <w:rPr>
          <w:rFonts w:cs="Arial"/>
        </w:rPr>
        <w:t>overnment</w:t>
      </w:r>
    </w:p>
    <w:p w:rsidR="00925F22" w:rsidRPr="00C9524D" w:rsidRDefault="00925F22" w:rsidP="00925F22">
      <w:pPr>
        <w:tabs>
          <w:tab w:val="left" w:pos="1134"/>
          <w:tab w:val="left" w:pos="4536"/>
          <w:tab w:val="left" w:pos="4820"/>
        </w:tabs>
        <w:spacing w:before="60"/>
        <w:ind w:left="567"/>
        <w:rPr>
          <w:rFonts w:cs="Arial"/>
        </w:rPr>
      </w:pPr>
      <w:r w:rsidRPr="00C9524D">
        <w:rPr>
          <w:rFonts w:cs="Arial"/>
          <w:sz w:val="28"/>
          <w:szCs w:val="28"/>
        </w:rPr>
        <w:fldChar w:fldCharType="begin">
          <w:ffData>
            <w:name w:val="Check1"/>
            <w:enabled/>
            <w:calcOnExit w:val="0"/>
            <w:checkBox>
              <w:sizeAuto/>
              <w:default w:val="0"/>
            </w:checkBox>
          </w:ffData>
        </w:fldChar>
      </w:r>
      <w:r w:rsidRPr="00C9524D">
        <w:rPr>
          <w:rFonts w:cs="Arial"/>
          <w:sz w:val="28"/>
          <w:szCs w:val="28"/>
        </w:rPr>
        <w:instrText xml:space="preserve"> FORMCHECKBOX </w:instrText>
      </w:r>
      <w:r w:rsidR="000D5C87">
        <w:rPr>
          <w:rFonts w:cs="Arial"/>
          <w:sz w:val="28"/>
          <w:szCs w:val="28"/>
        </w:rPr>
      </w:r>
      <w:r w:rsidR="000D5C87">
        <w:rPr>
          <w:rFonts w:cs="Arial"/>
          <w:sz w:val="28"/>
          <w:szCs w:val="28"/>
        </w:rPr>
        <w:fldChar w:fldCharType="separate"/>
      </w:r>
      <w:r w:rsidRPr="00C9524D">
        <w:rPr>
          <w:rFonts w:cs="Arial"/>
          <w:sz w:val="28"/>
          <w:szCs w:val="28"/>
        </w:rPr>
        <w:fldChar w:fldCharType="end"/>
      </w:r>
      <w:r w:rsidRPr="00C9524D">
        <w:rPr>
          <w:rFonts w:cs="Arial"/>
        </w:rPr>
        <w:tab/>
        <w:t xml:space="preserve">Service </w:t>
      </w:r>
      <w:r>
        <w:rPr>
          <w:rFonts w:cs="Arial"/>
        </w:rPr>
        <w:t>p</w:t>
      </w:r>
      <w:r w:rsidRPr="00C9524D">
        <w:rPr>
          <w:rFonts w:cs="Arial"/>
        </w:rPr>
        <w:t>rovider</w:t>
      </w:r>
      <w:r w:rsidRPr="00C9524D">
        <w:rPr>
          <w:rFonts w:cs="Arial"/>
        </w:rPr>
        <w:tab/>
      </w:r>
      <w:r w:rsidRPr="00C9524D">
        <w:rPr>
          <w:rFonts w:cs="Arial"/>
          <w:sz w:val="28"/>
          <w:szCs w:val="28"/>
        </w:rPr>
        <w:fldChar w:fldCharType="begin">
          <w:ffData>
            <w:name w:val="Check1"/>
            <w:enabled/>
            <w:calcOnExit w:val="0"/>
            <w:checkBox>
              <w:sizeAuto/>
              <w:default w:val="0"/>
            </w:checkBox>
          </w:ffData>
        </w:fldChar>
      </w:r>
      <w:r w:rsidRPr="00C9524D">
        <w:rPr>
          <w:rFonts w:cs="Arial"/>
          <w:sz w:val="28"/>
          <w:szCs w:val="28"/>
        </w:rPr>
        <w:instrText xml:space="preserve"> FORMCHECKBOX </w:instrText>
      </w:r>
      <w:r w:rsidR="000D5C87">
        <w:rPr>
          <w:rFonts w:cs="Arial"/>
          <w:sz w:val="28"/>
          <w:szCs w:val="28"/>
        </w:rPr>
      </w:r>
      <w:r w:rsidR="000D5C87">
        <w:rPr>
          <w:rFonts w:cs="Arial"/>
          <w:sz w:val="28"/>
          <w:szCs w:val="28"/>
        </w:rPr>
        <w:fldChar w:fldCharType="separate"/>
      </w:r>
      <w:r w:rsidRPr="00C9524D">
        <w:rPr>
          <w:rFonts w:cs="Arial"/>
          <w:sz w:val="28"/>
          <w:szCs w:val="28"/>
        </w:rPr>
        <w:fldChar w:fldCharType="end"/>
      </w:r>
      <w:r w:rsidRPr="00C9524D">
        <w:rPr>
          <w:rFonts w:cs="Arial"/>
        </w:rPr>
        <w:tab/>
        <w:t xml:space="preserve">Central </w:t>
      </w:r>
      <w:r>
        <w:rPr>
          <w:rFonts w:cs="Arial"/>
        </w:rPr>
        <w:t>g</w:t>
      </w:r>
      <w:r w:rsidRPr="00C9524D">
        <w:rPr>
          <w:rFonts w:cs="Arial"/>
        </w:rPr>
        <w:t>overnment</w:t>
      </w:r>
    </w:p>
    <w:p w:rsidR="00925F22" w:rsidRDefault="00925F22" w:rsidP="00925F22">
      <w:pPr>
        <w:tabs>
          <w:tab w:val="left" w:pos="1134"/>
          <w:tab w:val="left" w:pos="4536"/>
          <w:tab w:val="left" w:pos="4820"/>
        </w:tabs>
        <w:spacing w:before="60"/>
        <w:ind w:left="567"/>
        <w:rPr>
          <w:rFonts w:cs="Arial"/>
        </w:rPr>
      </w:pPr>
      <w:r w:rsidRPr="00C9524D">
        <w:rPr>
          <w:rFonts w:cs="Arial"/>
          <w:sz w:val="28"/>
          <w:szCs w:val="28"/>
        </w:rPr>
        <w:fldChar w:fldCharType="begin">
          <w:ffData>
            <w:name w:val="Check1"/>
            <w:enabled/>
            <w:calcOnExit w:val="0"/>
            <w:checkBox>
              <w:sizeAuto/>
              <w:default w:val="0"/>
            </w:checkBox>
          </w:ffData>
        </w:fldChar>
      </w:r>
      <w:r w:rsidRPr="00C9524D">
        <w:rPr>
          <w:rFonts w:cs="Arial"/>
          <w:sz w:val="28"/>
          <w:szCs w:val="28"/>
        </w:rPr>
        <w:instrText xml:space="preserve"> FORMCHECKBOX </w:instrText>
      </w:r>
      <w:r w:rsidR="000D5C87">
        <w:rPr>
          <w:rFonts w:cs="Arial"/>
          <w:sz w:val="28"/>
          <w:szCs w:val="28"/>
        </w:rPr>
      </w:r>
      <w:r w:rsidR="000D5C87">
        <w:rPr>
          <w:rFonts w:cs="Arial"/>
          <w:sz w:val="28"/>
          <w:szCs w:val="28"/>
        </w:rPr>
        <w:fldChar w:fldCharType="separate"/>
      </w:r>
      <w:r w:rsidRPr="00C9524D">
        <w:rPr>
          <w:rFonts w:cs="Arial"/>
          <w:sz w:val="28"/>
          <w:szCs w:val="28"/>
        </w:rPr>
        <w:fldChar w:fldCharType="end"/>
      </w:r>
      <w:r w:rsidR="004A5731">
        <w:rPr>
          <w:rFonts w:cs="Arial"/>
        </w:rPr>
        <w:tab/>
        <w:t>Gambling industry (l</w:t>
      </w:r>
      <w:r w:rsidRPr="00C9524D">
        <w:rPr>
          <w:rFonts w:cs="Arial"/>
        </w:rPr>
        <w:t xml:space="preserve">evy </w:t>
      </w:r>
      <w:r>
        <w:rPr>
          <w:rFonts w:cs="Arial"/>
        </w:rPr>
        <w:t>p</w:t>
      </w:r>
      <w:r w:rsidRPr="00C9524D">
        <w:rPr>
          <w:rFonts w:cs="Arial"/>
        </w:rPr>
        <w:t>ayer)</w:t>
      </w:r>
      <w:r w:rsidRPr="00C9524D">
        <w:rPr>
          <w:rFonts w:cs="Arial"/>
        </w:rPr>
        <w:tab/>
      </w:r>
      <w:r w:rsidRPr="00C9524D">
        <w:rPr>
          <w:rFonts w:cs="Arial"/>
          <w:sz w:val="28"/>
          <w:szCs w:val="28"/>
        </w:rPr>
        <w:fldChar w:fldCharType="begin">
          <w:ffData>
            <w:name w:val="Check1"/>
            <w:enabled/>
            <w:calcOnExit w:val="0"/>
            <w:checkBox>
              <w:sizeAuto/>
              <w:default w:val="0"/>
            </w:checkBox>
          </w:ffData>
        </w:fldChar>
      </w:r>
      <w:r w:rsidRPr="00C9524D">
        <w:rPr>
          <w:rFonts w:cs="Arial"/>
          <w:sz w:val="28"/>
          <w:szCs w:val="28"/>
        </w:rPr>
        <w:instrText xml:space="preserve"> FORMCHECKBOX </w:instrText>
      </w:r>
      <w:r w:rsidR="000D5C87">
        <w:rPr>
          <w:rFonts w:cs="Arial"/>
          <w:sz w:val="28"/>
          <w:szCs w:val="28"/>
        </w:rPr>
      </w:r>
      <w:r w:rsidR="000D5C87">
        <w:rPr>
          <w:rFonts w:cs="Arial"/>
          <w:sz w:val="28"/>
          <w:szCs w:val="28"/>
        </w:rPr>
        <w:fldChar w:fldCharType="separate"/>
      </w:r>
      <w:r w:rsidRPr="00C9524D">
        <w:rPr>
          <w:rFonts w:cs="Arial"/>
          <w:sz w:val="28"/>
          <w:szCs w:val="28"/>
        </w:rPr>
        <w:fldChar w:fldCharType="end"/>
      </w:r>
      <w:r w:rsidRPr="00C9524D">
        <w:rPr>
          <w:rFonts w:cs="Arial"/>
        </w:rPr>
        <w:tab/>
        <w:t>Researcher</w:t>
      </w:r>
    </w:p>
    <w:p w:rsidR="00925F22" w:rsidRPr="004A5731" w:rsidRDefault="00925F22" w:rsidP="004A5731">
      <w:pPr>
        <w:tabs>
          <w:tab w:val="left" w:pos="1134"/>
          <w:tab w:val="right" w:leader="underscore" w:pos="9355"/>
        </w:tabs>
        <w:spacing w:before="60"/>
        <w:ind w:left="567"/>
        <w:rPr>
          <w:rFonts w:cs="Arial"/>
          <w:iCs/>
        </w:rPr>
      </w:pPr>
      <w:r w:rsidRPr="00C9524D">
        <w:rPr>
          <w:rFonts w:cs="Arial"/>
          <w:sz w:val="28"/>
          <w:szCs w:val="28"/>
        </w:rPr>
        <w:fldChar w:fldCharType="begin">
          <w:ffData>
            <w:name w:val="Check1"/>
            <w:enabled/>
            <w:calcOnExit w:val="0"/>
            <w:checkBox>
              <w:sizeAuto/>
              <w:default w:val="0"/>
            </w:checkBox>
          </w:ffData>
        </w:fldChar>
      </w:r>
      <w:r w:rsidRPr="00C9524D">
        <w:rPr>
          <w:rFonts w:cs="Arial"/>
          <w:sz w:val="28"/>
          <w:szCs w:val="28"/>
        </w:rPr>
        <w:instrText xml:space="preserve"> FORMCHECKBOX </w:instrText>
      </w:r>
      <w:r w:rsidR="000D5C87">
        <w:rPr>
          <w:rFonts w:cs="Arial"/>
          <w:sz w:val="28"/>
          <w:szCs w:val="28"/>
        </w:rPr>
      </w:r>
      <w:r w:rsidR="000D5C87">
        <w:rPr>
          <w:rFonts w:cs="Arial"/>
          <w:sz w:val="28"/>
          <w:szCs w:val="28"/>
        </w:rPr>
        <w:fldChar w:fldCharType="separate"/>
      </w:r>
      <w:r w:rsidRPr="00C9524D">
        <w:rPr>
          <w:rFonts w:cs="Arial"/>
          <w:sz w:val="28"/>
          <w:szCs w:val="28"/>
        </w:rPr>
        <w:fldChar w:fldCharType="end"/>
      </w:r>
      <w:r w:rsidRPr="00C9524D">
        <w:rPr>
          <w:rFonts w:cs="Arial"/>
        </w:rPr>
        <w:tab/>
        <w:t xml:space="preserve">Other </w:t>
      </w:r>
      <w:r w:rsidRPr="00C9524D">
        <w:rPr>
          <w:rFonts w:cs="Arial"/>
          <w:i/>
          <w:iCs/>
          <w:sz w:val="18"/>
        </w:rPr>
        <w:t>(please specify)</w:t>
      </w:r>
      <w:r w:rsidR="004A5731" w:rsidRPr="004A5731">
        <w:rPr>
          <w:rFonts w:cs="Arial"/>
          <w:iCs/>
          <w:sz w:val="20"/>
        </w:rPr>
        <w:tab/>
      </w:r>
    </w:p>
    <w:p w:rsidR="00925F22" w:rsidRDefault="00925F22" w:rsidP="004A5731"/>
    <w:p w:rsidR="00925F22" w:rsidRPr="00C9524D" w:rsidRDefault="00925F22" w:rsidP="00925F22">
      <w:pPr>
        <w:spacing w:before="240" w:after="120"/>
        <w:rPr>
          <w:b/>
        </w:rPr>
      </w:pPr>
      <w:r w:rsidRPr="00C9524D">
        <w:rPr>
          <w:b/>
        </w:rPr>
        <w:t>Summary of submissions</w:t>
      </w:r>
    </w:p>
    <w:p w:rsidR="00925F22" w:rsidRDefault="00925F22" w:rsidP="004A5731">
      <w:r w:rsidRPr="00C9524D">
        <w:t>If you wish to be notified when a summary of submissions is available, please ensure your contact details are provided above and tick the box below.</w:t>
      </w:r>
    </w:p>
    <w:p w:rsidR="00925F22" w:rsidRPr="00C9524D" w:rsidRDefault="00925F22" w:rsidP="00181C5C">
      <w:pPr>
        <w:spacing w:before="60"/>
        <w:ind w:left="567"/>
      </w:pPr>
      <w:r w:rsidRPr="00C9524D">
        <w:rPr>
          <w:rFonts w:cs="Arial"/>
        </w:rPr>
        <w:fldChar w:fldCharType="begin">
          <w:ffData>
            <w:name w:val="Check1"/>
            <w:enabled/>
            <w:calcOnExit w:val="0"/>
            <w:checkBox>
              <w:sizeAuto/>
              <w:default w:val="0"/>
            </w:checkBox>
          </w:ffData>
        </w:fldChar>
      </w:r>
      <w:r w:rsidRPr="00C9524D">
        <w:rPr>
          <w:rFonts w:cs="Arial"/>
        </w:rPr>
        <w:instrText xml:space="preserve"> FORMCHECKBOX </w:instrText>
      </w:r>
      <w:r w:rsidR="000D5C87">
        <w:rPr>
          <w:rFonts w:cs="Arial"/>
        </w:rPr>
      </w:r>
      <w:r w:rsidR="000D5C87">
        <w:rPr>
          <w:rFonts w:cs="Arial"/>
        </w:rPr>
        <w:fldChar w:fldCharType="separate"/>
      </w:r>
      <w:r w:rsidRPr="00C9524D">
        <w:rPr>
          <w:rFonts w:cs="Arial"/>
        </w:rPr>
        <w:fldChar w:fldCharType="end"/>
      </w:r>
      <w:r w:rsidRPr="00C9524D">
        <w:rPr>
          <w:rFonts w:cs="Arial"/>
        </w:rPr>
        <w:tab/>
        <w:t xml:space="preserve">I </w:t>
      </w:r>
      <w:r w:rsidRPr="00C9524D">
        <w:t>wish to be informed when the summary of submissions is available</w:t>
      </w:r>
      <w:r>
        <w:t>.</w:t>
      </w:r>
    </w:p>
    <w:p w:rsidR="00925F22" w:rsidRDefault="00925F22" w:rsidP="004A5731"/>
    <w:p w:rsidR="00925F22" w:rsidRPr="00C9524D" w:rsidRDefault="00925F22" w:rsidP="00925F22">
      <w:pPr>
        <w:keepNext/>
        <w:spacing w:before="240" w:after="120"/>
        <w:rPr>
          <w:b/>
        </w:rPr>
      </w:pPr>
      <w:r w:rsidRPr="00C9524D">
        <w:rPr>
          <w:b/>
        </w:rPr>
        <w:t>Privacy</w:t>
      </w:r>
    </w:p>
    <w:p w:rsidR="00925F22" w:rsidRPr="00C9524D" w:rsidRDefault="00925F22" w:rsidP="004A5731">
      <w:r w:rsidRPr="00C9524D">
        <w:t>We may publish all submissions, or a summary of submissions, on the Ministry</w:t>
      </w:r>
      <w:r>
        <w:t>’</w:t>
      </w:r>
      <w:r w:rsidRPr="00C9524D">
        <w:t>s website. If you are submitting as an individual, we will automatically remove your personal details and any identifiable information.</w:t>
      </w:r>
    </w:p>
    <w:p w:rsidR="004A5731" w:rsidRDefault="004A5731" w:rsidP="004A5731"/>
    <w:p w:rsidR="00925F22" w:rsidRPr="00C9524D" w:rsidRDefault="00925F22" w:rsidP="004A5731">
      <w:r w:rsidRPr="00C9524D">
        <w:t>If you do not want your submission published on the Ministry</w:t>
      </w:r>
      <w:r>
        <w:t>’</w:t>
      </w:r>
      <w:r w:rsidRPr="00C9524D">
        <w:t>s website, please tick this box:</w:t>
      </w:r>
    </w:p>
    <w:p w:rsidR="00925F22" w:rsidRPr="00C9524D" w:rsidRDefault="00925F22" w:rsidP="00181C5C">
      <w:pPr>
        <w:spacing w:before="60"/>
        <w:ind w:left="567"/>
      </w:pPr>
      <w:r w:rsidRPr="00C9524D">
        <w:fldChar w:fldCharType="begin">
          <w:ffData>
            <w:name w:val=""/>
            <w:enabled/>
            <w:calcOnExit w:val="0"/>
            <w:checkBox>
              <w:sizeAuto/>
              <w:default w:val="0"/>
            </w:checkBox>
          </w:ffData>
        </w:fldChar>
      </w:r>
      <w:r w:rsidRPr="00C9524D">
        <w:instrText xml:space="preserve"> FORMCHECKBOX </w:instrText>
      </w:r>
      <w:r w:rsidR="000D5C87">
        <w:fldChar w:fldCharType="separate"/>
      </w:r>
      <w:r w:rsidRPr="00C9524D">
        <w:fldChar w:fldCharType="end"/>
      </w:r>
      <w:r w:rsidRPr="00C9524D">
        <w:tab/>
        <w:t>Do not publish this submission.</w:t>
      </w:r>
    </w:p>
    <w:p w:rsidR="004A5731" w:rsidRDefault="004A5731" w:rsidP="004A5731"/>
    <w:p w:rsidR="00925F22" w:rsidRPr="00C9524D" w:rsidRDefault="00925F22" w:rsidP="004A5731">
      <w:r w:rsidRPr="00C9524D">
        <w:t xml:space="preserve">Your submission </w:t>
      </w:r>
      <w:r>
        <w:t>will</w:t>
      </w:r>
      <w:r w:rsidRPr="00C9524D">
        <w:t xml:space="preserve"> be subject to requests made under the Official Information Act. If you want your personal details removed from your submission, please tick this box:</w:t>
      </w:r>
    </w:p>
    <w:p w:rsidR="00925F22" w:rsidRPr="00C9524D" w:rsidRDefault="00925F22" w:rsidP="00181C5C">
      <w:pPr>
        <w:spacing w:before="60"/>
        <w:ind w:left="567"/>
      </w:pPr>
      <w:r w:rsidRPr="00C9524D">
        <w:fldChar w:fldCharType="begin">
          <w:ffData>
            <w:name w:val="Check1"/>
            <w:enabled/>
            <w:calcOnExit w:val="0"/>
            <w:checkBox>
              <w:sizeAuto/>
              <w:default w:val="0"/>
            </w:checkBox>
          </w:ffData>
        </w:fldChar>
      </w:r>
      <w:r w:rsidRPr="00C9524D">
        <w:instrText xml:space="preserve"> FORMCHECKBOX </w:instrText>
      </w:r>
      <w:r w:rsidR="000D5C87">
        <w:fldChar w:fldCharType="separate"/>
      </w:r>
      <w:r w:rsidRPr="00C9524D">
        <w:fldChar w:fldCharType="end"/>
      </w:r>
      <w:r w:rsidRPr="00C9524D">
        <w:tab/>
        <w:t>Remove my personal details from Official Information Act responses.</w:t>
      </w:r>
    </w:p>
    <w:p w:rsidR="004A5731" w:rsidRDefault="004A5731" w:rsidP="004A5731"/>
    <w:p w:rsidR="00925F22" w:rsidRPr="00C9524D" w:rsidRDefault="00925F22" w:rsidP="004A5731">
      <w:r w:rsidRPr="00C9524D">
        <w:t>If your submission contains commercially sensitive information, please tick this box:</w:t>
      </w:r>
    </w:p>
    <w:p w:rsidR="00925F22" w:rsidRDefault="00925F22" w:rsidP="00181C5C">
      <w:pPr>
        <w:spacing w:before="60"/>
        <w:ind w:left="567"/>
      </w:pPr>
      <w:r w:rsidRPr="00C9524D">
        <w:fldChar w:fldCharType="begin">
          <w:ffData>
            <w:name w:val="Check1"/>
            <w:enabled/>
            <w:calcOnExit w:val="0"/>
            <w:checkBox>
              <w:sizeAuto/>
              <w:default w:val="0"/>
            </w:checkBox>
          </w:ffData>
        </w:fldChar>
      </w:r>
      <w:r w:rsidRPr="00C9524D">
        <w:instrText xml:space="preserve"> FORMCHECKBOX </w:instrText>
      </w:r>
      <w:r w:rsidR="000D5C87">
        <w:fldChar w:fldCharType="separate"/>
      </w:r>
      <w:r w:rsidRPr="00C9524D">
        <w:fldChar w:fldCharType="end"/>
      </w:r>
      <w:r w:rsidRPr="00C9524D">
        <w:tab/>
        <w:t>This submission contains commercially sensitive information.</w:t>
      </w:r>
    </w:p>
    <w:p w:rsidR="00925F22" w:rsidRPr="00C9524D" w:rsidRDefault="00925F22" w:rsidP="00181C5C">
      <w:pPr>
        <w:keepNext/>
        <w:spacing w:before="360" w:after="120"/>
        <w:outlineLvl w:val="1"/>
        <w:rPr>
          <w:b/>
          <w:sz w:val="40"/>
        </w:rPr>
      </w:pPr>
      <w:r w:rsidRPr="00C9524D">
        <w:rPr>
          <w:b/>
          <w:sz w:val="40"/>
        </w:rPr>
        <w:lastRenderedPageBreak/>
        <w:t>Consultation questions</w:t>
      </w:r>
    </w:p>
    <w:p w:rsidR="00925F22" w:rsidRPr="00C9524D" w:rsidRDefault="00925F22" w:rsidP="00181C5C">
      <w:r w:rsidRPr="00C9524D">
        <w:t xml:space="preserve">The following questions about the </w:t>
      </w:r>
      <w:r w:rsidRPr="00C9524D">
        <w:rPr>
          <w:i/>
        </w:rPr>
        <w:t xml:space="preserve">Strategy to Prevent and Minimise Gambling Harm: Consultation </w:t>
      </w:r>
      <w:r>
        <w:rPr>
          <w:i/>
        </w:rPr>
        <w:t>d</w:t>
      </w:r>
      <w:r w:rsidRPr="00C9524D">
        <w:rPr>
          <w:i/>
        </w:rPr>
        <w:t xml:space="preserve">ocument </w:t>
      </w:r>
      <w:r w:rsidRPr="00C9524D">
        <w:t>(the draft strategy) are designed to help you prepare your feedback. However, you do not have to answer the questions if you prefer to structure your submission in some other way.</w:t>
      </w:r>
    </w:p>
    <w:p w:rsidR="00181C5C" w:rsidRDefault="00181C5C" w:rsidP="00181C5C"/>
    <w:p w:rsidR="00925F22" w:rsidRDefault="00925F22" w:rsidP="00181C5C">
      <w:r w:rsidRPr="00C9524D">
        <w:t>Please include or cite relevant supporting evidence in your submission, if you can.</w:t>
      </w:r>
    </w:p>
    <w:p w:rsidR="00181C5C" w:rsidRDefault="00181C5C" w:rsidP="00181C5C"/>
    <w:p w:rsidR="00925F22" w:rsidRDefault="00925F22" w:rsidP="00181C5C">
      <w:r w:rsidRPr="00C9524D">
        <w:t>You are also welcome to provide any other feedback on the draft strategy or more generally any ideas on preventing or minimising gambling harm in New Zealand (refer question 1</w:t>
      </w:r>
      <w:r>
        <w:t>6</w:t>
      </w:r>
      <w:r w:rsidRPr="00C9524D">
        <w:t>).</w:t>
      </w:r>
    </w:p>
    <w:p w:rsidR="00925F22" w:rsidRPr="00C9524D" w:rsidRDefault="00925F22" w:rsidP="00181C5C"/>
    <w:p w:rsidR="00925F22" w:rsidRDefault="00925F22" w:rsidP="00925F22">
      <w:pPr>
        <w:widowControl w:val="0"/>
        <w:spacing w:before="360" w:after="240"/>
        <w:outlineLvl w:val="2"/>
        <w:rPr>
          <w:b/>
          <w:sz w:val="24"/>
          <w:szCs w:val="24"/>
        </w:rPr>
      </w:pPr>
      <w:r w:rsidRPr="00C9524D">
        <w:rPr>
          <w:b/>
          <w:sz w:val="24"/>
          <w:szCs w:val="24"/>
        </w:rPr>
        <w:t>Strategic direction</w:t>
      </w:r>
    </w:p>
    <w:p w:rsidR="00925F22" w:rsidRPr="00003227" w:rsidRDefault="00925F22" w:rsidP="00181C5C">
      <w:r w:rsidRPr="00003227">
        <w:t xml:space="preserve">The Gambling Act 2003 defines harm, the purpose of the strategy (to prevent and minimise gambling harm) and key components that a </w:t>
      </w:r>
      <w:r>
        <w:t>s</w:t>
      </w:r>
      <w:r w:rsidRPr="00003227">
        <w:t xml:space="preserve">trategy must include. Neither these legislative provisions nor the content of the other strategic documents and frameworks with which the proposed </w:t>
      </w:r>
      <w:r>
        <w:t>s</w:t>
      </w:r>
      <w:r w:rsidRPr="00003227">
        <w:t>trategy is expected to align are under consideration in this consultation.</w:t>
      </w:r>
    </w:p>
    <w:p w:rsidR="00181C5C" w:rsidRDefault="00181C5C" w:rsidP="00181C5C"/>
    <w:p w:rsidR="00925F22" w:rsidRDefault="00925F22" w:rsidP="00181C5C">
      <w:r w:rsidRPr="00C9524D">
        <w:t>In terms of the strategic direction, objectives and associated priority actions (</w:t>
      </w:r>
      <w:r>
        <w:t>s</w:t>
      </w:r>
      <w:r w:rsidRPr="00C9524D">
        <w:t>ection</w:t>
      </w:r>
      <w:r>
        <w:t>s 1 and</w:t>
      </w:r>
      <w:r w:rsidRPr="00C9524D">
        <w:t xml:space="preserve"> 2)</w:t>
      </w:r>
      <w:r>
        <w:t>:</w:t>
      </w:r>
    </w:p>
    <w:p w:rsidR="00925F22" w:rsidRDefault="00925F22" w:rsidP="00181C5C">
      <w:pPr>
        <w:pStyle w:val="Number"/>
        <w:numPr>
          <w:ilvl w:val="2"/>
          <w:numId w:val="35"/>
        </w:numPr>
      </w:pPr>
      <w:r w:rsidRPr="00C9524D">
        <w:t>Do you support the strategic direction outlined in the proposed strategy?</w:t>
      </w:r>
    </w:p>
    <w:p w:rsidR="00925F22" w:rsidRDefault="00925F22" w:rsidP="00181C5C">
      <w:pPr>
        <w:tabs>
          <w:tab w:val="left" w:pos="993"/>
          <w:tab w:val="left" w:pos="1701"/>
          <w:tab w:val="left" w:pos="2127"/>
        </w:tabs>
        <w:spacing w:before="60" w:after="120"/>
        <w:ind w:left="567"/>
      </w:pPr>
      <w:r w:rsidRPr="00C9524D">
        <w:fldChar w:fldCharType="begin">
          <w:ffData>
            <w:name w:val=""/>
            <w:enabled/>
            <w:calcOnExit w:val="0"/>
            <w:checkBox>
              <w:sizeAuto/>
              <w:default w:val="0"/>
            </w:checkBox>
          </w:ffData>
        </w:fldChar>
      </w:r>
      <w:r w:rsidRPr="00C9524D">
        <w:instrText xml:space="preserve"> FORMCHECKBOX </w:instrText>
      </w:r>
      <w:r w:rsidR="000D5C87">
        <w:fldChar w:fldCharType="separate"/>
      </w:r>
      <w:r w:rsidRPr="00C9524D">
        <w:fldChar w:fldCharType="end"/>
      </w:r>
      <w:r w:rsidRPr="00C9524D">
        <w:tab/>
        <w:t>Yes</w:t>
      </w:r>
      <w:r w:rsidRPr="00C9524D">
        <w:tab/>
      </w:r>
      <w:r w:rsidRPr="00C9524D">
        <w:fldChar w:fldCharType="begin">
          <w:ffData>
            <w:name w:val="Check1"/>
            <w:enabled/>
            <w:calcOnExit w:val="0"/>
            <w:checkBox>
              <w:sizeAuto/>
              <w:default w:val="0"/>
            </w:checkBox>
          </w:ffData>
        </w:fldChar>
      </w:r>
      <w:r w:rsidRPr="00C9524D">
        <w:instrText xml:space="preserve"> FORMCHECKBOX </w:instrText>
      </w:r>
      <w:r w:rsidR="000D5C87">
        <w:fldChar w:fldCharType="separate"/>
      </w:r>
      <w:r w:rsidRPr="00C9524D">
        <w:fldChar w:fldCharType="end"/>
      </w:r>
      <w:r w:rsidRPr="00C9524D">
        <w:tab/>
        <w:t>No. If not</w:t>
      </w:r>
      <w:r>
        <w:t>,</w:t>
      </w:r>
      <w:r w:rsidRPr="00C9524D">
        <w:t xml:space="preserve"> please explain why.</w:t>
      </w:r>
    </w:p>
    <w:tbl>
      <w:tblPr>
        <w:tblStyle w:val="TableGrid"/>
        <w:tblW w:w="0" w:type="auto"/>
        <w:tblInd w:w="675" w:type="dxa"/>
        <w:tblLayout w:type="fixed"/>
        <w:tblLook w:val="04A0" w:firstRow="1" w:lastRow="0" w:firstColumn="1" w:lastColumn="0" w:noHBand="0" w:noVBand="1"/>
      </w:tblPr>
      <w:tblGrid>
        <w:gridCol w:w="8789"/>
      </w:tblGrid>
      <w:tr w:rsidR="00181C5C" w:rsidTr="00181C5C">
        <w:trPr>
          <w:cantSplit/>
          <w:trHeight w:val="1134"/>
        </w:trPr>
        <w:tc>
          <w:tcPr>
            <w:tcW w:w="8789" w:type="dxa"/>
          </w:tcPr>
          <w:p w:rsidR="00181C5C" w:rsidRPr="00181C5C" w:rsidRDefault="00181C5C" w:rsidP="00181C5C">
            <w:pPr>
              <w:pStyle w:val="TableText"/>
              <w:rPr>
                <w:rFonts w:ascii="Georgia" w:hAnsi="Georgia"/>
                <w:sz w:val="20"/>
              </w:rPr>
            </w:pPr>
            <w:r w:rsidRPr="00181C5C">
              <w:rPr>
                <w:rFonts w:ascii="Georgia" w:hAnsi="Georgia"/>
                <w:sz w:val="20"/>
              </w:rPr>
              <w:fldChar w:fldCharType="begin">
                <w:ffData>
                  <w:name w:val="Text2"/>
                  <w:enabled/>
                  <w:calcOnExit w:val="0"/>
                  <w:textInput/>
                </w:ffData>
              </w:fldChar>
            </w:r>
            <w:bookmarkStart w:id="269" w:name="Text2"/>
            <w:r w:rsidRPr="00181C5C">
              <w:rPr>
                <w:rFonts w:ascii="Georgia" w:hAnsi="Georgia"/>
                <w:sz w:val="20"/>
              </w:rPr>
              <w:instrText xml:space="preserve"> FORMTEXT </w:instrText>
            </w:r>
            <w:r w:rsidRPr="00181C5C">
              <w:rPr>
                <w:rFonts w:ascii="Georgia" w:hAnsi="Georgia"/>
                <w:sz w:val="20"/>
              </w:rPr>
            </w:r>
            <w:r w:rsidRPr="00181C5C">
              <w:rPr>
                <w:rFonts w:ascii="Georgia" w:hAnsi="Georgia"/>
                <w:sz w:val="20"/>
              </w:rPr>
              <w:fldChar w:fldCharType="separate"/>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sz w:val="20"/>
              </w:rPr>
              <w:fldChar w:fldCharType="end"/>
            </w:r>
            <w:bookmarkEnd w:id="269"/>
          </w:p>
        </w:tc>
      </w:tr>
    </w:tbl>
    <w:p w:rsidR="00181C5C" w:rsidRPr="00C9524D" w:rsidRDefault="00181C5C" w:rsidP="00181C5C"/>
    <w:p w:rsidR="00925F22" w:rsidRDefault="00925F22" w:rsidP="00181C5C">
      <w:pPr>
        <w:pStyle w:val="Number"/>
      </w:pPr>
      <w:r w:rsidRPr="00C9524D">
        <w:t xml:space="preserve">Does the draft </w:t>
      </w:r>
      <w:r>
        <w:t>s</w:t>
      </w:r>
      <w:r w:rsidRPr="00C9524D">
        <w:t xml:space="preserve">trategic </w:t>
      </w:r>
      <w:r>
        <w:t>p</w:t>
      </w:r>
      <w:r w:rsidRPr="00C9524D">
        <w:t>lan adequately reflect changes in the gambling environment?</w:t>
      </w:r>
    </w:p>
    <w:p w:rsidR="00925F22" w:rsidRDefault="00925F22" w:rsidP="00181C5C">
      <w:pPr>
        <w:tabs>
          <w:tab w:val="left" w:pos="993"/>
          <w:tab w:val="left" w:pos="1701"/>
          <w:tab w:val="left" w:pos="2127"/>
        </w:tabs>
        <w:spacing w:before="60" w:after="120"/>
        <w:ind w:left="567"/>
      </w:pPr>
      <w:r w:rsidRPr="00C9524D">
        <w:fldChar w:fldCharType="begin">
          <w:ffData>
            <w:name w:val="Check1"/>
            <w:enabled/>
            <w:calcOnExit w:val="0"/>
            <w:checkBox>
              <w:sizeAuto/>
              <w:default w:val="0"/>
            </w:checkBox>
          </w:ffData>
        </w:fldChar>
      </w:r>
      <w:r w:rsidRPr="00C9524D">
        <w:instrText xml:space="preserve"> FORMCHECKBOX </w:instrText>
      </w:r>
      <w:r w:rsidR="000D5C87">
        <w:fldChar w:fldCharType="separate"/>
      </w:r>
      <w:r w:rsidRPr="00C9524D">
        <w:fldChar w:fldCharType="end"/>
      </w:r>
      <w:r w:rsidRPr="00C9524D">
        <w:tab/>
        <w:t>Yes</w:t>
      </w:r>
      <w:r w:rsidRPr="00C9524D">
        <w:tab/>
      </w:r>
      <w:r w:rsidRPr="00C9524D">
        <w:fldChar w:fldCharType="begin">
          <w:ffData>
            <w:name w:val="Check1"/>
            <w:enabled/>
            <w:calcOnExit w:val="0"/>
            <w:checkBox>
              <w:sizeAuto/>
              <w:default w:val="0"/>
            </w:checkBox>
          </w:ffData>
        </w:fldChar>
      </w:r>
      <w:r w:rsidRPr="00C9524D">
        <w:instrText xml:space="preserve"> FORMCHECKBOX </w:instrText>
      </w:r>
      <w:r w:rsidR="000D5C87">
        <w:fldChar w:fldCharType="separate"/>
      </w:r>
      <w:r w:rsidRPr="00C9524D">
        <w:fldChar w:fldCharType="end"/>
      </w:r>
      <w:r w:rsidRPr="00C9524D">
        <w:tab/>
        <w:t>No. If not</w:t>
      </w:r>
      <w:r>
        <w:t>,</w:t>
      </w:r>
      <w:r w:rsidRPr="00C9524D">
        <w:t xml:space="preserve"> what else should be included and why?</w:t>
      </w:r>
    </w:p>
    <w:tbl>
      <w:tblPr>
        <w:tblStyle w:val="TableGrid"/>
        <w:tblW w:w="0" w:type="auto"/>
        <w:tblInd w:w="675" w:type="dxa"/>
        <w:tblLayout w:type="fixed"/>
        <w:tblLook w:val="04A0" w:firstRow="1" w:lastRow="0" w:firstColumn="1" w:lastColumn="0" w:noHBand="0" w:noVBand="1"/>
      </w:tblPr>
      <w:tblGrid>
        <w:gridCol w:w="8789"/>
      </w:tblGrid>
      <w:tr w:rsidR="00181C5C" w:rsidRPr="00181C5C" w:rsidTr="00181C5C">
        <w:trPr>
          <w:cantSplit/>
          <w:trHeight w:val="1134"/>
        </w:trPr>
        <w:tc>
          <w:tcPr>
            <w:tcW w:w="8789" w:type="dxa"/>
          </w:tcPr>
          <w:p w:rsidR="00181C5C" w:rsidRPr="00181C5C" w:rsidRDefault="00181C5C" w:rsidP="00181C5C">
            <w:pPr>
              <w:pStyle w:val="TableText"/>
              <w:rPr>
                <w:rFonts w:ascii="Georgia" w:hAnsi="Georgia"/>
                <w:sz w:val="20"/>
              </w:rPr>
            </w:pPr>
            <w:r w:rsidRPr="00181C5C">
              <w:rPr>
                <w:rFonts w:ascii="Georgia" w:hAnsi="Georgia"/>
                <w:sz w:val="20"/>
              </w:rPr>
              <w:fldChar w:fldCharType="begin">
                <w:ffData>
                  <w:name w:val="Text2"/>
                  <w:enabled/>
                  <w:calcOnExit w:val="0"/>
                  <w:textInput/>
                </w:ffData>
              </w:fldChar>
            </w:r>
            <w:r w:rsidRPr="00181C5C">
              <w:rPr>
                <w:rFonts w:ascii="Georgia" w:hAnsi="Georgia"/>
                <w:sz w:val="20"/>
              </w:rPr>
              <w:instrText xml:space="preserve"> FORMTEXT </w:instrText>
            </w:r>
            <w:r w:rsidRPr="00181C5C">
              <w:rPr>
                <w:rFonts w:ascii="Georgia" w:hAnsi="Georgia"/>
                <w:sz w:val="20"/>
              </w:rPr>
            </w:r>
            <w:r w:rsidRPr="00181C5C">
              <w:rPr>
                <w:rFonts w:ascii="Georgia" w:hAnsi="Georgia"/>
                <w:sz w:val="20"/>
              </w:rPr>
              <w:fldChar w:fldCharType="separate"/>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sz w:val="20"/>
              </w:rPr>
              <w:fldChar w:fldCharType="end"/>
            </w:r>
          </w:p>
        </w:tc>
      </w:tr>
    </w:tbl>
    <w:p w:rsidR="00181C5C" w:rsidRPr="00C9524D" w:rsidRDefault="00181C5C" w:rsidP="00181C5C"/>
    <w:p w:rsidR="00925F22" w:rsidRDefault="00925F22" w:rsidP="00181C5C">
      <w:pPr>
        <w:pStyle w:val="Number"/>
      </w:pPr>
      <w:r w:rsidRPr="00C9524D">
        <w:t>Are there any objectives or priority actions that you feel are more important or less important than the others?</w:t>
      </w:r>
    </w:p>
    <w:p w:rsidR="00925F22" w:rsidRPr="00C9524D" w:rsidRDefault="00925F22" w:rsidP="00181C5C">
      <w:pPr>
        <w:tabs>
          <w:tab w:val="left" w:pos="993"/>
          <w:tab w:val="left" w:pos="6237"/>
          <w:tab w:val="left" w:pos="6663"/>
        </w:tabs>
        <w:spacing w:before="60" w:after="120"/>
        <w:ind w:left="567"/>
      </w:pPr>
      <w:r w:rsidRPr="00C9524D">
        <w:fldChar w:fldCharType="begin">
          <w:ffData>
            <w:name w:val="Check1"/>
            <w:enabled/>
            <w:calcOnExit w:val="0"/>
            <w:checkBox>
              <w:sizeAuto/>
              <w:default w:val="0"/>
            </w:checkBox>
          </w:ffData>
        </w:fldChar>
      </w:r>
      <w:r w:rsidRPr="00C9524D">
        <w:instrText xml:space="preserve"> FORMCHECKBOX </w:instrText>
      </w:r>
      <w:r w:rsidR="000D5C87">
        <w:fldChar w:fldCharType="separate"/>
      </w:r>
      <w:r w:rsidRPr="00C9524D">
        <w:fldChar w:fldCharType="end"/>
      </w:r>
      <w:r w:rsidRPr="00C9524D">
        <w:tab/>
        <w:t>Yes</w:t>
      </w:r>
      <w:r w:rsidR="00181C5C">
        <w:t xml:space="preserve">. </w:t>
      </w:r>
      <w:r w:rsidRPr="00C9524D">
        <w:t>If yes, please identify these and explain why?</w:t>
      </w:r>
      <w:r w:rsidR="00181C5C">
        <w:tab/>
      </w:r>
      <w:r w:rsidRPr="00C9524D">
        <w:fldChar w:fldCharType="begin">
          <w:ffData>
            <w:name w:val="Check1"/>
            <w:enabled/>
            <w:calcOnExit w:val="0"/>
            <w:checkBox>
              <w:sizeAuto/>
              <w:default w:val="0"/>
            </w:checkBox>
          </w:ffData>
        </w:fldChar>
      </w:r>
      <w:r w:rsidRPr="00C9524D">
        <w:instrText xml:space="preserve"> FORMCHECKBOX </w:instrText>
      </w:r>
      <w:r w:rsidR="000D5C87">
        <w:fldChar w:fldCharType="separate"/>
      </w:r>
      <w:r w:rsidRPr="00C9524D">
        <w:fldChar w:fldCharType="end"/>
      </w:r>
      <w:r w:rsidRPr="00C9524D">
        <w:tab/>
        <w:t>No.</w:t>
      </w:r>
    </w:p>
    <w:tbl>
      <w:tblPr>
        <w:tblStyle w:val="TableGrid"/>
        <w:tblW w:w="0" w:type="auto"/>
        <w:tblInd w:w="675" w:type="dxa"/>
        <w:tblLayout w:type="fixed"/>
        <w:tblLook w:val="04A0" w:firstRow="1" w:lastRow="0" w:firstColumn="1" w:lastColumn="0" w:noHBand="0" w:noVBand="1"/>
      </w:tblPr>
      <w:tblGrid>
        <w:gridCol w:w="8789"/>
      </w:tblGrid>
      <w:tr w:rsidR="00181C5C" w:rsidRPr="00181C5C" w:rsidTr="00181C5C">
        <w:trPr>
          <w:cantSplit/>
          <w:trHeight w:val="1134"/>
        </w:trPr>
        <w:tc>
          <w:tcPr>
            <w:tcW w:w="8789" w:type="dxa"/>
          </w:tcPr>
          <w:p w:rsidR="00181C5C" w:rsidRPr="00181C5C" w:rsidRDefault="00181C5C" w:rsidP="00181C5C">
            <w:pPr>
              <w:pStyle w:val="TableText"/>
              <w:rPr>
                <w:rFonts w:ascii="Georgia" w:hAnsi="Georgia"/>
                <w:sz w:val="20"/>
              </w:rPr>
            </w:pPr>
            <w:r w:rsidRPr="00181C5C">
              <w:rPr>
                <w:rFonts w:ascii="Georgia" w:hAnsi="Georgia"/>
                <w:sz w:val="20"/>
              </w:rPr>
              <w:fldChar w:fldCharType="begin">
                <w:ffData>
                  <w:name w:val="Text2"/>
                  <w:enabled/>
                  <w:calcOnExit w:val="0"/>
                  <w:textInput/>
                </w:ffData>
              </w:fldChar>
            </w:r>
            <w:r w:rsidRPr="00181C5C">
              <w:rPr>
                <w:rFonts w:ascii="Georgia" w:hAnsi="Georgia"/>
                <w:sz w:val="20"/>
              </w:rPr>
              <w:instrText xml:space="preserve"> FORMTEXT </w:instrText>
            </w:r>
            <w:r w:rsidRPr="00181C5C">
              <w:rPr>
                <w:rFonts w:ascii="Georgia" w:hAnsi="Georgia"/>
                <w:sz w:val="20"/>
              </w:rPr>
            </w:r>
            <w:r w:rsidRPr="00181C5C">
              <w:rPr>
                <w:rFonts w:ascii="Georgia" w:hAnsi="Georgia"/>
                <w:sz w:val="20"/>
              </w:rPr>
              <w:fldChar w:fldCharType="separate"/>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sz w:val="20"/>
              </w:rPr>
              <w:fldChar w:fldCharType="end"/>
            </w:r>
          </w:p>
        </w:tc>
      </w:tr>
    </w:tbl>
    <w:p w:rsidR="00181C5C" w:rsidRDefault="00181C5C" w:rsidP="00181C5C"/>
    <w:p w:rsidR="00925F22" w:rsidRDefault="00925F22" w:rsidP="00181C5C">
      <w:pPr>
        <w:pStyle w:val="Number"/>
        <w:keepNext/>
      </w:pPr>
      <w:r w:rsidRPr="00C9524D">
        <w:lastRenderedPageBreak/>
        <w:t>Do you think the inclusion of the priority actions to reduce inequality and inequity in Objective</w:t>
      </w:r>
      <w:r>
        <w:t>s</w:t>
      </w:r>
      <w:r w:rsidRPr="00C9524D">
        <w:t xml:space="preserve"> 9 and 10 will help reduce gambling harm for the groups identified?</w:t>
      </w:r>
    </w:p>
    <w:p w:rsidR="00925F22" w:rsidRPr="00C9524D" w:rsidRDefault="00925F22" w:rsidP="00181C5C">
      <w:pPr>
        <w:keepNext/>
        <w:tabs>
          <w:tab w:val="left" w:pos="993"/>
          <w:tab w:val="left" w:pos="1701"/>
          <w:tab w:val="left" w:pos="2127"/>
        </w:tabs>
        <w:spacing w:before="60" w:after="120"/>
        <w:ind w:left="567"/>
      </w:pPr>
      <w:r w:rsidRPr="00C9524D">
        <w:fldChar w:fldCharType="begin">
          <w:ffData>
            <w:name w:val="Check1"/>
            <w:enabled/>
            <w:calcOnExit w:val="0"/>
            <w:checkBox>
              <w:sizeAuto/>
              <w:default w:val="0"/>
            </w:checkBox>
          </w:ffData>
        </w:fldChar>
      </w:r>
      <w:r w:rsidRPr="00C9524D">
        <w:instrText xml:space="preserve"> FORMCHECKBOX </w:instrText>
      </w:r>
      <w:r w:rsidR="000D5C87">
        <w:fldChar w:fldCharType="separate"/>
      </w:r>
      <w:r w:rsidRPr="00C9524D">
        <w:fldChar w:fldCharType="end"/>
      </w:r>
      <w:r w:rsidRPr="00C9524D">
        <w:tab/>
        <w:t>Yes</w:t>
      </w:r>
      <w:r w:rsidRPr="00C9524D">
        <w:tab/>
      </w:r>
      <w:r w:rsidRPr="00C9524D">
        <w:fldChar w:fldCharType="begin">
          <w:ffData>
            <w:name w:val="Check1"/>
            <w:enabled/>
            <w:calcOnExit w:val="0"/>
            <w:checkBox>
              <w:sizeAuto/>
              <w:default w:val="0"/>
            </w:checkBox>
          </w:ffData>
        </w:fldChar>
      </w:r>
      <w:r w:rsidRPr="00C9524D">
        <w:instrText xml:space="preserve"> FORMCHECKBOX </w:instrText>
      </w:r>
      <w:r w:rsidR="000D5C87">
        <w:fldChar w:fldCharType="separate"/>
      </w:r>
      <w:r w:rsidRPr="00C9524D">
        <w:fldChar w:fldCharType="end"/>
      </w:r>
      <w:r w:rsidRPr="00C9524D">
        <w:tab/>
        <w:t>No. If not, what suggestions do you have about how we can do this?</w:t>
      </w:r>
    </w:p>
    <w:tbl>
      <w:tblPr>
        <w:tblStyle w:val="TableGrid"/>
        <w:tblW w:w="0" w:type="auto"/>
        <w:tblInd w:w="675" w:type="dxa"/>
        <w:tblLayout w:type="fixed"/>
        <w:tblLook w:val="04A0" w:firstRow="1" w:lastRow="0" w:firstColumn="1" w:lastColumn="0" w:noHBand="0" w:noVBand="1"/>
      </w:tblPr>
      <w:tblGrid>
        <w:gridCol w:w="8789"/>
      </w:tblGrid>
      <w:tr w:rsidR="00181C5C" w:rsidRPr="00181C5C" w:rsidTr="00181C5C">
        <w:trPr>
          <w:cantSplit/>
          <w:trHeight w:val="1134"/>
        </w:trPr>
        <w:tc>
          <w:tcPr>
            <w:tcW w:w="8789" w:type="dxa"/>
          </w:tcPr>
          <w:p w:rsidR="00181C5C" w:rsidRPr="00181C5C" w:rsidRDefault="00181C5C" w:rsidP="00181C5C">
            <w:pPr>
              <w:pStyle w:val="TableText"/>
              <w:rPr>
                <w:rFonts w:ascii="Georgia" w:hAnsi="Georgia"/>
                <w:sz w:val="20"/>
              </w:rPr>
            </w:pPr>
            <w:r w:rsidRPr="00181C5C">
              <w:rPr>
                <w:rFonts w:ascii="Georgia" w:hAnsi="Georgia"/>
                <w:sz w:val="20"/>
              </w:rPr>
              <w:fldChar w:fldCharType="begin">
                <w:ffData>
                  <w:name w:val="Text2"/>
                  <w:enabled/>
                  <w:calcOnExit w:val="0"/>
                  <w:textInput/>
                </w:ffData>
              </w:fldChar>
            </w:r>
            <w:r w:rsidRPr="00181C5C">
              <w:rPr>
                <w:rFonts w:ascii="Georgia" w:hAnsi="Georgia"/>
                <w:sz w:val="20"/>
              </w:rPr>
              <w:instrText xml:space="preserve"> FORMTEXT </w:instrText>
            </w:r>
            <w:r w:rsidRPr="00181C5C">
              <w:rPr>
                <w:rFonts w:ascii="Georgia" w:hAnsi="Georgia"/>
                <w:sz w:val="20"/>
              </w:rPr>
            </w:r>
            <w:r w:rsidRPr="00181C5C">
              <w:rPr>
                <w:rFonts w:ascii="Georgia" w:hAnsi="Georgia"/>
                <w:sz w:val="20"/>
              </w:rPr>
              <w:fldChar w:fldCharType="separate"/>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sz w:val="20"/>
              </w:rPr>
              <w:fldChar w:fldCharType="end"/>
            </w:r>
          </w:p>
        </w:tc>
      </w:tr>
    </w:tbl>
    <w:p w:rsidR="00181C5C" w:rsidRDefault="00181C5C" w:rsidP="00181C5C"/>
    <w:p w:rsidR="00925F22" w:rsidRDefault="00925F22" w:rsidP="00181C5C">
      <w:pPr>
        <w:pStyle w:val="Number"/>
      </w:pPr>
      <w:r w:rsidRPr="00C9524D">
        <w:t>Are there other actions to prevent and minimise gambling harm that should be included as priority action</w:t>
      </w:r>
      <w:r>
        <w:t>s</w:t>
      </w:r>
      <w:r w:rsidRPr="00C9524D">
        <w:t>?</w:t>
      </w:r>
    </w:p>
    <w:p w:rsidR="00925F22" w:rsidRPr="00C9524D" w:rsidRDefault="00925F22" w:rsidP="00181C5C">
      <w:pPr>
        <w:tabs>
          <w:tab w:val="left" w:pos="993"/>
          <w:tab w:val="left" w:pos="6237"/>
          <w:tab w:val="left" w:pos="6663"/>
        </w:tabs>
        <w:spacing w:before="60" w:after="120"/>
        <w:ind w:left="567"/>
      </w:pPr>
      <w:r w:rsidRPr="00C9524D">
        <w:fldChar w:fldCharType="begin">
          <w:ffData>
            <w:name w:val="Check1"/>
            <w:enabled/>
            <w:calcOnExit w:val="0"/>
            <w:checkBox>
              <w:sizeAuto/>
              <w:default w:val="0"/>
            </w:checkBox>
          </w:ffData>
        </w:fldChar>
      </w:r>
      <w:r w:rsidRPr="00C9524D">
        <w:instrText xml:space="preserve"> FORMCHECKBOX </w:instrText>
      </w:r>
      <w:r w:rsidR="000D5C87">
        <w:fldChar w:fldCharType="separate"/>
      </w:r>
      <w:r w:rsidRPr="00C9524D">
        <w:fldChar w:fldCharType="end"/>
      </w:r>
      <w:r w:rsidRPr="00C9524D">
        <w:tab/>
        <w:t>Yes. If yes</w:t>
      </w:r>
      <w:r w:rsidR="00EF2CCA">
        <w:t>,</w:t>
      </w:r>
      <w:r w:rsidRPr="00C9524D">
        <w:t xml:space="preserve"> please explain what and why.</w:t>
      </w:r>
      <w:r w:rsidRPr="00C9524D">
        <w:tab/>
      </w:r>
      <w:r w:rsidRPr="00C9524D">
        <w:fldChar w:fldCharType="begin">
          <w:ffData>
            <w:name w:val="Check1"/>
            <w:enabled/>
            <w:calcOnExit w:val="0"/>
            <w:checkBox>
              <w:sizeAuto/>
              <w:default w:val="0"/>
            </w:checkBox>
          </w:ffData>
        </w:fldChar>
      </w:r>
      <w:r w:rsidRPr="00C9524D">
        <w:instrText xml:space="preserve"> FORMCHECKBOX </w:instrText>
      </w:r>
      <w:r w:rsidR="000D5C87">
        <w:fldChar w:fldCharType="separate"/>
      </w:r>
      <w:r w:rsidRPr="00C9524D">
        <w:fldChar w:fldCharType="end"/>
      </w:r>
      <w:r w:rsidRPr="00C9524D">
        <w:tab/>
        <w:t>No</w:t>
      </w:r>
    </w:p>
    <w:tbl>
      <w:tblPr>
        <w:tblStyle w:val="TableGrid"/>
        <w:tblW w:w="0" w:type="auto"/>
        <w:tblInd w:w="675" w:type="dxa"/>
        <w:tblLayout w:type="fixed"/>
        <w:tblLook w:val="04A0" w:firstRow="1" w:lastRow="0" w:firstColumn="1" w:lastColumn="0" w:noHBand="0" w:noVBand="1"/>
      </w:tblPr>
      <w:tblGrid>
        <w:gridCol w:w="8789"/>
      </w:tblGrid>
      <w:tr w:rsidR="00181C5C" w:rsidRPr="00181C5C" w:rsidTr="00181C5C">
        <w:trPr>
          <w:cantSplit/>
          <w:trHeight w:val="1134"/>
        </w:trPr>
        <w:tc>
          <w:tcPr>
            <w:tcW w:w="8789" w:type="dxa"/>
          </w:tcPr>
          <w:p w:rsidR="00181C5C" w:rsidRPr="00181C5C" w:rsidRDefault="00181C5C" w:rsidP="00181C5C">
            <w:pPr>
              <w:pStyle w:val="TableText"/>
              <w:rPr>
                <w:rFonts w:ascii="Georgia" w:hAnsi="Georgia"/>
                <w:sz w:val="20"/>
              </w:rPr>
            </w:pPr>
            <w:r w:rsidRPr="00181C5C">
              <w:rPr>
                <w:rFonts w:ascii="Georgia" w:hAnsi="Georgia"/>
                <w:sz w:val="20"/>
              </w:rPr>
              <w:fldChar w:fldCharType="begin">
                <w:ffData>
                  <w:name w:val="Text2"/>
                  <w:enabled/>
                  <w:calcOnExit w:val="0"/>
                  <w:textInput/>
                </w:ffData>
              </w:fldChar>
            </w:r>
            <w:r w:rsidRPr="00181C5C">
              <w:rPr>
                <w:rFonts w:ascii="Georgia" w:hAnsi="Georgia"/>
                <w:sz w:val="20"/>
              </w:rPr>
              <w:instrText xml:space="preserve"> FORMTEXT </w:instrText>
            </w:r>
            <w:r w:rsidRPr="00181C5C">
              <w:rPr>
                <w:rFonts w:ascii="Georgia" w:hAnsi="Georgia"/>
                <w:sz w:val="20"/>
              </w:rPr>
            </w:r>
            <w:r w:rsidRPr="00181C5C">
              <w:rPr>
                <w:rFonts w:ascii="Georgia" w:hAnsi="Georgia"/>
                <w:sz w:val="20"/>
              </w:rPr>
              <w:fldChar w:fldCharType="separate"/>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sz w:val="20"/>
              </w:rPr>
              <w:fldChar w:fldCharType="end"/>
            </w:r>
          </w:p>
        </w:tc>
      </w:tr>
    </w:tbl>
    <w:p w:rsidR="00181C5C" w:rsidRDefault="00181C5C" w:rsidP="00181C5C"/>
    <w:p w:rsidR="00925F22" w:rsidRDefault="00925F22" w:rsidP="00181C5C">
      <w:pPr>
        <w:pStyle w:val="Heading3"/>
      </w:pPr>
      <w:r w:rsidRPr="00C9524D">
        <w:t xml:space="preserve">Service </w:t>
      </w:r>
      <w:r>
        <w:t>p</w:t>
      </w:r>
      <w:r w:rsidRPr="00C9524D">
        <w:t xml:space="preserve">lan and </w:t>
      </w:r>
      <w:r>
        <w:t>f</w:t>
      </w:r>
      <w:r w:rsidRPr="00C9524D">
        <w:t>unding</w:t>
      </w:r>
    </w:p>
    <w:p w:rsidR="00925F22" w:rsidRDefault="00925F22" w:rsidP="00181C5C">
      <w:r w:rsidRPr="00411462">
        <w:t xml:space="preserve">The Gambling Act </w:t>
      </w:r>
      <w:r>
        <w:t xml:space="preserve">2003 </w:t>
      </w:r>
      <w:r w:rsidRPr="00411462">
        <w:t xml:space="preserve">requires the </w:t>
      </w:r>
      <w:r>
        <w:t>s</w:t>
      </w:r>
      <w:r w:rsidRPr="00411462">
        <w:t xml:space="preserve">ervice </w:t>
      </w:r>
      <w:r>
        <w:t>p</w:t>
      </w:r>
      <w:r w:rsidRPr="00411462">
        <w:t>lan, and by implication the indicative budget appropriations, to have a focus on public health. The legislation is not under consideration in this consultation.</w:t>
      </w:r>
    </w:p>
    <w:p w:rsidR="00181C5C" w:rsidRDefault="00181C5C" w:rsidP="00181C5C"/>
    <w:p w:rsidR="00925F22" w:rsidRDefault="00925F22" w:rsidP="00181C5C">
      <w:r w:rsidRPr="00C9524D">
        <w:t xml:space="preserve">In terms of the content of the </w:t>
      </w:r>
      <w:r>
        <w:t>s</w:t>
      </w:r>
      <w:r w:rsidRPr="00C9524D">
        <w:t xml:space="preserve">ervice </w:t>
      </w:r>
      <w:r>
        <w:t>p</w:t>
      </w:r>
      <w:r w:rsidRPr="00C9524D">
        <w:t>lan and indicative budgets (</w:t>
      </w:r>
      <w:r>
        <w:t>s</w:t>
      </w:r>
      <w:r w:rsidRPr="00C9524D">
        <w:t>ection 3)</w:t>
      </w:r>
      <w:r>
        <w:t>:</w:t>
      </w:r>
    </w:p>
    <w:p w:rsidR="00925F22" w:rsidRPr="00C9524D" w:rsidRDefault="00925F22" w:rsidP="00181C5C">
      <w:pPr>
        <w:pStyle w:val="Number"/>
      </w:pPr>
      <w:r w:rsidRPr="00C9524D">
        <w:t xml:space="preserve">Does the draft </w:t>
      </w:r>
      <w:r>
        <w:t>s</w:t>
      </w:r>
      <w:r w:rsidRPr="00C9524D">
        <w:t xml:space="preserve">ervice </w:t>
      </w:r>
      <w:r>
        <w:t>p</w:t>
      </w:r>
      <w:r w:rsidRPr="00C9524D">
        <w:t>lan adequately cover what it needs to cover, for example</w:t>
      </w:r>
      <w:r>
        <w:t>,</w:t>
      </w:r>
      <w:r w:rsidRPr="00C9524D">
        <w:t xml:space="preserve"> does it include the right types of services and activities?</w:t>
      </w:r>
    </w:p>
    <w:p w:rsidR="00925F22" w:rsidRPr="00C9524D" w:rsidRDefault="00925F22" w:rsidP="00181C5C">
      <w:pPr>
        <w:tabs>
          <w:tab w:val="left" w:pos="993"/>
          <w:tab w:val="left" w:pos="1701"/>
          <w:tab w:val="left" w:pos="2127"/>
        </w:tabs>
        <w:spacing w:before="60" w:after="120"/>
        <w:ind w:left="567"/>
      </w:pPr>
      <w:r w:rsidRPr="00C9524D">
        <w:rPr>
          <w:rFonts w:cs="Arial"/>
        </w:rPr>
        <w:fldChar w:fldCharType="begin">
          <w:ffData>
            <w:name w:val="Check1"/>
            <w:enabled/>
            <w:calcOnExit w:val="0"/>
            <w:checkBox>
              <w:sizeAuto/>
              <w:default w:val="0"/>
            </w:checkBox>
          </w:ffData>
        </w:fldChar>
      </w:r>
      <w:r w:rsidRPr="00C9524D">
        <w:rPr>
          <w:rFonts w:cs="Arial"/>
        </w:rPr>
        <w:instrText xml:space="preserve"> FORMCHECKBOX </w:instrText>
      </w:r>
      <w:r w:rsidR="000D5C87">
        <w:rPr>
          <w:rFonts w:cs="Arial"/>
        </w:rPr>
      </w:r>
      <w:r w:rsidR="000D5C87">
        <w:rPr>
          <w:rFonts w:cs="Arial"/>
        </w:rPr>
        <w:fldChar w:fldCharType="separate"/>
      </w:r>
      <w:r w:rsidRPr="00C9524D">
        <w:rPr>
          <w:rFonts w:cs="Arial"/>
        </w:rPr>
        <w:fldChar w:fldCharType="end"/>
      </w:r>
      <w:r w:rsidRPr="00C9524D">
        <w:rPr>
          <w:rFonts w:cs="Arial"/>
        </w:rPr>
        <w:tab/>
        <w:t>Yes</w:t>
      </w:r>
      <w:r w:rsidRPr="00C9524D">
        <w:rPr>
          <w:rFonts w:cs="Arial"/>
        </w:rPr>
        <w:tab/>
      </w:r>
      <w:r w:rsidRPr="00C9524D">
        <w:rPr>
          <w:rFonts w:cs="Arial"/>
        </w:rPr>
        <w:fldChar w:fldCharType="begin">
          <w:ffData>
            <w:name w:val="Check1"/>
            <w:enabled/>
            <w:calcOnExit w:val="0"/>
            <w:checkBox>
              <w:sizeAuto/>
              <w:default w:val="0"/>
            </w:checkBox>
          </w:ffData>
        </w:fldChar>
      </w:r>
      <w:r w:rsidRPr="00C9524D">
        <w:rPr>
          <w:rFonts w:cs="Arial"/>
        </w:rPr>
        <w:instrText xml:space="preserve"> FORMCHECKBOX </w:instrText>
      </w:r>
      <w:r w:rsidR="000D5C87">
        <w:rPr>
          <w:rFonts w:cs="Arial"/>
        </w:rPr>
      </w:r>
      <w:r w:rsidR="000D5C87">
        <w:rPr>
          <w:rFonts w:cs="Arial"/>
        </w:rPr>
        <w:fldChar w:fldCharType="separate"/>
      </w:r>
      <w:r w:rsidRPr="00C9524D">
        <w:rPr>
          <w:rFonts w:cs="Arial"/>
        </w:rPr>
        <w:fldChar w:fldCharType="end"/>
      </w:r>
      <w:r w:rsidRPr="00C9524D">
        <w:rPr>
          <w:rFonts w:cs="Arial"/>
        </w:rPr>
        <w:tab/>
        <w:t xml:space="preserve">No. </w:t>
      </w:r>
      <w:r w:rsidRPr="00C9524D">
        <w:t>If not, what is not adequately covered and why?</w:t>
      </w:r>
    </w:p>
    <w:tbl>
      <w:tblPr>
        <w:tblStyle w:val="TableGrid"/>
        <w:tblW w:w="0" w:type="auto"/>
        <w:tblInd w:w="675" w:type="dxa"/>
        <w:tblLayout w:type="fixed"/>
        <w:tblLook w:val="04A0" w:firstRow="1" w:lastRow="0" w:firstColumn="1" w:lastColumn="0" w:noHBand="0" w:noVBand="1"/>
      </w:tblPr>
      <w:tblGrid>
        <w:gridCol w:w="8789"/>
      </w:tblGrid>
      <w:tr w:rsidR="00181C5C" w:rsidRPr="00181C5C" w:rsidTr="00181C5C">
        <w:trPr>
          <w:cantSplit/>
          <w:trHeight w:val="1134"/>
        </w:trPr>
        <w:tc>
          <w:tcPr>
            <w:tcW w:w="8789" w:type="dxa"/>
          </w:tcPr>
          <w:p w:rsidR="00181C5C" w:rsidRPr="00181C5C" w:rsidRDefault="00181C5C" w:rsidP="00181C5C">
            <w:pPr>
              <w:pStyle w:val="TableText"/>
              <w:rPr>
                <w:rFonts w:ascii="Georgia" w:hAnsi="Georgia"/>
                <w:sz w:val="20"/>
              </w:rPr>
            </w:pPr>
            <w:r w:rsidRPr="00181C5C">
              <w:rPr>
                <w:rFonts w:ascii="Georgia" w:hAnsi="Georgia"/>
                <w:sz w:val="20"/>
              </w:rPr>
              <w:fldChar w:fldCharType="begin">
                <w:ffData>
                  <w:name w:val="Text2"/>
                  <w:enabled/>
                  <w:calcOnExit w:val="0"/>
                  <w:textInput/>
                </w:ffData>
              </w:fldChar>
            </w:r>
            <w:r w:rsidRPr="00181C5C">
              <w:rPr>
                <w:rFonts w:ascii="Georgia" w:hAnsi="Georgia"/>
                <w:sz w:val="20"/>
              </w:rPr>
              <w:instrText xml:space="preserve"> FORMTEXT </w:instrText>
            </w:r>
            <w:r w:rsidRPr="00181C5C">
              <w:rPr>
                <w:rFonts w:ascii="Georgia" w:hAnsi="Georgia"/>
                <w:sz w:val="20"/>
              </w:rPr>
            </w:r>
            <w:r w:rsidRPr="00181C5C">
              <w:rPr>
                <w:rFonts w:ascii="Georgia" w:hAnsi="Georgia"/>
                <w:sz w:val="20"/>
              </w:rPr>
              <w:fldChar w:fldCharType="separate"/>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sz w:val="20"/>
              </w:rPr>
              <w:fldChar w:fldCharType="end"/>
            </w:r>
          </w:p>
        </w:tc>
      </w:tr>
    </w:tbl>
    <w:p w:rsidR="00181C5C" w:rsidRDefault="00181C5C" w:rsidP="00181C5C"/>
    <w:p w:rsidR="00925F22" w:rsidRPr="00C9524D" w:rsidRDefault="00925F22" w:rsidP="00164057">
      <w:pPr>
        <w:pStyle w:val="Number"/>
        <w:tabs>
          <w:tab w:val="left" w:pos="993"/>
          <w:tab w:val="left" w:pos="1701"/>
          <w:tab w:val="left" w:pos="2127"/>
        </w:tabs>
        <w:spacing w:before="60" w:after="120"/>
      </w:pPr>
      <w:r w:rsidRPr="00C9524D">
        <w:t xml:space="preserve">Does the draft </w:t>
      </w:r>
      <w:r>
        <w:t>s</w:t>
      </w:r>
      <w:r w:rsidRPr="00C9524D">
        <w:t xml:space="preserve">ervice </w:t>
      </w:r>
      <w:r>
        <w:t>p</w:t>
      </w:r>
      <w:r w:rsidRPr="00C9524D">
        <w:t>lan provide the right mix of activities (public health, intervention and research/evaluation) including line item</w:t>
      </w:r>
      <w:r w:rsidR="00AB5541">
        <w:t xml:space="preserve"> activities in tables 14</w:t>
      </w:r>
      <w:r w:rsidR="00EF2CCA">
        <w:t>–</w:t>
      </w:r>
      <w:proofErr w:type="gramStart"/>
      <w:r w:rsidR="00AB5541">
        <w:t xml:space="preserve">17 </w:t>
      </w:r>
      <w:r w:rsidR="00164057">
        <w:t>?</w:t>
      </w:r>
      <w:proofErr w:type="gramEnd"/>
      <w:r w:rsidR="00EF2CCA">
        <w:br/>
      </w:r>
      <w:r w:rsidRPr="00C9524D">
        <w:fldChar w:fldCharType="begin">
          <w:ffData>
            <w:name w:val="Check1"/>
            <w:enabled/>
            <w:calcOnExit w:val="0"/>
            <w:checkBox>
              <w:sizeAuto/>
              <w:default w:val="0"/>
            </w:checkBox>
          </w:ffData>
        </w:fldChar>
      </w:r>
      <w:r w:rsidRPr="00C9524D">
        <w:instrText xml:space="preserve"> FORMCHECKBOX </w:instrText>
      </w:r>
      <w:r w:rsidR="000D5C87">
        <w:fldChar w:fldCharType="separate"/>
      </w:r>
      <w:r w:rsidRPr="00C9524D">
        <w:fldChar w:fldCharType="end"/>
      </w:r>
      <w:r w:rsidRPr="00C9524D">
        <w:tab/>
        <w:t>Yes</w:t>
      </w:r>
      <w:r w:rsidRPr="00C9524D">
        <w:tab/>
      </w:r>
      <w:r w:rsidRPr="00C9524D">
        <w:fldChar w:fldCharType="begin">
          <w:ffData>
            <w:name w:val="Check1"/>
            <w:enabled/>
            <w:calcOnExit w:val="0"/>
            <w:checkBox>
              <w:sizeAuto/>
              <w:default w:val="0"/>
            </w:checkBox>
          </w:ffData>
        </w:fldChar>
      </w:r>
      <w:r w:rsidRPr="00C9524D">
        <w:instrText xml:space="preserve"> FORMCHECKBOX </w:instrText>
      </w:r>
      <w:r w:rsidR="000D5C87">
        <w:fldChar w:fldCharType="separate"/>
      </w:r>
      <w:r w:rsidRPr="00C9524D">
        <w:fldChar w:fldCharType="end"/>
      </w:r>
      <w:r w:rsidRPr="00C9524D">
        <w:tab/>
        <w:t>No. If not, what changes should be made and why?</w:t>
      </w:r>
      <w:r w:rsidR="00EF2CCA" w:rsidRPr="00EF2CCA">
        <w:t xml:space="preserve"> </w:t>
      </w:r>
      <w:r w:rsidR="00EF2CCA">
        <w:t>This may include suggesting the Ministry stop an activity or add a new one.</w:t>
      </w:r>
    </w:p>
    <w:tbl>
      <w:tblPr>
        <w:tblStyle w:val="TableGrid"/>
        <w:tblW w:w="0" w:type="auto"/>
        <w:tblInd w:w="675" w:type="dxa"/>
        <w:tblLayout w:type="fixed"/>
        <w:tblLook w:val="04A0" w:firstRow="1" w:lastRow="0" w:firstColumn="1" w:lastColumn="0" w:noHBand="0" w:noVBand="1"/>
      </w:tblPr>
      <w:tblGrid>
        <w:gridCol w:w="8789"/>
      </w:tblGrid>
      <w:tr w:rsidR="00181C5C" w:rsidRPr="00181C5C" w:rsidTr="00181C5C">
        <w:trPr>
          <w:cantSplit/>
          <w:trHeight w:val="1134"/>
        </w:trPr>
        <w:tc>
          <w:tcPr>
            <w:tcW w:w="8789" w:type="dxa"/>
          </w:tcPr>
          <w:p w:rsidR="00181C5C" w:rsidRPr="00181C5C" w:rsidRDefault="00181C5C" w:rsidP="00181C5C">
            <w:pPr>
              <w:pStyle w:val="TableText"/>
              <w:rPr>
                <w:rFonts w:ascii="Georgia" w:hAnsi="Georgia"/>
                <w:sz w:val="20"/>
              </w:rPr>
            </w:pPr>
            <w:r w:rsidRPr="00181C5C">
              <w:rPr>
                <w:rFonts w:ascii="Georgia" w:hAnsi="Georgia"/>
                <w:sz w:val="20"/>
              </w:rPr>
              <w:fldChar w:fldCharType="begin">
                <w:ffData>
                  <w:name w:val="Text2"/>
                  <w:enabled/>
                  <w:calcOnExit w:val="0"/>
                  <w:textInput/>
                </w:ffData>
              </w:fldChar>
            </w:r>
            <w:r w:rsidRPr="00181C5C">
              <w:rPr>
                <w:rFonts w:ascii="Georgia" w:hAnsi="Georgia"/>
                <w:sz w:val="20"/>
              </w:rPr>
              <w:instrText xml:space="preserve"> FORMTEXT </w:instrText>
            </w:r>
            <w:r w:rsidRPr="00181C5C">
              <w:rPr>
                <w:rFonts w:ascii="Georgia" w:hAnsi="Georgia"/>
                <w:sz w:val="20"/>
              </w:rPr>
            </w:r>
            <w:r w:rsidRPr="00181C5C">
              <w:rPr>
                <w:rFonts w:ascii="Georgia" w:hAnsi="Georgia"/>
                <w:sz w:val="20"/>
              </w:rPr>
              <w:fldChar w:fldCharType="separate"/>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sz w:val="20"/>
              </w:rPr>
              <w:fldChar w:fldCharType="end"/>
            </w:r>
          </w:p>
        </w:tc>
      </w:tr>
    </w:tbl>
    <w:p w:rsidR="00181C5C" w:rsidRDefault="00181C5C" w:rsidP="00181C5C"/>
    <w:p w:rsidR="00925F22" w:rsidRDefault="00925F22" w:rsidP="00181C5C">
      <w:pPr>
        <w:pStyle w:val="Number"/>
        <w:spacing w:after="120"/>
      </w:pPr>
      <w:r w:rsidRPr="00C9524D">
        <w:t xml:space="preserve">Which research and evaluation areas/items listed in the proposed strategy </w:t>
      </w:r>
      <w:r w:rsidR="00164057">
        <w:t xml:space="preserve">in Section 3.7 </w:t>
      </w:r>
      <w:r w:rsidRPr="00C9524D">
        <w:t xml:space="preserve">and Appendix </w:t>
      </w:r>
      <w:r>
        <w:t>1</w:t>
      </w:r>
      <w:r w:rsidRPr="00C9524D">
        <w:t xml:space="preserve"> do you consider to be a high priority or a low priority? Please explain why.</w:t>
      </w:r>
    </w:p>
    <w:tbl>
      <w:tblPr>
        <w:tblStyle w:val="TableGrid"/>
        <w:tblW w:w="0" w:type="auto"/>
        <w:tblInd w:w="675" w:type="dxa"/>
        <w:tblLayout w:type="fixed"/>
        <w:tblLook w:val="04A0" w:firstRow="1" w:lastRow="0" w:firstColumn="1" w:lastColumn="0" w:noHBand="0" w:noVBand="1"/>
      </w:tblPr>
      <w:tblGrid>
        <w:gridCol w:w="8789"/>
      </w:tblGrid>
      <w:tr w:rsidR="00181C5C" w:rsidRPr="00181C5C" w:rsidTr="00181C5C">
        <w:trPr>
          <w:cantSplit/>
          <w:trHeight w:val="1134"/>
        </w:trPr>
        <w:tc>
          <w:tcPr>
            <w:tcW w:w="8789" w:type="dxa"/>
          </w:tcPr>
          <w:p w:rsidR="00181C5C" w:rsidRDefault="00181C5C" w:rsidP="00181C5C">
            <w:pPr>
              <w:pStyle w:val="TableText"/>
              <w:rPr>
                <w:rFonts w:ascii="Georgia" w:hAnsi="Georgia"/>
                <w:sz w:val="20"/>
              </w:rPr>
            </w:pPr>
            <w:r w:rsidRPr="00181C5C">
              <w:rPr>
                <w:rFonts w:ascii="Georgia" w:hAnsi="Georgia"/>
                <w:b/>
                <w:sz w:val="20"/>
              </w:rPr>
              <w:t>High priority:</w:t>
            </w:r>
            <w:r>
              <w:rPr>
                <w:rFonts w:ascii="Georgia" w:hAnsi="Georgia"/>
                <w:sz w:val="20"/>
              </w:rPr>
              <w:t xml:space="preserve"> </w:t>
            </w:r>
            <w:r w:rsidRPr="00181C5C">
              <w:rPr>
                <w:rFonts w:ascii="Georgia" w:hAnsi="Georgia"/>
                <w:sz w:val="20"/>
              </w:rPr>
              <w:fldChar w:fldCharType="begin">
                <w:ffData>
                  <w:name w:val="Text2"/>
                  <w:enabled/>
                  <w:calcOnExit w:val="0"/>
                  <w:textInput/>
                </w:ffData>
              </w:fldChar>
            </w:r>
            <w:r w:rsidRPr="00181C5C">
              <w:rPr>
                <w:rFonts w:ascii="Georgia" w:hAnsi="Georgia"/>
                <w:sz w:val="20"/>
              </w:rPr>
              <w:instrText xml:space="preserve"> FORMTEXT </w:instrText>
            </w:r>
            <w:r w:rsidRPr="00181C5C">
              <w:rPr>
                <w:rFonts w:ascii="Georgia" w:hAnsi="Georgia"/>
                <w:sz w:val="20"/>
              </w:rPr>
            </w:r>
            <w:r w:rsidRPr="00181C5C">
              <w:rPr>
                <w:rFonts w:ascii="Georgia" w:hAnsi="Georgia"/>
                <w:sz w:val="20"/>
              </w:rPr>
              <w:fldChar w:fldCharType="separate"/>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sz w:val="20"/>
              </w:rPr>
              <w:fldChar w:fldCharType="end"/>
            </w:r>
          </w:p>
          <w:p w:rsidR="00181C5C" w:rsidRPr="00181C5C" w:rsidRDefault="00181C5C" w:rsidP="00181C5C">
            <w:pPr>
              <w:pStyle w:val="TableText"/>
              <w:spacing w:before="120"/>
              <w:rPr>
                <w:rFonts w:ascii="Georgia" w:hAnsi="Georgia"/>
                <w:sz w:val="20"/>
              </w:rPr>
            </w:pPr>
            <w:r w:rsidRPr="00181C5C">
              <w:rPr>
                <w:rFonts w:ascii="Georgia" w:hAnsi="Georgia"/>
                <w:b/>
                <w:sz w:val="20"/>
              </w:rPr>
              <w:t>Low priority:</w:t>
            </w:r>
            <w:r>
              <w:rPr>
                <w:rFonts w:ascii="Georgia" w:hAnsi="Georgia"/>
                <w:sz w:val="20"/>
              </w:rPr>
              <w:t xml:space="preserve"> </w:t>
            </w:r>
            <w:r>
              <w:rPr>
                <w:rFonts w:ascii="Georgia" w:hAnsi="Georgia"/>
                <w:sz w:val="20"/>
              </w:rPr>
              <w:fldChar w:fldCharType="begin">
                <w:ffData>
                  <w:name w:val="Text3"/>
                  <w:enabled/>
                  <w:calcOnExit w:val="0"/>
                  <w:textInput/>
                </w:ffData>
              </w:fldChar>
            </w:r>
            <w:bookmarkStart w:id="270" w:name="Text3"/>
            <w:r>
              <w:rPr>
                <w:rFonts w:ascii="Georgia" w:hAnsi="Georgia"/>
                <w:sz w:val="20"/>
              </w:rPr>
              <w:instrText xml:space="preserve"> FORMTEXT </w:instrText>
            </w:r>
            <w:r>
              <w:rPr>
                <w:rFonts w:ascii="Georgia" w:hAnsi="Georgia"/>
                <w:sz w:val="20"/>
              </w:rPr>
            </w:r>
            <w:r>
              <w:rPr>
                <w:rFonts w:ascii="Georgia" w:hAnsi="Georgia"/>
                <w:sz w:val="20"/>
              </w:rPr>
              <w:fldChar w:fldCharType="separate"/>
            </w:r>
            <w:r>
              <w:rPr>
                <w:rFonts w:ascii="Georgia" w:hAnsi="Georgia"/>
                <w:noProof/>
                <w:sz w:val="20"/>
              </w:rPr>
              <w:t> </w:t>
            </w:r>
            <w:r>
              <w:rPr>
                <w:rFonts w:ascii="Georgia" w:hAnsi="Georgia"/>
                <w:noProof/>
                <w:sz w:val="20"/>
              </w:rPr>
              <w:t> </w:t>
            </w:r>
            <w:r>
              <w:rPr>
                <w:rFonts w:ascii="Georgia" w:hAnsi="Georgia"/>
                <w:noProof/>
                <w:sz w:val="20"/>
              </w:rPr>
              <w:t> </w:t>
            </w:r>
            <w:r>
              <w:rPr>
                <w:rFonts w:ascii="Georgia" w:hAnsi="Georgia"/>
                <w:noProof/>
                <w:sz w:val="20"/>
              </w:rPr>
              <w:t> </w:t>
            </w:r>
            <w:r>
              <w:rPr>
                <w:rFonts w:ascii="Georgia" w:hAnsi="Georgia"/>
                <w:noProof/>
                <w:sz w:val="20"/>
              </w:rPr>
              <w:t> </w:t>
            </w:r>
            <w:r>
              <w:rPr>
                <w:rFonts w:ascii="Georgia" w:hAnsi="Georgia"/>
                <w:sz w:val="20"/>
              </w:rPr>
              <w:fldChar w:fldCharType="end"/>
            </w:r>
            <w:bookmarkEnd w:id="270"/>
          </w:p>
        </w:tc>
      </w:tr>
    </w:tbl>
    <w:p w:rsidR="00181C5C" w:rsidRDefault="00181C5C" w:rsidP="00181C5C"/>
    <w:p w:rsidR="00925F22" w:rsidRPr="00C9524D" w:rsidRDefault="00925F22" w:rsidP="00181C5C">
      <w:pPr>
        <w:pStyle w:val="Number"/>
      </w:pPr>
      <w:r w:rsidRPr="00C9524D">
        <w:lastRenderedPageBreak/>
        <w:t>Do you think the total indicative funding appropriation ($5</w:t>
      </w:r>
      <w:r w:rsidR="001C71D3">
        <w:t>5</w:t>
      </w:r>
      <w:r w:rsidRPr="00C9524D">
        <w:t>.339</w:t>
      </w:r>
      <w:r>
        <w:t xml:space="preserve"> </w:t>
      </w:r>
      <w:r w:rsidRPr="00C9524D">
        <w:t>m</w:t>
      </w:r>
      <w:r>
        <w:t>illion</w:t>
      </w:r>
      <w:r w:rsidRPr="00C9524D">
        <w:t xml:space="preserve"> over three years) proposed in the draft </w:t>
      </w:r>
      <w:r>
        <w:t>s</w:t>
      </w:r>
      <w:r w:rsidRPr="00C9524D">
        <w:t xml:space="preserve">ervice </w:t>
      </w:r>
      <w:r>
        <w:t>p</w:t>
      </w:r>
      <w:r w:rsidRPr="00C9524D">
        <w:t>lan is appropriate?</w:t>
      </w:r>
    </w:p>
    <w:p w:rsidR="00925F22" w:rsidRPr="00BE57BF" w:rsidRDefault="00925F22" w:rsidP="00BE57BF">
      <w:pPr>
        <w:tabs>
          <w:tab w:val="left" w:pos="993"/>
          <w:tab w:val="left" w:pos="1701"/>
          <w:tab w:val="left" w:pos="2127"/>
        </w:tabs>
        <w:spacing w:before="60" w:after="120"/>
        <w:ind w:left="567"/>
        <w:rPr>
          <w:spacing w:val="-4"/>
        </w:rPr>
      </w:pPr>
      <w:r w:rsidRPr="00C9524D">
        <w:rPr>
          <w:rFonts w:cs="Arial"/>
        </w:rPr>
        <w:fldChar w:fldCharType="begin">
          <w:ffData>
            <w:name w:val="Check1"/>
            <w:enabled/>
            <w:calcOnExit w:val="0"/>
            <w:checkBox>
              <w:sizeAuto/>
              <w:default w:val="0"/>
            </w:checkBox>
          </w:ffData>
        </w:fldChar>
      </w:r>
      <w:r w:rsidRPr="00C9524D">
        <w:rPr>
          <w:rFonts w:cs="Arial"/>
        </w:rPr>
        <w:instrText xml:space="preserve"> FORMCHECKBOX </w:instrText>
      </w:r>
      <w:r w:rsidR="000D5C87">
        <w:rPr>
          <w:rFonts w:cs="Arial"/>
        </w:rPr>
      </w:r>
      <w:r w:rsidR="000D5C87">
        <w:rPr>
          <w:rFonts w:cs="Arial"/>
        </w:rPr>
        <w:fldChar w:fldCharType="separate"/>
      </w:r>
      <w:r w:rsidRPr="00C9524D">
        <w:rPr>
          <w:rFonts w:cs="Arial"/>
        </w:rPr>
        <w:fldChar w:fldCharType="end"/>
      </w:r>
      <w:r w:rsidRPr="00C9524D">
        <w:rPr>
          <w:rFonts w:cs="Arial"/>
        </w:rPr>
        <w:tab/>
        <w:t>Yes</w:t>
      </w:r>
      <w:r w:rsidRPr="00C9524D">
        <w:rPr>
          <w:rFonts w:cs="Arial"/>
        </w:rPr>
        <w:tab/>
      </w:r>
      <w:r w:rsidRPr="00C9524D">
        <w:rPr>
          <w:rFonts w:cs="Arial"/>
        </w:rPr>
        <w:fldChar w:fldCharType="begin">
          <w:ffData>
            <w:name w:val="Check1"/>
            <w:enabled/>
            <w:calcOnExit w:val="0"/>
            <w:checkBox>
              <w:sizeAuto/>
              <w:default w:val="0"/>
            </w:checkBox>
          </w:ffData>
        </w:fldChar>
      </w:r>
      <w:r w:rsidRPr="00C9524D">
        <w:rPr>
          <w:rFonts w:cs="Arial"/>
        </w:rPr>
        <w:instrText xml:space="preserve"> FORMCHECKBOX </w:instrText>
      </w:r>
      <w:r w:rsidR="000D5C87">
        <w:rPr>
          <w:rFonts w:cs="Arial"/>
        </w:rPr>
      </w:r>
      <w:r w:rsidR="000D5C87">
        <w:rPr>
          <w:rFonts w:cs="Arial"/>
        </w:rPr>
        <w:fldChar w:fldCharType="separate"/>
      </w:r>
      <w:r w:rsidRPr="00C9524D">
        <w:rPr>
          <w:rFonts w:cs="Arial"/>
        </w:rPr>
        <w:fldChar w:fldCharType="end"/>
      </w:r>
      <w:r w:rsidRPr="00C9524D">
        <w:rPr>
          <w:rFonts w:cs="Arial"/>
        </w:rPr>
        <w:tab/>
      </w:r>
      <w:r w:rsidRPr="00BE57BF">
        <w:rPr>
          <w:rFonts w:cs="Arial"/>
          <w:spacing w:val="-4"/>
        </w:rPr>
        <w:t xml:space="preserve">No. </w:t>
      </w:r>
      <w:r w:rsidRPr="00BE57BF">
        <w:rPr>
          <w:spacing w:val="-4"/>
        </w:rPr>
        <w:t>If not, please explain what that funding appropriation should</w:t>
      </w:r>
      <w:r w:rsidR="00BE57BF" w:rsidRPr="00BE57BF">
        <w:rPr>
          <w:spacing w:val="-4"/>
        </w:rPr>
        <w:t xml:space="preserve"> be and why.</w:t>
      </w:r>
    </w:p>
    <w:tbl>
      <w:tblPr>
        <w:tblStyle w:val="TableGrid"/>
        <w:tblW w:w="0" w:type="auto"/>
        <w:tblInd w:w="675" w:type="dxa"/>
        <w:tblLayout w:type="fixed"/>
        <w:tblLook w:val="04A0" w:firstRow="1" w:lastRow="0" w:firstColumn="1" w:lastColumn="0" w:noHBand="0" w:noVBand="1"/>
      </w:tblPr>
      <w:tblGrid>
        <w:gridCol w:w="8789"/>
      </w:tblGrid>
      <w:tr w:rsidR="00181C5C" w:rsidRPr="00181C5C" w:rsidTr="00181C5C">
        <w:trPr>
          <w:cantSplit/>
          <w:trHeight w:val="1134"/>
        </w:trPr>
        <w:tc>
          <w:tcPr>
            <w:tcW w:w="8789" w:type="dxa"/>
          </w:tcPr>
          <w:p w:rsidR="00181C5C" w:rsidRPr="00181C5C" w:rsidRDefault="00181C5C" w:rsidP="00181C5C">
            <w:pPr>
              <w:pStyle w:val="TableText"/>
              <w:rPr>
                <w:rFonts w:ascii="Georgia" w:hAnsi="Georgia"/>
                <w:sz w:val="20"/>
              </w:rPr>
            </w:pPr>
            <w:r w:rsidRPr="00181C5C">
              <w:rPr>
                <w:rFonts w:ascii="Georgia" w:hAnsi="Georgia"/>
                <w:sz w:val="20"/>
              </w:rPr>
              <w:fldChar w:fldCharType="begin">
                <w:ffData>
                  <w:name w:val="Text2"/>
                  <w:enabled/>
                  <w:calcOnExit w:val="0"/>
                  <w:textInput/>
                </w:ffData>
              </w:fldChar>
            </w:r>
            <w:r w:rsidRPr="00181C5C">
              <w:rPr>
                <w:rFonts w:ascii="Georgia" w:hAnsi="Georgia"/>
                <w:sz w:val="20"/>
              </w:rPr>
              <w:instrText xml:space="preserve"> FORMTEXT </w:instrText>
            </w:r>
            <w:r w:rsidRPr="00181C5C">
              <w:rPr>
                <w:rFonts w:ascii="Georgia" w:hAnsi="Georgia"/>
                <w:sz w:val="20"/>
              </w:rPr>
            </w:r>
            <w:r w:rsidRPr="00181C5C">
              <w:rPr>
                <w:rFonts w:ascii="Georgia" w:hAnsi="Georgia"/>
                <w:sz w:val="20"/>
              </w:rPr>
              <w:fldChar w:fldCharType="separate"/>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sz w:val="20"/>
              </w:rPr>
              <w:fldChar w:fldCharType="end"/>
            </w:r>
          </w:p>
        </w:tc>
      </w:tr>
    </w:tbl>
    <w:p w:rsidR="00181C5C" w:rsidRDefault="00181C5C" w:rsidP="00181C5C"/>
    <w:p w:rsidR="00925F22" w:rsidRPr="00C9524D" w:rsidRDefault="00925F22" w:rsidP="00181C5C">
      <w:pPr>
        <w:pStyle w:val="Number"/>
      </w:pPr>
      <w:r w:rsidRPr="00C9524D">
        <w:t xml:space="preserve">Do you think that the </w:t>
      </w:r>
      <w:r>
        <w:t>s</w:t>
      </w:r>
      <w:r w:rsidRPr="00C9524D">
        <w:t xml:space="preserve">ervice </w:t>
      </w:r>
      <w:r>
        <w:t>p</w:t>
      </w:r>
      <w:r w:rsidRPr="00C9524D">
        <w:t xml:space="preserve">lan would </w:t>
      </w:r>
      <w:r w:rsidR="00D159B2">
        <w:t xml:space="preserve">be </w:t>
      </w:r>
      <w:r w:rsidRPr="00C9524D">
        <w:t>more effective</w:t>
      </w:r>
      <w:r w:rsidR="00164057">
        <w:t xml:space="preserve"> </w:t>
      </w:r>
      <w:r w:rsidRPr="00C9524D">
        <w:t xml:space="preserve">if some funding amounts </w:t>
      </w:r>
      <w:r w:rsidR="00AB5541">
        <w:t xml:space="preserve">allocated in </w:t>
      </w:r>
      <w:r w:rsidR="00B30A95">
        <w:t>T</w:t>
      </w:r>
      <w:r w:rsidR="00AB5541">
        <w:t>ables 14</w:t>
      </w:r>
      <w:r w:rsidR="00B30A95">
        <w:t>–</w:t>
      </w:r>
      <w:r w:rsidR="00AB5541">
        <w:t xml:space="preserve">17 </w:t>
      </w:r>
      <w:r w:rsidRPr="00C9524D">
        <w:t>were shifted from one budget line item or service area to another?</w:t>
      </w:r>
      <w:r w:rsidR="00AB5541">
        <w:t xml:space="preserve"> This may include </w:t>
      </w:r>
      <w:r w:rsidR="00D159B2">
        <w:t xml:space="preserve">proposing the Ministry </w:t>
      </w:r>
      <w:r w:rsidR="00AB5541">
        <w:t xml:space="preserve">stop funding </w:t>
      </w:r>
      <w:r w:rsidR="00D159B2">
        <w:t xml:space="preserve">some activities or should fund something </w:t>
      </w:r>
      <w:r w:rsidR="002A408B">
        <w:t>not already covered in the proposals</w:t>
      </w:r>
      <w:r w:rsidR="00B30A95">
        <w:t>.</w:t>
      </w:r>
    </w:p>
    <w:p w:rsidR="00925F22" w:rsidRDefault="00925F22" w:rsidP="00B30A95">
      <w:pPr>
        <w:tabs>
          <w:tab w:val="left" w:pos="993"/>
          <w:tab w:val="left" w:pos="1701"/>
          <w:tab w:val="left" w:pos="2127"/>
          <w:tab w:val="left" w:pos="7513"/>
          <w:tab w:val="left" w:pos="7938"/>
        </w:tabs>
        <w:spacing w:before="60" w:after="120"/>
        <w:ind w:left="567"/>
        <w:rPr>
          <w:rFonts w:cs="Arial"/>
        </w:rPr>
      </w:pPr>
      <w:r w:rsidRPr="00C9524D">
        <w:rPr>
          <w:rFonts w:cs="Arial"/>
        </w:rPr>
        <w:fldChar w:fldCharType="begin">
          <w:ffData>
            <w:name w:val="Check1"/>
            <w:enabled/>
            <w:calcOnExit w:val="0"/>
            <w:checkBox>
              <w:sizeAuto/>
              <w:default w:val="0"/>
            </w:checkBox>
          </w:ffData>
        </w:fldChar>
      </w:r>
      <w:r w:rsidRPr="00C9524D">
        <w:rPr>
          <w:rFonts w:cs="Arial"/>
        </w:rPr>
        <w:instrText xml:space="preserve"> FORMCHECKBOX </w:instrText>
      </w:r>
      <w:r w:rsidR="000D5C87">
        <w:rPr>
          <w:rFonts w:cs="Arial"/>
        </w:rPr>
      </w:r>
      <w:r w:rsidR="000D5C87">
        <w:rPr>
          <w:rFonts w:cs="Arial"/>
        </w:rPr>
        <w:fldChar w:fldCharType="separate"/>
      </w:r>
      <w:r w:rsidRPr="00C9524D">
        <w:rPr>
          <w:rFonts w:cs="Arial"/>
        </w:rPr>
        <w:fldChar w:fldCharType="end"/>
      </w:r>
      <w:r w:rsidRPr="00C9524D">
        <w:rPr>
          <w:rFonts w:cs="Arial"/>
        </w:rPr>
        <w:tab/>
        <w:t>Yes</w:t>
      </w:r>
      <w:r w:rsidR="00B30A95">
        <w:rPr>
          <w:rFonts w:cs="Arial"/>
        </w:rPr>
        <w:tab/>
      </w:r>
      <w:r w:rsidRPr="00C9524D">
        <w:rPr>
          <w:rFonts w:cs="Arial"/>
        </w:rPr>
        <w:fldChar w:fldCharType="begin">
          <w:ffData>
            <w:name w:val="Check1"/>
            <w:enabled/>
            <w:calcOnExit w:val="0"/>
            <w:checkBox>
              <w:sizeAuto/>
              <w:default w:val="0"/>
            </w:checkBox>
          </w:ffData>
        </w:fldChar>
      </w:r>
      <w:r w:rsidRPr="00C9524D">
        <w:rPr>
          <w:rFonts w:cs="Arial"/>
        </w:rPr>
        <w:instrText xml:space="preserve"> FORMCHECKBOX </w:instrText>
      </w:r>
      <w:r w:rsidR="000D5C87">
        <w:rPr>
          <w:rFonts w:cs="Arial"/>
        </w:rPr>
      </w:r>
      <w:r w:rsidR="000D5C87">
        <w:rPr>
          <w:rFonts w:cs="Arial"/>
        </w:rPr>
        <w:fldChar w:fldCharType="separate"/>
      </w:r>
      <w:r w:rsidRPr="00C9524D">
        <w:rPr>
          <w:rFonts w:cs="Arial"/>
        </w:rPr>
        <w:fldChar w:fldCharType="end"/>
      </w:r>
      <w:r w:rsidR="00B30A95">
        <w:rPr>
          <w:rFonts w:cs="Arial"/>
        </w:rPr>
        <w:tab/>
      </w:r>
      <w:r w:rsidRPr="00C9524D">
        <w:rPr>
          <w:rFonts w:cs="Arial"/>
        </w:rPr>
        <w:t>No.</w:t>
      </w:r>
      <w:r w:rsidR="00164057" w:rsidRPr="00164057">
        <w:t xml:space="preserve"> </w:t>
      </w:r>
      <w:r w:rsidR="00164057" w:rsidRPr="00C9524D">
        <w:t xml:space="preserve">If yes, please explain what </w:t>
      </w:r>
      <w:r w:rsidR="00164057">
        <w:t xml:space="preserve">changes in funding </w:t>
      </w:r>
      <w:r w:rsidR="00164057" w:rsidRPr="00C9524D">
        <w:t>are required and why</w:t>
      </w:r>
      <w:r w:rsidR="00164057">
        <w:t>.</w:t>
      </w:r>
    </w:p>
    <w:tbl>
      <w:tblPr>
        <w:tblStyle w:val="TableGrid"/>
        <w:tblW w:w="0" w:type="auto"/>
        <w:tblInd w:w="675" w:type="dxa"/>
        <w:tblLayout w:type="fixed"/>
        <w:tblLook w:val="04A0" w:firstRow="1" w:lastRow="0" w:firstColumn="1" w:lastColumn="0" w:noHBand="0" w:noVBand="1"/>
      </w:tblPr>
      <w:tblGrid>
        <w:gridCol w:w="8789"/>
      </w:tblGrid>
      <w:tr w:rsidR="00181C5C" w:rsidRPr="00181C5C" w:rsidTr="00181C5C">
        <w:trPr>
          <w:cantSplit/>
          <w:trHeight w:val="1134"/>
        </w:trPr>
        <w:tc>
          <w:tcPr>
            <w:tcW w:w="8789" w:type="dxa"/>
          </w:tcPr>
          <w:p w:rsidR="00181C5C" w:rsidRPr="00181C5C" w:rsidRDefault="00181C5C" w:rsidP="00181C5C">
            <w:pPr>
              <w:pStyle w:val="TableText"/>
              <w:rPr>
                <w:rFonts w:ascii="Georgia" w:hAnsi="Georgia"/>
                <w:sz w:val="20"/>
              </w:rPr>
            </w:pPr>
            <w:r w:rsidRPr="00181C5C">
              <w:rPr>
                <w:rFonts w:ascii="Georgia" w:hAnsi="Georgia"/>
                <w:sz w:val="20"/>
              </w:rPr>
              <w:fldChar w:fldCharType="begin">
                <w:ffData>
                  <w:name w:val="Text2"/>
                  <w:enabled/>
                  <w:calcOnExit w:val="0"/>
                  <w:textInput/>
                </w:ffData>
              </w:fldChar>
            </w:r>
            <w:r w:rsidRPr="00181C5C">
              <w:rPr>
                <w:rFonts w:ascii="Georgia" w:hAnsi="Georgia"/>
                <w:sz w:val="20"/>
              </w:rPr>
              <w:instrText xml:space="preserve"> FORMTEXT </w:instrText>
            </w:r>
            <w:r w:rsidRPr="00181C5C">
              <w:rPr>
                <w:rFonts w:ascii="Georgia" w:hAnsi="Georgia"/>
                <w:sz w:val="20"/>
              </w:rPr>
            </w:r>
            <w:r w:rsidRPr="00181C5C">
              <w:rPr>
                <w:rFonts w:ascii="Georgia" w:hAnsi="Georgia"/>
                <w:sz w:val="20"/>
              </w:rPr>
              <w:fldChar w:fldCharType="separate"/>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sz w:val="20"/>
              </w:rPr>
              <w:fldChar w:fldCharType="end"/>
            </w:r>
          </w:p>
        </w:tc>
      </w:tr>
    </w:tbl>
    <w:p w:rsidR="00181C5C" w:rsidRDefault="00181C5C" w:rsidP="00181C5C"/>
    <w:p w:rsidR="00925F22" w:rsidRDefault="00925F22" w:rsidP="00181C5C">
      <w:pPr>
        <w:pStyle w:val="Heading3"/>
      </w:pPr>
      <w:r w:rsidRPr="00C9524D">
        <w:t>Levy formula and levy rates</w:t>
      </w:r>
    </w:p>
    <w:p w:rsidR="00925F22" w:rsidRPr="00411462" w:rsidRDefault="00925F22" w:rsidP="00181C5C">
      <w:r w:rsidRPr="00411462">
        <w:t xml:space="preserve">The levy formula is prescribed in legislation and </w:t>
      </w:r>
      <w:r>
        <w:t xml:space="preserve">is </w:t>
      </w:r>
      <w:r w:rsidRPr="00411462">
        <w:t>not under consideration in this consultation. The figures for variables A, B and R are derived from data held by the Ministry, the DIA and IRD and are a matter of record. Comment on variable C (the $5</w:t>
      </w:r>
      <w:r w:rsidR="001C71D3">
        <w:t>5</w:t>
      </w:r>
      <w:r w:rsidRPr="00411462">
        <w:t xml:space="preserve">.339 </w:t>
      </w:r>
      <w:r>
        <w:t xml:space="preserve">million </w:t>
      </w:r>
      <w:r w:rsidRPr="00411462">
        <w:t xml:space="preserve">funding appropriation proposed for the strategy) is covered in questions </w:t>
      </w:r>
      <w:r w:rsidR="00D70293">
        <w:t>9 and 10</w:t>
      </w:r>
      <w:r w:rsidRPr="00411462">
        <w:t xml:space="preserve"> above.</w:t>
      </w:r>
    </w:p>
    <w:p w:rsidR="00181C5C" w:rsidRDefault="00181C5C" w:rsidP="00181C5C"/>
    <w:p w:rsidR="00925F22" w:rsidRDefault="00925F22" w:rsidP="00181C5C">
      <w:r w:rsidRPr="00C9524D">
        <w:t>In terms of the other components of the levy formula</w:t>
      </w:r>
      <w:r>
        <w:t xml:space="preserve"> (section 4):</w:t>
      </w:r>
    </w:p>
    <w:p w:rsidR="00925F22" w:rsidRDefault="00925F22" w:rsidP="00181C5C">
      <w:pPr>
        <w:pStyle w:val="Number"/>
      </w:pPr>
      <w:r w:rsidRPr="00C9524D">
        <w:t>Are the player expenditure forecasts for each gambling sector (D) realistic?</w:t>
      </w:r>
    </w:p>
    <w:p w:rsidR="00925F22" w:rsidRDefault="00925F22" w:rsidP="00BE57BF">
      <w:pPr>
        <w:tabs>
          <w:tab w:val="left" w:pos="993"/>
          <w:tab w:val="left" w:pos="1701"/>
          <w:tab w:val="left" w:pos="2127"/>
        </w:tabs>
        <w:spacing w:before="60" w:after="120"/>
        <w:ind w:left="567"/>
      </w:pPr>
      <w:r w:rsidRPr="00C9524D">
        <w:fldChar w:fldCharType="begin">
          <w:ffData>
            <w:name w:val="Check1"/>
            <w:enabled/>
            <w:calcOnExit w:val="0"/>
            <w:checkBox>
              <w:sizeAuto/>
              <w:default w:val="0"/>
            </w:checkBox>
          </w:ffData>
        </w:fldChar>
      </w:r>
      <w:r w:rsidRPr="00C9524D">
        <w:instrText xml:space="preserve"> FORMCHECKBOX </w:instrText>
      </w:r>
      <w:r w:rsidR="000D5C87">
        <w:fldChar w:fldCharType="separate"/>
      </w:r>
      <w:r w:rsidRPr="00C9524D">
        <w:fldChar w:fldCharType="end"/>
      </w:r>
      <w:r w:rsidRPr="00C9524D">
        <w:tab/>
        <w:t>Yes</w:t>
      </w:r>
      <w:r w:rsidRPr="00C9524D">
        <w:tab/>
      </w:r>
      <w:r w:rsidRPr="00C9524D">
        <w:fldChar w:fldCharType="begin">
          <w:ffData>
            <w:name w:val="Check1"/>
            <w:enabled/>
            <w:calcOnExit w:val="0"/>
            <w:checkBox>
              <w:sizeAuto/>
              <w:default w:val="0"/>
            </w:checkBox>
          </w:ffData>
        </w:fldChar>
      </w:r>
      <w:r w:rsidRPr="00C9524D">
        <w:instrText xml:space="preserve"> FORMCHECKBOX </w:instrText>
      </w:r>
      <w:r w:rsidR="000D5C87">
        <w:fldChar w:fldCharType="separate"/>
      </w:r>
      <w:r w:rsidRPr="00C9524D">
        <w:fldChar w:fldCharType="end"/>
      </w:r>
      <w:r w:rsidRPr="00C9524D">
        <w:tab/>
        <w:t>No. If no</w:t>
      </w:r>
      <w:r>
        <w:t>t</w:t>
      </w:r>
      <w:r w:rsidRPr="00C9524D">
        <w:t xml:space="preserve">, please explain why </w:t>
      </w:r>
      <w:r>
        <w:t>not.</w:t>
      </w:r>
    </w:p>
    <w:tbl>
      <w:tblPr>
        <w:tblStyle w:val="TableGrid"/>
        <w:tblW w:w="0" w:type="auto"/>
        <w:tblInd w:w="675" w:type="dxa"/>
        <w:tblLayout w:type="fixed"/>
        <w:tblLook w:val="04A0" w:firstRow="1" w:lastRow="0" w:firstColumn="1" w:lastColumn="0" w:noHBand="0" w:noVBand="1"/>
      </w:tblPr>
      <w:tblGrid>
        <w:gridCol w:w="8789"/>
      </w:tblGrid>
      <w:tr w:rsidR="00181C5C" w:rsidRPr="00181C5C" w:rsidTr="00181C5C">
        <w:trPr>
          <w:cantSplit/>
          <w:trHeight w:val="1134"/>
        </w:trPr>
        <w:tc>
          <w:tcPr>
            <w:tcW w:w="8789" w:type="dxa"/>
          </w:tcPr>
          <w:p w:rsidR="00181C5C" w:rsidRPr="00181C5C" w:rsidRDefault="00181C5C" w:rsidP="00181C5C">
            <w:pPr>
              <w:pStyle w:val="TableText"/>
              <w:rPr>
                <w:rFonts w:ascii="Georgia" w:hAnsi="Georgia"/>
                <w:sz w:val="20"/>
              </w:rPr>
            </w:pPr>
            <w:r w:rsidRPr="00181C5C">
              <w:rPr>
                <w:rFonts w:ascii="Georgia" w:hAnsi="Georgia"/>
                <w:sz w:val="20"/>
              </w:rPr>
              <w:fldChar w:fldCharType="begin">
                <w:ffData>
                  <w:name w:val="Text2"/>
                  <w:enabled/>
                  <w:calcOnExit w:val="0"/>
                  <w:textInput/>
                </w:ffData>
              </w:fldChar>
            </w:r>
            <w:r w:rsidRPr="00181C5C">
              <w:rPr>
                <w:rFonts w:ascii="Georgia" w:hAnsi="Georgia"/>
                <w:sz w:val="20"/>
              </w:rPr>
              <w:instrText xml:space="preserve"> FORMTEXT </w:instrText>
            </w:r>
            <w:r w:rsidRPr="00181C5C">
              <w:rPr>
                <w:rFonts w:ascii="Georgia" w:hAnsi="Georgia"/>
                <w:sz w:val="20"/>
              </w:rPr>
            </w:r>
            <w:r w:rsidRPr="00181C5C">
              <w:rPr>
                <w:rFonts w:ascii="Georgia" w:hAnsi="Georgia"/>
                <w:sz w:val="20"/>
              </w:rPr>
              <w:fldChar w:fldCharType="separate"/>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sz w:val="20"/>
              </w:rPr>
              <w:fldChar w:fldCharType="end"/>
            </w:r>
          </w:p>
        </w:tc>
      </w:tr>
    </w:tbl>
    <w:p w:rsidR="00181C5C" w:rsidRDefault="00181C5C" w:rsidP="00181C5C"/>
    <w:p w:rsidR="002A408B" w:rsidRDefault="00925F22" w:rsidP="00181C5C">
      <w:pPr>
        <w:pStyle w:val="Number"/>
        <w:spacing w:after="120"/>
      </w:pPr>
      <w:r w:rsidRPr="00C9524D">
        <w:t xml:space="preserve">Are there realistic pairs of </w:t>
      </w:r>
      <w:r w:rsidR="00D70293">
        <w:t xml:space="preserve">expenditure/presentation </w:t>
      </w:r>
      <w:r w:rsidRPr="00C9524D">
        <w:t>weightings (W1 and W2) other than those discussed in this consultation document?</w:t>
      </w:r>
      <w:r w:rsidR="009E467D">
        <w:t xml:space="preserve"> </w:t>
      </w:r>
    </w:p>
    <w:p w:rsidR="00925F22" w:rsidRDefault="002A408B" w:rsidP="009E467D">
      <w:pPr>
        <w:tabs>
          <w:tab w:val="left" w:pos="993"/>
          <w:tab w:val="left" w:pos="1701"/>
          <w:tab w:val="left" w:pos="2127"/>
        </w:tabs>
        <w:spacing w:before="60" w:after="120"/>
        <w:ind w:left="567"/>
      </w:pPr>
      <w:r w:rsidRPr="00C9524D">
        <w:fldChar w:fldCharType="begin">
          <w:ffData>
            <w:name w:val="Check1"/>
            <w:enabled/>
            <w:calcOnExit w:val="0"/>
            <w:checkBox>
              <w:sizeAuto/>
              <w:default w:val="0"/>
            </w:checkBox>
          </w:ffData>
        </w:fldChar>
      </w:r>
      <w:r w:rsidRPr="00C9524D">
        <w:instrText xml:space="preserve"> FORMCHECKBOX </w:instrText>
      </w:r>
      <w:r w:rsidR="000D5C87">
        <w:fldChar w:fldCharType="separate"/>
      </w:r>
      <w:r w:rsidRPr="00C9524D">
        <w:fldChar w:fldCharType="end"/>
      </w:r>
      <w:r w:rsidRPr="00C9524D">
        <w:tab/>
        <w:t>Yes</w:t>
      </w:r>
      <w:r w:rsidR="009E467D">
        <w:tab/>
      </w:r>
      <w:r w:rsidRPr="00C9524D">
        <w:fldChar w:fldCharType="begin">
          <w:ffData>
            <w:name w:val="Check1"/>
            <w:enabled/>
            <w:calcOnExit w:val="0"/>
            <w:checkBox>
              <w:sizeAuto/>
              <w:default w:val="0"/>
            </w:checkBox>
          </w:ffData>
        </w:fldChar>
      </w:r>
      <w:r w:rsidRPr="00C9524D">
        <w:instrText xml:space="preserve"> FORMCHECKBOX </w:instrText>
      </w:r>
      <w:r w:rsidR="000D5C87">
        <w:fldChar w:fldCharType="separate"/>
      </w:r>
      <w:r w:rsidRPr="00C9524D">
        <w:fldChar w:fldCharType="end"/>
      </w:r>
      <w:r w:rsidRPr="00C9524D">
        <w:tab/>
        <w:t>No.</w:t>
      </w:r>
      <w:r w:rsidR="009E467D">
        <w:t xml:space="preserve"> </w:t>
      </w:r>
      <w:r w:rsidR="00925F22" w:rsidRPr="00C9524D">
        <w:t xml:space="preserve">If </w:t>
      </w:r>
      <w:r>
        <w:t>yes</w:t>
      </w:r>
      <w:r w:rsidR="009E467D">
        <w:t xml:space="preserve">, </w:t>
      </w:r>
      <w:r w:rsidR="009E467D" w:rsidRPr="00C9524D">
        <w:t>please</w:t>
      </w:r>
      <w:r>
        <w:t xml:space="preserve"> explain </w:t>
      </w:r>
      <w:r w:rsidR="00925F22" w:rsidRPr="00C9524D">
        <w:t>what and why</w:t>
      </w:r>
      <w:r w:rsidR="00B30A95">
        <w:t>.</w:t>
      </w:r>
    </w:p>
    <w:tbl>
      <w:tblPr>
        <w:tblStyle w:val="TableGrid"/>
        <w:tblW w:w="0" w:type="auto"/>
        <w:tblInd w:w="675" w:type="dxa"/>
        <w:tblLayout w:type="fixed"/>
        <w:tblLook w:val="04A0" w:firstRow="1" w:lastRow="0" w:firstColumn="1" w:lastColumn="0" w:noHBand="0" w:noVBand="1"/>
      </w:tblPr>
      <w:tblGrid>
        <w:gridCol w:w="8789"/>
      </w:tblGrid>
      <w:tr w:rsidR="00181C5C" w:rsidRPr="00181C5C" w:rsidTr="00181C5C">
        <w:trPr>
          <w:cantSplit/>
          <w:trHeight w:val="1134"/>
        </w:trPr>
        <w:tc>
          <w:tcPr>
            <w:tcW w:w="8789" w:type="dxa"/>
          </w:tcPr>
          <w:p w:rsidR="00181C5C" w:rsidRPr="00181C5C" w:rsidRDefault="00181C5C" w:rsidP="00181C5C">
            <w:pPr>
              <w:pStyle w:val="TableText"/>
              <w:rPr>
                <w:rFonts w:ascii="Georgia" w:hAnsi="Georgia"/>
                <w:sz w:val="20"/>
              </w:rPr>
            </w:pPr>
            <w:r w:rsidRPr="00181C5C">
              <w:rPr>
                <w:rFonts w:ascii="Georgia" w:hAnsi="Georgia"/>
                <w:sz w:val="20"/>
              </w:rPr>
              <w:fldChar w:fldCharType="begin">
                <w:ffData>
                  <w:name w:val="Text2"/>
                  <w:enabled/>
                  <w:calcOnExit w:val="0"/>
                  <w:textInput/>
                </w:ffData>
              </w:fldChar>
            </w:r>
            <w:r w:rsidRPr="00181C5C">
              <w:rPr>
                <w:rFonts w:ascii="Georgia" w:hAnsi="Georgia"/>
                <w:sz w:val="20"/>
              </w:rPr>
              <w:instrText xml:space="preserve"> FORMTEXT </w:instrText>
            </w:r>
            <w:r w:rsidRPr="00181C5C">
              <w:rPr>
                <w:rFonts w:ascii="Georgia" w:hAnsi="Georgia"/>
                <w:sz w:val="20"/>
              </w:rPr>
            </w:r>
            <w:r w:rsidRPr="00181C5C">
              <w:rPr>
                <w:rFonts w:ascii="Georgia" w:hAnsi="Georgia"/>
                <w:sz w:val="20"/>
              </w:rPr>
              <w:fldChar w:fldCharType="separate"/>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sz w:val="20"/>
              </w:rPr>
              <w:fldChar w:fldCharType="end"/>
            </w:r>
          </w:p>
        </w:tc>
      </w:tr>
    </w:tbl>
    <w:p w:rsidR="00B30A95" w:rsidRDefault="00B30A95" w:rsidP="00B30A95"/>
    <w:p w:rsidR="00925F22" w:rsidRDefault="00925F22" w:rsidP="00343752">
      <w:pPr>
        <w:pStyle w:val="Number"/>
        <w:keepNext/>
        <w:spacing w:before="300" w:after="120"/>
      </w:pPr>
      <w:r w:rsidRPr="00C9524D">
        <w:lastRenderedPageBreak/>
        <w:t xml:space="preserve">Which pair of weighting options for W1 and W2 do you prefer, if any, and why? </w:t>
      </w:r>
      <w:r w:rsidRPr="00411462">
        <w:t>Please keep in mind that the levy weighting options only affect the proportion of levy to be paid by each gambling sector and do not affect the total amount of the levy.</w:t>
      </w:r>
    </w:p>
    <w:tbl>
      <w:tblPr>
        <w:tblStyle w:val="TableGrid"/>
        <w:tblW w:w="0" w:type="auto"/>
        <w:tblInd w:w="675" w:type="dxa"/>
        <w:tblLayout w:type="fixed"/>
        <w:tblLook w:val="04A0" w:firstRow="1" w:lastRow="0" w:firstColumn="1" w:lastColumn="0" w:noHBand="0" w:noVBand="1"/>
      </w:tblPr>
      <w:tblGrid>
        <w:gridCol w:w="8789"/>
      </w:tblGrid>
      <w:tr w:rsidR="00181C5C" w:rsidRPr="00181C5C" w:rsidTr="00181C5C">
        <w:trPr>
          <w:cantSplit/>
          <w:trHeight w:val="1134"/>
        </w:trPr>
        <w:tc>
          <w:tcPr>
            <w:tcW w:w="8789" w:type="dxa"/>
          </w:tcPr>
          <w:p w:rsidR="00181C5C" w:rsidRPr="00181C5C" w:rsidRDefault="00181C5C" w:rsidP="00181C5C">
            <w:pPr>
              <w:pStyle w:val="TableText"/>
              <w:rPr>
                <w:rFonts w:ascii="Georgia" w:hAnsi="Georgia"/>
                <w:sz w:val="20"/>
              </w:rPr>
            </w:pPr>
            <w:r w:rsidRPr="00181C5C">
              <w:rPr>
                <w:rFonts w:ascii="Georgia" w:hAnsi="Georgia"/>
                <w:sz w:val="20"/>
              </w:rPr>
              <w:fldChar w:fldCharType="begin">
                <w:ffData>
                  <w:name w:val="Text2"/>
                  <w:enabled/>
                  <w:calcOnExit w:val="0"/>
                  <w:textInput/>
                </w:ffData>
              </w:fldChar>
            </w:r>
            <w:r w:rsidRPr="00181C5C">
              <w:rPr>
                <w:rFonts w:ascii="Georgia" w:hAnsi="Georgia"/>
                <w:sz w:val="20"/>
              </w:rPr>
              <w:instrText xml:space="preserve"> FORMTEXT </w:instrText>
            </w:r>
            <w:r w:rsidRPr="00181C5C">
              <w:rPr>
                <w:rFonts w:ascii="Georgia" w:hAnsi="Georgia"/>
                <w:sz w:val="20"/>
              </w:rPr>
            </w:r>
            <w:r w:rsidRPr="00181C5C">
              <w:rPr>
                <w:rFonts w:ascii="Georgia" w:hAnsi="Georgia"/>
                <w:sz w:val="20"/>
              </w:rPr>
              <w:fldChar w:fldCharType="separate"/>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sz w:val="20"/>
              </w:rPr>
              <w:fldChar w:fldCharType="end"/>
            </w:r>
          </w:p>
        </w:tc>
      </w:tr>
    </w:tbl>
    <w:p w:rsidR="00181C5C" w:rsidRPr="00411462" w:rsidRDefault="00181C5C" w:rsidP="00181C5C"/>
    <w:p w:rsidR="00925F22" w:rsidRPr="00C9524D" w:rsidRDefault="00925F22" w:rsidP="00181C5C">
      <w:pPr>
        <w:pStyle w:val="Number"/>
        <w:spacing w:after="120"/>
      </w:pPr>
      <w:r w:rsidRPr="00C9524D">
        <w:t xml:space="preserve">Do you have any comment on the estimated levy rates for each sector, keeping in mind </w:t>
      </w:r>
      <w:r>
        <w:t xml:space="preserve">that </w:t>
      </w:r>
      <w:r w:rsidRPr="00C9524D">
        <w:t>the levy formula itself is set out in legislation and is not under consideration in this consultation?</w:t>
      </w:r>
    </w:p>
    <w:tbl>
      <w:tblPr>
        <w:tblStyle w:val="TableGrid"/>
        <w:tblW w:w="0" w:type="auto"/>
        <w:tblInd w:w="675" w:type="dxa"/>
        <w:tblLayout w:type="fixed"/>
        <w:tblLook w:val="04A0" w:firstRow="1" w:lastRow="0" w:firstColumn="1" w:lastColumn="0" w:noHBand="0" w:noVBand="1"/>
      </w:tblPr>
      <w:tblGrid>
        <w:gridCol w:w="8789"/>
      </w:tblGrid>
      <w:tr w:rsidR="00181C5C" w:rsidRPr="00181C5C" w:rsidTr="00181C5C">
        <w:trPr>
          <w:cantSplit/>
          <w:trHeight w:val="1134"/>
        </w:trPr>
        <w:tc>
          <w:tcPr>
            <w:tcW w:w="8789" w:type="dxa"/>
          </w:tcPr>
          <w:p w:rsidR="00181C5C" w:rsidRPr="00181C5C" w:rsidRDefault="00181C5C" w:rsidP="00181C5C">
            <w:pPr>
              <w:pStyle w:val="TableText"/>
              <w:rPr>
                <w:rFonts w:ascii="Georgia" w:hAnsi="Georgia"/>
                <w:sz w:val="20"/>
              </w:rPr>
            </w:pPr>
            <w:r w:rsidRPr="00181C5C">
              <w:rPr>
                <w:rFonts w:ascii="Georgia" w:hAnsi="Georgia"/>
                <w:sz w:val="20"/>
              </w:rPr>
              <w:fldChar w:fldCharType="begin">
                <w:ffData>
                  <w:name w:val="Text2"/>
                  <w:enabled/>
                  <w:calcOnExit w:val="0"/>
                  <w:textInput/>
                </w:ffData>
              </w:fldChar>
            </w:r>
            <w:r w:rsidRPr="00181C5C">
              <w:rPr>
                <w:rFonts w:ascii="Georgia" w:hAnsi="Georgia"/>
                <w:sz w:val="20"/>
              </w:rPr>
              <w:instrText xml:space="preserve"> FORMTEXT </w:instrText>
            </w:r>
            <w:r w:rsidRPr="00181C5C">
              <w:rPr>
                <w:rFonts w:ascii="Georgia" w:hAnsi="Georgia"/>
                <w:sz w:val="20"/>
              </w:rPr>
            </w:r>
            <w:r w:rsidRPr="00181C5C">
              <w:rPr>
                <w:rFonts w:ascii="Georgia" w:hAnsi="Georgia"/>
                <w:sz w:val="20"/>
              </w:rPr>
              <w:fldChar w:fldCharType="separate"/>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sz w:val="20"/>
              </w:rPr>
              <w:fldChar w:fldCharType="end"/>
            </w:r>
          </w:p>
        </w:tc>
      </w:tr>
    </w:tbl>
    <w:p w:rsidR="00181C5C" w:rsidRPr="00952E3E" w:rsidRDefault="00181C5C" w:rsidP="00181C5C"/>
    <w:p w:rsidR="00A01E53" w:rsidRPr="00B7135F" w:rsidRDefault="00A01E53" w:rsidP="00B7135F">
      <w:pPr>
        <w:pStyle w:val="Heading3"/>
        <w:rPr>
          <w:b w:val="0"/>
        </w:rPr>
      </w:pPr>
      <w:r w:rsidRPr="00B7135F">
        <w:t xml:space="preserve">Policy in relation to </w:t>
      </w:r>
      <w:r w:rsidR="001B2412">
        <w:t>electronic gaming machines (</w:t>
      </w:r>
      <w:r w:rsidRPr="00B7135F">
        <w:t>NCGM</w:t>
      </w:r>
      <w:r w:rsidR="001B2412">
        <w:t>s)</w:t>
      </w:r>
      <w:r w:rsidRPr="00B7135F">
        <w:t xml:space="preserve"> and the levy formula</w:t>
      </w:r>
    </w:p>
    <w:p w:rsidR="00D70293" w:rsidRDefault="004A7AF3" w:rsidP="00181C5C">
      <w:r>
        <w:t>The Ministry and DIA are interested in your views about the location of NCGM</w:t>
      </w:r>
      <w:r w:rsidR="001B2412">
        <w:t>s</w:t>
      </w:r>
      <w:r>
        <w:t xml:space="preserve"> and </w:t>
      </w:r>
      <w:r w:rsidR="00493517">
        <w:t xml:space="preserve">the </w:t>
      </w:r>
      <w:r>
        <w:t>operation of the levy formula</w:t>
      </w:r>
      <w:r w:rsidR="00A01E53">
        <w:t xml:space="preserve">, </w:t>
      </w:r>
      <w:r>
        <w:t xml:space="preserve">in achieving gambling harm reduction. </w:t>
      </w:r>
      <w:r w:rsidR="00A01E53">
        <w:t xml:space="preserve">Following your comments, if </w:t>
      </w:r>
      <w:r>
        <w:t xml:space="preserve">the </w:t>
      </w:r>
      <w:r w:rsidR="001B2412">
        <w:t>G</w:t>
      </w:r>
      <w:r>
        <w:t>overnment determine</w:t>
      </w:r>
      <w:r w:rsidR="00A01E53">
        <w:t>s</w:t>
      </w:r>
      <w:r>
        <w:t xml:space="preserve"> that changes may be required</w:t>
      </w:r>
      <w:r w:rsidR="006C71D8">
        <w:t xml:space="preserve">, </w:t>
      </w:r>
      <w:r w:rsidR="00493517">
        <w:t xml:space="preserve">specific proposals </w:t>
      </w:r>
      <w:r>
        <w:t xml:space="preserve">would be consulted on separately </w:t>
      </w:r>
      <w:r w:rsidR="00A01E53">
        <w:t>at a later date</w:t>
      </w:r>
      <w:r w:rsidR="00D70293">
        <w:t xml:space="preserve">. Please note that the current </w:t>
      </w:r>
      <w:r w:rsidR="00493517">
        <w:t xml:space="preserve">Act and </w:t>
      </w:r>
      <w:r w:rsidR="00D70293">
        <w:t xml:space="preserve">policy settings will be used </w:t>
      </w:r>
      <w:r w:rsidR="005F7726">
        <w:t xml:space="preserve">to set the levy for </w:t>
      </w:r>
      <w:r w:rsidR="00D70293">
        <w:t>the next levy period</w:t>
      </w:r>
      <w:r w:rsidR="00493517">
        <w:t xml:space="preserve"> from 1 July 2019 to 30 June 2022.</w:t>
      </w:r>
    </w:p>
    <w:p w:rsidR="004A7AF3" w:rsidRDefault="004A7AF3" w:rsidP="00181C5C"/>
    <w:p w:rsidR="005F7726" w:rsidRDefault="004A7AF3" w:rsidP="00B7135F">
      <w:pPr>
        <w:pStyle w:val="Box"/>
        <w:pBdr>
          <w:top w:val="none" w:sz="0" w:space="0" w:color="auto"/>
          <w:left w:val="none" w:sz="0" w:space="0" w:color="auto"/>
          <w:bottom w:val="none" w:sz="0" w:space="0" w:color="auto"/>
          <w:right w:val="none" w:sz="0" w:space="0" w:color="auto"/>
        </w:pBdr>
        <w:ind w:left="0"/>
        <w:rPr>
          <w:b/>
          <w:sz w:val="24"/>
          <w:szCs w:val="24"/>
        </w:rPr>
      </w:pPr>
      <w:r w:rsidRPr="00D453C4">
        <w:rPr>
          <w:b/>
          <w:sz w:val="24"/>
          <w:szCs w:val="24"/>
        </w:rPr>
        <w:t>Concentration of class 4 NCGMs in low</w:t>
      </w:r>
      <w:r>
        <w:rPr>
          <w:b/>
          <w:sz w:val="24"/>
          <w:szCs w:val="24"/>
        </w:rPr>
        <w:t>er</w:t>
      </w:r>
      <w:r w:rsidRPr="00D453C4">
        <w:rPr>
          <w:b/>
          <w:sz w:val="24"/>
          <w:szCs w:val="24"/>
        </w:rPr>
        <w:t xml:space="preserve"> socioeconomic areas</w:t>
      </w:r>
      <w:r>
        <w:rPr>
          <w:b/>
          <w:sz w:val="24"/>
          <w:szCs w:val="24"/>
        </w:rPr>
        <w:t xml:space="preserve"> (</w:t>
      </w:r>
      <w:r w:rsidR="00B30A95">
        <w:rPr>
          <w:b/>
          <w:sz w:val="24"/>
          <w:szCs w:val="24"/>
        </w:rPr>
        <w:t>s</w:t>
      </w:r>
      <w:r>
        <w:rPr>
          <w:b/>
          <w:sz w:val="24"/>
          <w:szCs w:val="24"/>
        </w:rPr>
        <w:t>ection</w:t>
      </w:r>
      <w:r w:rsidR="00FC7C3E">
        <w:rPr>
          <w:b/>
          <w:sz w:val="24"/>
          <w:szCs w:val="24"/>
        </w:rPr>
        <w:t> </w:t>
      </w:r>
      <w:r>
        <w:rPr>
          <w:b/>
          <w:sz w:val="24"/>
          <w:szCs w:val="24"/>
        </w:rPr>
        <w:t>1.9)</w:t>
      </w:r>
    </w:p>
    <w:p w:rsidR="004A7AF3" w:rsidRDefault="004A7AF3" w:rsidP="00174E84">
      <w:pPr>
        <w:pStyle w:val="Number"/>
        <w:numPr>
          <w:ilvl w:val="0"/>
          <w:numId w:val="46"/>
        </w:numPr>
        <w:spacing w:after="120"/>
        <w:ind w:hanging="720"/>
      </w:pPr>
      <w:r>
        <w:t xml:space="preserve">Do you think operators of class 4 </w:t>
      </w:r>
      <w:r w:rsidR="00956D95">
        <w:t xml:space="preserve">NCGM </w:t>
      </w:r>
      <w:r>
        <w:t>venues should be incentivised to move from lower socioeconomic areas to higher socioeconomic areas?</w:t>
      </w:r>
    </w:p>
    <w:p w:rsidR="00956D95" w:rsidRDefault="00956D95" w:rsidP="00D20E8C">
      <w:pPr>
        <w:pStyle w:val="Number"/>
        <w:numPr>
          <w:ilvl w:val="0"/>
          <w:numId w:val="0"/>
        </w:numPr>
        <w:tabs>
          <w:tab w:val="left" w:pos="993"/>
          <w:tab w:val="left" w:pos="1701"/>
          <w:tab w:val="left" w:pos="2127"/>
        </w:tabs>
        <w:spacing w:before="60" w:after="120"/>
        <w:ind w:left="567"/>
      </w:pPr>
      <w:r w:rsidRPr="00956D95">
        <w:fldChar w:fldCharType="begin">
          <w:ffData>
            <w:name w:val="Check1"/>
            <w:enabled/>
            <w:calcOnExit w:val="0"/>
            <w:checkBox>
              <w:sizeAuto/>
              <w:default w:val="0"/>
            </w:checkBox>
          </w:ffData>
        </w:fldChar>
      </w:r>
      <w:r w:rsidRPr="00956D95">
        <w:instrText xml:space="preserve"> FORMCHECKBOX </w:instrText>
      </w:r>
      <w:r w:rsidR="000D5C87">
        <w:fldChar w:fldCharType="separate"/>
      </w:r>
      <w:r w:rsidRPr="00956D95">
        <w:fldChar w:fldCharType="end"/>
      </w:r>
      <w:r w:rsidRPr="00956D95">
        <w:tab/>
        <w:t>Yes</w:t>
      </w:r>
      <w:r w:rsidRPr="00956D95">
        <w:tab/>
      </w:r>
      <w:r w:rsidRPr="00956D95">
        <w:fldChar w:fldCharType="begin">
          <w:ffData>
            <w:name w:val="Check1"/>
            <w:enabled/>
            <w:calcOnExit w:val="0"/>
            <w:checkBox>
              <w:sizeAuto/>
              <w:default w:val="0"/>
            </w:checkBox>
          </w:ffData>
        </w:fldChar>
      </w:r>
      <w:r w:rsidRPr="00956D95">
        <w:instrText xml:space="preserve"> FORMCHECKBOX </w:instrText>
      </w:r>
      <w:r w:rsidR="000D5C87">
        <w:fldChar w:fldCharType="separate"/>
      </w:r>
      <w:r w:rsidRPr="00956D95">
        <w:fldChar w:fldCharType="end"/>
      </w:r>
      <w:r w:rsidRPr="00956D95">
        <w:tab/>
        <w:t>No. If ye</w:t>
      </w:r>
      <w:r w:rsidR="00B30A95">
        <w:t>s, please explain what and why.</w:t>
      </w:r>
    </w:p>
    <w:tbl>
      <w:tblPr>
        <w:tblStyle w:val="TableGrid"/>
        <w:tblW w:w="0" w:type="auto"/>
        <w:tblInd w:w="675" w:type="dxa"/>
        <w:tblLayout w:type="fixed"/>
        <w:tblLook w:val="04A0" w:firstRow="1" w:lastRow="0" w:firstColumn="1" w:lastColumn="0" w:noHBand="0" w:noVBand="1"/>
      </w:tblPr>
      <w:tblGrid>
        <w:gridCol w:w="8789"/>
      </w:tblGrid>
      <w:tr w:rsidR="00D20E8C" w:rsidRPr="00181C5C" w:rsidTr="0012663D">
        <w:trPr>
          <w:cantSplit/>
          <w:trHeight w:val="1134"/>
        </w:trPr>
        <w:tc>
          <w:tcPr>
            <w:tcW w:w="8789" w:type="dxa"/>
          </w:tcPr>
          <w:p w:rsidR="00D20E8C" w:rsidRPr="00181C5C" w:rsidRDefault="00D20E8C" w:rsidP="0012663D">
            <w:pPr>
              <w:pStyle w:val="TableText"/>
              <w:rPr>
                <w:rFonts w:ascii="Georgia" w:hAnsi="Georgia"/>
                <w:sz w:val="20"/>
              </w:rPr>
            </w:pPr>
            <w:r w:rsidRPr="00181C5C">
              <w:rPr>
                <w:rFonts w:ascii="Georgia" w:hAnsi="Georgia"/>
                <w:sz w:val="20"/>
              </w:rPr>
              <w:fldChar w:fldCharType="begin">
                <w:ffData>
                  <w:name w:val="Text2"/>
                  <w:enabled/>
                  <w:calcOnExit w:val="0"/>
                  <w:textInput/>
                </w:ffData>
              </w:fldChar>
            </w:r>
            <w:r w:rsidRPr="00181C5C">
              <w:rPr>
                <w:rFonts w:ascii="Georgia" w:hAnsi="Georgia"/>
                <w:sz w:val="20"/>
              </w:rPr>
              <w:instrText xml:space="preserve"> FORMTEXT </w:instrText>
            </w:r>
            <w:r w:rsidRPr="00181C5C">
              <w:rPr>
                <w:rFonts w:ascii="Georgia" w:hAnsi="Georgia"/>
                <w:sz w:val="20"/>
              </w:rPr>
            </w:r>
            <w:r w:rsidRPr="00181C5C">
              <w:rPr>
                <w:rFonts w:ascii="Georgia" w:hAnsi="Georgia"/>
                <w:sz w:val="20"/>
              </w:rPr>
              <w:fldChar w:fldCharType="separate"/>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sz w:val="20"/>
              </w:rPr>
              <w:fldChar w:fldCharType="end"/>
            </w:r>
          </w:p>
        </w:tc>
      </w:tr>
    </w:tbl>
    <w:p w:rsidR="00D20E8C" w:rsidRPr="00956D95" w:rsidRDefault="00D20E8C" w:rsidP="00D20E8C"/>
    <w:p w:rsidR="00956D95" w:rsidRDefault="004A7AF3" w:rsidP="00174E84">
      <w:pPr>
        <w:pStyle w:val="Number"/>
        <w:keepNext/>
        <w:numPr>
          <w:ilvl w:val="0"/>
          <w:numId w:val="46"/>
        </w:numPr>
        <w:spacing w:after="120"/>
        <w:ind w:hanging="720"/>
      </w:pPr>
      <w:r>
        <w:t>What barriers, if any, do you think currently exist to moving class 4 gambling venues out</w:t>
      </w:r>
      <w:r w:rsidR="00D20E8C">
        <w:t xml:space="preserve"> of lower socioeconomic areas?</w:t>
      </w:r>
    </w:p>
    <w:tbl>
      <w:tblPr>
        <w:tblStyle w:val="TableGrid"/>
        <w:tblW w:w="0" w:type="auto"/>
        <w:tblInd w:w="675" w:type="dxa"/>
        <w:tblLayout w:type="fixed"/>
        <w:tblLook w:val="04A0" w:firstRow="1" w:lastRow="0" w:firstColumn="1" w:lastColumn="0" w:noHBand="0" w:noVBand="1"/>
      </w:tblPr>
      <w:tblGrid>
        <w:gridCol w:w="8789"/>
      </w:tblGrid>
      <w:tr w:rsidR="00D20E8C" w:rsidRPr="00181C5C" w:rsidTr="0012663D">
        <w:trPr>
          <w:cantSplit/>
          <w:trHeight w:val="1134"/>
        </w:trPr>
        <w:tc>
          <w:tcPr>
            <w:tcW w:w="8789" w:type="dxa"/>
          </w:tcPr>
          <w:p w:rsidR="00D20E8C" w:rsidRPr="00181C5C" w:rsidRDefault="00D20E8C" w:rsidP="0012663D">
            <w:pPr>
              <w:pStyle w:val="TableText"/>
              <w:rPr>
                <w:rFonts w:ascii="Georgia" w:hAnsi="Georgia"/>
                <w:sz w:val="20"/>
              </w:rPr>
            </w:pPr>
            <w:r w:rsidRPr="00181C5C">
              <w:rPr>
                <w:rFonts w:ascii="Georgia" w:hAnsi="Georgia"/>
                <w:sz w:val="20"/>
              </w:rPr>
              <w:fldChar w:fldCharType="begin">
                <w:ffData>
                  <w:name w:val="Text2"/>
                  <w:enabled/>
                  <w:calcOnExit w:val="0"/>
                  <w:textInput/>
                </w:ffData>
              </w:fldChar>
            </w:r>
            <w:r w:rsidRPr="00181C5C">
              <w:rPr>
                <w:rFonts w:ascii="Georgia" w:hAnsi="Georgia"/>
                <w:sz w:val="20"/>
              </w:rPr>
              <w:instrText xml:space="preserve"> FORMTEXT </w:instrText>
            </w:r>
            <w:r w:rsidRPr="00181C5C">
              <w:rPr>
                <w:rFonts w:ascii="Georgia" w:hAnsi="Georgia"/>
                <w:sz w:val="20"/>
              </w:rPr>
            </w:r>
            <w:r w:rsidRPr="00181C5C">
              <w:rPr>
                <w:rFonts w:ascii="Georgia" w:hAnsi="Georgia"/>
                <w:sz w:val="20"/>
              </w:rPr>
              <w:fldChar w:fldCharType="separate"/>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sz w:val="20"/>
              </w:rPr>
              <w:fldChar w:fldCharType="end"/>
            </w:r>
          </w:p>
        </w:tc>
      </w:tr>
    </w:tbl>
    <w:p w:rsidR="00D20E8C" w:rsidRDefault="00D20E8C" w:rsidP="00D20E8C"/>
    <w:p w:rsidR="004A7AF3" w:rsidRDefault="004A7AF3" w:rsidP="00174E84">
      <w:pPr>
        <w:pStyle w:val="Number"/>
        <w:numPr>
          <w:ilvl w:val="0"/>
          <w:numId w:val="46"/>
        </w:numPr>
        <w:spacing w:after="120"/>
        <w:ind w:hanging="720"/>
      </w:pPr>
      <w:r>
        <w:t>If barriers do exist, how do you think venues can be incentivised to move?</w:t>
      </w:r>
    </w:p>
    <w:tbl>
      <w:tblPr>
        <w:tblStyle w:val="TableGrid"/>
        <w:tblW w:w="0" w:type="auto"/>
        <w:tblInd w:w="675" w:type="dxa"/>
        <w:tblLayout w:type="fixed"/>
        <w:tblLook w:val="04A0" w:firstRow="1" w:lastRow="0" w:firstColumn="1" w:lastColumn="0" w:noHBand="0" w:noVBand="1"/>
      </w:tblPr>
      <w:tblGrid>
        <w:gridCol w:w="8789"/>
      </w:tblGrid>
      <w:tr w:rsidR="00D20E8C" w:rsidRPr="00181C5C" w:rsidTr="0012663D">
        <w:trPr>
          <w:cantSplit/>
          <w:trHeight w:val="1134"/>
        </w:trPr>
        <w:tc>
          <w:tcPr>
            <w:tcW w:w="8789" w:type="dxa"/>
          </w:tcPr>
          <w:p w:rsidR="00D20E8C" w:rsidRPr="00181C5C" w:rsidRDefault="00D20E8C" w:rsidP="0012663D">
            <w:pPr>
              <w:pStyle w:val="TableText"/>
              <w:rPr>
                <w:rFonts w:ascii="Georgia" w:hAnsi="Georgia"/>
                <w:sz w:val="20"/>
              </w:rPr>
            </w:pPr>
            <w:r w:rsidRPr="00181C5C">
              <w:rPr>
                <w:rFonts w:ascii="Georgia" w:hAnsi="Georgia"/>
                <w:sz w:val="20"/>
              </w:rPr>
              <w:lastRenderedPageBreak/>
              <w:fldChar w:fldCharType="begin">
                <w:ffData>
                  <w:name w:val="Text2"/>
                  <w:enabled/>
                  <w:calcOnExit w:val="0"/>
                  <w:textInput/>
                </w:ffData>
              </w:fldChar>
            </w:r>
            <w:r w:rsidRPr="00181C5C">
              <w:rPr>
                <w:rFonts w:ascii="Georgia" w:hAnsi="Georgia"/>
                <w:sz w:val="20"/>
              </w:rPr>
              <w:instrText xml:space="preserve"> FORMTEXT </w:instrText>
            </w:r>
            <w:r w:rsidRPr="00181C5C">
              <w:rPr>
                <w:rFonts w:ascii="Georgia" w:hAnsi="Georgia"/>
                <w:sz w:val="20"/>
              </w:rPr>
            </w:r>
            <w:r w:rsidRPr="00181C5C">
              <w:rPr>
                <w:rFonts w:ascii="Georgia" w:hAnsi="Georgia"/>
                <w:sz w:val="20"/>
              </w:rPr>
              <w:fldChar w:fldCharType="separate"/>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sz w:val="20"/>
              </w:rPr>
              <w:fldChar w:fldCharType="end"/>
            </w:r>
          </w:p>
        </w:tc>
      </w:tr>
    </w:tbl>
    <w:p w:rsidR="00956D95" w:rsidRDefault="00956D95" w:rsidP="00D20E8C"/>
    <w:p w:rsidR="005F7726" w:rsidRDefault="00956D95" w:rsidP="005F7726">
      <w:pPr>
        <w:pStyle w:val="Number"/>
        <w:numPr>
          <w:ilvl w:val="0"/>
          <w:numId w:val="0"/>
        </w:numPr>
        <w:spacing w:after="120"/>
      </w:pPr>
      <w:r>
        <w:rPr>
          <w:b/>
          <w:sz w:val="24"/>
        </w:rPr>
        <w:t>T</w:t>
      </w:r>
      <w:r w:rsidR="005F7726">
        <w:rPr>
          <w:b/>
          <w:sz w:val="24"/>
        </w:rPr>
        <w:t>he levy formula</w:t>
      </w:r>
      <w:r w:rsidR="00355F7E">
        <w:rPr>
          <w:b/>
          <w:sz w:val="24"/>
        </w:rPr>
        <w:t xml:space="preserve"> (</w:t>
      </w:r>
      <w:r w:rsidR="00D20E8C">
        <w:rPr>
          <w:b/>
          <w:sz w:val="24"/>
        </w:rPr>
        <w:t>s</w:t>
      </w:r>
      <w:r w:rsidR="00355F7E">
        <w:rPr>
          <w:b/>
          <w:sz w:val="24"/>
        </w:rPr>
        <w:t>ection 4)</w:t>
      </w:r>
    </w:p>
    <w:p w:rsidR="006C71D8" w:rsidRPr="006C71D8" w:rsidRDefault="006C71D8" w:rsidP="005F7726">
      <w:r w:rsidRPr="006C71D8">
        <w:t>While the proposed levy is based on, and will be set using, the current levy formula set out in the Act, the Ministry and DIA are also interested in your views about the levy formula and what could change in the future</w:t>
      </w:r>
      <w:r>
        <w:t xml:space="preserve">. Keep in mind the formula helps to apportion the levy to each sector and itself does not </w:t>
      </w:r>
      <w:r w:rsidR="00B739D7">
        <w:t>change the total amount levied.</w:t>
      </w:r>
    </w:p>
    <w:p w:rsidR="00D70293" w:rsidRDefault="00A01E53" w:rsidP="00174E84">
      <w:pPr>
        <w:pStyle w:val="Number"/>
        <w:numPr>
          <w:ilvl w:val="0"/>
          <w:numId w:val="46"/>
        </w:numPr>
        <w:spacing w:before="120" w:after="60"/>
        <w:ind w:hanging="720"/>
      </w:pPr>
      <w:r w:rsidRPr="00A01E53">
        <w:t xml:space="preserve">Does the current formula provide a reasonable way to reflect the relative harm caused by each gambling sector? </w:t>
      </w:r>
      <w:r w:rsidR="00956D95" w:rsidRPr="00956D95">
        <w:t xml:space="preserve">If </w:t>
      </w:r>
      <w:r w:rsidRPr="00A01E53">
        <w:t>no, what sort of formula would better reflect the relative harm caused by each sector</w:t>
      </w:r>
      <w:r>
        <w:t xml:space="preserve">? </w:t>
      </w:r>
      <w:r w:rsidR="005F7726">
        <w:t xml:space="preserve">Please explain </w:t>
      </w:r>
      <w:r w:rsidRPr="00A01E53">
        <w:t xml:space="preserve">what </w:t>
      </w:r>
      <w:r w:rsidR="00D70293">
        <w:t>changes should be made</w:t>
      </w:r>
      <w:r w:rsidR="00956D95">
        <w:t xml:space="preserve"> and </w:t>
      </w:r>
      <w:r w:rsidR="00D70293">
        <w:t xml:space="preserve">indicate if there are </w:t>
      </w:r>
      <w:r w:rsidR="00493517">
        <w:t xml:space="preserve">any </w:t>
      </w:r>
      <w:r w:rsidR="00D70293">
        <w:t xml:space="preserve">additional elements that </w:t>
      </w:r>
      <w:r w:rsidR="00493517">
        <w:t xml:space="preserve">you think </w:t>
      </w:r>
      <w:r w:rsidR="00D70293">
        <w:t>should be included</w:t>
      </w:r>
      <w:r w:rsidR="00493517">
        <w:t xml:space="preserve"> in the formula and/</w:t>
      </w:r>
      <w:r w:rsidR="00D70293">
        <w:t>or whether any of the current elements should be removed</w:t>
      </w:r>
      <w:r w:rsidR="00D70293" w:rsidRPr="00D70293">
        <w:t xml:space="preserve"> </w:t>
      </w:r>
      <w:r w:rsidR="00D70293">
        <w:t>from the</w:t>
      </w:r>
      <w:r w:rsidR="00D20E8C">
        <w:t xml:space="preserve"> formula.</w:t>
      </w:r>
    </w:p>
    <w:tbl>
      <w:tblPr>
        <w:tblStyle w:val="TableGrid"/>
        <w:tblW w:w="0" w:type="auto"/>
        <w:tblInd w:w="675" w:type="dxa"/>
        <w:tblLayout w:type="fixed"/>
        <w:tblLook w:val="04A0" w:firstRow="1" w:lastRow="0" w:firstColumn="1" w:lastColumn="0" w:noHBand="0" w:noVBand="1"/>
      </w:tblPr>
      <w:tblGrid>
        <w:gridCol w:w="8789"/>
      </w:tblGrid>
      <w:tr w:rsidR="00D20E8C" w:rsidRPr="00181C5C" w:rsidTr="0012663D">
        <w:trPr>
          <w:cantSplit/>
          <w:trHeight w:val="1134"/>
        </w:trPr>
        <w:tc>
          <w:tcPr>
            <w:tcW w:w="8789" w:type="dxa"/>
          </w:tcPr>
          <w:p w:rsidR="00D20E8C" w:rsidRPr="00181C5C" w:rsidRDefault="00D20E8C" w:rsidP="0012663D">
            <w:pPr>
              <w:pStyle w:val="TableText"/>
              <w:rPr>
                <w:rFonts w:ascii="Georgia" w:hAnsi="Georgia"/>
                <w:sz w:val="20"/>
              </w:rPr>
            </w:pPr>
            <w:r w:rsidRPr="00181C5C">
              <w:rPr>
                <w:rFonts w:ascii="Georgia" w:hAnsi="Georgia"/>
                <w:sz w:val="20"/>
              </w:rPr>
              <w:fldChar w:fldCharType="begin">
                <w:ffData>
                  <w:name w:val="Text2"/>
                  <w:enabled/>
                  <w:calcOnExit w:val="0"/>
                  <w:textInput/>
                </w:ffData>
              </w:fldChar>
            </w:r>
            <w:r w:rsidRPr="00181C5C">
              <w:rPr>
                <w:rFonts w:ascii="Georgia" w:hAnsi="Georgia"/>
                <w:sz w:val="20"/>
              </w:rPr>
              <w:instrText xml:space="preserve"> FORMTEXT </w:instrText>
            </w:r>
            <w:r w:rsidRPr="00181C5C">
              <w:rPr>
                <w:rFonts w:ascii="Georgia" w:hAnsi="Georgia"/>
                <w:sz w:val="20"/>
              </w:rPr>
            </w:r>
            <w:r w:rsidRPr="00181C5C">
              <w:rPr>
                <w:rFonts w:ascii="Georgia" w:hAnsi="Georgia"/>
                <w:sz w:val="20"/>
              </w:rPr>
              <w:fldChar w:fldCharType="separate"/>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sz w:val="20"/>
              </w:rPr>
              <w:fldChar w:fldCharType="end"/>
            </w:r>
          </w:p>
        </w:tc>
      </w:tr>
    </w:tbl>
    <w:p w:rsidR="00956D95" w:rsidRDefault="00956D95" w:rsidP="00181C5C"/>
    <w:p w:rsidR="0051080D" w:rsidRDefault="0051080D" w:rsidP="0051080D">
      <w:pPr>
        <w:pStyle w:val="Heading3"/>
      </w:pPr>
      <w:r w:rsidRPr="00C9524D">
        <w:t>Anything else</w:t>
      </w:r>
      <w:r>
        <w:t>?</w:t>
      </w:r>
    </w:p>
    <w:p w:rsidR="0051080D" w:rsidRDefault="0051080D" w:rsidP="0051080D">
      <w:pPr>
        <w:pStyle w:val="Number"/>
        <w:spacing w:after="120"/>
      </w:pPr>
      <w:r w:rsidRPr="00C9524D">
        <w:t>Is there anything else you would like to tell us about the draft strategy or preventing and minimising gambling harm more generally?</w:t>
      </w:r>
    </w:p>
    <w:tbl>
      <w:tblPr>
        <w:tblStyle w:val="TableGrid"/>
        <w:tblW w:w="0" w:type="auto"/>
        <w:tblInd w:w="675" w:type="dxa"/>
        <w:tblLayout w:type="fixed"/>
        <w:tblLook w:val="04A0" w:firstRow="1" w:lastRow="0" w:firstColumn="1" w:lastColumn="0" w:noHBand="0" w:noVBand="1"/>
      </w:tblPr>
      <w:tblGrid>
        <w:gridCol w:w="8789"/>
      </w:tblGrid>
      <w:tr w:rsidR="0051080D" w:rsidRPr="00181C5C" w:rsidTr="00EF2CCA">
        <w:trPr>
          <w:cantSplit/>
          <w:trHeight w:val="1134"/>
        </w:trPr>
        <w:tc>
          <w:tcPr>
            <w:tcW w:w="8789" w:type="dxa"/>
          </w:tcPr>
          <w:p w:rsidR="0051080D" w:rsidRPr="00181C5C" w:rsidRDefault="0051080D" w:rsidP="00EF2CCA">
            <w:pPr>
              <w:pStyle w:val="TableText"/>
              <w:rPr>
                <w:rFonts w:ascii="Georgia" w:hAnsi="Georgia"/>
                <w:sz w:val="20"/>
              </w:rPr>
            </w:pPr>
            <w:r w:rsidRPr="00181C5C">
              <w:rPr>
                <w:rFonts w:ascii="Georgia" w:hAnsi="Georgia"/>
                <w:sz w:val="20"/>
              </w:rPr>
              <w:fldChar w:fldCharType="begin">
                <w:ffData>
                  <w:name w:val="Text2"/>
                  <w:enabled/>
                  <w:calcOnExit w:val="0"/>
                  <w:textInput/>
                </w:ffData>
              </w:fldChar>
            </w:r>
            <w:r w:rsidRPr="00181C5C">
              <w:rPr>
                <w:rFonts w:ascii="Georgia" w:hAnsi="Georgia"/>
                <w:sz w:val="20"/>
              </w:rPr>
              <w:instrText xml:space="preserve"> FORMTEXT </w:instrText>
            </w:r>
            <w:r w:rsidRPr="00181C5C">
              <w:rPr>
                <w:rFonts w:ascii="Georgia" w:hAnsi="Georgia"/>
                <w:sz w:val="20"/>
              </w:rPr>
            </w:r>
            <w:r w:rsidRPr="00181C5C">
              <w:rPr>
                <w:rFonts w:ascii="Georgia" w:hAnsi="Georgia"/>
                <w:sz w:val="20"/>
              </w:rPr>
              <w:fldChar w:fldCharType="separate"/>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noProof/>
                <w:sz w:val="20"/>
              </w:rPr>
              <w:t> </w:t>
            </w:r>
            <w:r w:rsidRPr="00181C5C">
              <w:rPr>
                <w:rFonts w:ascii="Georgia" w:hAnsi="Georgia"/>
                <w:sz w:val="20"/>
              </w:rPr>
              <w:fldChar w:fldCharType="end"/>
            </w:r>
          </w:p>
        </w:tc>
      </w:tr>
    </w:tbl>
    <w:p w:rsidR="0051080D" w:rsidRDefault="0051080D" w:rsidP="00181C5C"/>
    <w:p w:rsidR="00925F22" w:rsidRDefault="00925F22" w:rsidP="00181C5C">
      <w:r w:rsidRPr="00C9524D">
        <w:t>Thank you for taking the time to provide feedback.</w:t>
      </w:r>
    </w:p>
    <w:p w:rsidR="00CB68A7" w:rsidRPr="00C10A99" w:rsidRDefault="00CB68A7" w:rsidP="00181C5C"/>
    <w:sectPr w:rsidR="00CB68A7" w:rsidRPr="00C10A99" w:rsidSect="00901F12">
      <w:headerReference w:type="even" r:id="rId79"/>
      <w:headerReference w:type="default" r:id="rId80"/>
      <w:footerReference w:type="even" r:id="rId81"/>
      <w:headerReference w:type="first" r:id="rId82"/>
      <w:pgSz w:w="11907" w:h="16834" w:code="9"/>
      <w:pgMar w:top="851" w:right="1134" w:bottom="1134" w:left="1134" w:header="284" w:footer="567" w:gutter="28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CCA" w:rsidRDefault="00EF2CCA">
      <w:pPr>
        <w:spacing w:line="240" w:lineRule="auto"/>
      </w:pPr>
      <w:r>
        <w:separator/>
      </w:r>
    </w:p>
    <w:p w:rsidR="00EF2CCA" w:rsidRDefault="00EF2CCA"/>
  </w:endnote>
  <w:endnote w:type="continuationSeparator" w:id="0">
    <w:p w:rsidR="00EF2CCA" w:rsidRDefault="00EF2CCA">
      <w:pPr>
        <w:spacing w:line="240" w:lineRule="auto"/>
      </w:pPr>
      <w:r>
        <w:continuationSeparator/>
      </w:r>
    </w:p>
    <w:p w:rsidR="00EF2CCA" w:rsidRDefault="00EF2C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Mäo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Pr="00581136" w:rsidRDefault="00EF2CCA" w:rsidP="00F9366A">
    <w:pPr>
      <w:pStyle w:val="Footer"/>
      <w:pBdr>
        <w:bottom w:val="single" w:sz="4" w:space="1" w:color="auto"/>
      </w:pBdr>
      <w:tabs>
        <w:tab w:val="right" w:pos="8504"/>
      </w:tabs>
      <w:ind w:left="-1559"/>
      <w:rPr>
        <w:b/>
      </w:rPr>
    </w:pPr>
    <w:r w:rsidRPr="00581136">
      <w:rPr>
        <w:b/>
      </w:rPr>
      <w:t>Released 201</w:t>
    </w:r>
    <w:r>
      <w:rPr>
        <w:b/>
      </w:rPr>
      <w:t>8</w:t>
    </w:r>
    <w:r w:rsidRPr="00581136">
      <w:rPr>
        <w:b/>
      </w:rPr>
      <w:tab/>
      <w:t>health.govt.nz</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Pr="00D35FB5" w:rsidRDefault="00EF2CCA" w:rsidP="00D35FB5">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0D5C87">
      <w:rPr>
        <w:rStyle w:val="PageNumber"/>
        <w:noProof/>
      </w:rPr>
      <w:t>x</w:t>
    </w:r>
    <w:r w:rsidRPr="00FC46E7">
      <w:rPr>
        <w:rStyle w:val="PageNumber"/>
      </w:rPr>
      <w:fldChar w:fldCharType="end"/>
    </w:r>
    <w:r>
      <w:tab/>
      <w:t>Strategy to Prevent and Minimise Gambling Harm 2019/20 to 2021/22: Consultation document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Pr="00275D08" w:rsidRDefault="00EF2CCA"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0D5C87">
      <w:rPr>
        <w:rStyle w:val="PageNumber"/>
        <w:noProof/>
      </w:rPr>
      <w:t>8</w:t>
    </w:r>
    <w:r w:rsidRPr="00FC46E7">
      <w:rPr>
        <w:rStyle w:val="PageNumber"/>
      </w:rPr>
      <w:fldChar w:fldCharType="end"/>
    </w:r>
    <w:r>
      <w:tab/>
      <w:t>Strategy to Prevent and Minimise Gambling Harm 2019/20 to 2021/22: Consultation document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rsidP="009E3C8C">
    <w:pPr>
      <w:pStyle w:val="RectoFooter"/>
    </w:pPr>
    <w:r>
      <w:tab/>
      <w:t>Strategy to Prevent and Minimise Gambling Harm 2019/20 to 2021/22: Consultation document</w:t>
    </w:r>
    <w:r>
      <w:tab/>
    </w:r>
    <w:r>
      <w:rPr>
        <w:rStyle w:val="PageNumber"/>
      </w:rPr>
      <w:fldChar w:fldCharType="begin"/>
    </w:r>
    <w:r>
      <w:rPr>
        <w:rStyle w:val="PageNumber"/>
      </w:rPr>
      <w:instrText xml:space="preserve"> PAGE </w:instrText>
    </w:r>
    <w:r>
      <w:rPr>
        <w:rStyle w:val="PageNumber"/>
      </w:rPr>
      <w:fldChar w:fldCharType="separate"/>
    </w:r>
    <w:r w:rsidR="000D5C87">
      <w:rPr>
        <w:rStyle w:val="PageNumber"/>
        <w:noProof/>
      </w:rPr>
      <w:t>7</w:t>
    </w:r>
    <w:r>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rsidP="00901F12">
    <w:pPr>
      <w:pStyle w:val="RectoFooter"/>
      <w:tabs>
        <w:tab w:val="clear" w:pos="8647"/>
        <w:tab w:val="clear" w:pos="9356"/>
        <w:tab w:val="right" w:pos="13892"/>
        <w:tab w:val="right" w:pos="14601"/>
      </w:tabs>
    </w:pPr>
    <w:r>
      <w:tab/>
      <w:t>Strategy to Prevent and Minimise Gambling Harm 2019/20 to 2021/22: Consultation document</w:t>
    </w:r>
    <w:r>
      <w:tab/>
    </w:r>
    <w:r>
      <w:rPr>
        <w:rStyle w:val="PageNumber"/>
      </w:rPr>
      <w:fldChar w:fldCharType="begin"/>
    </w:r>
    <w:r>
      <w:rPr>
        <w:rStyle w:val="PageNumber"/>
      </w:rPr>
      <w:instrText xml:space="preserve"> PAGE </w:instrText>
    </w:r>
    <w:r>
      <w:rPr>
        <w:rStyle w:val="PageNumber"/>
      </w:rPr>
      <w:fldChar w:fldCharType="separate"/>
    </w:r>
    <w:r w:rsidR="000D5C87">
      <w:rPr>
        <w:rStyle w:val="PageNumber"/>
        <w:noProof/>
      </w:rPr>
      <w:t>9</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Pr="00275D08" w:rsidRDefault="00EF2CCA"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0D5C87">
      <w:rPr>
        <w:rStyle w:val="PageNumber"/>
        <w:noProof/>
      </w:rPr>
      <w:t>10</w:t>
    </w:r>
    <w:r w:rsidRPr="00FC46E7">
      <w:rPr>
        <w:rStyle w:val="PageNumber"/>
      </w:rPr>
      <w:fldChar w:fldCharType="end"/>
    </w:r>
    <w:r>
      <w:tab/>
      <w:t>Strategy to Prevent and Minimise Gambling Harm 2019/20 to 2021/22: Consultation document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rsidP="009E3C8C">
    <w:pPr>
      <w:pStyle w:val="RectoFooter"/>
    </w:pPr>
    <w:r>
      <w:tab/>
      <w:t>Strategy to Prevent and Minimise Gambling Harm 2019/20 to 2021/22: Consultation document</w:t>
    </w:r>
    <w:r>
      <w:tab/>
    </w:r>
    <w:r>
      <w:rPr>
        <w:rStyle w:val="PageNumber"/>
      </w:rPr>
      <w:fldChar w:fldCharType="begin"/>
    </w:r>
    <w:r>
      <w:rPr>
        <w:rStyle w:val="PageNumber"/>
      </w:rPr>
      <w:instrText xml:space="preserve"> PAGE </w:instrText>
    </w:r>
    <w:r>
      <w:rPr>
        <w:rStyle w:val="PageNumber"/>
      </w:rPr>
      <w:fldChar w:fldCharType="separate"/>
    </w:r>
    <w:r w:rsidR="000D5C87">
      <w:rPr>
        <w:rStyle w:val="PageNumber"/>
        <w:noProof/>
      </w:rPr>
      <w:t>11</w:t>
    </w:r>
    <w:r>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Pr="008E1636" w:rsidRDefault="00EF2CCA" w:rsidP="008E1636">
    <w:pPr>
      <w:pStyle w:val="Footer"/>
      <w:pBdr>
        <w:bottom w:val="none" w:sz="0" w:space="0" w:color="auto"/>
      </w:pBd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Pr="00275D08" w:rsidRDefault="00EF2CCA"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0D5C87">
      <w:rPr>
        <w:rStyle w:val="PageNumber"/>
        <w:noProof/>
      </w:rPr>
      <w:t>74</w:t>
    </w:r>
    <w:r w:rsidRPr="00FC46E7">
      <w:rPr>
        <w:rStyle w:val="PageNumber"/>
      </w:rPr>
      <w:fldChar w:fldCharType="end"/>
    </w:r>
    <w:r>
      <w:tab/>
      <w:t>Strategy to Prevent and Minimise Gambling Harm 2019/20 to 2021/22: Consultation document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Pr="00275D08" w:rsidRDefault="00EF2CCA"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Pr>
        <w:rStyle w:val="PageNumber"/>
        <w:noProof/>
      </w:rPr>
      <w:t>iv</w:t>
    </w:r>
    <w:r w:rsidRPr="00FC46E7">
      <w:rPr>
        <w:rStyle w:val="PageNumber"/>
      </w:rPr>
      <w:fldChar w:fldCharType="end"/>
    </w:r>
    <w:r>
      <w:tab/>
      <w:t>Strategy to Prevent and Minimise Gambling Harm 2019/20 to 2021/22: Consultation document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rsidP="00533B90">
    <w:pPr>
      <w:pStyle w:val="RectoFooter"/>
    </w:pPr>
    <w:r>
      <w:tab/>
      <w:t>Strategy to Prevent and Minimise Gambling Harm 2019/20 to 2021/22: Consultation document</w:t>
    </w:r>
    <w:r>
      <w:tab/>
    </w:r>
    <w:r>
      <w:rPr>
        <w:rStyle w:val="PageNumber"/>
      </w:rPr>
      <w:fldChar w:fldCharType="begin"/>
    </w:r>
    <w:r>
      <w:rPr>
        <w:rStyle w:val="PageNumber"/>
      </w:rPr>
      <w:instrText xml:space="preserve"> PAGE </w:instrText>
    </w:r>
    <w:r>
      <w:rPr>
        <w:rStyle w:val="PageNumber"/>
      </w:rPr>
      <w:fldChar w:fldCharType="separate"/>
    </w:r>
    <w:r w:rsidR="000D5C87">
      <w:rPr>
        <w:rStyle w:val="PageNumber"/>
        <w:noProof/>
      </w:rPr>
      <w:t>iii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Pr="00EC1A59" w:rsidRDefault="00EF2CCA" w:rsidP="00EC1A59">
    <w:pPr>
      <w:pStyle w:val="Footer"/>
      <w:pBdr>
        <w:bottom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Pr="00D35FB5" w:rsidRDefault="00EF2CCA" w:rsidP="00D35FB5">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0D5C87">
      <w:rPr>
        <w:rStyle w:val="PageNumber"/>
        <w:noProof/>
      </w:rPr>
      <w:t>vi</w:t>
    </w:r>
    <w:r w:rsidRPr="00FC46E7">
      <w:rPr>
        <w:rStyle w:val="PageNumber"/>
      </w:rPr>
      <w:fldChar w:fldCharType="end"/>
    </w:r>
    <w:r>
      <w:tab/>
      <w:t>Strategy to Prevent and Minimise Gambling Harm 2019/20 to 2021/22: Consultation document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rsidP="00533B90">
    <w:pPr>
      <w:pStyle w:val="RectoFooter"/>
    </w:pPr>
    <w:r>
      <w:tab/>
      <w:t>Strategy to Prevent and Minimise Gambling Harm 2019/20 to 2021/22: Consultation document</w:t>
    </w:r>
    <w:r>
      <w:tab/>
    </w:r>
    <w:r>
      <w:rPr>
        <w:rStyle w:val="PageNumber"/>
      </w:rPr>
      <w:fldChar w:fldCharType="begin"/>
    </w:r>
    <w:r>
      <w:rPr>
        <w:rStyle w:val="PageNumber"/>
      </w:rPr>
      <w:instrText xml:space="preserve"> PAGE </w:instrText>
    </w:r>
    <w:r>
      <w:rPr>
        <w:rStyle w:val="PageNumber"/>
      </w:rPr>
      <w:fldChar w:fldCharType="separate"/>
    </w:r>
    <w:r w:rsidR="000D5C87">
      <w:rPr>
        <w:rStyle w:val="PageNumber"/>
        <w:noProof/>
      </w:rPr>
      <w:t>ix</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Pr="005C1D13" w:rsidRDefault="00EF2CCA" w:rsidP="005C1D13">
    <w:pPr>
      <w:pStyle w:val="Footer"/>
      <w:pBdr>
        <w:bottom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CCA" w:rsidRPr="00A26E6B" w:rsidRDefault="00EF2CCA" w:rsidP="00A26E6B"/>
  </w:footnote>
  <w:footnote w:type="continuationSeparator" w:id="0">
    <w:p w:rsidR="00EF2CCA" w:rsidRDefault="00EF2CCA">
      <w:pPr>
        <w:spacing w:line="240" w:lineRule="auto"/>
      </w:pPr>
      <w:r>
        <w:continuationSeparator/>
      </w:r>
    </w:p>
    <w:p w:rsidR="00EF2CCA" w:rsidRDefault="00EF2CCA"/>
  </w:footnote>
  <w:footnote w:id="1">
    <w:p w:rsidR="00EF2CCA" w:rsidRDefault="00EF2CCA" w:rsidP="00EC1A59">
      <w:pPr>
        <w:pStyle w:val="FootnoteText"/>
      </w:pPr>
      <w:r w:rsidRPr="00EC1A59">
        <w:rPr>
          <w:rStyle w:val="FootnoteReference"/>
        </w:rPr>
        <w:footnoteRef/>
      </w:r>
      <w:r>
        <w:tab/>
        <w:t>New Zealanders’ Participation in Gambling: Results from the 2016 Health and Lifestyles Survey meta-analysis.</w:t>
      </w:r>
    </w:p>
  </w:footnote>
  <w:footnote w:id="2">
    <w:p w:rsidR="00EF2CCA" w:rsidRDefault="00EF2CCA" w:rsidP="00EC1A59">
      <w:pPr>
        <w:pStyle w:val="FootnoteText"/>
      </w:pPr>
      <w:r w:rsidRPr="00EC1A59">
        <w:rPr>
          <w:rStyle w:val="FootnoteReference"/>
        </w:rPr>
        <w:footnoteRef/>
      </w:r>
      <w:r>
        <w:tab/>
        <w:t xml:space="preserve">Ministry of Health Intervention </w:t>
      </w:r>
      <w:hyperlink r:id="rId1" w:history="1">
        <w:r w:rsidRPr="00D010C3">
          <w:rPr>
            <w:rStyle w:val="Hyperlink"/>
          </w:rPr>
          <w:t>client data website</w:t>
        </w:r>
      </w:hyperlink>
      <w:r>
        <w:t>.</w:t>
      </w:r>
    </w:p>
  </w:footnote>
  <w:footnote w:id="3">
    <w:p w:rsidR="00EF2CCA" w:rsidRDefault="00EF2CCA" w:rsidP="008E205A">
      <w:pPr>
        <w:pStyle w:val="FootnoteText"/>
      </w:pPr>
      <w:r w:rsidRPr="008E205A">
        <w:rPr>
          <w:rStyle w:val="FootnoteReference"/>
          <w:rFonts w:eastAsiaTheme="majorEastAsia"/>
        </w:rPr>
        <w:footnoteRef/>
      </w:r>
      <w:r>
        <w:tab/>
        <w:t>In this context, ‘the gambling sector’ includes commercial and non-commercial gambling operators (including the New Zealand Racing Board and the New Zealand Lotteries Commission), member associations such as Clubs New Zealand Inc. and Hospitality New Zealand, operators of gambling venues (including publicans and operators of retail outlets), providers of services to prevent and minimise gambling harm and gambling researchers.</w:t>
      </w:r>
    </w:p>
  </w:footnote>
  <w:footnote w:id="4">
    <w:p w:rsidR="00EF2CCA" w:rsidRDefault="00EF2CCA" w:rsidP="00901F12">
      <w:pPr>
        <w:pStyle w:val="FootnoteText"/>
      </w:pPr>
      <w:r w:rsidRPr="00901F12">
        <w:rPr>
          <w:rStyle w:val="FootnoteReference"/>
        </w:rPr>
        <w:footnoteRef/>
      </w:r>
      <w:r>
        <w:tab/>
        <w:t>The estimates have been produced through the HLS – Gambling module and the NGS, which are both funded by the Ministry through the gambling levy.</w:t>
      </w:r>
    </w:p>
  </w:footnote>
  <w:footnote w:id="5">
    <w:p w:rsidR="00EF2CCA" w:rsidRDefault="00EF2CCA" w:rsidP="00081C46">
      <w:pPr>
        <w:pStyle w:val="FootnoteText"/>
      </w:pPr>
      <w:r w:rsidRPr="00081C46">
        <w:rPr>
          <w:rStyle w:val="FootnoteReference"/>
        </w:rPr>
        <w:footnoteRef/>
      </w:r>
      <w:r>
        <w:tab/>
      </w:r>
      <w:r w:rsidRPr="00A24580">
        <w:t>www.choicenotchance.org.nz/the-latest-campaign</w:t>
      </w:r>
    </w:p>
  </w:footnote>
  <w:footnote w:id="6">
    <w:p w:rsidR="00EF2CCA" w:rsidRDefault="00EF2CCA" w:rsidP="0088653D">
      <w:pPr>
        <w:pStyle w:val="FootnoteText"/>
      </w:pPr>
      <w:r w:rsidRPr="0088653D">
        <w:rPr>
          <w:rStyle w:val="FootnoteReference"/>
        </w:rPr>
        <w:footnoteRef/>
      </w:r>
      <w:r>
        <w:rPr>
          <w:b/>
        </w:rPr>
        <w:tab/>
      </w:r>
      <w:r w:rsidRPr="00D84F8C">
        <w:rPr>
          <w:b/>
        </w:rPr>
        <w:t>R</w:t>
      </w:r>
      <w:r>
        <w:t xml:space="preserve"> was added to the formula by section 107 of the </w:t>
      </w:r>
      <w:r w:rsidRPr="00CA7477">
        <w:t xml:space="preserve">Gambling Amendment </w:t>
      </w:r>
      <w:r>
        <w:t>Act 2015, which came into effect on 3 March 2015.</w:t>
      </w:r>
    </w:p>
  </w:footnote>
  <w:footnote w:id="7">
    <w:p w:rsidR="00EF2CCA" w:rsidRPr="00125B7B" w:rsidRDefault="00EF2CCA" w:rsidP="00CB68A7">
      <w:pPr>
        <w:pStyle w:val="FootnoteText"/>
        <w:spacing w:before="0" w:line="240" w:lineRule="auto"/>
      </w:pPr>
      <w:r w:rsidRPr="00003C3D">
        <w:rPr>
          <w:rStyle w:val="FootnoteReference"/>
        </w:rPr>
        <w:footnoteRef/>
      </w:r>
      <w:r>
        <w:tab/>
      </w:r>
      <w:r w:rsidRPr="00125B7B">
        <w:t xml:space="preserve">IRD provides gaming duty and problem gambling levy data to </w:t>
      </w:r>
      <w:r>
        <w:t xml:space="preserve">the </w:t>
      </w:r>
      <w:r w:rsidRPr="00125B7B">
        <w:t xml:space="preserve">DIA. The Tax Administration Act 1994 requires </w:t>
      </w:r>
      <w:r>
        <w:t>the IRD</w:t>
      </w:r>
      <w:r w:rsidRPr="00125B7B">
        <w:t xml:space="preserve"> to use </w:t>
      </w:r>
      <w:r>
        <w:t>its</w:t>
      </w:r>
      <w:r w:rsidRPr="00125B7B">
        <w:t xml:space="preserve"> best endeavours to protect the integrity of the tax system</w:t>
      </w:r>
      <w:r>
        <w:t xml:space="preserve"> by (among other things) </w:t>
      </w:r>
      <w:r w:rsidRPr="00125B7B">
        <w:t>maintain</w:t>
      </w:r>
      <w:r>
        <w:t>ing</w:t>
      </w:r>
      <w:r w:rsidRPr="00125B7B">
        <w:t xml:space="preserve"> the confidentiality of the affairs of taxpayers.</w:t>
      </w:r>
    </w:p>
  </w:footnote>
  <w:footnote w:id="8">
    <w:p w:rsidR="00EF2CCA" w:rsidRDefault="00EF2CCA" w:rsidP="00D61CE9">
      <w:pPr>
        <w:pStyle w:val="FootnoteText"/>
      </w:pPr>
      <w:r w:rsidRPr="00D61CE9">
        <w:rPr>
          <w:rStyle w:val="FootnoteReference"/>
        </w:rPr>
        <w:footnoteRef/>
      </w:r>
      <w:r>
        <w:tab/>
      </w:r>
      <w:hyperlink r:id="rId2" w:history="1">
        <w:r w:rsidRPr="0041634D">
          <w:rPr>
            <w:rStyle w:val="Hyperlink"/>
          </w:rPr>
          <w:t>www.dia.govt.nz/diawebsite.nsf/wpg_URL/Resource-material-Information-We-Provide-Summary-of-Venues-and-Numbers-by-Territorial-AuthorityDistrict</w:t>
        </w:r>
      </w:hyperlink>
      <w:r>
        <w:t xml:space="preserve"> (accessed 10 June 2018).</w:t>
      </w:r>
    </w:p>
  </w:footnote>
  <w:footnote w:id="9">
    <w:p w:rsidR="00EF2CCA" w:rsidRDefault="00EF2CCA" w:rsidP="00D61CE9">
      <w:pPr>
        <w:pStyle w:val="FootnoteText"/>
      </w:pPr>
      <w:r w:rsidRPr="00D61CE9">
        <w:rPr>
          <w:rStyle w:val="FootnoteReference"/>
        </w:rPr>
        <w:footnoteRef/>
      </w:r>
      <w:r>
        <w:tab/>
      </w:r>
      <w:hyperlink r:id="rId3" w:history="1">
        <w:r w:rsidRPr="0041634D">
          <w:rPr>
            <w:rStyle w:val="Hyperlink"/>
          </w:rPr>
          <w:t>www.dia.govt.nz/diawebsite.nsf/wpg_URL/Resource-material-Information-We-Provide-Gambling-Expenditure-Statistics</w:t>
        </w:r>
      </w:hyperlink>
      <w:r>
        <w:t xml:space="preserve"> (accessed 10 June 2018).</w:t>
      </w:r>
    </w:p>
  </w:footnote>
  <w:footnote w:id="10">
    <w:p w:rsidR="00EF2CCA" w:rsidRDefault="00EF2CCA" w:rsidP="00BA7A29">
      <w:pPr>
        <w:pStyle w:val="FootnoteText"/>
      </w:pPr>
      <w:r w:rsidRPr="00BA7A29">
        <w:rPr>
          <w:rStyle w:val="FootnoteReference"/>
        </w:rPr>
        <w:footnoteRef/>
      </w:r>
      <w:r>
        <w:tab/>
        <w:t>An expense transfer makes money that was appropriated for a particular purpose in a particular financial year, but that was not spent in that year, available for spending on that purpose in a future financial year.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rsidP="009216CC">
    <w:pPr>
      <w:pStyle w:val="Header"/>
      <w:ind w:left="-1559"/>
    </w:pPr>
    <w:r>
      <w:rPr>
        <w:noProof/>
        <w:lang w:eastAsia="en-NZ"/>
      </w:rPr>
      <w:drawing>
        <wp:inline distT="0" distB="0" distL="0" distR="0" wp14:anchorId="70309159" wp14:editId="12450230">
          <wp:extent cx="6467302" cy="534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banner-final.jpg"/>
                  <pic:cNvPicPr/>
                </pic:nvPicPr>
                <pic:blipFill>
                  <a:blip r:embed="rId1">
                    <a:extLst>
                      <a:ext uri="{28A0092B-C50C-407E-A947-70E740481C1C}">
                        <a14:useLocalDpi xmlns:a14="http://schemas.microsoft.com/office/drawing/2010/main" val="0"/>
                      </a:ext>
                    </a:extLst>
                  </a:blip>
                  <a:stretch>
                    <a:fillRect/>
                  </a:stretch>
                </pic:blipFill>
                <pic:spPr>
                  <a:xfrm>
                    <a:off x="0" y="0"/>
                    <a:ext cx="6465795" cy="534507"/>
                  </a:xfrm>
                  <a:prstGeom prst="rect">
                    <a:avLst/>
                  </a:prstGeom>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rsidP="00533B9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rsidP="0090019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CA" w:rsidRDefault="00EF2C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85E61"/>
    <w:multiLevelType w:val="multilevel"/>
    <w:tmpl w:val="F29A9248"/>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08EB467D"/>
    <w:multiLevelType w:val="hybridMultilevel"/>
    <w:tmpl w:val="B9C4407C"/>
    <w:lvl w:ilvl="0" w:tplc="7C8C65A6">
      <w:start w:val="1"/>
      <w:numFmt w:val="decimal"/>
      <w:lvlText w:val="%1."/>
      <w:lvlJc w:val="left"/>
      <w:pPr>
        <w:tabs>
          <w:tab w:val="num" w:pos="567"/>
        </w:tabs>
        <w:ind w:left="567" w:hanging="567"/>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15:restartNumberingAfterBreak="0">
    <w:nsid w:val="0B2E250E"/>
    <w:multiLevelType w:val="hybridMultilevel"/>
    <w:tmpl w:val="78F6155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B600DA2"/>
    <w:multiLevelType w:val="hybridMultilevel"/>
    <w:tmpl w:val="7908B5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E2C575B"/>
    <w:multiLevelType w:val="hybridMultilevel"/>
    <w:tmpl w:val="0AC8ED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86F01BE"/>
    <w:multiLevelType w:val="hybridMultilevel"/>
    <w:tmpl w:val="E8EC256C"/>
    <w:lvl w:ilvl="0" w:tplc="14090001">
      <w:start w:val="1"/>
      <w:numFmt w:val="bullet"/>
      <w:lvlText w:val=""/>
      <w:lvlJc w:val="left"/>
      <w:pPr>
        <w:ind w:left="644" w:hanging="360"/>
      </w:pPr>
      <w:rPr>
        <w:rFonts w:ascii="Symbol" w:hAnsi="Symbol" w:hint="default"/>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7" w15:restartNumberingAfterBreak="0">
    <w:nsid w:val="1E223A0A"/>
    <w:multiLevelType w:val="hybridMultilevel"/>
    <w:tmpl w:val="A6C8C5DE"/>
    <w:lvl w:ilvl="0" w:tplc="9B20991E">
      <w:numFmt w:val="bullet"/>
      <w:lvlText w:val="-"/>
      <w:lvlJc w:val="left"/>
      <w:pPr>
        <w:ind w:left="720" w:hanging="360"/>
      </w:pPr>
      <w:rPr>
        <w:rFonts w:ascii="Georgia" w:eastAsia="Times New Roman" w:hAnsi="Georgia" w:cs="Times New Roman"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F4C62C5"/>
    <w:multiLevelType w:val="hybridMultilevel"/>
    <w:tmpl w:val="F4DAD8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3DC7796"/>
    <w:multiLevelType w:val="multilevel"/>
    <w:tmpl w:val="D856EB12"/>
    <w:lvl w:ilvl="0">
      <w:start w:val="1"/>
      <w:numFmt w:val="decimal"/>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E23296D"/>
    <w:multiLevelType w:val="hybridMultilevel"/>
    <w:tmpl w:val="BC36DE6C"/>
    <w:lvl w:ilvl="0" w:tplc="576402EE">
      <w:start w:val="1"/>
      <w:numFmt w:val="decimal"/>
      <w:lvlText w:val="%1."/>
      <w:lvlJc w:val="left"/>
      <w:pPr>
        <w:ind w:left="1080" w:hanging="720"/>
      </w:pPr>
      <w:rPr>
        <w:rFonts w:hint="default"/>
      </w:rPr>
    </w:lvl>
    <w:lvl w:ilvl="1" w:tplc="CBA4F608">
      <w:start w:val="1"/>
      <w:numFmt w:val="decimal"/>
      <w:lvlText w:val="1.%2"/>
      <w:lvlJc w:val="lef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F3F45B5"/>
    <w:multiLevelType w:val="hybridMultilevel"/>
    <w:tmpl w:val="FEF45C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F7736F2"/>
    <w:multiLevelType w:val="hybridMultilevel"/>
    <w:tmpl w:val="EB20CF5C"/>
    <w:lvl w:ilvl="0" w:tplc="BA467E46">
      <w:start w:val="1"/>
      <w:numFmt w:val="decimal"/>
      <w:lvlText w:val="%1."/>
      <w:lvlJc w:val="left"/>
      <w:pPr>
        <w:tabs>
          <w:tab w:val="num" w:pos="567"/>
        </w:tabs>
        <w:ind w:left="567" w:hanging="567"/>
      </w:pPr>
      <w:rPr>
        <w:b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3" w15:restartNumberingAfterBreak="0">
    <w:nsid w:val="36C43A02"/>
    <w:multiLevelType w:val="multilevel"/>
    <w:tmpl w:val="A956BDD8"/>
    <w:lvl w:ilvl="0">
      <w:start w:val="1"/>
      <w:numFmt w:val="decimal"/>
      <w:lvlText w:val="%1"/>
      <w:lvlJc w:val="left"/>
      <w:pPr>
        <w:ind w:left="360" w:hanging="360"/>
      </w:pPr>
      <w:rPr>
        <w:rFonts w:hint="default"/>
        <w:i w:val="0"/>
      </w:rPr>
    </w:lvl>
    <w:lvl w:ilvl="1">
      <w:start w:val="1"/>
      <w:numFmt w:val="decimal"/>
      <w:lvlText w:val="%1.%2"/>
      <w:lvlJc w:val="left"/>
      <w:pPr>
        <w:ind w:left="716"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7E3356C"/>
    <w:multiLevelType w:val="hybridMultilevel"/>
    <w:tmpl w:val="BCD026E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B757D4"/>
    <w:multiLevelType w:val="hybridMultilevel"/>
    <w:tmpl w:val="66A8AD8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7" w15:restartNumberingAfterBreak="0">
    <w:nsid w:val="3DCC69C7"/>
    <w:multiLevelType w:val="multilevel"/>
    <w:tmpl w:val="AD645EFC"/>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8" w15:restartNumberingAfterBreak="0">
    <w:nsid w:val="3FA728A2"/>
    <w:multiLevelType w:val="hybridMultilevel"/>
    <w:tmpl w:val="2BCA3D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125288"/>
    <w:multiLevelType w:val="hybridMultilevel"/>
    <w:tmpl w:val="C8A867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0A05674"/>
    <w:multiLevelType w:val="hybridMultilevel"/>
    <w:tmpl w:val="B10471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0FA4174"/>
    <w:multiLevelType w:val="hybridMultilevel"/>
    <w:tmpl w:val="7A2C46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8A04425"/>
    <w:multiLevelType w:val="hybridMultilevel"/>
    <w:tmpl w:val="058C25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9887ECB"/>
    <w:multiLevelType w:val="hybridMultilevel"/>
    <w:tmpl w:val="2DD484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AA10F27"/>
    <w:multiLevelType w:val="hybridMultilevel"/>
    <w:tmpl w:val="051095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55547B8"/>
    <w:multiLevelType w:val="multilevel"/>
    <w:tmpl w:val="48B0E7AA"/>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Number"/>
      <w:lvlText w:val="%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7EF1A71"/>
    <w:multiLevelType w:val="hybridMultilevel"/>
    <w:tmpl w:val="CFEA038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29" w15:restartNumberingAfterBreak="0">
    <w:nsid w:val="69A22F76"/>
    <w:multiLevelType w:val="multilevel"/>
    <w:tmpl w:val="0608DB3C"/>
    <w:lvl w:ilvl="0">
      <w:start w:val="4"/>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30" w15:restartNumberingAfterBreak="0">
    <w:nsid w:val="74BC301C"/>
    <w:multiLevelType w:val="hybridMultilevel"/>
    <w:tmpl w:val="B32E79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5633B33"/>
    <w:multiLevelType w:val="hybridMultilevel"/>
    <w:tmpl w:val="C4F8F482"/>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6B0055C"/>
    <w:multiLevelType w:val="hybridMultilevel"/>
    <w:tmpl w:val="2C8AF79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76FA3217"/>
    <w:multiLevelType w:val="hybridMultilevel"/>
    <w:tmpl w:val="C9124E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7A37DD6"/>
    <w:multiLevelType w:val="hybridMultilevel"/>
    <w:tmpl w:val="85EC45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819175B"/>
    <w:multiLevelType w:val="hybridMultilevel"/>
    <w:tmpl w:val="7D2C7D7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6" w15:restartNumberingAfterBreak="0">
    <w:nsid w:val="789674C5"/>
    <w:multiLevelType w:val="hybridMultilevel"/>
    <w:tmpl w:val="ED6C0940"/>
    <w:lvl w:ilvl="0" w:tplc="ACBAF080">
      <w:start w:val="1"/>
      <w:numFmt w:val="decimal"/>
      <w:lvlText w:val="%1."/>
      <w:lvlJc w:val="left"/>
      <w:pPr>
        <w:ind w:left="360" w:hanging="360"/>
      </w:pPr>
      <w:rPr>
        <w:rFonts w:ascii="Arial" w:hAnsi="Arial" w:cs="Arial" w:hint="default"/>
      </w:rPr>
    </w:lvl>
    <w:lvl w:ilvl="1" w:tplc="14090001">
      <w:start w:val="1"/>
      <w:numFmt w:val="bullet"/>
      <w:lvlText w:val=""/>
      <w:lvlJc w:val="left"/>
      <w:pPr>
        <w:ind w:left="1080" w:hanging="360"/>
      </w:pPr>
      <w:rPr>
        <w:rFonts w:ascii="Symbol" w:hAnsi="Symbol" w:hint="default"/>
      </w:r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37" w15:restartNumberingAfterBreak="0">
    <w:nsid w:val="78DE398D"/>
    <w:multiLevelType w:val="hybridMultilevel"/>
    <w:tmpl w:val="3702AE4C"/>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38"/>
  </w:num>
  <w:num w:numId="2">
    <w:abstractNumId w:val="28"/>
  </w:num>
  <w:num w:numId="3">
    <w:abstractNumId w:val="15"/>
  </w:num>
  <w:num w:numId="4">
    <w:abstractNumId w:val="19"/>
  </w:num>
  <w:num w:numId="5">
    <w:abstractNumId w:val="1"/>
  </w:num>
  <w:num w:numId="6">
    <w:abstractNumId w:val="9"/>
  </w:num>
  <w:num w:numId="7">
    <w:abstractNumId w:val="14"/>
  </w:num>
  <w:num w:numId="8">
    <w:abstractNumId w:val="33"/>
  </w:num>
  <w:num w:numId="9">
    <w:abstractNumId w:val="32"/>
  </w:num>
  <w:num w:numId="10">
    <w:abstractNumId w:val="22"/>
  </w:num>
  <w:num w:numId="11">
    <w:abstractNumId w:val="27"/>
  </w:num>
  <w:num w:numId="12">
    <w:abstractNumId w:val="34"/>
  </w:num>
  <w:num w:numId="13">
    <w:abstractNumId w:val="21"/>
  </w:num>
  <w:num w:numId="14">
    <w:abstractNumId w:val="24"/>
  </w:num>
  <w:num w:numId="15">
    <w:abstractNumId w:val="20"/>
  </w:num>
  <w:num w:numId="16">
    <w:abstractNumId w:val="11"/>
  </w:num>
  <w:num w:numId="17">
    <w:abstractNumId w:val="5"/>
  </w:num>
  <w:num w:numId="18">
    <w:abstractNumId w:val="36"/>
  </w:num>
  <w:num w:numId="19">
    <w:abstractNumId w:val="4"/>
  </w:num>
  <w:num w:numId="20">
    <w:abstractNumId w:val="25"/>
  </w:num>
  <w:num w:numId="21">
    <w:abstractNumId w:val="8"/>
  </w:num>
  <w:num w:numId="22">
    <w:abstractNumId w:val="3"/>
  </w:num>
  <w:num w:numId="23">
    <w:abstractNumId w:val="18"/>
  </w:num>
  <w:num w:numId="24">
    <w:abstractNumId w:val="30"/>
  </w:num>
  <w:num w:numId="25">
    <w:abstractNumId w:val="10"/>
  </w:num>
  <w:num w:numId="26">
    <w:abstractNumId w:val="0"/>
  </w:num>
  <w:num w:numId="27">
    <w:abstractNumId w:val="17"/>
  </w:num>
  <w:num w:numId="28">
    <w:abstractNumId w:val="29"/>
  </w:num>
  <w:num w:numId="29">
    <w:abstractNumId w:val="12"/>
  </w:num>
  <w:num w:numId="30">
    <w:abstractNumId w:val="2"/>
  </w:num>
  <w:num w:numId="31">
    <w:abstractNumId w:val="16"/>
  </w:num>
  <w:num w:numId="32">
    <w:abstractNumId w:val="23"/>
  </w:num>
  <w:num w:numId="33">
    <w:abstractNumId w:val="31"/>
  </w:num>
  <w:num w:numId="34">
    <w:abstractNumId w:val="26"/>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num>
  <w:num w:numId="37">
    <w:abstractNumId w:val="35"/>
  </w:num>
  <w:num w:numId="38">
    <w:abstractNumId w:val="13"/>
  </w:num>
  <w:num w:numId="39">
    <w:abstractNumId w:val="26"/>
  </w:num>
  <w:num w:numId="40">
    <w:abstractNumId w:val="6"/>
  </w:num>
  <w:num w:numId="41">
    <w:abstractNumId w:val="26"/>
  </w:num>
  <w:num w:numId="42">
    <w:abstractNumId w:val="26"/>
  </w:num>
  <w:num w:numId="43">
    <w:abstractNumId w:val="26"/>
  </w:num>
  <w:num w:numId="44">
    <w:abstractNumId w:val="7"/>
  </w:num>
  <w:num w:numId="45">
    <w:abstractNumId w:val="26"/>
  </w:num>
  <w:num w:numId="46">
    <w:abstractNumId w:val="3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C78EB"/>
    <w:rsid w:val="00025A6F"/>
    <w:rsid w:val="00030B26"/>
    <w:rsid w:val="00032C0A"/>
    <w:rsid w:val="00034881"/>
    <w:rsid w:val="00035257"/>
    <w:rsid w:val="00035286"/>
    <w:rsid w:val="00051B53"/>
    <w:rsid w:val="0006228D"/>
    <w:rsid w:val="00072BD6"/>
    <w:rsid w:val="00075B78"/>
    <w:rsid w:val="00081C46"/>
    <w:rsid w:val="00082CD6"/>
    <w:rsid w:val="00085AFE"/>
    <w:rsid w:val="00091C98"/>
    <w:rsid w:val="00094800"/>
    <w:rsid w:val="000A701A"/>
    <w:rsid w:val="000A71B9"/>
    <w:rsid w:val="000B0730"/>
    <w:rsid w:val="000D5C87"/>
    <w:rsid w:val="000E182D"/>
    <w:rsid w:val="000E397F"/>
    <w:rsid w:val="000E6FA7"/>
    <w:rsid w:val="000F2AE2"/>
    <w:rsid w:val="00102063"/>
    <w:rsid w:val="0010541C"/>
    <w:rsid w:val="00106F93"/>
    <w:rsid w:val="00111D50"/>
    <w:rsid w:val="00113B8E"/>
    <w:rsid w:val="00122363"/>
    <w:rsid w:val="0012663D"/>
    <w:rsid w:val="001342C7"/>
    <w:rsid w:val="0013585C"/>
    <w:rsid w:val="0014264F"/>
    <w:rsid w:val="00142954"/>
    <w:rsid w:val="001460E0"/>
    <w:rsid w:val="00147F71"/>
    <w:rsid w:val="00150A6E"/>
    <w:rsid w:val="00164057"/>
    <w:rsid w:val="0016468A"/>
    <w:rsid w:val="00170A80"/>
    <w:rsid w:val="00174E84"/>
    <w:rsid w:val="00181C5C"/>
    <w:rsid w:val="0018208E"/>
    <w:rsid w:val="001A21B4"/>
    <w:rsid w:val="001A5CF5"/>
    <w:rsid w:val="001B2412"/>
    <w:rsid w:val="001B39D2"/>
    <w:rsid w:val="001B4BF8"/>
    <w:rsid w:val="001C4326"/>
    <w:rsid w:val="001C71D3"/>
    <w:rsid w:val="001D3541"/>
    <w:rsid w:val="001F1CB6"/>
    <w:rsid w:val="001F45A7"/>
    <w:rsid w:val="00201A01"/>
    <w:rsid w:val="00206143"/>
    <w:rsid w:val="002104D3"/>
    <w:rsid w:val="00213A33"/>
    <w:rsid w:val="0021763B"/>
    <w:rsid w:val="00246DB1"/>
    <w:rsid w:val="002476B5"/>
    <w:rsid w:val="00253ECF"/>
    <w:rsid w:val="002546A1"/>
    <w:rsid w:val="00267262"/>
    <w:rsid w:val="00275D08"/>
    <w:rsid w:val="002858E3"/>
    <w:rsid w:val="00287C6E"/>
    <w:rsid w:val="0029190A"/>
    <w:rsid w:val="00292C5A"/>
    <w:rsid w:val="00294F78"/>
    <w:rsid w:val="00295241"/>
    <w:rsid w:val="002A0B8C"/>
    <w:rsid w:val="002A408B"/>
    <w:rsid w:val="002A4DFC"/>
    <w:rsid w:val="002B047D"/>
    <w:rsid w:val="002B732B"/>
    <w:rsid w:val="002C2219"/>
    <w:rsid w:val="002D0DF2"/>
    <w:rsid w:val="002D23BD"/>
    <w:rsid w:val="002E0B47"/>
    <w:rsid w:val="002F096D"/>
    <w:rsid w:val="002F7213"/>
    <w:rsid w:val="0030382F"/>
    <w:rsid w:val="0030408D"/>
    <w:rsid w:val="003060E4"/>
    <w:rsid w:val="003160E7"/>
    <w:rsid w:val="00316294"/>
    <w:rsid w:val="0031700C"/>
    <w:rsid w:val="0031739E"/>
    <w:rsid w:val="003325AB"/>
    <w:rsid w:val="003332D1"/>
    <w:rsid w:val="0033412B"/>
    <w:rsid w:val="00343365"/>
    <w:rsid w:val="00343752"/>
    <w:rsid w:val="00353501"/>
    <w:rsid w:val="003541F1"/>
    <w:rsid w:val="00355F7E"/>
    <w:rsid w:val="003606F8"/>
    <w:rsid w:val="003648EF"/>
    <w:rsid w:val="003673E6"/>
    <w:rsid w:val="00377264"/>
    <w:rsid w:val="003779D2"/>
    <w:rsid w:val="003824E9"/>
    <w:rsid w:val="00390525"/>
    <w:rsid w:val="003A0F2A"/>
    <w:rsid w:val="003A26A5"/>
    <w:rsid w:val="003A3761"/>
    <w:rsid w:val="003A5FEA"/>
    <w:rsid w:val="003B1D10"/>
    <w:rsid w:val="003B6A3A"/>
    <w:rsid w:val="003C1D5B"/>
    <w:rsid w:val="003C76D4"/>
    <w:rsid w:val="003D137D"/>
    <w:rsid w:val="003D2CC5"/>
    <w:rsid w:val="003E79B2"/>
    <w:rsid w:val="003E7C46"/>
    <w:rsid w:val="003F2106"/>
    <w:rsid w:val="003F52A7"/>
    <w:rsid w:val="003F6B4A"/>
    <w:rsid w:val="0040240C"/>
    <w:rsid w:val="00412A3E"/>
    <w:rsid w:val="00413021"/>
    <w:rsid w:val="00413AB0"/>
    <w:rsid w:val="00425670"/>
    <w:rsid w:val="00437471"/>
    <w:rsid w:val="00440BE0"/>
    <w:rsid w:val="00442C1C"/>
    <w:rsid w:val="0044584B"/>
    <w:rsid w:val="00447CB7"/>
    <w:rsid w:val="0045444C"/>
    <w:rsid w:val="004546D4"/>
    <w:rsid w:val="00455CC9"/>
    <w:rsid w:val="00460826"/>
    <w:rsid w:val="00460EA7"/>
    <w:rsid w:val="0046195B"/>
    <w:rsid w:val="0046596D"/>
    <w:rsid w:val="0046603B"/>
    <w:rsid w:val="00487C04"/>
    <w:rsid w:val="004907E1"/>
    <w:rsid w:val="00493517"/>
    <w:rsid w:val="004A035B"/>
    <w:rsid w:val="004A0A4D"/>
    <w:rsid w:val="004A2108"/>
    <w:rsid w:val="004A38D7"/>
    <w:rsid w:val="004A5731"/>
    <w:rsid w:val="004A778C"/>
    <w:rsid w:val="004A7AF3"/>
    <w:rsid w:val="004C2E6A"/>
    <w:rsid w:val="004C64B8"/>
    <w:rsid w:val="004D2A2D"/>
    <w:rsid w:val="004D6689"/>
    <w:rsid w:val="004E1D1D"/>
    <w:rsid w:val="004E7AC8"/>
    <w:rsid w:val="004F0C94"/>
    <w:rsid w:val="00501201"/>
    <w:rsid w:val="005019AE"/>
    <w:rsid w:val="00503749"/>
    <w:rsid w:val="00504CF4"/>
    <w:rsid w:val="0050635B"/>
    <w:rsid w:val="0051080D"/>
    <w:rsid w:val="0051304C"/>
    <w:rsid w:val="005142BD"/>
    <w:rsid w:val="005151C2"/>
    <w:rsid w:val="0053199F"/>
    <w:rsid w:val="0053369D"/>
    <w:rsid w:val="00533B90"/>
    <w:rsid w:val="005410F8"/>
    <w:rsid w:val="00544734"/>
    <w:rsid w:val="005448EC"/>
    <w:rsid w:val="00544BE0"/>
    <w:rsid w:val="00545963"/>
    <w:rsid w:val="00550256"/>
    <w:rsid w:val="00553958"/>
    <w:rsid w:val="0055763D"/>
    <w:rsid w:val="005621F2"/>
    <w:rsid w:val="00567B58"/>
    <w:rsid w:val="005754D6"/>
    <w:rsid w:val="005763E0"/>
    <w:rsid w:val="00577DCD"/>
    <w:rsid w:val="00581136"/>
    <w:rsid w:val="005A09CE"/>
    <w:rsid w:val="005A27CA"/>
    <w:rsid w:val="005A43BD"/>
    <w:rsid w:val="005C1D13"/>
    <w:rsid w:val="005E226E"/>
    <w:rsid w:val="005E2636"/>
    <w:rsid w:val="005F7726"/>
    <w:rsid w:val="006015D7"/>
    <w:rsid w:val="00601B21"/>
    <w:rsid w:val="006041F0"/>
    <w:rsid w:val="00624174"/>
    <w:rsid w:val="006243D9"/>
    <w:rsid w:val="00626CF8"/>
    <w:rsid w:val="00634ED8"/>
    <w:rsid w:val="006350A0"/>
    <w:rsid w:val="00636D7D"/>
    <w:rsid w:val="00637408"/>
    <w:rsid w:val="00642868"/>
    <w:rsid w:val="00647AFE"/>
    <w:rsid w:val="006512BC"/>
    <w:rsid w:val="00653A5A"/>
    <w:rsid w:val="006575F4"/>
    <w:rsid w:val="006579E6"/>
    <w:rsid w:val="00663EDC"/>
    <w:rsid w:val="00671078"/>
    <w:rsid w:val="006758CA"/>
    <w:rsid w:val="00680A04"/>
    <w:rsid w:val="00686D80"/>
    <w:rsid w:val="00694895"/>
    <w:rsid w:val="00697C65"/>
    <w:rsid w:val="00697E2E"/>
    <w:rsid w:val="006A25A2"/>
    <w:rsid w:val="006A3B38"/>
    <w:rsid w:val="006A6E63"/>
    <w:rsid w:val="006B0E73"/>
    <w:rsid w:val="006B4A4D"/>
    <w:rsid w:val="006B5695"/>
    <w:rsid w:val="006C71D8"/>
    <w:rsid w:val="006C78EB"/>
    <w:rsid w:val="006D1660"/>
    <w:rsid w:val="006D3130"/>
    <w:rsid w:val="006F1B67"/>
    <w:rsid w:val="006F34B4"/>
    <w:rsid w:val="0070091D"/>
    <w:rsid w:val="00702854"/>
    <w:rsid w:val="0071741C"/>
    <w:rsid w:val="007242E5"/>
    <w:rsid w:val="00742B90"/>
    <w:rsid w:val="0074434D"/>
    <w:rsid w:val="00760D09"/>
    <w:rsid w:val="00771B1E"/>
    <w:rsid w:val="00772F77"/>
    <w:rsid w:val="00773C95"/>
    <w:rsid w:val="00775592"/>
    <w:rsid w:val="0078171E"/>
    <w:rsid w:val="0079566E"/>
    <w:rsid w:val="00795B34"/>
    <w:rsid w:val="007B1770"/>
    <w:rsid w:val="007B4D3E"/>
    <w:rsid w:val="007B7C70"/>
    <w:rsid w:val="007C5A86"/>
    <w:rsid w:val="007D2151"/>
    <w:rsid w:val="007D3757"/>
    <w:rsid w:val="007D3B90"/>
    <w:rsid w:val="007D42CC"/>
    <w:rsid w:val="007D5DE4"/>
    <w:rsid w:val="007E0777"/>
    <w:rsid w:val="007E1341"/>
    <w:rsid w:val="007E1B41"/>
    <w:rsid w:val="007E1EC4"/>
    <w:rsid w:val="007E30B9"/>
    <w:rsid w:val="007E74F1"/>
    <w:rsid w:val="007F0F0C"/>
    <w:rsid w:val="007F1288"/>
    <w:rsid w:val="00800A8A"/>
    <w:rsid w:val="0080155C"/>
    <w:rsid w:val="008052E1"/>
    <w:rsid w:val="00821EC0"/>
    <w:rsid w:val="00822F2C"/>
    <w:rsid w:val="008305E8"/>
    <w:rsid w:val="00844C9C"/>
    <w:rsid w:val="00850F55"/>
    <w:rsid w:val="00860826"/>
    <w:rsid w:val="00860E21"/>
    <w:rsid w:val="00863117"/>
    <w:rsid w:val="0086388B"/>
    <w:rsid w:val="008642E5"/>
    <w:rsid w:val="00866507"/>
    <w:rsid w:val="00870A20"/>
    <w:rsid w:val="00872D93"/>
    <w:rsid w:val="0087646C"/>
    <w:rsid w:val="00880470"/>
    <w:rsid w:val="00880D94"/>
    <w:rsid w:val="008854E1"/>
    <w:rsid w:val="0088653D"/>
    <w:rsid w:val="008924DE"/>
    <w:rsid w:val="0089775E"/>
    <w:rsid w:val="008979BA"/>
    <w:rsid w:val="008A3755"/>
    <w:rsid w:val="008B19DC"/>
    <w:rsid w:val="008B264F"/>
    <w:rsid w:val="008B6F83"/>
    <w:rsid w:val="008B7FD8"/>
    <w:rsid w:val="008C2973"/>
    <w:rsid w:val="008C6324"/>
    <w:rsid w:val="008C64C4"/>
    <w:rsid w:val="008D0326"/>
    <w:rsid w:val="008D3031"/>
    <w:rsid w:val="008D74D5"/>
    <w:rsid w:val="008E1636"/>
    <w:rsid w:val="008E205A"/>
    <w:rsid w:val="008E3A07"/>
    <w:rsid w:val="008F122A"/>
    <w:rsid w:val="008F29BE"/>
    <w:rsid w:val="008F4AE5"/>
    <w:rsid w:val="008F51EB"/>
    <w:rsid w:val="00900197"/>
    <w:rsid w:val="00901F12"/>
    <w:rsid w:val="0090215A"/>
    <w:rsid w:val="00902F55"/>
    <w:rsid w:val="0090582B"/>
    <w:rsid w:val="009060C0"/>
    <w:rsid w:val="00907B85"/>
    <w:rsid w:val="009133F5"/>
    <w:rsid w:val="0091756F"/>
    <w:rsid w:val="00920A27"/>
    <w:rsid w:val="00921216"/>
    <w:rsid w:val="009216CC"/>
    <w:rsid w:val="00925F22"/>
    <w:rsid w:val="00926839"/>
    <w:rsid w:val="00930D08"/>
    <w:rsid w:val="00932D69"/>
    <w:rsid w:val="00944647"/>
    <w:rsid w:val="00956D95"/>
    <w:rsid w:val="00961442"/>
    <w:rsid w:val="00966138"/>
    <w:rsid w:val="00966F9A"/>
    <w:rsid w:val="009670FE"/>
    <w:rsid w:val="00977B8A"/>
    <w:rsid w:val="00982971"/>
    <w:rsid w:val="009845AD"/>
    <w:rsid w:val="00990F0C"/>
    <w:rsid w:val="009933EF"/>
    <w:rsid w:val="00995BA0"/>
    <w:rsid w:val="0099629C"/>
    <w:rsid w:val="009A418B"/>
    <w:rsid w:val="009A426F"/>
    <w:rsid w:val="009A4473"/>
    <w:rsid w:val="009A54CC"/>
    <w:rsid w:val="009A55BF"/>
    <w:rsid w:val="009B05C9"/>
    <w:rsid w:val="009B286C"/>
    <w:rsid w:val="009C151C"/>
    <w:rsid w:val="009C5442"/>
    <w:rsid w:val="009D5125"/>
    <w:rsid w:val="009D60B8"/>
    <w:rsid w:val="009D7D4B"/>
    <w:rsid w:val="009E36ED"/>
    <w:rsid w:val="009E3C8C"/>
    <w:rsid w:val="009E467D"/>
    <w:rsid w:val="009E6B77"/>
    <w:rsid w:val="009F25FB"/>
    <w:rsid w:val="009F460A"/>
    <w:rsid w:val="00A01E53"/>
    <w:rsid w:val="00A043FB"/>
    <w:rsid w:val="00A0729C"/>
    <w:rsid w:val="00A07779"/>
    <w:rsid w:val="00A20B2E"/>
    <w:rsid w:val="00A25069"/>
    <w:rsid w:val="00A26E6B"/>
    <w:rsid w:val="00A3068F"/>
    <w:rsid w:val="00A3145B"/>
    <w:rsid w:val="00A339D0"/>
    <w:rsid w:val="00A37CFB"/>
    <w:rsid w:val="00A41002"/>
    <w:rsid w:val="00A4107C"/>
    <w:rsid w:val="00A4201A"/>
    <w:rsid w:val="00A460E7"/>
    <w:rsid w:val="00A535B7"/>
    <w:rsid w:val="00A540BA"/>
    <w:rsid w:val="00A553CE"/>
    <w:rsid w:val="00A5677A"/>
    <w:rsid w:val="00A60EDB"/>
    <w:rsid w:val="00A61890"/>
    <w:rsid w:val="00A61FA7"/>
    <w:rsid w:val="00A625E8"/>
    <w:rsid w:val="00A6490D"/>
    <w:rsid w:val="00A80363"/>
    <w:rsid w:val="00A83E9D"/>
    <w:rsid w:val="00A860BF"/>
    <w:rsid w:val="00A9169D"/>
    <w:rsid w:val="00AA240C"/>
    <w:rsid w:val="00AB4C8A"/>
    <w:rsid w:val="00AB5541"/>
    <w:rsid w:val="00AC101C"/>
    <w:rsid w:val="00AD4CF1"/>
    <w:rsid w:val="00AD5988"/>
    <w:rsid w:val="00AF4B3B"/>
    <w:rsid w:val="00AF513C"/>
    <w:rsid w:val="00AF7800"/>
    <w:rsid w:val="00B05524"/>
    <w:rsid w:val="00B072E0"/>
    <w:rsid w:val="00B13AB3"/>
    <w:rsid w:val="00B14676"/>
    <w:rsid w:val="00B253F6"/>
    <w:rsid w:val="00B25836"/>
    <w:rsid w:val="00B305DB"/>
    <w:rsid w:val="00B30A95"/>
    <w:rsid w:val="00B332F8"/>
    <w:rsid w:val="00B3492B"/>
    <w:rsid w:val="00B45777"/>
    <w:rsid w:val="00B4646F"/>
    <w:rsid w:val="00B50C2B"/>
    <w:rsid w:val="00B55C7D"/>
    <w:rsid w:val="00B63038"/>
    <w:rsid w:val="00B64BD8"/>
    <w:rsid w:val="00B66331"/>
    <w:rsid w:val="00B701D1"/>
    <w:rsid w:val="00B7135F"/>
    <w:rsid w:val="00B739D7"/>
    <w:rsid w:val="00B73AF2"/>
    <w:rsid w:val="00B7551A"/>
    <w:rsid w:val="00B75CBC"/>
    <w:rsid w:val="00B773F1"/>
    <w:rsid w:val="00B80356"/>
    <w:rsid w:val="00B86AB1"/>
    <w:rsid w:val="00B95E66"/>
    <w:rsid w:val="00BA12F1"/>
    <w:rsid w:val="00BA7A29"/>
    <w:rsid w:val="00BB2CBB"/>
    <w:rsid w:val="00BB3465"/>
    <w:rsid w:val="00BB5C45"/>
    <w:rsid w:val="00BC03EE"/>
    <w:rsid w:val="00BC4EBD"/>
    <w:rsid w:val="00BC59F1"/>
    <w:rsid w:val="00BE049F"/>
    <w:rsid w:val="00BE57BF"/>
    <w:rsid w:val="00BF3DE1"/>
    <w:rsid w:val="00BF4843"/>
    <w:rsid w:val="00BF5205"/>
    <w:rsid w:val="00C1238B"/>
    <w:rsid w:val="00C12508"/>
    <w:rsid w:val="00C16EBC"/>
    <w:rsid w:val="00C23728"/>
    <w:rsid w:val="00C305F2"/>
    <w:rsid w:val="00C45AA2"/>
    <w:rsid w:val="00C55BEF"/>
    <w:rsid w:val="00C56303"/>
    <w:rsid w:val="00C641C0"/>
    <w:rsid w:val="00C66296"/>
    <w:rsid w:val="00C77282"/>
    <w:rsid w:val="00C84DE5"/>
    <w:rsid w:val="00C86248"/>
    <w:rsid w:val="00CA4C33"/>
    <w:rsid w:val="00CA6F4A"/>
    <w:rsid w:val="00CB41EF"/>
    <w:rsid w:val="00CB68A7"/>
    <w:rsid w:val="00CC6A26"/>
    <w:rsid w:val="00CD2119"/>
    <w:rsid w:val="00CD237A"/>
    <w:rsid w:val="00CD36AC"/>
    <w:rsid w:val="00CE13A3"/>
    <w:rsid w:val="00CF1747"/>
    <w:rsid w:val="00D00934"/>
    <w:rsid w:val="00D05BF8"/>
    <w:rsid w:val="00D123A5"/>
    <w:rsid w:val="00D159B2"/>
    <w:rsid w:val="00D20E8C"/>
    <w:rsid w:val="00D23323"/>
    <w:rsid w:val="00D2392A"/>
    <w:rsid w:val="00D25FFE"/>
    <w:rsid w:val="00D35FB5"/>
    <w:rsid w:val="00D4476F"/>
    <w:rsid w:val="00D453C4"/>
    <w:rsid w:val="00D54D50"/>
    <w:rsid w:val="00D61CE9"/>
    <w:rsid w:val="00D63EC6"/>
    <w:rsid w:val="00D66797"/>
    <w:rsid w:val="00D70293"/>
    <w:rsid w:val="00D7087C"/>
    <w:rsid w:val="00D70C3C"/>
    <w:rsid w:val="00D71DF7"/>
    <w:rsid w:val="00D72BE5"/>
    <w:rsid w:val="00D82F26"/>
    <w:rsid w:val="00D863D0"/>
    <w:rsid w:val="00D87C87"/>
    <w:rsid w:val="00D90E07"/>
    <w:rsid w:val="00DB39CF"/>
    <w:rsid w:val="00DD0BCD"/>
    <w:rsid w:val="00DD447A"/>
    <w:rsid w:val="00DD53E8"/>
    <w:rsid w:val="00DE3B20"/>
    <w:rsid w:val="00DE6C94"/>
    <w:rsid w:val="00DE6FD7"/>
    <w:rsid w:val="00DF079A"/>
    <w:rsid w:val="00E23271"/>
    <w:rsid w:val="00E24F80"/>
    <w:rsid w:val="00E251AF"/>
    <w:rsid w:val="00E259F3"/>
    <w:rsid w:val="00E319C0"/>
    <w:rsid w:val="00E33238"/>
    <w:rsid w:val="00E4486C"/>
    <w:rsid w:val="00E460B6"/>
    <w:rsid w:val="00E511D5"/>
    <w:rsid w:val="00E60249"/>
    <w:rsid w:val="00E62594"/>
    <w:rsid w:val="00E65269"/>
    <w:rsid w:val="00E71DEC"/>
    <w:rsid w:val="00E76D66"/>
    <w:rsid w:val="00E805DB"/>
    <w:rsid w:val="00E83E7C"/>
    <w:rsid w:val="00E97E95"/>
    <w:rsid w:val="00EA61F0"/>
    <w:rsid w:val="00EA796A"/>
    <w:rsid w:val="00EB1856"/>
    <w:rsid w:val="00EC0D76"/>
    <w:rsid w:val="00EC1A59"/>
    <w:rsid w:val="00EC3578"/>
    <w:rsid w:val="00EC50CE"/>
    <w:rsid w:val="00EC5B34"/>
    <w:rsid w:val="00ED323C"/>
    <w:rsid w:val="00EE2D5C"/>
    <w:rsid w:val="00EE4ADE"/>
    <w:rsid w:val="00EE5CB7"/>
    <w:rsid w:val="00EF2750"/>
    <w:rsid w:val="00EF2A39"/>
    <w:rsid w:val="00EF2CCA"/>
    <w:rsid w:val="00F024FE"/>
    <w:rsid w:val="00F05AD4"/>
    <w:rsid w:val="00F140B2"/>
    <w:rsid w:val="00F15192"/>
    <w:rsid w:val="00F15D54"/>
    <w:rsid w:val="00F25970"/>
    <w:rsid w:val="00F271E8"/>
    <w:rsid w:val="00F4758A"/>
    <w:rsid w:val="00F5180D"/>
    <w:rsid w:val="00F63781"/>
    <w:rsid w:val="00F67496"/>
    <w:rsid w:val="00F801BA"/>
    <w:rsid w:val="00F907B0"/>
    <w:rsid w:val="00F9366A"/>
    <w:rsid w:val="00F946C9"/>
    <w:rsid w:val="00F95E6B"/>
    <w:rsid w:val="00FA74EE"/>
    <w:rsid w:val="00FB3858"/>
    <w:rsid w:val="00FC3711"/>
    <w:rsid w:val="00FC46E7"/>
    <w:rsid w:val="00FC5911"/>
    <w:rsid w:val="00FC5D25"/>
    <w:rsid w:val="00FC7C3E"/>
    <w:rsid w:val="00FD0D7E"/>
    <w:rsid w:val="00FE6E13"/>
    <w:rsid w:val="00FF15F6"/>
    <w:rsid w:val="00FF527C"/>
    <w:rsid w:val="00FF5F6B"/>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5B79433A-5DCA-4E69-8CF4-CD9C3F8BB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363"/>
    <w:pPr>
      <w:spacing w:line="264" w:lineRule="auto"/>
    </w:pPr>
    <w:rPr>
      <w:rFonts w:ascii="Georgia" w:hAnsi="Georgia"/>
      <w:sz w:val="22"/>
      <w:lang w:eastAsia="en-GB"/>
    </w:rPr>
  </w:style>
  <w:style w:type="paragraph" w:styleId="Heading1">
    <w:name w:val="heading 1"/>
    <w:basedOn w:val="Normal"/>
    <w:next w:val="Normal"/>
    <w:link w:val="Heading1Char"/>
    <w:uiPriority w:val="9"/>
    <w:qFormat/>
    <w:rsid w:val="008E3A07"/>
    <w:pPr>
      <w:pageBreakBefore/>
      <w:numPr>
        <w:numId w:val="34"/>
      </w:numPr>
      <w:pBdr>
        <w:top w:val="single" w:sz="48" w:space="16" w:color="auto"/>
      </w:pBdr>
      <w:spacing w:after="360"/>
      <w:outlineLvl w:val="0"/>
    </w:pPr>
    <w:rPr>
      <w:b/>
      <w:sz w:val="60"/>
    </w:rPr>
  </w:style>
  <w:style w:type="paragraph" w:styleId="Heading2">
    <w:name w:val="heading 2"/>
    <w:basedOn w:val="Normal"/>
    <w:next w:val="Normal"/>
    <w:link w:val="Heading2Char"/>
    <w:qFormat/>
    <w:rsid w:val="008E3A07"/>
    <w:pPr>
      <w:keepNext/>
      <w:numPr>
        <w:ilvl w:val="1"/>
        <w:numId w:val="34"/>
      </w:numPr>
      <w:spacing w:before="120" w:after="120"/>
      <w:outlineLvl w:val="1"/>
    </w:pPr>
    <w:rPr>
      <w:b/>
      <w:sz w:val="40"/>
    </w:rPr>
  </w:style>
  <w:style w:type="paragraph" w:styleId="Heading3">
    <w:name w:val="heading 3"/>
    <w:basedOn w:val="Normal"/>
    <w:next w:val="Normal"/>
    <w:link w:val="Heading3Char"/>
    <w:qFormat/>
    <w:rsid w:val="008E3A07"/>
    <w:pPr>
      <w:keepNext/>
      <w:spacing w:before="240" w:after="180"/>
      <w:outlineLvl w:val="2"/>
    </w:pPr>
    <w:rPr>
      <w:b/>
      <w:sz w:val="28"/>
    </w:rPr>
  </w:style>
  <w:style w:type="paragraph" w:styleId="Heading4">
    <w:name w:val="heading 4"/>
    <w:basedOn w:val="Normal"/>
    <w:next w:val="Normal"/>
    <w:link w:val="Heading4Char"/>
    <w:uiPriority w:val="9"/>
    <w:qFormat/>
    <w:rsid w:val="007D5DE4"/>
    <w:pPr>
      <w:keepNext/>
      <w:spacing w:before="120" w:after="120"/>
      <w:outlineLvl w:val="3"/>
    </w:pPr>
    <w:rPr>
      <w:b/>
    </w:rPr>
  </w:style>
  <w:style w:type="paragraph" w:styleId="Heading5">
    <w:name w:val="heading 5"/>
    <w:basedOn w:val="Normal"/>
    <w:next w:val="Normal"/>
    <w:link w:val="Heading5Char"/>
    <w:uiPriority w:val="9"/>
    <w:qFormat/>
    <w:rsid w:val="0013585C"/>
    <w:pPr>
      <w:keepNext/>
      <w:spacing w:before="120" w:after="120"/>
      <w:outlineLvl w:val="4"/>
    </w:pPr>
    <w:rPr>
      <w:u w:val="single"/>
    </w:rPr>
  </w:style>
  <w:style w:type="paragraph" w:styleId="Heading6">
    <w:name w:val="heading 6"/>
    <w:basedOn w:val="Normal"/>
    <w:next w:val="Normal"/>
    <w:link w:val="Heading6Char"/>
    <w:uiPriority w:val="9"/>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9"/>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122363"/>
    <w:pPr>
      <w:keepNext/>
      <w:keepLines/>
      <w:spacing w:before="200" w:after="120" w:line="276" w:lineRule="auto"/>
      <w:ind w:left="1440" w:hanging="1440"/>
      <w:outlineLvl w:val="7"/>
    </w:pPr>
    <w:rPr>
      <w:rFonts w:ascii="Calibri" w:eastAsia="MS Gothic" w:hAnsi="Calibri"/>
      <w:color w:val="404040"/>
      <w:szCs w:val="24"/>
      <w:lang w:val="en-GB" w:eastAsia="en-US"/>
    </w:rPr>
  </w:style>
  <w:style w:type="paragraph" w:styleId="Heading9">
    <w:name w:val="heading 9"/>
    <w:basedOn w:val="Normal"/>
    <w:next w:val="Normal"/>
    <w:link w:val="Heading9Char"/>
    <w:uiPriority w:val="9"/>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E3A07"/>
    <w:rPr>
      <w:rFonts w:ascii="Georgia" w:hAnsi="Georgia"/>
      <w:b/>
      <w:sz w:val="60"/>
      <w:lang w:eastAsia="en-GB"/>
    </w:rPr>
  </w:style>
  <w:style w:type="character" w:customStyle="1" w:styleId="Heading2Char">
    <w:name w:val="Heading 2 Char"/>
    <w:link w:val="Heading2"/>
    <w:rsid w:val="008E3A07"/>
    <w:rPr>
      <w:rFonts w:ascii="Georgia" w:hAnsi="Georgia"/>
      <w:b/>
      <w:sz w:val="40"/>
      <w:lang w:eastAsia="en-GB"/>
    </w:rPr>
  </w:style>
  <w:style w:type="character" w:customStyle="1" w:styleId="Heading3Char">
    <w:name w:val="Heading 3 Char"/>
    <w:link w:val="Heading3"/>
    <w:rsid w:val="008E3A07"/>
    <w:rPr>
      <w:rFonts w:ascii="Georgia" w:hAnsi="Georgia"/>
      <w:b/>
      <w:sz w:val="28"/>
      <w:lang w:eastAsia="en-GB"/>
    </w:rPr>
  </w:style>
  <w:style w:type="character" w:customStyle="1" w:styleId="Heading4Char">
    <w:name w:val="Heading 4 Char"/>
    <w:link w:val="Heading4"/>
    <w:uiPriority w:val="9"/>
    <w:rsid w:val="00122363"/>
    <w:rPr>
      <w:rFonts w:ascii="Georgia" w:hAnsi="Georgia"/>
      <w:b/>
      <w:sz w:val="22"/>
      <w:lang w:eastAsia="en-GB"/>
    </w:rPr>
  </w:style>
  <w:style w:type="character" w:customStyle="1" w:styleId="Heading5Char">
    <w:name w:val="Heading 5 Char"/>
    <w:link w:val="Heading5"/>
    <w:uiPriority w:val="9"/>
    <w:rsid w:val="00122363"/>
    <w:rPr>
      <w:rFonts w:ascii="Georgia" w:hAnsi="Georgia"/>
      <w:sz w:val="22"/>
      <w:u w:val="single"/>
      <w:lang w:eastAsia="en-GB"/>
    </w:rPr>
  </w:style>
  <w:style w:type="character" w:customStyle="1" w:styleId="Heading6Char">
    <w:name w:val="Heading 6 Char"/>
    <w:basedOn w:val="DefaultParagraphFont"/>
    <w:link w:val="Heading6"/>
    <w:uiPriority w:val="9"/>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uiPriority w:val="9"/>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9"/>
    <w:rsid w:val="00122363"/>
    <w:rPr>
      <w:rFonts w:ascii="Calibri" w:eastAsia="MS Gothic" w:hAnsi="Calibri"/>
      <w:color w:val="404040"/>
      <w:sz w:val="22"/>
      <w:szCs w:val="24"/>
      <w:lang w:val="en-GB" w:eastAsia="en-US"/>
    </w:rPr>
  </w:style>
  <w:style w:type="character" w:customStyle="1" w:styleId="Heading9Char">
    <w:name w:val="Heading 9 Char"/>
    <w:basedOn w:val="DefaultParagraphFont"/>
    <w:link w:val="Heading9"/>
    <w:uiPriority w:val="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E62594"/>
    <w:pPr>
      <w:tabs>
        <w:tab w:val="right" w:pos="9356"/>
      </w:tabs>
      <w:spacing w:before="300"/>
      <w:ind w:left="567" w:right="567" w:hanging="567"/>
    </w:pPr>
    <w:rPr>
      <w:b/>
    </w:rPr>
  </w:style>
  <w:style w:type="paragraph" w:styleId="TOC2">
    <w:name w:val="toc 2"/>
    <w:basedOn w:val="Normal"/>
    <w:next w:val="Normal"/>
    <w:uiPriority w:val="39"/>
    <w:qFormat/>
    <w:rsid w:val="00E62594"/>
    <w:pPr>
      <w:tabs>
        <w:tab w:val="left" w:pos="284"/>
        <w:tab w:val="right" w:pos="9356"/>
      </w:tabs>
      <w:spacing w:before="60"/>
      <w:ind w:left="1134" w:right="567" w:hanging="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link w:val="QuoteChar"/>
    <w:uiPriority w:val="29"/>
    <w:qFormat/>
    <w:pPr>
      <w:spacing w:before="120"/>
      <w:ind w:left="284" w:right="284"/>
    </w:pPr>
  </w:style>
  <w:style w:type="character" w:customStyle="1" w:styleId="QuoteChar">
    <w:name w:val="Quote Char"/>
    <w:link w:val="Quote"/>
    <w:uiPriority w:val="29"/>
    <w:rsid w:val="00122363"/>
    <w:rPr>
      <w:rFonts w:ascii="Georgia" w:hAnsi="Georgia"/>
      <w:sz w:val="22"/>
      <w:lang w:eastAsia="en-GB"/>
    </w:rPr>
  </w:style>
  <w:style w:type="paragraph" w:styleId="FootnoteText">
    <w:name w:val="footnote text"/>
    <w:basedOn w:val="Normal"/>
    <w:link w:val="FootnoteTextChar"/>
    <w:uiPriority w:val="99"/>
    <w:rsid w:val="003060E4"/>
    <w:pPr>
      <w:spacing w:before="60"/>
      <w:ind w:left="284" w:hanging="284"/>
    </w:pPr>
    <w:rPr>
      <w:sz w:val="18"/>
    </w:rPr>
  </w:style>
  <w:style w:type="character" w:customStyle="1" w:styleId="FootnoteTextChar">
    <w:name w:val="Footnote Text Char"/>
    <w:link w:val="FootnoteText"/>
    <w:uiPriority w:val="99"/>
    <w:rsid w:val="003060E4"/>
    <w:rPr>
      <w:rFonts w:ascii="Georgia" w:hAnsi="Georgia"/>
      <w:sz w:val="18"/>
      <w:lang w:eastAsia="en-GB"/>
    </w:rPr>
  </w:style>
  <w:style w:type="paragraph" w:styleId="Header">
    <w:name w:val="header"/>
    <w:basedOn w:val="Normal"/>
    <w:link w:val="HeaderChar"/>
    <w:qFormat/>
    <w:rsid w:val="00D25FFE"/>
  </w:style>
  <w:style w:type="character" w:customStyle="1" w:styleId="HeaderChar">
    <w:name w:val="Header Char"/>
    <w:link w:val="Header"/>
    <w:rsid w:val="0086388B"/>
    <w:rPr>
      <w:rFonts w:ascii="Georgia" w:hAnsi="Georgia"/>
      <w:sz w:val="22"/>
      <w:lang w:eastAsia="en-GB"/>
    </w:rPr>
  </w:style>
  <w:style w:type="paragraph" w:styleId="Title">
    <w:name w:val="Title"/>
    <w:basedOn w:val="Normal"/>
    <w:next w:val="Normal"/>
    <w:link w:val="TitleChar"/>
    <w:uiPriority w:val="10"/>
    <w:qFormat/>
    <w:rsid w:val="008E3A07"/>
    <w:pPr>
      <w:pBdr>
        <w:bottom w:val="single" w:sz="48" w:space="6" w:color="auto"/>
      </w:pBdr>
      <w:ind w:right="1701"/>
    </w:pPr>
    <w:rPr>
      <w:b/>
      <w:sz w:val="80"/>
    </w:rPr>
  </w:style>
  <w:style w:type="character" w:customStyle="1" w:styleId="TitleChar">
    <w:name w:val="Title Char"/>
    <w:link w:val="Title"/>
    <w:uiPriority w:val="10"/>
    <w:rsid w:val="008E3A07"/>
    <w:rPr>
      <w:rFonts w:ascii="Georgia" w:hAnsi="Georgia"/>
      <w:b/>
      <w:sz w:val="80"/>
      <w:lang w:eastAsia="en-GB"/>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qFormat/>
    <w:rsid w:val="00447CB7"/>
    <w:pPr>
      <w:pBdr>
        <w:bottom w:val="single" w:sz="4" w:space="4" w:color="auto"/>
      </w:pBdr>
    </w:pPr>
  </w:style>
  <w:style w:type="character" w:customStyle="1" w:styleId="FooterChar">
    <w:name w:val="Footer Char"/>
    <w:link w:val="Footer"/>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link w:val="TableTextChar"/>
    <w:qFormat/>
    <w:rsid w:val="007B7C70"/>
    <w:pPr>
      <w:spacing w:before="60" w:after="60" w:line="240" w:lineRule="auto"/>
    </w:pPr>
    <w:rPr>
      <w:rFonts w:ascii="Arial" w:hAnsi="Arial"/>
      <w:sz w:val="18"/>
    </w:rPr>
  </w:style>
  <w:style w:type="character" w:customStyle="1" w:styleId="TableTextChar">
    <w:name w:val="TableText Char"/>
    <w:link w:val="TableText"/>
    <w:rsid w:val="00CB68A7"/>
    <w:rPr>
      <w:rFonts w:ascii="Arial" w:hAnsi="Arial"/>
      <w:sz w:val="18"/>
      <w:lang w:eastAsia="en-GB"/>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EC1A59"/>
    <w:pPr>
      <w:numPr>
        <w:numId w:val="0"/>
      </w:num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18208E"/>
    <w:pPr>
      <w:spacing w:before="80"/>
    </w:pPr>
    <w:rPr>
      <w:rFonts w:ascii="Arial" w:hAnsi="Arial"/>
      <w:sz w:val="18"/>
    </w:rPr>
  </w:style>
  <w:style w:type="character" w:customStyle="1" w:styleId="NoteChar">
    <w:name w:val="Note Char"/>
    <w:link w:val="Note"/>
    <w:rsid w:val="0018208E"/>
    <w:rPr>
      <w:rFonts w:ascii="Arial" w:hAnsi="Arial"/>
      <w:sz w:val="18"/>
      <w:lang w:eastAsia="en-GB"/>
    </w:rPr>
  </w:style>
  <w:style w:type="paragraph" w:customStyle="1" w:styleId="Subhead">
    <w:name w:val="Subhead"/>
    <w:basedOn w:val="Normal"/>
    <w:next w:val="Normal"/>
    <w:qFormat/>
    <w:rsid w:val="008E3A07"/>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rsid w:val="0086388B"/>
    <w:rPr>
      <w:rFonts w:ascii="Calibri" w:eastAsia="Calibri" w:hAnsi="Calibri"/>
      <w:sz w:val="22"/>
      <w:szCs w:val="22"/>
      <w:lang w:val="en-US" w:eastAsia="en-US"/>
    </w:rPr>
  </w:style>
  <w:style w:type="paragraph" w:customStyle="1" w:styleId="Year">
    <w:name w:val="Year"/>
    <w:basedOn w:val="Subhead"/>
    <w:next w:val="Subhead"/>
    <w:qFormat/>
    <w:rsid w:val="008E3A07"/>
    <w:pPr>
      <w:pBdr>
        <w:bottom w:val="single" w:sz="48" w:space="6" w:color="auto"/>
      </w:pBdr>
    </w:pPr>
    <w:rPr>
      <w:sz w:val="56"/>
    </w:rPr>
  </w:style>
  <w:style w:type="paragraph" w:customStyle="1" w:styleId="Number">
    <w:name w:val="Number"/>
    <w:basedOn w:val="Normal"/>
    <w:qFormat/>
    <w:rsid w:val="00F140B2"/>
    <w:pPr>
      <w:numPr>
        <w:ilvl w:val="2"/>
        <w:numId w:val="34"/>
      </w:numPr>
      <w:spacing w:before="180"/>
    </w:pPr>
    <w:rPr>
      <w:szCs w:val="24"/>
    </w:rPr>
  </w:style>
  <w:style w:type="paragraph" w:customStyle="1" w:styleId="Letter">
    <w:name w:val="Letter"/>
    <w:basedOn w:val="Normal"/>
    <w:qFormat/>
    <w:rsid w:val="00F140B2"/>
    <w:pPr>
      <w:numPr>
        <w:ilvl w:val="1"/>
        <w:numId w:val="6"/>
      </w:numPr>
      <w:spacing w:before="120"/>
    </w:pPr>
  </w:style>
  <w:style w:type="paragraph" w:customStyle="1" w:styleId="Roman">
    <w:name w:val="Roman"/>
    <w:basedOn w:val="Normal"/>
    <w:rsid w:val="00CB68A7"/>
    <w:pPr>
      <w:spacing w:before="120" w:line="240" w:lineRule="auto"/>
      <w:ind w:left="1701" w:hanging="567"/>
    </w:pPr>
    <w:rPr>
      <w:rFonts w:ascii="Arial" w:hAnsi="Arial"/>
    </w:rPr>
  </w:style>
  <w:style w:type="character" w:styleId="CommentReference">
    <w:name w:val="annotation reference"/>
    <w:basedOn w:val="DefaultParagraphFont"/>
    <w:uiPriority w:val="99"/>
    <w:semiHidden/>
    <w:unhideWhenUsed/>
    <w:rsid w:val="00EC1A59"/>
    <w:rPr>
      <w:sz w:val="16"/>
      <w:szCs w:val="16"/>
    </w:rPr>
  </w:style>
  <w:style w:type="paragraph" w:styleId="CommentText">
    <w:name w:val="annotation text"/>
    <w:basedOn w:val="Normal"/>
    <w:link w:val="CommentTextChar"/>
    <w:uiPriority w:val="99"/>
    <w:semiHidden/>
    <w:unhideWhenUsed/>
    <w:rsid w:val="00EC1A59"/>
    <w:pPr>
      <w:spacing w:line="240" w:lineRule="auto"/>
    </w:pPr>
    <w:rPr>
      <w:sz w:val="20"/>
    </w:rPr>
  </w:style>
  <w:style w:type="character" w:customStyle="1" w:styleId="CommentTextChar">
    <w:name w:val="Comment Text Char"/>
    <w:basedOn w:val="DefaultParagraphFont"/>
    <w:link w:val="CommentText"/>
    <w:uiPriority w:val="99"/>
    <w:semiHidden/>
    <w:rsid w:val="00EC1A59"/>
    <w:rPr>
      <w:rFonts w:ascii="Georgia" w:hAnsi="Georgia"/>
      <w:lang w:eastAsia="en-GB"/>
    </w:rPr>
  </w:style>
  <w:style w:type="paragraph" w:styleId="CommentSubject">
    <w:name w:val="annotation subject"/>
    <w:basedOn w:val="CommentText"/>
    <w:next w:val="CommentText"/>
    <w:link w:val="CommentSubjectChar"/>
    <w:uiPriority w:val="99"/>
    <w:semiHidden/>
    <w:unhideWhenUsed/>
    <w:rsid w:val="00EC1A59"/>
    <w:rPr>
      <w:b/>
      <w:bCs/>
    </w:rPr>
  </w:style>
  <w:style w:type="character" w:customStyle="1" w:styleId="CommentSubjectChar">
    <w:name w:val="Comment Subject Char"/>
    <w:basedOn w:val="CommentTextChar"/>
    <w:link w:val="CommentSubject"/>
    <w:uiPriority w:val="99"/>
    <w:semiHidden/>
    <w:rsid w:val="00EC1A59"/>
    <w:rPr>
      <w:rFonts w:ascii="Georgia" w:hAnsi="Georgia"/>
      <w:b/>
      <w:bCs/>
      <w:lang w:eastAsia="en-GB"/>
    </w:rPr>
  </w:style>
  <w:style w:type="paragraph" w:styleId="BalloonText">
    <w:name w:val="Balloon Text"/>
    <w:basedOn w:val="Normal"/>
    <w:link w:val="BalloonTextChar"/>
    <w:uiPriority w:val="99"/>
    <w:semiHidden/>
    <w:unhideWhenUsed/>
    <w:rsid w:val="00EC1A5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A59"/>
    <w:rPr>
      <w:rFonts w:ascii="Tahoma" w:hAnsi="Tahoma" w:cs="Tahoma"/>
      <w:sz w:val="16"/>
      <w:szCs w:val="16"/>
      <w:lang w:eastAsia="en-GB"/>
    </w:rPr>
  </w:style>
  <w:style w:type="character" w:styleId="FollowedHyperlink">
    <w:name w:val="FollowedHyperlink"/>
    <w:basedOn w:val="DefaultParagraphFont"/>
    <w:uiPriority w:val="99"/>
    <w:semiHidden/>
    <w:unhideWhenUsed/>
    <w:rsid w:val="009C5442"/>
    <w:rPr>
      <w:color w:val="800080" w:themeColor="followedHyperlink"/>
      <w:u w:val="single"/>
    </w:rPr>
  </w:style>
  <w:style w:type="paragraph" w:styleId="ListParagraph">
    <w:name w:val="List Paragraph"/>
    <w:basedOn w:val="Normal"/>
    <w:uiPriority w:val="34"/>
    <w:qFormat/>
    <w:rsid w:val="00A60EDB"/>
    <w:pPr>
      <w:overflowPunct w:val="0"/>
      <w:autoSpaceDE w:val="0"/>
      <w:autoSpaceDN w:val="0"/>
      <w:adjustRightInd w:val="0"/>
      <w:spacing w:line="240" w:lineRule="auto"/>
      <w:ind w:left="720"/>
      <w:contextualSpacing/>
      <w:jc w:val="both"/>
      <w:textAlignment w:val="baseline"/>
    </w:pPr>
    <w:rPr>
      <w:rFonts w:ascii="Arial Mäori" w:hAnsi="Arial Mäori"/>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8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header" Target="header15.xml"/><Relationship Id="rId21" Type="http://schemas.openxmlformats.org/officeDocument/2006/relationships/header" Target="header7.xml"/><Relationship Id="rId34" Type="http://schemas.openxmlformats.org/officeDocument/2006/relationships/footer" Target="footer10.xml"/><Relationship Id="rId42" Type="http://schemas.openxmlformats.org/officeDocument/2006/relationships/footer" Target="footer12.xml"/><Relationship Id="rId47" Type="http://schemas.openxmlformats.org/officeDocument/2006/relationships/footer" Target="footer13.xml"/><Relationship Id="rId50" Type="http://schemas.openxmlformats.org/officeDocument/2006/relationships/image" Target="media/image6.gif"/><Relationship Id="rId55" Type="http://schemas.openxmlformats.org/officeDocument/2006/relationships/hyperlink" Target="http://www.health.govt.nz/our-work/populations/maori-health/he-korowai-oranga" TargetMode="External"/><Relationship Id="rId63" Type="http://schemas.openxmlformats.org/officeDocument/2006/relationships/hyperlink" Target="http://www.dia.govt.nz" TargetMode="External"/><Relationship Id="rId68" Type="http://schemas.openxmlformats.org/officeDocument/2006/relationships/header" Target="header21.xml"/><Relationship Id="rId76" Type="http://schemas.openxmlformats.org/officeDocument/2006/relationships/header" Target="header26.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8.xml"/><Relationship Id="rId11" Type="http://schemas.openxmlformats.org/officeDocument/2006/relationships/image" Target="media/image3.png"/><Relationship Id="rId24" Type="http://schemas.openxmlformats.org/officeDocument/2006/relationships/footer" Target="footer6.xml"/><Relationship Id="rId32" Type="http://schemas.openxmlformats.org/officeDocument/2006/relationships/header" Target="header14.xml"/><Relationship Id="rId37" Type="http://schemas.openxmlformats.org/officeDocument/2006/relationships/hyperlink" Target="mailto:gamblingharm@moh.govt.nz" TargetMode="External"/><Relationship Id="rId40" Type="http://schemas.openxmlformats.org/officeDocument/2006/relationships/header" Target="header16.xml"/><Relationship Id="rId45" Type="http://schemas.openxmlformats.org/officeDocument/2006/relationships/header" Target="header18.xml"/><Relationship Id="rId53" Type="http://schemas.openxmlformats.org/officeDocument/2006/relationships/hyperlink" Target="http://www.health.govt.nz/our-work/populations/maori-health/he-korowai-oranga" TargetMode="External"/><Relationship Id="rId58" Type="http://schemas.openxmlformats.org/officeDocument/2006/relationships/hyperlink" Target="http://www.health.govt.nz/publication/ala-moui-pathways-pacific-health-and-wellbeing-2014-2018" TargetMode="External"/><Relationship Id="rId66" Type="http://schemas.openxmlformats.org/officeDocument/2006/relationships/image" Target="media/image11.png"/><Relationship Id="rId74" Type="http://schemas.openxmlformats.org/officeDocument/2006/relationships/header" Target="header25.xml"/><Relationship Id="rId79" Type="http://schemas.openxmlformats.org/officeDocument/2006/relationships/header" Target="header27.xml"/><Relationship Id="rId5" Type="http://schemas.openxmlformats.org/officeDocument/2006/relationships/webSettings" Target="webSettings.xml"/><Relationship Id="rId61" Type="http://schemas.openxmlformats.org/officeDocument/2006/relationships/hyperlink" Target="http://URL:%20www" TargetMode="External"/><Relationship Id="rId82" Type="http://schemas.openxmlformats.org/officeDocument/2006/relationships/header" Target="header29.xm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footer" Target="footer9.xml"/><Relationship Id="rId44" Type="http://schemas.openxmlformats.org/officeDocument/2006/relationships/image" Target="media/image4.gif"/><Relationship Id="rId52" Type="http://schemas.openxmlformats.org/officeDocument/2006/relationships/hyperlink" Target="http://www.health.govt.nz/publication/ala-moui-pathways-pacific-health-and-wellbeing-2014-2018" TargetMode="External"/><Relationship Id="rId60" Type="http://schemas.openxmlformats.org/officeDocument/2006/relationships/hyperlink" Target="http://scanmail.trustwave.com/?c=5305&amp;d=-ce52rez9PNiRI84_sVTBe568IrtsuBQOd2L-E_Mow&amp;u=http%3a%2f%2fchoicenotchance%2eorg%2enz" TargetMode="External"/><Relationship Id="rId65" Type="http://schemas.openxmlformats.org/officeDocument/2006/relationships/image" Target="media/image10.png"/><Relationship Id="rId73" Type="http://schemas.openxmlformats.org/officeDocument/2006/relationships/header" Target="header24.xml"/><Relationship Id="rId78" Type="http://schemas.openxmlformats.org/officeDocument/2006/relationships/hyperlink" Target="mailto:gamblingharm@moh.govt.nz" TargetMode="External"/><Relationship Id="rId81"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3.xml"/><Relationship Id="rId35" Type="http://schemas.openxmlformats.org/officeDocument/2006/relationships/hyperlink" Target="http://www.health.govt.nz" TargetMode="External"/><Relationship Id="rId43" Type="http://schemas.openxmlformats.org/officeDocument/2006/relationships/header" Target="header17.xml"/><Relationship Id="rId48" Type="http://schemas.openxmlformats.org/officeDocument/2006/relationships/header" Target="header20.xml"/><Relationship Id="rId56" Type="http://schemas.openxmlformats.org/officeDocument/2006/relationships/hyperlink" Target="http://www.health.govt.nz/our-work/populations/maori-health/he-korowai-oranga" TargetMode="External"/><Relationship Id="rId64" Type="http://schemas.openxmlformats.org/officeDocument/2006/relationships/hyperlink" Target="http://www.health.govt.nz/our-work/mental-health-and-addictions/problem-gambling/service-user-data/intervention-client-data" TargetMode="External"/><Relationship Id="rId69" Type="http://schemas.openxmlformats.org/officeDocument/2006/relationships/header" Target="header22.xml"/><Relationship Id="rId77" Type="http://schemas.openxmlformats.org/officeDocument/2006/relationships/hyperlink" Target="https://consult.health.govt.nz" TargetMode="External"/><Relationship Id="rId8" Type="http://schemas.openxmlformats.org/officeDocument/2006/relationships/header" Target="header1.xml"/><Relationship Id="rId51" Type="http://schemas.openxmlformats.org/officeDocument/2006/relationships/hyperlink" Target="http://www.health.govt.nz/our-work/populations/maori-health/he-korowai-oranga" TargetMode="External"/><Relationship Id="rId72" Type="http://schemas.openxmlformats.org/officeDocument/2006/relationships/header" Target="header23.xml"/><Relationship Id="rId80" Type="http://schemas.openxmlformats.org/officeDocument/2006/relationships/header" Target="header28.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yperlink" Target="mailto:gamblingharm@moh.govt.nz" TargetMode="External"/><Relationship Id="rId38" Type="http://schemas.openxmlformats.org/officeDocument/2006/relationships/hyperlink" Target="http://www.health.govt.nz" TargetMode="External"/><Relationship Id="rId46" Type="http://schemas.openxmlformats.org/officeDocument/2006/relationships/header" Target="header19.xml"/><Relationship Id="rId59" Type="http://schemas.openxmlformats.org/officeDocument/2006/relationships/image" Target="media/image8.png"/><Relationship Id="rId67" Type="http://schemas.openxmlformats.org/officeDocument/2006/relationships/hyperlink" Target="http://URL:%20www.gamblingcommission.govt.nz/GCwebsite.nsf/wpg_URL/Reports-Publications-Proposed-Problem-Gambling-Levy-(November-2009)!OpenDocument" TargetMode="External"/><Relationship Id="rId20" Type="http://schemas.openxmlformats.org/officeDocument/2006/relationships/footer" Target="footer5.xml"/><Relationship Id="rId41" Type="http://schemas.openxmlformats.org/officeDocument/2006/relationships/footer" Target="footer11.xml"/><Relationship Id="rId54" Type="http://schemas.openxmlformats.org/officeDocument/2006/relationships/hyperlink" Target="http://www.health.govt.nz/publication/ala-moui-pathways-pacific-health-and-wellbeing-2014-2018" TargetMode="External"/><Relationship Id="rId62" Type="http://schemas.openxmlformats.org/officeDocument/2006/relationships/image" Target="media/image9.png"/><Relationship Id="rId70" Type="http://schemas.openxmlformats.org/officeDocument/2006/relationships/footer" Target="footer14.xml"/><Relationship Id="rId75" Type="http://schemas.openxmlformats.org/officeDocument/2006/relationships/footer" Target="footer16.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footer" Target="footer7.xml"/><Relationship Id="rId36" Type="http://schemas.openxmlformats.org/officeDocument/2006/relationships/hyperlink" Target="https://consult.health.govt.nz" TargetMode="External"/><Relationship Id="rId49" Type="http://schemas.openxmlformats.org/officeDocument/2006/relationships/image" Target="media/image5.png"/><Relationship Id="rId57"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www.dia.govt.nz/diawebsite.nsf/wpg_URL/Resource-material-Information-We-Provide-Gambling-Expenditure-Statistics" TargetMode="External"/><Relationship Id="rId2" Type="http://schemas.openxmlformats.org/officeDocument/2006/relationships/hyperlink" Target="http://www.dia.govt.nz/diawebsite.nsf/wpg_URL/Resource-material-Information-We-Provide-Summary-of-Venues-and-Numbers-by-Territorial-AuthorityDistrict" TargetMode="External"/><Relationship Id="rId1" Type="http://schemas.openxmlformats.org/officeDocument/2006/relationships/hyperlink" Target="https://www.health.govt.nz/our-work/mental-health-and-addictions/problem-gambling/service-user-data/intervention-client-da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54060-AFD3-432C-8845-F9E750C76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122</TotalTime>
  <Pages>85</Pages>
  <Words>27795</Words>
  <Characters>165965</Characters>
  <Application>Microsoft Office Word</Application>
  <DocSecurity>0</DocSecurity>
  <Lines>1383</Lines>
  <Paragraphs>386</Paragraphs>
  <ScaleCrop>false</ScaleCrop>
  <HeadingPairs>
    <vt:vector size="2" baseType="variant">
      <vt:variant>
        <vt:lpstr>Title</vt:lpstr>
      </vt:variant>
      <vt:variant>
        <vt:i4>1</vt:i4>
      </vt:variant>
    </vt:vector>
  </HeadingPairs>
  <TitlesOfParts>
    <vt:vector size="1" baseType="lpstr">
      <vt:lpstr>Strategy to Prevent and Minimise Gambling Harm 2019/20 to 2021/22: Consultation document</vt:lpstr>
    </vt:vector>
  </TitlesOfParts>
  <Company>Microsoft</Company>
  <LinksUpToDate>false</LinksUpToDate>
  <CharactersWithSpaces>193374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to Prevent and Minimise Gambling Harm 2019/20 to 2021/22: Consultation document</dc:title>
  <dc:creator>Ministry of Health</dc:creator>
  <cp:lastModifiedBy>Jane Adam</cp:lastModifiedBy>
  <cp:revision>7</cp:revision>
  <cp:lastPrinted>2018-08-14T23:20:00Z</cp:lastPrinted>
  <dcterms:created xsi:type="dcterms:W3CDTF">2018-08-15T01:45:00Z</dcterms:created>
  <dcterms:modified xsi:type="dcterms:W3CDTF">2018-08-15T22:41:00Z</dcterms:modified>
</cp:coreProperties>
</file>