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F424" w14:textId="77777777" w:rsidR="00025FEB" w:rsidRPr="00926083" w:rsidRDefault="00025FEB" w:rsidP="00025FEB">
      <w:pPr>
        <w:pStyle w:val="Title"/>
      </w:pPr>
      <w:r w:rsidRPr="00121607">
        <w:t>Special Patients and Restricted Patients</w:t>
      </w:r>
    </w:p>
    <w:p w14:paraId="1598BFDB" w14:textId="77777777" w:rsidR="00025FEB" w:rsidRDefault="00025FEB" w:rsidP="00025FEB">
      <w:pPr>
        <w:pStyle w:val="Subhead"/>
      </w:pPr>
      <w:r w:rsidRPr="00121607">
        <w:t>Guidelines for Regional Forensic Mental Health Services</w:t>
      </w:r>
    </w:p>
    <w:p w14:paraId="2004DF92" w14:textId="77777777" w:rsidR="00025FEB" w:rsidRPr="00531E12" w:rsidRDefault="00025FEB" w:rsidP="00025FEB">
      <w:pPr>
        <w:pStyle w:val="Year"/>
      </w:pPr>
      <w:r w:rsidRPr="00033F89">
        <w:t>2022</w:t>
      </w:r>
    </w:p>
    <w:p w14:paraId="7E8774C4"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4AE3DA40" w14:textId="77777777" w:rsidR="00025FEB" w:rsidRPr="00121607" w:rsidRDefault="00025FEB" w:rsidP="00025FEB">
      <w:pPr>
        <w:rPr>
          <w:rFonts w:asciiTheme="minorHAnsi" w:hAnsiTheme="minorHAnsi" w:cstheme="minorHAnsi"/>
          <w:b/>
          <w:spacing w:val="10"/>
          <w:sz w:val="36"/>
          <w:szCs w:val="36"/>
        </w:rPr>
      </w:pPr>
      <w:r w:rsidRPr="00121607">
        <w:rPr>
          <w:rFonts w:asciiTheme="minorHAnsi" w:hAnsiTheme="minorHAnsi" w:cstheme="minorHAnsi"/>
          <w:b/>
          <w:spacing w:val="10"/>
          <w:sz w:val="36"/>
          <w:szCs w:val="36"/>
        </w:rPr>
        <w:lastRenderedPageBreak/>
        <w:t>Disclaimer</w:t>
      </w:r>
    </w:p>
    <w:p w14:paraId="2238AAA9" w14:textId="77777777" w:rsidR="00025FEB" w:rsidRPr="00121607" w:rsidRDefault="00025FEB" w:rsidP="00025FEB">
      <w:pPr>
        <w:spacing w:before="120"/>
        <w:rPr>
          <w:rFonts w:cs="Segoe UI"/>
          <w:sz w:val="20"/>
        </w:rPr>
      </w:pPr>
      <w:r w:rsidRPr="00121607">
        <w:rPr>
          <w:rFonts w:cs="Segoe UI"/>
          <w:sz w:val="20"/>
        </w:rPr>
        <w:t>While every care has been taken in the preparation of the information in this document, users are reminded that the Ministry of Health cannot accept legal liability for any errors, omissions or damages resulting from reliance on the information contained in this document.</w:t>
      </w:r>
    </w:p>
    <w:p w14:paraId="72F7CDF6" w14:textId="77777777" w:rsidR="00025FEB" w:rsidRPr="00121607" w:rsidRDefault="00025FEB" w:rsidP="00025FEB">
      <w:pPr>
        <w:spacing w:before="120"/>
        <w:rPr>
          <w:rFonts w:cs="Segoe UI"/>
          <w:sz w:val="20"/>
        </w:rPr>
      </w:pPr>
      <w:r w:rsidRPr="00121607">
        <w:rPr>
          <w:rFonts w:cs="Segoe UI"/>
          <w:sz w:val="20"/>
        </w:rPr>
        <w:t xml:space="preserve">Like all legislation, the Mental Health (Compulsory Assessment and Treatment) Act 1992 is subject to change. Every effort has been made to ensure that these guidelines are up to date. However, all users of these guidelines should ensure that they are aware of any changes to the legislation that affect their practice. </w:t>
      </w:r>
    </w:p>
    <w:p w14:paraId="27A55BE4" w14:textId="77777777" w:rsidR="00025FEB" w:rsidRPr="00121607" w:rsidRDefault="00025FEB" w:rsidP="00025FEB">
      <w:pPr>
        <w:spacing w:before="120"/>
        <w:rPr>
          <w:rFonts w:cs="Segoe UI"/>
          <w:sz w:val="20"/>
        </w:rPr>
      </w:pPr>
      <w:r w:rsidRPr="00121607">
        <w:rPr>
          <w:rFonts w:cs="Segoe UI"/>
          <w:sz w:val="20"/>
        </w:rPr>
        <w:t>Please note that these guidelines are not intended as a substitute for an informed legal opinion. Any concerns you may have should be discussed with your legal advisors.</w:t>
      </w:r>
    </w:p>
    <w:p w14:paraId="0DC307AF" w14:textId="77777777" w:rsidR="00025FEB" w:rsidRPr="00C05132" w:rsidRDefault="00025FEB" w:rsidP="00025FEB">
      <w:pPr>
        <w:spacing w:before="120"/>
        <w:rPr>
          <w:rFonts w:cs="Segoe UI"/>
          <w:sz w:val="20"/>
        </w:rPr>
      </w:pPr>
      <w:r w:rsidRPr="00121607">
        <w:rPr>
          <w:rFonts w:cs="Segoe UI"/>
          <w:sz w:val="20"/>
        </w:rPr>
        <w:t xml:space="preserve">These guidelines have been issued by the Director-General of Health, pursuant to section 130(a) of the Mental Health (Compulsory Assessment and Treatment) Act 1992. </w:t>
      </w:r>
    </w:p>
    <w:p w14:paraId="0E0A6D7D" w14:textId="6E9C9A20" w:rsidR="00025FEB" w:rsidRPr="00C05132" w:rsidRDefault="00025FEB" w:rsidP="00025FEB">
      <w:pPr>
        <w:pStyle w:val="Imprint"/>
        <w:spacing w:before="1200"/>
        <w:rPr>
          <w:rFonts w:cs="Segoe UI"/>
        </w:rPr>
      </w:pPr>
      <w:r w:rsidRPr="00C05132">
        <w:rPr>
          <w:rFonts w:cs="Segoe UI"/>
        </w:rPr>
        <w:t xml:space="preserve">Citation: Ministry of Health. </w:t>
      </w:r>
      <w:r w:rsidR="00D55054">
        <w:t>2022</w:t>
      </w:r>
      <w:r w:rsidRPr="00C05132">
        <w:rPr>
          <w:rFonts w:cs="Segoe UI"/>
        </w:rPr>
        <w:t xml:space="preserve">. </w:t>
      </w:r>
      <w:r w:rsidRPr="00121607">
        <w:rPr>
          <w:rFonts w:cs="Segoe UI"/>
          <w:i/>
        </w:rPr>
        <w:t>Special Patients and Restricted Patients: Guidelines for Regional Forensic Mental Health Services</w:t>
      </w:r>
      <w:r w:rsidRPr="00C05132">
        <w:rPr>
          <w:rFonts w:cs="Segoe UI"/>
        </w:rPr>
        <w:t>. Wellington: Ministry of Health.</w:t>
      </w:r>
    </w:p>
    <w:p w14:paraId="41170EA1" w14:textId="3E4E2C0A" w:rsidR="00025FEB" w:rsidRDefault="00025FEB" w:rsidP="00025FEB">
      <w:pPr>
        <w:pStyle w:val="Imprint"/>
      </w:pPr>
      <w:r>
        <w:t xml:space="preserve">Published in </w:t>
      </w:r>
      <w:r w:rsidR="00F25175">
        <w:t>October</w:t>
      </w:r>
      <w:r w:rsidR="00D55054">
        <w:t xml:space="preserve"> 2022</w:t>
      </w:r>
      <w:r>
        <w:t xml:space="preserve"> by the Ministry of Health</w:t>
      </w:r>
      <w:r>
        <w:br/>
        <w:t>PO Box 5013, Wellington 6140, New Zealand</w:t>
      </w:r>
    </w:p>
    <w:p w14:paraId="2C991580" w14:textId="2C1FC874" w:rsidR="00025FEB" w:rsidRPr="009C0F2D" w:rsidRDefault="00025FEB" w:rsidP="00025FEB">
      <w:pPr>
        <w:pStyle w:val="Imprint"/>
      </w:pPr>
      <w:r>
        <w:br/>
        <w:t xml:space="preserve">ISBN </w:t>
      </w:r>
      <w:r w:rsidR="008E046C" w:rsidRPr="008E046C">
        <w:t>978-1-99-110077-1</w:t>
      </w:r>
      <w:r w:rsidRPr="00121607">
        <w:t xml:space="preserve"> </w:t>
      </w:r>
      <w:r>
        <w:t>(online)</w:t>
      </w:r>
      <w:r>
        <w:br/>
      </w:r>
      <w:r w:rsidRPr="009C0F2D">
        <w:t xml:space="preserve">HP </w:t>
      </w:r>
      <w:r w:rsidR="000F69B3">
        <w:t>856</w:t>
      </w:r>
      <w:r w:rsidR="00A71E8E">
        <w:t>7</w:t>
      </w:r>
    </w:p>
    <w:p w14:paraId="0671EAB9" w14:textId="77777777" w:rsidR="00D3124A" w:rsidRDefault="00D3124A" w:rsidP="00D3124A">
      <w:r>
        <w:rPr>
          <w:noProof/>
          <w:lang w:eastAsia="en-NZ"/>
        </w:rPr>
        <w:drawing>
          <wp:inline distT="0" distB="0" distL="0" distR="0" wp14:anchorId="00ADC036" wp14:editId="7E0671F6">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5B467E6B" w14:textId="77777777" w:rsidR="00D3124A" w:rsidRDefault="00D3124A" w:rsidP="00D3124A">
      <w:pPr>
        <w:pStyle w:val="Imprint"/>
        <w:spacing w:before="240" w:after="480"/>
      </w:pPr>
      <w:r>
        <w:t>This document is available at health.govt.nz</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D3124A" w:rsidRPr="00A63DFF" w14:paraId="47DCE799" w14:textId="77777777" w:rsidTr="00AD0359">
        <w:trPr>
          <w:cantSplit/>
        </w:trPr>
        <w:tc>
          <w:tcPr>
            <w:tcW w:w="1526" w:type="dxa"/>
          </w:tcPr>
          <w:p w14:paraId="3A6CA617" w14:textId="77777777" w:rsidR="00D3124A" w:rsidRPr="00A63DFF" w:rsidRDefault="00D3124A" w:rsidP="00AD0359">
            <w:pPr>
              <w:rPr>
                <w:rFonts w:cs="Segoe UI"/>
                <w:sz w:val="15"/>
                <w:szCs w:val="15"/>
              </w:rPr>
            </w:pPr>
            <w:r w:rsidRPr="00A63DFF">
              <w:rPr>
                <w:rFonts w:cs="Segoe UI"/>
                <w:b/>
                <w:noProof/>
                <w:sz w:val="15"/>
                <w:szCs w:val="15"/>
                <w:lang w:eastAsia="en-NZ"/>
              </w:rPr>
              <w:drawing>
                <wp:inline distT="0" distB="0" distL="0" distR="0" wp14:anchorId="181F7B8F" wp14:editId="0AD3C88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52C8450" w14:textId="77777777" w:rsidR="00D3124A" w:rsidRPr="00A63DFF" w:rsidRDefault="00D3124A" w:rsidP="00AD0359">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7E8774D3" w14:textId="77777777" w:rsidR="007E74F1" w:rsidRPr="001F45A7" w:rsidRDefault="007E74F1" w:rsidP="006E2886">
      <w:pPr>
        <w:pStyle w:val="Imprint"/>
      </w:pPr>
    </w:p>
    <w:p w14:paraId="7E8774D4" w14:textId="77777777" w:rsidR="00C86248" w:rsidRDefault="00C86248">
      <w:pPr>
        <w:jc w:val="center"/>
        <w:sectPr w:rsidR="00C86248" w:rsidSect="00925892">
          <w:footerReference w:type="even" r:id="rId15"/>
          <w:footerReference w:type="default" r:id="rId16"/>
          <w:pgSz w:w="11907" w:h="16834" w:code="9"/>
          <w:pgMar w:top="1701" w:right="2268" w:bottom="1134" w:left="2268" w:header="0" w:footer="0" w:gutter="0"/>
          <w:cols w:space="720"/>
          <w:vAlign w:val="bottom"/>
        </w:sectPr>
      </w:pPr>
    </w:p>
    <w:p w14:paraId="007CC987" w14:textId="77777777" w:rsidR="00D3124A" w:rsidRDefault="00D3124A" w:rsidP="00D3124A">
      <w:pPr>
        <w:pStyle w:val="Heading1"/>
        <w:numPr>
          <w:ilvl w:val="0"/>
          <w:numId w:val="0"/>
        </w:numPr>
        <w:ind w:left="1134" w:hanging="1134"/>
      </w:pPr>
      <w:bookmarkStart w:id="1" w:name="_Toc116484576"/>
      <w:bookmarkStart w:id="2" w:name="_Toc405792991"/>
      <w:bookmarkStart w:id="3" w:name="_Toc405793224"/>
      <w:r>
        <w:lastRenderedPageBreak/>
        <w:t>Foreword</w:t>
      </w:r>
      <w:bookmarkEnd w:id="1"/>
    </w:p>
    <w:p w14:paraId="3106204A" w14:textId="77777777" w:rsidR="00025FEB" w:rsidRPr="00121607" w:rsidRDefault="00025FEB" w:rsidP="00025FEB">
      <w:r w:rsidRPr="00121607">
        <w:t>These guidelines are mainly for clinical staff, mental health district inspectors</w:t>
      </w:r>
      <w:r>
        <w:rPr>
          <w:rStyle w:val="FootnoteReference"/>
        </w:rPr>
        <w:footnoteReference w:id="2"/>
      </w:r>
      <w:r w:rsidRPr="00121607">
        <w:t xml:space="preserve"> and any other parties who administer or work within the legal or clinical framework of the Mental Health (Compulsory Assessment and Treatment) Act 1992 (‘the Act’ or ‘the Mental Health Act’) Mental Health Act. Families and </w:t>
      </w:r>
      <w:proofErr w:type="spellStart"/>
      <w:r w:rsidRPr="00121607">
        <w:t>whānau</w:t>
      </w:r>
      <w:proofErr w:type="spellEnd"/>
      <w:r w:rsidRPr="00121607">
        <w:t xml:space="preserve">, service users and </w:t>
      </w:r>
      <w:proofErr w:type="spellStart"/>
      <w:r w:rsidRPr="00121607">
        <w:t>tāngata</w:t>
      </w:r>
      <w:proofErr w:type="spellEnd"/>
      <w:r w:rsidRPr="00121607">
        <w:t xml:space="preserve"> </w:t>
      </w:r>
      <w:proofErr w:type="spellStart"/>
      <w:r w:rsidRPr="00121607">
        <w:t>whai</w:t>
      </w:r>
      <w:proofErr w:type="spellEnd"/>
      <w:r w:rsidRPr="00121607">
        <w:t xml:space="preserve"> </w:t>
      </w:r>
      <w:proofErr w:type="spellStart"/>
      <w:r w:rsidRPr="00121607">
        <w:t>ora</w:t>
      </w:r>
      <w:proofErr w:type="spellEnd"/>
      <w:r w:rsidRPr="00121607">
        <w:t>, and members of the public may also find these guidelines useful. It should be noted that these guidelines are not clinical guidelines: they are issued under section 130(a) of the Mental Health Act and intended to support the lawful application of Part 4 of the Mental Health Act.</w:t>
      </w:r>
    </w:p>
    <w:p w14:paraId="531185A2" w14:textId="77777777" w:rsidR="00025FEB" w:rsidRPr="00121607" w:rsidRDefault="00025FEB" w:rsidP="00025FEB"/>
    <w:p w14:paraId="62406E04" w14:textId="77777777" w:rsidR="00025FEB" w:rsidRPr="00121607" w:rsidRDefault="00025FEB" w:rsidP="00025FEB">
      <w:r w:rsidRPr="00121607">
        <w:t>We last updated these guidelines in 2017. Recent changes and emerging issues have required us to revise these guidelines, including:</w:t>
      </w:r>
    </w:p>
    <w:p w14:paraId="5CC98B4F" w14:textId="77777777" w:rsidR="00025FEB" w:rsidRPr="00121607" w:rsidRDefault="00025FEB" w:rsidP="00025FEB">
      <w:pPr>
        <w:pStyle w:val="Bullet"/>
        <w:tabs>
          <w:tab w:val="clear" w:pos="284"/>
        </w:tabs>
      </w:pPr>
      <w:r w:rsidRPr="00121607">
        <w:t xml:space="preserve">the growing influence of rights-based approaches and the need to better promote these within the parameters of the current Mental Health Act </w:t>
      </w:r>
    </w:p>
    <w:p w14:paraId="3AF23934" w14:textId="77777777" w:rsidR="00025FEB" w:rsidRPr="00121607" w:rsidRDefault="00025FEB" w:rsidP="00025FEB">
      <w:pPr>
        <w:pStyle w:val="Bullet"/>
        <w:tabs>
          <w:tab w:val="clear" w:pos="284"/>
        </w:tabs>
      </w:pPr>
      <w:r w:rsidRPr="00121607">
        <w:t xml:space="preserve">the need to give greater emphasis to our obligations under </w:t>
      </w:r>
      <w:proofErr w:type="spellStart"/>
      <w:r w:rsidRPr="00121607">
        <w:t>Te</w:t>
      </w:r>
      <w:proofErr w:type="spellEnd"/>
      <w:r w:rsidRPr="00121607">
        <w:t xml:space="preserve"> </w:t>
      </w:r>
      <w:proofErr w:type="spellStart"/>
      <w:r w:rsidRPr="00121607">
        <w:t>Tiriti</w:t>
      </w:r>
      <w:proofErr w:type="spellEnd"/>
      <w:r w:rsidRPr="00121607">
        <w:t xml:space="preserve"> o Waitangi – the Treaty of Waitangi</w:t>
      </w:r>
    </w:p>
    <w:p w14:paraId="7989621E" w14:textId="77777777" w:rsidR="00025FEB" w:rsidRPr="00121607" w:rsidRDefault="00025FEB" w:rsidP="00025FEB">
      <w:pPr>
        <w:pStyle w:val="Bullet"/>
        <w:tabs>
          <w:tab w:val="clear" w:pos="284"/>
        </w:tabs>
      </w:pPr>
      <w:r w:rsidRPr="00121607">
        <w:t xml:space="preserve">the impact of </w:t>
      </w:r>
      <w:proofErr w:type="spellStart"/>
      <w:r w:rsidRPr="00121607">
        <w:rPr>
          <w:i/>
          <w:iCs/>
        </w:rPr>
        <w:t>He</w:t>
      </w:r>
      <w:proofErr w:type="spellEnd"/>
      <w:r w:rsidRPr="00121607">
        <w:rPr>
          <w:i/>
          <w:iCs/>
        </w:rPr>
        <w:t xml:space="preserve"> Ara </w:t>
      </w:r>
      <w:proofErr w:type="spellStart"/>
      <w:r w:rsidRPr="00121607">
        <w:rPr>
          <w:i/>
          <w:iCs/>
        </w:rPr>
        <w:t>Oranga</w:t>
      </w:r>
      <w:proofErr w:type="spellEnd"/>
      <w:r w:rsidRPr="00121607">
        <w:rPr>
          <w:i/>
          <w:iCs/>
        </w:rPr>
        <w:t>: Report of the Government Inquiry into Mental Health and Addiction</w:t>
      </w:r>
      <w:r w:rsidRPr="00121607">
        <w:t xml:space="preserve"> (Government Inquiry into Mental Health and Addiction 2018), particularly through feedback from people with lived experience and their families and </w:t>
      </w:r>
      <w:proofErr w:type="spellStart"/>
      <w:r w:rsidRPr="00121607">
        <w:t>whānau</w:t>
      </w:r>
      <w:proofErr w:type="spellEnd"/>
      <w:r w:rsidRPr="00121607">
        <w:t xml:space="preserve"> on how they experience current administration of the Act</w:t>
      </w:r>
    </w:p>
    <w:p w14:paraId="26861E1F" w14:textId="77777777" w:rsidR="00025FEB" w:rsidRPr="00121607" w:rsidRDefault="00025FEB" w:rsidP="00025FEB">
      <w:pPr>
        <w:pStyle w:val="Bullet"/>
        <w:tabs>
          <w:tab w:val="clear" w:pos="284"/>
        </w:tabs>
      </w:pPr>
      <w:r w:rsidRPr="00121607">
        <w:t>amendments to the Mental Health Act from October 2021</w:t>
      </w:r>
    </w:p>
    <w:p w14:paraId="023E639B" w14:textId="77777777" w:rsidR="00025FEB" w:rsidRPr="00121607" w:rsidRDefault="00025FEB" w:rsidP="00025FEB">
      <w:pPr>
        <w:pStyle w:val="Bullet"/>
        <w:tabs>
          <w:tab w:val="clear" w:pos="284"/>
        </w:tabs>
      </w:pPr>
      <w:r w:rsidRPr="00121607">
        <w:t xml:space="preserve">implementation of </w:t>
      </w:r>
      <w:proofErr w:type="spellStart"/>
      <w:r w:rsidRPr="00121607">
        <w:t>Ngā</w:t>
      </w:r>
      <w:proofErr w:type="spellEnd"/>
      <w:r w:rsidRPr="00121607">
        <w:t xml:space="preserve"> </w:t>
      </w:r>
      <w:proofErr w:type="spellStart"/>
      <w:r w:rsidRPr="00121607">
        <w:t>Paerewa</w:t>
      </w:r>
      <w:proofErr w:type="spellEnd"/>
      <w:r w:rsidRPr="00121607">
        <w:t xml:space="preserve"> Health and Disability Services Standard NZS 8134:2021.</w:t>
      </w:r>
    </w:p>
    <w:p w14:paraId="2E7FEAB4" w14:textId="77777777" w:rsidR="00025FEB" w:rsidRDefault="00025FEB" w:rsidP="00025FEB">
      <w:pPr>
        <w:rPr>
          <w:spacing w:val="-5"/>
        </w:rPr>
      </w:pPr>
    </w:p>
    <w:p w14:paraId="7C5BDA79" w14:textId="77777777" w:rsidR="00025FEB" w:rsidRPr="00121607" w:rsidRDefault="00025FEB" w:rsidP="00025FEB">
      <w:r w:rsidRPr="00121607">
        <w:t>Regional forensic mental health services (RFMHSs) are responsible for the care and treatment of special patients and restricted patients within the legislative framework of the Mental Health Act and the Criminal Procedure (Mentally Impaired Persons) Act 2003 (CP(MIP) Act.</w:t>
      </w:r>
    </w:p>
    <w:p w14:paraId="6AD9580E" w14:textId="77777777" w:rsidR="00025FEB" w:rsidRPr="00121607" w:rsidRDefault="00025FEB" w:rsidP="00025FEB">
      <w:pPr>
        <w:rPr>
          <w:spacing w:val="-5"/>
        </w:rPr>
      </w:pPr>
    </w:p>
    <w:p w14:paraId="2F13F3EB" w14:textId="77777777" w:rsidR="00025FEB" w:rsidRPr="00121607" w:rsidRDefault="00025FEB" w:rsidP="00025FEB">
      <w:r w:rsidRPr="00121607">
        <w:t xml:space="preserve">Regional forensic mental health services have a focus on recovery and rehabilitation, but also need to maintain safety and security for </w:t>
      </w:r>
      <w:proofErr w:type="spellStart"/>
      <w:r w:rsidRPr="00121607">
        <w:t>tāngata</w:t>
      </w:r>
      <w:proofErr w:type="spellEnd"/>
      <w:r w:rsidRPr="00121607">
        <w:t xml:space="preserve"> </w:t>
      </w:r>
      <w:proofErr w:type="spellStart"/>
      <w:r w:rsidRPr="00121607">
        <w:t>whaiora</w:t>
      </w:r>
      <w:proofErr w:type="spellEnd"/>
      <w:r w:rsidRPr="00121607">
        <w:t xml:space="preserve"> and the public. This involves physical, </w:t>
      </w:r>
      <w:proofErr w:type="gramStart"/>
      <w:r w:rsidRPr="00121607">
        <w:t>procedural</w:t>
      </w:r>
      <w:proofErr w:type="gramEnd"/>
      <w:r w:rsidRPr="00121607">
        <w:t xml:space="preserve"> and relational security and various levels of security and restrictions within RFMHS units, depending on </w:t>
      </w:r>
      <w:proofErr w:type="spellStart"/>
      <w:r w:rsidRPr="00121607">
        <w:t>tāngata</w:t>
      </w:r>
      <w:proofErr w:type="spellEnd"/>
      <w:r w:rsidRPr="00121607">
        <w:t xml:space="preserve"> </w:t>
      </w:r>
      <w:proofErr w:type="spellStart"/>
      <w:r w:rsidRPr="00121607">
        <w:t>whaiora’s</w:t>
      </w:r>
      <w:proofErr w:type="spellEnd"/>
      <w:r w:rsidRPr="00121607">
        <w:t xml:space="preserve"> mental health, security and risk needs and legal restrictions. </w:t>
      </w:r>
    </w:p>
    <w:p w14:paraId="2B814854" w14:textId="77777777" w:rsidR="00025FEB" w:rsidRPr="00121607" w:rsidRDefault="00025FEB" w:rsidP="00025FEB">
      <w:pPr>
        <w:rPr>
          <w:spacing w:val="-5"/>
        </w:rPr>
      </w:pPr>
    </w:p>
    <w:p w14:paraId="19C07CB5" w14:textId="77777777" w:rsidR="00025FEB" w:rsidRPr="00121607" w:rsidRDefault="00025FEB" w:rsidP="00025FEB">
      <w:r w:rsidRPr="00121607">
        <w:t>New Zealand legislation specifically allows for people who have been charged with or convicted of an offence, and who meet certain criteria in terms of their mental illness, to be treated for that condition in hospital. Treatment of mental illness can be an important step in helping an individual to acknowledge and address the reasons for their offending, and in doing so reduce the chances of future offending and significantly improve that individual’s wellbeing.</w:t>
      </w:r>
    </w:p>
    <w:p w14:paraId="087CFC75" w14:textId="77777777" w:rsidR="00025FEB" w:rsidRPr="00121607" w:rsidRDefault="00025FEB" w:rsidP="00025FEB"/>
    <w:p w14:paraId="3DEDB9AB" w14:textId="77777777" w:rsidR="00025FEB" w:rsidRPr="00121607" w:rsidRDefault="00025FEB" w:rsidP="00025FEB">
      <w:r w:rsidRPr="00121607">
        <w:t xml:space="preserve">The clinical management of special patients lies with the patient’s responsible clinician. However, leave and change of legal status require consideration and approval by the </w:t>
      </w:r>
      <w:r w:rsidRPr="00121607">
        <w:lastRenderedPageBreak/>
        <w:t>Director of Mental Health and/or (depending on the legal status of the patient) the Minister of Health and/or the Attorney-General. This level of decision-making reflects the seriousness of special patients’ status and the need to ensure that a wide range of factors are considered when making decisions about such patients.</w:t>
      </w:r>
    </w:p>
    <w:p w14:paraId="63F8B28E" w14:textId="77777777" w:rsidR="00025FEB" w:rsidRPr="00121607" w:rsidRDefault="00025FEB" w:rsidP="00025FEB"/>
    <w:p w14:paraId="56E6DED5" w14:textId="77777777" w:rsidR="00025FEB" w:rsidRPr="00121607" w:rsidRDefault="00025FEB" w:rsidP="00025FEB">
      <w:r w:rsidRPr="00121607">
        <w:t>These guidelines are intended to foster consistent decision-making by clinicians, facilitate the administration of matters relating to special patient leave and provide transparency on the processes used in reaching decisions about special patients.</w:t>
      </w:r>
    </w:p>
    <w:p w14:paraId="71FF64C5" w14:textId="77777777" w:rsidR="00025FEB" w:rsidRPr="00121607" w:rsidRDefault="00025FEB" w:rsidP="00025FEB"/>
    <w:p w14:paraId="6DC9E023" w14:textId="77777777" w:rsidR="00025FEB" w:rsidRPr="00121607" w:rsidRDefault="00025FEB" w:rsidP="00025FEB">
      <w:r w:rsidRPr="00121607">
        <w:t>Dr John Crawshaw</w:t>
      </w:r>
    </w:p>
    <w:p w14:paraId="74A8813E" w14:textId="77777777" w:rsidR="00025FEB" w:rsidRPr="00121607" w:rsidRDefault="00025FEB" w:rsidP="00025FEB">
      <w:pPr>
        <w:rPr>
          <w:b/>
          <w:bCs/>
        </w:rPr>
      </w:pPr>
      <w:r w:rsidRPr="00121607">
        <w:rPr>
          <w:b/>
          <w:bCs/>
        </w:rPr>
        <w:t>Director of Mental Health</w:t>
      </w:r>
    </w:p>
    <w:p w14:paraId="53D10B28" w14:textId="77777777" w:rsidR="00D3124A" w:rsidRDefault="00D3124A" w:rsidP="00D3124A"/>
    <w:p w14:paraId="2632A8A7" w14:textId="77777777" w:rsidR="00D3124A" w:rsidRDefault="00D3124A" w:rsidP="00025A6F">
      <w:pPr>
        <w:pStyle w:val="IntroHead"/>
        <w:sectPr w:rsidR="00D3124A" w:rsidSect="00D3124A">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start="3"/>
          <w:cols w:space="720"/>
        </w:sectPr>
      </w:pPr>
    </w:p>
    <w:p w14:paraId="7E8774D5" w14:textId="1A7F7185" w:rsidR="00C86248" w:rsidRDefault="00C86248" w:rsidP="00025A6F">
      <w:pPr>
        <w:pStyle w:val="IntroHead"/>
      </w:pPr>
      <w:r>
        <w:lastRenderedPageBreak/>
        <w:t>Contents</w:t>
      </w:r>
      <w:bookmarkEnd w:id="2"/>
      <w:bookmarkEnd w:id="3"/>
    </w:p>
    <w:p w14:paraId="17CB4B28" w14:textId="5B599DB1" w:rsidR="007A6F61" w:rsidRDefault="00970185">
      <w:pPr>
        <w:pStyle w:val="TOC1"/>
        <w:rPr>
          <w:rFonts w:asciiTheme="minorHAnsi" w:eastAsiaTheme="minorEastAsia" w:hAnsiTheme="minorHAnsi" w:cstheme="minorBidi"/>
          <w:noProof/>
          <w:sz w:val="22"/>
          <w:szCs w:val="22"/>
          <w:lang w:val="en-AU" w:eastAsia="en-AU"/>
        </w:rPr>
      </w:pPr>
      <w:r>
        <w:rPr>
          <w:b/>
        </w:rPr>
        <w:fldChar w:fldCharType="begin"/>
      </w:r>
      <w:r>
        <w:rPr>
          <w:b/>
        </w:rPr>
        <w:instrText xml:space="preserve"> TOC \o "1-2" \h \z </w:instrText>
      </w:r>
      <w:r>
        <w:rPr>
          <w:b/>
        </w:rPr>
        <w:fldChar w:fldCharType="separate"/>
      </w:r>
      <w:hyperlink w:anchor="_Toc116484576" w:history="1">
        <w:r w:rsidR="007A6F61" w:rsidRPr="00947FB1">
          <w:rPr>
            <w:rStyle w:val="Hyperlink"/>
            <w:noProof/>
          </w:rPr>
          <w:t>Foreword</w:t>
        </w:r>
        <w:r w:rsidR="007A6F61">
          <w:rPr>
            <w:noProof/>
            <w:webHidden/>
          </w:rPr>
          <w:tab/>
        </w:r>
        <w:r w:rsidR="007A6F61">
          <w:rPr>
            <w:noProof/>
            <w:webHidden/>
          </w:rPr>
          <w:fldChar w:fldCharType="begin"/>
        </w:r>
        <w:r w:rsidR="007A6F61">
          <w:rPr>
            <w:noProof/>
            <w:webHidden/>
          </w:rPr>
          <w:instrText xml:space="preserve"> PAGEREF _Toc116484576 \h </w:instrText>
        </w:r>
        <w:r w:rsidR="007A6F61">
          <w:rPr>
            <w:noProof/>
            <w:webHidden/>
          </w:rPr>
        </w:r>
        <w:r w:rsidR="007A6F61">
          <w:rPr>
            <w:noProof/>
            <w:webHidden/>
          </w:rPr>
          <w:fldChar w:fldCharType="separate"/>
        </w:r>
        <w:r w:rsidR="007A6F61">
          <w:rPr>
            <w:noProof/>
            <w:webHidden/>
          </w:rPr>
          <w:t>iii</w:t>
        </w:r>
        <w:r w:rsidR="007A6F61">
          <w:rPr>
            <w:noProof/>
            <w:webHidden/>
          </w:rPr>
          <w:fldChar w:fldCharType="end"/>
        </w:r>
      </w:hyperlink>
    </w:p>
    <w:p w14:paraId="6D0EFB7F" w14:textId="0D459CDB" w:rsidR="007A6F61" w:rsidRDefault="000D2E1E">
      <w:pPr>
        <w:pStyle w:val="TOC1"/>
        <w:rPr>
          <w:rFonts w:asciiTheme="minorHAnsi" w:eastAsiaTheme="minorEastAsia" w:hAnsiTheme="minorHAnsi" w:cstheme="minorBidi"/>
          <w:noProof/>
          <w:sz w:val="22"/>
          <w:szCs w:val="22"/>
          <w:lang w:val="en-AU" w:eastAsia="en-AU"/>
        </w:rPr>
      </w:pPr>
      <w:hyperlink w:anchor="_Toc116484577" w:history="1">
        <w:r w:rsidR="007A6F61" w:rsidRPr="00947FB1">
          <w:rPr>
            <w:rStyle w:val="Hyperlink"/>
            <w:noProof/>
          </w:rPr>
          <w:t>Introduction</w:t>
        </w:r>
        <w:r w:rsidR="007A6F61">
          <w:rPr>
            <w:noProof/>
            <w:webHidden/>
          </w:rPr>
          <w:tab/>
        </w:r>
        <w:r w:rsidR="007A6F61">
          <w:rPr>
            <w:noProof/>
            <w:webHidden/>
          </w:rPr>
          <w:fldChar w:fldCharType="begin"/>
        </w:r>
        <w:r w:rsidR="007A6F61">
          <w:rPr>
            <w:noProof/>
            <w:webHidden/>
          </w:rPr>
          <w:instrText xml:space="preserve"> PAGEREF _Toc116484577 \h </w:instrText>
        </w:r>
        <w:r w:rsidR="007A6F61">
          <w:rPr>
            <w:noProof/>
            <w:webHidden/>
          </w:rPr>
        </w:r>
        <w:r w:rsidR="007A6F61">
          <w:rPr>
            <w:noProof/>
            <w:webHidden/>
          </w:rPr>
          <w:fldChar w:fldCharType="separate"/>
        </w:r>
        <w:r w:rsidR="007A6F61">
          <w:rPr>
            <w:noProof/>
            <w:webHidden/>
          </w:rPr>
          <w:t>1</w:t>
        </w:r>
        <w:r w:rsidR="007A6F61">
          <w:rPr>
            <w:noProof/>
            <w:webHidden/>
          </w:rPr>
          <w:fldChar w:fldCharType="end"/>
        </w:r>
      </w:hyperlink>
    </w:p>
    <w:p w14:paraId="72D3194A" w14:textId="27FAE656" w:rsidR="007A6F61" w:rsidRDefault="000D2E1E">
      <w:pPr>
        <w:pStyle w:val="TOC2"/>
        <w:rPr>
          <w:rFonts w:asciiTheme="minorHAnsi" w:eastAsiaTheme="minorEastAsia" w:hAnsiTheme="minorHAnsi" w:cstheme="minorBidi"/>
          <w:noProof/>
          <w:sz w:val="22"/>
          <w:szCs w:val="22"/>
          <w:lang w:val="en-AU" w:eastAsia="en-AU"/>
        </w:rPr>
      </w:pPr>
      <w:hyperlink w:anchor="_Toc116484578" w:history="1">
        <w:r w:rsidR="007A6F61" w:rsidRPr="00947FB1">
          <w:rPr>
            <w:rStyle w:val="Hyperlink"/>
            <w:noProof/>
          </w:rPr>
          <w:t>Definitions</w:t>
        </w:r>
        <w:r w:rsidR="007A6F61">
          <w:rPr>
            <w:noProof/>
            <w:webHidden/>
          </w:rPr>
          <w:tab/>
        </w:r>
        <w:r w:rsidR="007A6F61">
          <w:rPr>
            <w:noProof/>
            <w:webHidden/>
          </w:rPr>
          <w:fldChar w:fldCharType="begin"/>
        </w:r>
        <w:r w:rsidR="007A6F61">
          <w:rPr>
            <w:noProof/>
            <w:webHidden/>
          </w:rPr>
          <w:instrText xml:space="preserve"> PAGEREF _Toc116484578 \h </w:instrText>
        </w:r>
        <w:r w:rsidR="007A6F61">
          <w:rPr>
            <w:noProof/>
            <w:webHidden/>
          </w:rPr>
        </w:r>
        <w:r w:rsidR="007A6F61">
          <w:rPr>
            <w:noProof/>
            <w:webHidden/>
          </w:rPr>
          <w:fldChar w:fldCharType="separate"/>
        </w:r>
        <w:r w:rsidR="007A6F61">
          <w:rPr>
            <w:noProof/>
            <w:webHidden/>
          </w:rPr>
          <w:t>1</w:t>
        </w:r>
        <w:r w:rsidR="007A6F61">
          <w:rPr>
            <w:noProof/>
            <w:webHidden/>
          </w:rPr>
          <w:fldChar w:fldCharType="end"/>
        </w:r>
      </w:hyperlink>
    </w:p>
    <w:p w14:paraId="277E2A4A" w14:textId="16748407" w:rsidR="007A6F61" w:rsidRDefault="000D2E1E">
      <w:pPr>
        <w:pStyle w:val="TOC2"/>
        <w:rPr>
          <w:rFonts w:asciiTheme="minorHAnsi" w:eastAsiaTheme="minorEastAsia" w:hAnsiTheme="minorHAnsi" w:cstheme="minorBidi"/>
          <w:noProof/>
          <w:sz w:val="22"/>
          <w:szCs w:val="22"/>
          <w:lang w:val="en-AU" w:eastAsia="en-AU"/>
        </w:rPr>
      </w:pPr>
      <w:hyperlink w:anchor="_Toc116484579" w:history="1">
        <w:r w:rsidR="007A6F61" w:rsidRPr="00947FB1">
          <w:rPr>
            <w:rStyle w:val="Hyperlink"/>
            <w:noProof/>
          </w:rPr>
          <w:t>Purpose of the guidelines</w:t>
        </w:r>
        <w:r w:rsidR="007A6F61">
          <w:rPr>
            <w:noProof/>
            <w:webHidden/>
          </w:rPr>
          <w:tab/>
        </w:r>
        <w:r w:rsidR="007A6F61">
          <w:rPr>
            <w:noProof/>
            <w:webHidden/>
          </w:rPr>
          <w:fldChar w:fldCharType="begin"/>
        </w:r>
        <w:r w:rsidR="007A6F61">
          <w:rPr>
            <w:noProof/>
            <w:webHidden/>
          </w:rPr>
          <w:instrText xml:space="preserve"> PAGEREF _Toc116484579 \h </w:instrText>
        </w:r>
        <w:r w:rsidR="007A6F61">
          <w:rPr>
            <w:noProof/>
            <w:webHidden/>
          </w:rPr>
        </w:r>
        <w:r w:rsidR="007A6F61">
          <w:rPr>
            <w:noProof/>
            <w:webHidden/>
          </w:rPr>
          <w:fldChar w:fldCharType="separate"/>
        </w:r>
        <w:r w:rsidR="007A6F61">
          <w:rPr>
            <w:noProof/>
            <w:webHidden/>
          </w:rPr>
          <w:t>2</w:t>
        </w:r>
        <w:r w:rsidR="007A6F61">
          <w:rPr>
            <w:noProof/>
            <w:webHidden/>
          </w:rPr>
          <w:fldChar w:fldCharType="end"/>
        </w:r>
      </w:hyperlink>
    </w:p>
    <w:p w14:paraId="2E291CD8" w14:textId="75D86794" w:rsidR="007A6F61" w:rsidRDefault="000D2E1E">
      <w:pPr>
        <w:pStyle w:val="TOC2"/>
        <w:rPr>
          <w:rFonts w:asciiTheme="minorHAnsi" w:eastAsiaTheme="minorEastAsia" w:hAnsiTheme="minorHAnsi" w:cstheme="minorBidi"/>
          <w:noProof/>
          <w:sz w:val="22"/>
          <w:szCs w:val="22"/>
          <w:lang w:val="en-AU" w:eastAsia="en-AU"/>
        </w:rPr>
      </w:pPr>
      <w:hyperlink w:anchor="_Toc116484580" w:history="1">
        <w:r w:rsidR="007A6F61" w:rsidRPr="00947FB1">
          <w:rPr>
            <w:rStyle w:val="Hyperlink"/>
            <w:noProof/>
          </w:rPr>
          <w:t>Context</w:t>
        </w:r>
        <w:r w:rsidR="007A6F61">
          <w:rPr>
            <w:noProof/>
            <w:webHidden/>
          </w:rPr>
          <w:tab/>
        </w:r>
        <w:r w:rsidR="007A6F61">
          <w:rPr>
            <w:noProof/>
            <w:webHidden/>
          </w:rPr>
          <w:fldChar w:fldCharType="begin"/>
        </w:r>
        <w:r w:rsidR="007A6F61">
          <w:rPr>
            <w:noProof/>
            <w:webHidden/>
          </w:rPr>
          <w:instrText xml:space="preserve"> PAGEREF _Toc116484580 \h </w:instrText>
        </w:r>
        <w:r w:rsidR="007A6F61">
          <w:rPr>
            <w:noProof/>
            <w:webHidden/>
          </w:rPr>
        </w:r>
        <w:r w:rsidR="007A6F61">
          <w:rPr>
            <w:noProof/>
            <w:webHidden/>
          </w:rPr>
          <w:fldChar w:fldCharType="separate"/>
        </w:r>
        <w:r w:rsidR="007A6F61">
          <w:rPr>
            <w:noProof/>
            <w:webHidden/>
          </w:rPr>
          <w:t>2</w:t>
        </w:r>
        <w:r w:rsidR="007A6F61">
          <w:rPr>
            <w:noProof/>
            <w:webHidden/>
          </w:rPr>
          <w:fldChar w:fldCharType="end"/>
        </w:r>
      </w:hyperlink>
    </w:p>
    <w:p w14:paraId="7A445AA4" w14:textId="57AB277B" w:rsidR="007A6F61" w:rsidRDefault="000D2E1E">
      <w:pPr>
        <w:pStyle w:val="TOC2"/>
        <w:rPr>
          <w:rFonts w:asciiTheme="minorHAnsi" w:eastAsiaTheme="minorEastAsia" w:hAnsiTheme="minorHAnsi" w:cstheme="minorBidi"/>
          <w:noProof/>
          <w:sz w:val="22"/>
          <w:szCs w:val="22"/>
          <w:lang w:val="en-AU" w:eastAsia="en-AU"/>
        </w:rPr>
      </w:pPr>
      <w:hyperlink w:anchor="_Toc116484581" w:history="1">
        <w:r w:rsidR="007A6F61" w:rsidRPr="00947FB1">
          <w:rPr>
            <w:rStyle w:val="Hyperlink"/>
            <w:noProof/>
          </w:rPr>
          <w:t>Scope of these guidelines</w:t>
        </w:r>
        <w:r w:rsidR="007A6F61">
          <w:rPr>
            <w:noProof/>
            <w:webHidden/>
          </w:rPr>
          <w:tab/>
        </w:r>
        <w:r w:rsidR="007A6F61">
          <w:rPr>
            <w:noProof/>
            <w:webHidden/>
          </w:rPr>
          <w:fldChar w:fldCharType="begin"/>
        </w:r>
        <w:r w:rsidR="007A6F61">
          <w:rPr>
            <w:noProof/>
            <w:webHidden/>
          </w:rPr>
          <w:instrText xml:space="preserve"> PAGEREF _Toc116484581 \h </w:instrText>
        </w:r>
        <w:r w:rsidR="007A6F61">
          <w:rPr>
            <w:noProof/>
            <w:webHidden/>
          </w:rPr>
        </w:r>
        <w:r w:rsidR="007A6F61">
          <w:rPr>
            <w:noProof/>
            <w:webHidden/>
          </w:rPr>
          <w:fldChar w:fldCharType="separate"/>
        </w:r>
        <w:r w:rsidR="007A6F61">
          <w:rPr>
            <w:noProof/>
            <w:webHidden/>
          </w:rPr>
          <w:t>3</w:t>
        </w:r>
        <w:r w:rsidR="007A6F61">
          <w:rPr>
            <w:noProof/>
            <w:webHidden/>
          </w:rPr>
          <w:fldChar w:fldCharType="end"/>
        </w:r>
      </w:hyperlink>
    </w:p>
    <w:p w14:paraId="2B562D0E" w14:textId="2EEA0439" w:rsidR="007A6F61" w:rsidRDefault="000D2E1E">
      <w:pPr>
        <w:pStyle w:val="TOC2"/>
        <w:rPr>
          <w:rFonts w:asciiTheme="minorHAnsi" w:eastAsiaTheme="minorEastAsia" w:hAnsiTheme="minorHAnsi" w:cstheme="minorBidi"/>
          <w:noProof/>
          <w:sz w:val="22"/>
          <w:szCs w:val="22"/>
          <w:lang w:val="en-AU" w:eastAsia="en-AU"/>
        </w:rPr>
      </w:pPr>
      <w:hyperlink w:anchor="_Toc116484582" w:history="1">
        <w:r w:rsidR="007A6F61" w:rsidRPr="00947FB1">
          <w:rPr>
            <w:rStyle w:val="Hyperlink"/>
            <w:noProof/>
          </w:rPr>
          <w:t>Cultural and personal rights considerations</w:t>
        </w:r>
        <w:r w:rsidR="007A6F61">
          <w:rPr>
            <w:noProof/>
            <w:webHidden/>
          </w:rPr>
          <w:tab/>
        </w:r>
        <w:r w:rsidR="007A6F61">
          <w:rPr>
            <w:noProof/>
            <w:webHidden/>
          </w:rPr>
          <w:fldChar w:fldCharType="begin"/>
        </w:r>
        <w:r w:rsidR="007A6F61">
          <w:rPr>
            <w:noProof/>
            <w:webHidden/>
          </w:rPr>
          <w:instrText xml:space="preserve"> PAGEREF _Toc116484582 \h </w:instrText>
        </w:r>
        <w:r w:rsidR="007A6F61">
          <w:rPr>
            <w:noProof/>
            <w:webHidden/>
          </w:rPr>
        </w:r>
        <w:r w:rsidR="007A6F61">
          <w:rPr>
            <w:noProof/>
            <w:webHidden/>
          </w:rPr>
          <w:fldChar w:fldCharType="separate"/>
        </w:r>
        <w:r w:rsidR="007A6F61">
          <w:rPr>
            <w:noProof/>
            <w:webHidden/>
          </w:rPr>
          <w:t>3</w:t>
        </w:r>
        <w:r w:rsidR="007A6F61">
          <w:rPr>
            <w:noProof/>
            <w:webHidden/>
          </w:rPr>
          <w:fldChar w:fldCharType="end"/>
        </w:r>
      </w:hyperlink>
    </w:p>
    <w:p w14:paraId="240B4615" w14:textId="1ECF8170" w:rsidR="007A6F61" w:rsidRDefault="000D2E1E">
      <w:pPr>
        <w:pStyle w:val="TOC1"/>
        <w:rPr>
          <w:rFonts w:asciiTheme="minorHAnsi" w:eastAsiaTheme="minorEastAsia" w:hAnsiTheme="minorHAnsi" w:cstheme="minorBidi"/>
          <w:noProof/>
          <w:sz w:val="22"/>
          <w:szCs w:val="22"/>
          <w:lang w:val="en-AU" w:eastAsia="en-AU"/>
        </w:rPr>
      </w:pPr>
      <w:hyperlink w:anchor="_Toc116484583" w:history="1">
        <w:r w:rsidR="007A6F61" w:rsidRPr="00947FB1">
          <w:rPr>
            <w:rStyle w:val="Hyperlink"/>
            <w:noProof/>
          </w:rPr>
          <w:t>1</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Notification of admission of special patients</w:t>
        </w:r>
        <w:r w:rsidR="007A6F61">
          <w:rPr>
            <w:noProof/>
            <w:webHidden/>
          </w:rPr>
          <w:tab/>
        </w:r>
        <w:r w:rsidR="007A6F61">
          <w:rPr>
            <w:noProof/>
            <w:webHidden/>
          </w:rPr>
          <w:fldChar w:fldCharType="begin"/>
        </w:r>
        <w:r w:rsidR="007A6F61">
          <w:rPr>
            <w:noProof/>
            <w:webHidden/>
          </w:rPr>
          <w:instrText xml:space="preserve"> PAGEREF _Toc116484583 \h </w:instrText>
        </w:r>
        <w:r w:rsidR="007A6F61">
          <w:rPr>
            <w:noProof/>
            <w:webHidden/>
          </w:rPr>
        </w:r>
        <w:r w:rsidR="007A6F61">
          <w:rPr>
            <w:noProof/>
            <w:webHidden/>
          </w:rPr>
          <w:fldChar w:fldCharType="separate"/>
        </w:r>
        <w:r w:rsidR="007A6F61">
          <w:rPr>
            <w:noProof/>
            <w:webHidden/>
          </w:rPr>
          <w:t>5</w:t>
        </w:r>
        <w:r w:rsidR="007A6F61">
          <w:rPr>
            <w:noProof/>
            <w:webHidden/>
          </w:rPr>
          <w:fldChar w:fldCharType="end"/>
        </w:r>
      </w:hyperlink>
    </w:p>
    <w:p w14:paraId="5F8C5EDB" w14:textId="19AFD3A5" w:rsidR="007A6F61" w:rsidRDefault="000D2E1E">
      <w:pPr>
        <w:pStyle w:val="TOC1"/>
        <w:rPr>
          <w:rFonts w:asciiTheme="minorHAnsi" w:eastAsiaTheme="minorEastAsia" w:hAnsiTheme="minorHAnsi" w:cstheme="minorBidi"/>
          <w:noProof/>
          <w:sz w:val="22"/>
          <w:szCs w:val="22"/>
          <w:lang w:val="en-AU" w:eastAsia="en-AU"/>
        </w:rPr>
      </w:pPr>
      <w:hyperlink w:anchor="_Toc116484584" w:history="1">
        <w:r w:rsidR="007A6F61" w:rsidRPr="00947FB1">
          <w:rPr>
            <w:rStyle w:val="Hyperlink"/>
            <w:noProof/>
          </w:rPr>
          <w:t>2</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Safety and security</w:t>
        </w:r>
        <w:r w:rsidR="007A6F61">
          <w:rPr>
            <w:noProof/>
            <w:webHidden/>
          </w:rPr>
          <w:tab/>
        </w:r>
        <w:r w:rsidR="007A6F61">
          <w:rPr>
            <w:noProof/>
            <w:webHidden/>
          </w:rPr>
          <w:fldChar w:fldCharType="begin"/>
        </w:r>
        <w:r w:rsidR="007A6F61">
          <w:rPr>
            <w:noProof/>
            <w:webHidden/>
          </w:rPr>
          <w:instrText xml:space="preserve"> PAGEREF _Toc116484584 \h </w:instrText>
        </w:r>
        <w:r w:rsidR="007A6F61">
          <w:rPr>
            <w:noProof/>
            <w:webHidden/>
          </w:rPr>
        </w:r>
        <w:r w:rsidR="007A6F61">
          <w:rPr>
            <w:noProof/>
            <w:webHidden/>
          </w:rPr>
          <w:fldChar w:fldCharType="separate"/>
        </w:r>
        <w:r w:rsidR="007A6F61">
          <w:rPr>
            <w:noProof/>
            <w:webHidden/>
          </w:rPr>
          <w:t>7</w:t>
        </w:r>
        <w:r w:rsidR="007A6F61">
          <w:rPr>
            <w:noProof/>
            <w:webHidden/>
          </w:rPr>
          <w:fldChar w:fldCharType="end"/>
        </w:r>
      </w:hyperlink>
    </w:p>
    <w:p w14:paraId="271FDF7C" w14:textId="130AA35C"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585" w:history="1">
        <w:r w:rsidR="007A6F61" w:rsidRPr="00947FB1">
          <w:rPr>
            <w:rStyle w:val="Hyperlink"/>
            <w:noProof/>
          </w:rPr>
          <w:t>2.1</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Travel restrictions</w:t>
        </w:r>
        <w:r w:rsidR="007A6F61">
          <w:rPr>
            <w:noProof/>
            <w:webHidden/>
          </w:rPr>
          <w:tab/>
        </w:r>
        <w:r w:rsidR="007A6F61">
          <w:rPr>
            <w:noProof/>
            <w:webHidden/>
          </w:rPr>
          <w:fldChar w:fldCharType="begin"/>
        </w:r>
        <w:r w:rsidR="007A6F61">
          <w:rPr>
            <w:noProof/>
            <w:webHidden/>
          </w:rPr>
          <w:instrText xml:space="preserve"> PAGEREF _Toc116484585 \h </w:instrText>
        </w:r>
        <w:r w:rsidR="007A6F61">
          <w:rPr>
            <w:noProof/>
            <w:webHidden/>
          </w:rPr>
        </w:r>
        <w:r w:rsidR="007A6F61">
          <w:rPr>
            <w:noProof/>
            <w:webHidden/>
          </w:rPr>
          <w:fldChar w:fldCharType="separate"/>
        </w:r>
        <w:r w:rsidR="007A6F61">
          <w:rPr>
            <w:noProof/>
            <w:webHidden/>
          </w:rPr>
          <w:t>7</w:t>
        </w:r>
        <w:r w:rsidR="007A6F61">
          <w:rPr>
            <w:noProof/>
            <w:webHidden/>
          </w:rPr>
          <w:fldChar w:fldCharType="end"/>
        </w:r>
      </w:hyperlink>
    </w:p>
    <w:p w14:paraId="0CCD6F6B" w14:textId="021AE497"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586" w:history="1">
        <w:r w:rsidR="007A6F61" w:rsidRPr="00947FB1">
          <w:rPr>
            <w:rStyle w:val="Hyperlink"/>
            <w:noProof/>
          </w:rPr>
          <w:t>2.2</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Photographing special patients</w:t>
        </w:r>
        <w:r w:rsidR="007A6F61">
          <w:rPr>
            <w:noProof/>
            <w:webHidden/>
          </w:rPr>
          <w:tab/>
        </w:r>
        <w:r w:rsidR="007A6F61">
          <w:rPr>
            <w:noProof/>
            <w:webHidden/>
          </w:rPr>
          <w:fldChar w:fldCharType="begin"/>
        </w:r>
        <w:r w:rsidR="007A6F61">
          <w:rPr>
            <w:noProof/>
            <w:webHidden/>
          </w:rPr>
          <w:instrText xml:space="preserve"> PAGEREF _Toc116484586 \h </w:instrText>
        </w:r>
        <w:r w:rsidR="007A6F61">
          <w:rPr>
            <w:noProof/>
            <w:webHidden/>
          </w:rPr>
        </w:r>
        <w:r w:rsidR="007A6F61">
          <w:rPr>
            <w:noProof/>
            <w:webHidden/>
          </w:rPr>
          <w:fldChar w:fldCharType="separate"/>
        </w:r>
        <w:r w:rsidR="007A6F61">
          <w:rPr>
            <w:noProof/>
            <w:webHidden/>
          </w:rPr>
          <w:t>7</w:t>
        </w:r>
        <w:r w:rsidR="007A6F61">
          <w:rPr>
            <w:noProof/>
            <w:webHidden/>
          </w:rPr>
          <w:fldChar w:fldCharType="end"/>
        </w:r>
      </w:hyperlink>
    </w:p>
    <w:p w14:paraId="40380768" w14:textId="2C2162CF"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587" w:history="1">
        <w:r w:rsidR="007A6F61" w:rsidRPr="00947FB1">
          <w:rPr>
            <w:rStyle w:val="Hyperlink"/>
            <w:noProof/>
          </w:rPr>
          <w:t>2.3</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Flight risk assessment</w:t>
        </w:r>
        <w:r w:rsidR="007A6F61">
          <w:rPr>
            <w:noProof/>
            <w:webHidden/>
          </w:rPr>
          <w:tab/>
        </w:r>
        <w:r w:rsidR="007A6F61">
          <w:rPr>
            <w:noProof/>
            <w:webHidden/>
          </w:rPr>
          <w:fldChar w:fldCharType="begin"/>
        </w:r>
        <w:r w:rsidR="007A6F61">
          <w:rPr>
            <w:noProof/>
            <w:webHidden/>
          </w:rPr>
          <w:instrText xml:space="preserve"> PAGEREF _Toc116484587 \h </w:instrText>
        </w:r>
        <w:r w:rsidR="007A6F61">
          <w:rPr>
            <w:noProof/>
            <w:webHidden/>
          </w:rPr>
        </w:r>
        <w:r w:rsidR="007A6F61">
          <w:rPr>
            <w:noProof/>
            <w:webHidden/>
          </w:rPr>
          <w:fldChar w:fldCharType="separate"/>
        </w:r>
        <w:r w:rsidR="007A6F61">
          <w:rPr>
            <w:noProof/>
            <w:webHidden/>
          </w:rPr>
          <w:t>9</w:t>
        </w:r>
        <w:r w:rsidR="007A6F61">
          <w:rPr>
            <w:noProof/>
            <w:webHidden/>
          </w:rPr>
          <w:fldChar w:fldCharType="end"/>
        </w:r>
      </w:hyperlink>
    </w:p>
    <w:p w14:paraId="4080E8B6" w14:textId="557241C9" w:rsidR="007A6F61" w:rsidRDefault="000D2E1E">
      <w:pPr>
        <w:pStyle w:val="TOC1"/>
        <w:rPr>
          <w:rFonts w:asciiTheme="minorHAnsi" w:eastAsiaTheme="minorEastAsia" w:hAnsiTheme="minorHAnsi" w:cstheme="minorBidi"/>
          <w:noProof/>
          <w:sz w:val="22"/>
          <w:szCs w:val="22"/>
          <w:lang w:val="en-AU" w:eastAsia="en-AU"/>
        </w:rPr>
      </w:pPr>
      <w:hyperlink w:anchor="_Toc116484588" w:history="1">
        <w:r w:rsidR="007A6F61" w:rsidRPr="00947FB1">
          <w:rPr>
            <w:rStyle w:val="Hyperlink"/>
            <w:noProof/>
          </w:rPr>
          <w:t>3</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Special patient reviews</w:t>
        </w:r>
        <w:r w:rsidR="007A6F61">
          <w:rPr>
            <w:noProof/>
            <w:webHidden/>
          </w:rPr>
          <w:tab/>
        </w:r>
        <w:r w:rsidR="007A6F61">
          <w:rPr>
            <w:noProof/>
            <w:webHidden/>
          </w:rPr>
          <w:fldChar w:fldCharType="begin"/>
        </w:r>
        <w:r w:rsidR="007A6F61">
          <w:rPr>
            <w:noProof/>
            <w:webHidden/>
          </w:rPr>
          <w:instrText xml:space="preserve"> PAGEREF _Toc116484588 \h </w:instrText>
        </w:r>
        <w:r w:rsidR="007A6F61">
          <w:rPr>
            <w:noProof/>
            <w:webHidden/>
          </w:rPr>
        </w:r>
        <w:r w:rsidR="007A6F61">
          <w:rPr>
            <w:noProof/>
            <w:webHidden/>
          </w:rPr>
          <w:fldChar w:fldCharType="separate"/>
        </w:r>
        <w:r w:rsidR="007A6F61">
          <w:rPr>
            <w:noProof/>
            <w:webHidden/>
          </w:rPr>
          <w:t>11</w:t>
        </w:r>
        <w:r w:rsidR="007A6F61">
          <w:rPr>
            <w:noProof/>
            <w:webHidden/>
          </w:rPr>
          <w:fldChar w:fldCharType="end"/>
        </w:r>
      </w:hyperlink>
    </w:p>
    <w:p w14:paraId="2C6C7658" w14:textId="7BADD210"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589" w:history="1">
        <w:r w:rsidR="007A6F61" w:rsidRPr="00947FB1">
          <w:rPr>
            <w:rStyle w:val="Hyperlink"/>
            <w:noProof/>
          </w:rPr>
          <w:t>3.1</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A note regarding risk assessments</w:t>
        </w:r>
        <w:r w:rsidR="007A6F61">
          <w:rPr>
            <w:noProof/>
            <w:webHidden/>
          </w:rPr>
          <w:tab/>
        </w:r>
        <w:r w:rsidR="007A6F61">
          <w:rPr>
            <w:noProof/>
            <w:webHidden/>
          </w:rPr>
          <w:fldChar w:fldCharType="begin"/>
        </w:r>
        <w:r w:rsidR="007A6F61">
          <w:rPr>
            <w:noProof/>
            <w:webHidden/>
          </w:rPr>
          <w:instrText xml:space="preserve"> PAGEREF _Toc116484589 \h </w:instrText>
        </w:r>
        <w:r w:rsidR="007A6F61">
          <w:rPr>
            <w:noProof/>
            <w:webHidden/>
          </w:rPr>
        </w:r>
        <w:r w:rsidR="007A6F61">
          <w:rPr>
            <w:noProof/>
            <w:webHidden/>
          </w:rPr>
          <w:fldChar w:fldCharType="separate"/>
        </w:r>
        <w:r w:rsidR="007A6F61">
          <w:rPr>
            <w:noProof/>
            <w:webHidden/>
          </w:rPr>
          <w:t>13</w:t>
        </w:r>
        <w:r w:rsidR="007A6F61">
          <w:rPr>
            <w:noProof/>
            <w:webHidden/>
          </w:rPr>
          <w:fldChar w:fldCharType="end"/>
        </w:r>
      </w:hyperlink>
    </w:p>
    <w:p w14:paraId="5804DAD8" w14:textId="00D0B499"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590" w:history="1">
        <w:r w:rsidR="007A6F61" w:rsidRPr="00947FB1">
          <w:rPr>
            <w:rStyle w:val="Hyperlink"/>
            <w:noProof/>
          </w:rPr>
          <w:t>3.2</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Timing of special patient reviews</w:t>
        </w:r>
        <w:r w:rsidR="007A6F61">
          <w:rPr>
            <w:noProof/>
            <w:webHidden/>
          </w:rPr>
          <w:tab/>
        </w:r>
        <w:r w:rsidR="007A6F61">
          <w:rPr>
            <w:noProof/>
            <w:webHidden/>
          </w:rPr>
          <w:fldChar w:fldCharType="begin"/>
        </w:r>
        <w:r w:rsidR="007A6F61">
          <w:rPr>
            <w:noProof/>
            <w:webHidden/>
          </w:rPr>
          <w:instrText xml:space="preserve"> PAGEREF _Toc116484590 \h </w:instrText>
        </w:r>
        <w:r w:rsidR="007A6F61">
          <w:rPr>
            <w:noProof/>
            <w:webHidden/>
          </w:rPr>
        </w:r>
        <w:r w:rsidR="007A6F61">
          <w:rPr>
            <w:noProof/>
            <w:webHidden/>
          </w:rPr>
          <w:fldChar w:fldCharType="separate"/>
        </w:r>
        <w:r w:rsidR="007A6F61">
          <w:rPr>
            <w:noProof/>
            <w:webHidden/>
          </w:rPr>
          <w:t>13</w:t>
        </w:r>
        <w:r w:rsidR="007A6F61">
          <w:rPr>
            <w:noProof/>
            <w:webHidden/>
          </w:rPr>
          <w:fldChar w:fldCharType="end"/>
        </w:r>
      </w:hyperlink>
    </w:p>
    <w:p w14:paraId="4D4C783E" w14:textId="2D0C17F6" w:rsidR="007A6F61" w:rsidRDefault="000D2E1E">
      <w:pPr>
        <w:pStyle w:val="TOC1"/>
        <w:rPr>
          <w:rFonts w:asciiTheme="minorHAnsi" w:eastAsiaTheme="minorEastAsia" w:hAnsiTheme="minorHAnsi" w:cstheme="minorBidi"/>
          <w:noProof/>
          <w:sz w:val="22"/>
          <w:szCs w:val="22"/>
          <w:lang w:val="en-AU" w:eastAsia="en-AU"/>
        </w:rPr>
      </w:pPr>
      <w:hyperlink w:anchor="_Toc116484591" w:history="1">
        <w:r w:rsidR="007A6F61" w:rsidRPr="00947FB1">
          <w:rPr>
            <w:rStyle w:val="Hyperlink"/>
            <w:noProof/>
          </w:rPr>
          <w:t>4</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Leave for special and restricted patients</w:t>
        </w:r>
        <w:r w:rsidR="007A6F61">
          <w:rPr>
            <w:noProof/>
            <w:webHidden/>
          </w:rPr>
          <w:tab/>
        </w:r>
        <w:r w:rsidR="007A6F61">
          <w:rPr>
            <w:noProof/>
            <w:webHidden/>
          </w:rPr>
          <w:fldChar w:fldCharType="begin"/>
        </w:r>
        <w:r w:rsidR="007A6F61">
          <w:rPr>
            <w:noProof/>
            <w:webHidden/>
          </w:rPr>
          <w:instrText xml:space="preserve"> PAGEREF _Toc116484591 \h </w:instrText>
        </w:r>
        <w:r w:rsidR="007A6F61">
          <w:rPr>
            <w:noProof/>
            <w:webHidden/>
          </w:rPr>
        </w:r>
        <w:r w:rsidR="007A6F61">
          <w:rPr>
            <w:noProof/>
            <w:webHidden/>
          </w:rPr>
          <w:fldChar w:fldCharType="separate"/>
        </w:r>
        <w:r w:rsidR="007A6F61">
          <w:rPr>
            <w:noProof/>
            <w:webHidden/>
          </w:rPr>
          <w:t>15</w:t>
        </w:r>
        <w:r w:rsidR="007A6F61">
          <w:rPr>
            <w:noProof/>
            <w:webHidden/>
          </w:rPr>
          <w:fldChar w:fldCharType="end"/>
        </w:r>
      </w:hyperlink>
    </w:p>
    <w:p w14:paraId="09ADD252" w14:textId="0604EC28"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592" w:history="1">
        <w:r w:rsidR="007A6F61" w:rsidRPr="00947FB1">
          <w:rPr>
            <w:rStyle w:val="Hyperlink"/>
            <w:noProof/>
          </w:rPr>
          <w:t>4.1</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Ground access</w:t>
        </w:r>
        <w:r w:rsidR="007A6F61">
          <w:rPr>
            <w:noProof/>
            <w:webHidden/>
          </w:rPr>
          <w:tab/>
        </w:r>
        <w:r w:rsidR="007A6F61">
          <w:rPr>
            <w:noProof/>
            <w:webHidden/>
          </w:rPr>
          <w:fldChar w:fldCharType="begin"/>
        </w:r>
        <w:r w:rsidR="007A6F61">
          <w:rPr>
            <w:noProof/>
            <w:webHidden/>
          </w:rPr>
          <w:instrText xml:space="preserve"> PAGEREF _Toc116484592 \h </w:instrText>
        </w:r>
        <w:r w:rsidR="007A6F61">
          <w:rPr>
            <w:noProof/>
            <w:webHidden/>
          </w:rPr>
        </w:r>
        <w:r w:rsidR="007A6F61">
          <w:rPr>
            <w:noProof/>
            <w:webHidden/>
          </w:rPr>
          <w:fldChar w:fldCharType="separate"/>
        </w:r>
        <w:r w:rsidR="007A6F61">
          <w:rPr>
            <w:noProof/>
            <w:webHidden/>
          </w:rPr>
          <w:t>16</w:t>
        </w:r>
        <w:r w:rsidR="007A6F61">
          <w:rPr>
            <w:noProof/>
            <w:webHidden/>
          </w:rPr>
          <w:fldChar w:fldCharType="end"/>
        </w:r>
      </w:hyperlink>
    </w:p>
    <w:p w14:paraId="6C6A4790" w14:textId="4114DC60"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593" w:history="1">
        <w:r w:rsidR="007A6F61" w:rsidRPr="00947FB1">
          <w:rPr>
            <w:rStyle w:val="Hyperlink"/>
            <w:noProof/>
          </w:rPr>
          <w:t>4.2</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Ground access requirements and risk management</w:t>
        </w:r>
        <w:r w:rsidR="007A6F61">
          <w:rPr>
            <w:noProof/>
            <w:webHidden/>
          </w:rPr>
          <w:tab/>
        </w:r>
        <w:r w:rsidR="007A6F61">
          <w:rPr>
            <w:noProof/>
            <w:webHidden/>
          </w:rPr>
          <w:fldChar w:fldCharType="begin"/>
        </w:r>
        <w:r w:rsidR="007A6F61">
          <w:rPr>
            <w:noProof/>
            <w:webHidden/>
          </w:rPr>
          <w:instrText xml:space="preserve"> PAGEREF _Toc116484593 \h </w:instrText>
        </w:r>
        <w:r w:rsidR="007A6F61">
          <w:rPr>
            <w:noProof/>
            <w:webHidden/>
          </w:rPr>
        </w:r>
        <w:r w:rsidR="007A6F61">
          <w:rPr>
            <w:noProof/>
            <w:webHidden/>
          </w:rPr>
          <w:fldChar w:fldCharType="separate"/>
        </w:r>
        <w:r w:rsidR="007A6F61">
          <w:rPr>
            <w:noProof/>
            <w:webHidden/>
          </w:rPr>
          <w:t>16</w:t>
        </w:r>
        <w:r w:rsidR="007A6F61">
          <w:rPr>
            <w:noProof/>
            <w:webHidden/>
          </w:rPr>
          <w:fldChar w:fldCharType="end"/>
        </w:r>
      </w:hyperlink>
    </w:p>
    <w:p w14:paraId="44484CDC" w14:textId="02CFEFDD"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594" w:history="1">
        <w:r w:rsidR="007A6F61" w:rsidRPr="00947FB1">
          <w:rPr>
            <w:rStyle w:val="Hyperlink"/>
            <w:noProof/>
          </w:rPr>
          <w:t>4.3</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Managing flight risk</w:t>
        </w:r>
        <w:r w:rsidR="007A6F61">
          <w:rPr>
            <w:noProof/>
            <w:webHidden/>
          </w:rPr>
          <w:tab/>
        </w:r>
        <w:r w:rsidR="007A6F61">
          <w:rPr>
            <w:noProof/>
            <w:webHidden/>
          </w:rPr>
          <w:fldChar w:fldCharType="begin"/>
        </w:r>
        <w:r w:rsidR="007A6F61">
          <w:rPr>
            <w:noProof/>
            <w:webHidden/>
          </w:rPr>
          <w:instrText xml:space="preserve"> PAGEREF _Toc116484594 \h </w:instrText>
        </w:r>
        <w:r w:rsidR="007A6F61">
          <w:rPr>
            <w:noProof/>
            <w:webHidden/>
          </w:rPr>
        </w:r>
        <w:r w:rsidR="007A6F61">
          <w:rPr>
            <w:noProof/>
            <w:webHidden/>
          </w:rPr>
          <w:fldChar w:fldCharType="separate"/>
        </w:r>
        <w:r w:rsidR="007A6F61">
          <w:rPr>
            <w:noProof/>
            <w:webHidden/>
          </w:rPr>
          <w:t>17</w:t>
        </w:r>
        <w:r w:rsidR="007A6F61">
          <w:rPr>
            <w:noProof/>
            <w:webHidden/>
          </w:rPr>
          <w:fldChar w:fldCharType="end"/>
        </w:r>
      </w:hyperlink>
    </w:p>
    <w:p w14:paraId="24B95CFB" w14:textId="18F4D529"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595" w:history="1">
        <w:r w:rsidR="007A6F61" w:rsidRPr="00947FB1">
          <w:rPr>
            <w:rStyle w:val="Hyperlink"/>
            <w:noProof/>
          </w:rPr>
          <w:t>4.4</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Border alerts and notifying registered victims</w:t>
        </w:r>
        <w:r w:rsidR="007A6F61">
          <w:rPr>
            <w:noProof/>
            <w:webHidden/>
          </w:rPr>
          <w:tab/>
        </w:r>
        <w:r w:rsidR="007A6F61">
          <w:rPr>
            <w:noProof/>
            <w:webHidden/>
          </w:rPr>
          <w:fldChar w:fldCharType="begin"/>
        </w:r>
        <w:r w:rsidR="007A6F61">
          <w:rPr>
            <w:noProof/>
            <w:webHidden/>
          </w:rPr>
          <w:instrText xml:space="preserve"> PAGEREF _Toc116484595 \h </w:instrText>
        </w:r>
        <w:r w:rsidR="007A6F61">
          <w:rPr>
            <w:noProof/>
            <w:webHidden/>
          </w:rPr>
        </w:r>
        <w:r w:rsidR="007A6F61">
          <w:rPr>
            <w:noProof/>
            <w:webHidden/>
          </w:rPr>
          <w:fldChar w:fldCharType="separate"/>
        </w:r>
        <w:r w:rsidR="007A6F61">
          <w:rPr>
            <w:noProof/>
            <w:webHidden/>
          </w:rPr>
          <w:t>18</w:t>
        </w:r>
        <w:r w:rsidR="007A6F61">
          <w:rPr>
            <w:noProof/>
            <w:webHidden/>
          </w:rPr>
          <w:fldChar w:fldCharType="end"/>
        </w:r>
      </w:hyperlink>
    </w:p>
    <w:p w14:paraId="7630C07A" w14:textId="78287BA8"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596" w:history="1">
        <w:r w:rsidR="007A6F61" w:rsidRPr="00947FB1">
          <w:rPr>
            <w:rStyle w:val="Hyperlink"/>
            <w:noProof/>
          </w:rPr>
          <w:t>4.5</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Conditions of ministerial long leave and unescorted community short leave</w:t>
        </w:r>
        <w:r w:rsidR="007A6F61">
          <w:rPr>
            <w:noProof/>
            <w:webHidden/>
          </w:rPr>
          <w:tab/>
        </w:r>
        <w:r w:rsidR="007A6F61">
          <w:rPr>
            <w:noProof/>
            <w:webHidden/>
          </w:rPr>
          <w:fldChar w:fldCharType="begin"/>
        </w:r>
        <w:r w:rsidR="007A6F61">
          <w:rPr>
            <w:noProof/>
            <w:webHidden/>
          </w:rPr>
          <w:instrText xml:space="preserve"> PAGEREF _Toc116484596 \h </w:instrText>
        </w:r>
        <w:r w:rsidR="007A6F61">
          <w:rPr>
            <w:noProof/>
            <w:webHidden/>
          </w:rPr>
        </w:r>
        <w:r w:rsidR="007A6F61">
          <w:rPr>
            <w:noProof/>
            <w:webHidden/>
          </w:rPr>
          <w:fldChar w:fldCharType="separate"/>
        </w:r>
        <w:r w:rsidR="007A6F61">
          <w:rPr>
            <w:noProof/>
            <w:webHidden/>
          </w:rPr>
          <w:t>18</w:t>
        </w:r>
        <w:r w:rsidR="007A6F61">
          <w:rPr>
            <w:noProof/>
            <w:webHidden/>
          </w:rPr>
          <w:fldChar w:fldCharType="end"/>
        </w:r>
      </w:hyperlink>
    </w:p>
    <w:p w14:paraId="47550A78" w14:textId="4060C0D1" w:rsidR="007A6F61" w:rsidRDefault="000D2E1E">
      <w:pPr>
        <w:pStyle w:val="TOC1"/>
        <w:rPr>
          <w:rFonts w:asciiTheme="minorHAnsi" w:eastAsiaTheme="minorEastAsia" w:hAnsiTheme="minorHAnsi" w:cstheme="minorBidi"/>
          <w:noProof/>
          <w:sz w:val="22"/>
          <w:szCs w:val="22"/>
          <w:lang w:val="en-AU" w:eastAsia="en-AU"/>
        </w:rPr>
      </w:pPr>
      <w:hyperlink w:anchor="_Toc116484597" w:history="1">
        <w:r w:rsidR="007A6F61" w:rsidRPr="00947FB1">
          <w:rPr>
            <w:rStyle w:val="Hyperlink"/>
            <w:noProof/>
          </w:rPr>
          <w:t>5</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Transfer of special patients under section 49</w:t>
        </w:r>
        <w:r w:rsidR="007A6F61">
          <w:rPr>
            <w:noProof/>
            <w:webHidden/>
          </w:rPr>
          <w:tab/>
        </w:r>
        <w:r w:rsidR="007A6F61">
          <w:rPr>
            <w:noProof/>
            <w:webHidden/>
          </w:rPr>
          <w:fldChar w:fldCharType="begin"/>
        </w:r>
        <w:r w:rsidR="007A6F61">
          <w:rPr>
            <w:noProof/>
            <w:webHidden/>
          </w:rPr>
          <w:instrText xml:space="preserve"> PAGEREF _Toc116484597 \h </w:instrText>
        </w:r>
        <w:r w:rsidR="007A6F61">
          <w:rPr>
            <w:noProof/>
            <w:webHidden/>
          </w:rPr>
        </w:r>
        <w:r w:rsidR="007A6F61">
          <w:rPr>
            <w:noProof/>
            <w:webHidden/>
          </w:rPr>
          <w:fldChar w:fldCharType="separate"/>
        </w:r>
        <w:r w:rsidR="007A6F61">
          <w:rPr>
            <w:noProof/>
            <w:webHidden/>
          </w:rPr>
          <w:t>19</w:t>
        </w:r>
        <w:r w:rsidR="007A6F61">
          <w:rPr>
            <w:noProof/>
            <w:webHidden/>
          </w:rPr>
          <w:fldChar w:fldCharType="end"/>
        </w:r>
      </w:hyperlink>
    </w:p>
    <w:p w14:paraId="247F8B11" w14:textId="4FEBD216"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598" w:history="1">
        <w:r w:rsidR="007A6F61" w:rsidRPr="00947FB1">
          <w:rPr>
            <w:rStyle w:val="Hyperlink"/>
            <w:noProof/>
          </w:rPr>
          <w:t>5.1</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Medical emergency transfers</w:t>
        </w:r>
        <w:r w:rsidR="007A6F61">
          <w:rPr>
            <w:noProof/>
            <w:webHidden/>
          </w:rPr>
          <w:tab/>
        </w:r>
        <w:r w:rsidR="007A6F61">
          <w:rPr>
            <w:noProof/>
            <w:webHidden/>
          </w:rPr>
          <w:fldChar w:fldCharType="begin"/>
        </w:r>
        <w:r w:rsidR="007A6F61">
          <w:rPr>
            <w:noProof/>
            <w:webHidden/>
          </w:rPr>
          <w:instrText xml:space="preserve"> PAGEREF _Toc116484598 \h </w:instrText>
        </w:r>
        <w:r w:rsidR="007A6F61">
          <w:rPr>
            <w:noProof/>
            <w:webHidden/>
          </w:rPr>
        </w:r>
        <w:r w:rsidR="007A6F61">
          <w:rPr>
            <w:noProof/>
            <w:webHidden/>
          </w:rPr>
          <w:fldChar w:fldCharType="separate"/>
        </w:r>
        <w:r w:rsidR="007A6F61">
          <w:rPr>
            <w:noProof/>
            <w:webHidden/>
          </w:rPr>
          <w:t>20</w:t>
        </w:r>
        <w:r w:rsidR="007A6F61">
          <w:rPr>
            <w:noProof/>
            <w:webHidden/>
          </w:rPr>
          <w:fldChar w:fldCharType="end"/>
        </w:r>
      </w:hyperlink>
    </w:p>
    <w:p w14:paraId="4C06CD1D" w14:textId="22C387EC" w:rsidR="007A6F61" w:rsidRDefault="000D2E1E">
      <w:pPr>
        <w:pStyle w:val="TOC1"/>
        <w:rPr>
          <w:rFonts w:asciiTheme="minorHAnsi" w:eastAsiaTheme="minorEastAsia" w:hAnsiTheme="minorHAnsi" w:cstheme="minorBidi"/>
          <w:noProof/>
          <w:sz w:val="22"/>
          <w:szCs w:val="22"/>
          <w:lang w:val="en-AU" w:eastAsia="en-AU"/>
        </w:rPr>
      </w:pPr>
      <w:hyperlink w:anchor="_Toc116484599" w:history="1">
        <w:r w:rsidR="007A6F61" w:rsidRPr="00947FB1">
          <w:rPr>
            <w:rStyle w:val="Hyperlink"/>
            <w:noProof/>
          </w:rPr>
          <w:t>6</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Leave under section 52: ‘short-term leave’ requests</w:t>
        </w:r>
        <w:r w:rsidR="007A6F61">
          <w:rPr>
            <w:noProof/>
            <w:webHidden/>
          </w:rPr>
          <w:tab/>
        </w:r>
        <w:r w:rsidR="007A6F61">
          <w:rPr>
            <w:noProof/>
            <w:webHidden/>
          </w:rPr>
          <w:fldChar w:fldCharType="begin"/>
        </w:r>
        <w:r w:rsidR="007A6F61">
          <w:rPr>
            <w:noProof/>
            <w:webHidden/>
          </w:rPr>
          <w:instrText xml:space="preserve"> PAGEREF _Toc116484599 \h </w:instrText>
        </w:r>
        <w:r w:rsidR="007A6F61">
          <w:rPr>
            <w:noProof/>
            <w:webHidden/>
          </w:rPr>
        </w:r>
        <w:r w:rsidR="007A6F61">
          <w:rPr>
            <w:noProof/>
            <w:webHidden/>
          </w:rPr>
          <w:fldChar w:fldCharType="separate"/>
        </w:r>
        <w:r w:rsidR="007A6F61">
          <w:rPr>
            <w:noProof/>
            <w:webHidden/>
          </w:rPr>
          <w:t>22</w:t>
        </w:r>
        <w:r w:rsidR="007A6F61">
          <w:rPr>
            <w:noProof/>
            <w:webHidden/>
          </w:rPr>
          <w:fldChar w:fldCharType="end"/>
        </w:r>
      </w:hyperlink>
    </w:p>
    <w:p w14:paraId="3BF7A561" w14:textId="6F37C1F3"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00" w:history="1">
        <w:r w:rsidR="007A6F61" w:rsidRPr="00947FB1">
          <w:rPr>
            <w:rStyle w:val="Hyperlink"/>
            <w:noProof/>
          </w:rPr>
          <w:t>6.1</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Planned leave</w:t>
        </w:r>
        <w:r w:rsidR="007A6F61">
          <w:rPr>
            <w:noProof/>
            <w:webHidden/>
          </w:rPr>
          <w:tab/>
        </w:r>
        <w:r w:rsidR="007A6F61">
          <w:rPr>
            <w:noProof/>
            <w:webHidden/>
          </w:rPr>
          <w:fldChar w:fldCharType="begin"/>
        </w:r>
        <w:r w:rsidR="007A6F61">
          <w:rPr>
            <w:noProof/>
            <w:webHidden/>
          </w:rPr>
          <w:instrText xml:space="preserve"> PAGEREF _Toc116484600 \h </w:instrText>
        </w:r>
        <w:r w:rsidR="007A6F61">
          <w:rPr>
            <w:noProof/>
            <w:webHidden/>
          </w:rPr>
        </w:r>
        <w:r w:rsidR="007A6F61">
          <w:rPr>
            <w:noProof/>
            <w:webHidden/>
          </w:rPr>
          <w:fldChar w:fldCharType="separate"/>
        </w:r>
        <w:r w:rsidR="007A6F61">
          <w:rPr>
            <w:noProof/>
            <w:webHidden/>
          </w:rPr>
          <w:t>22</w:t>
        </w:r>
        <w:r w:rsidR="007A6F61">
          <w:rPr>
            <w:noProof/>
            <w:webHidden/>
          </w:rPr>
          <w:fldChar w:fldCharType="end"/>
        </w:r>
      </w:hyperlink>
    </w:p>
    <w:p w14:paraId="26905DE5" w14:textId="77577D00"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01" w:history="1">
        <w:r w:rsidR="007A6F61" w:rsidRPr="00947FB1">
          <w:rPr>
            <w:rStyle w:val="Hyperlink"/>
            <w:noProof/>
          </w:rPr>
          <w:t>6.2</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Medical and urgent appointments</w:t>
        </w:r>
        <w:r w:rsidR="007A6F61">
          <w:rPr>
            <w:noProof/>
            <w:webHidden/>
          </w:rPr>
          <w:tab/>
        </w:r>
        <w:r w:rsidR="007A6F61">
          <w:rPr>
            <w:noProof/>
            <w:webHidden/>
          </w:rPr>
          <w:fldChar w:fldCharType="begin"/>
        </w:r>
        <w:r w:rsidR="007A6F61">
          <w:rPr>
            <w:noProof/>
            <w:webHidden/>
          </w:rPr>
          <w:instrText xml:space="preserve"> PAGEREF _Toc116484601 \h </w:instrText>
        </w:r>
        <w:r w:rsidR="007A6F61">
          <w:rPr>
            <w:noProof/>
            <w:webHidden/>
          </w:rPr>
        </w:r>
        <w:r w:rsidR="007A6F61">
          <w:rPr>
            <w:noProof/>
            <w:webHidden/>
          </w:rPr>
          <w:fldChar w:fldCharType="separate"/>
        </w:r>
        <w:r w:rsidR="007A6F61">
          <w:rPr>
            <w:noProof/>
            <w:webHidden/>
          </w:rPr>
          <w:t>24</w:t>
        </w:r>
        <w:r w:rsidR="007A6F61">
          <w:rPr>
            <w:noProof/>
            <w:webHidden/>
          </w:rPr>
          <w:fldChar w:fldCharType="end"/>
        </w:r>
      </w:hyperlink>
    </w:p>
    <w:p w14:paraId="0B6EE400" w14:textId="4E7E4672"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02" w:history="1">
        <w:r w:rsidR="007A6F61" w:rsidRPr="00947FB1">
          <w:rPr>
            <w:rStyle w:val="Hyperlink"/>
            <w:noProof/>
          </w:rPr>
          <w:t>6.3</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Absence without leave</w:t>
        </w:r>
        <w:r w:rsidR="007A6F61">
          <w:rPr>
            <w:noProof/>
            <w:webHidden/>
          </w:rPr>
          <w:tab/>
        </w:r>
        <w:r w:rsidR="007A6F61">
          <w:rPr>
            <w:noProof/>
            <w:webHidden/>
          </w:rPr>
          <w:fldChar w:fldCharType="begin"/>
        </w:r>
        <w:r w:rsidR="007A6F61">
          <w:rPr>
            <w:noProof/>
            <w:webHidden/>
          </w:rPr>
          <w:instrText xml:space="preserve"> PAGEREF _Toc116484602 \h </w:instrText>
        </w:r>
        <w:r w:rsidR="007A6F61">
          <w:rPr>
            <w:noProof/>
            <w:webHidden/>
          </w:rPr>
        </w:r>
        <w:r w:rsidR="007A6F61">
          <w:rPr>
            <w:noProof/>
            <w:webHidden/>
          </w:rPr>
          <w:fldChar w:fldCharType="separate"/>
        </w:r>
        <w:r w:rsidR="007A6F61">
          <w:rPr>
            <w:noProof/>
            <w:webHidden/>
          </w:rPr>
          <w:t>26</w:t>
        </w:r>
        <w:r w:rsidR="007A6F61">
          <w:rPr>
            <w:noProof/>
            <w:webHidden/>
          </w:rPr>
          <w:fldChar w:fldCharType="end"/>
        </w:r>
      </w:hyperlink>
    </w:p>
    <w:p w14:paraId="382D8441" w14:textId="59EA231F"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03" w:history="1">
        <w:r w:rsidR="007A6F61" w:rsidRPr="00947FB1">
          <w:rPr>
            <w:rStyle w:val="Hyperlink"/>
            <w:noProof/>
          </w:rPr>
          <w:t>6.4</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Return of special patient</w:t>
        </w:r>
        <w:r w:rsidR="007A6F61">
          <w:rPr>
            <w:noProof/>
            <w:webHidden/>
          </w:rPr>
          <w:tab/>
        </w:r>
        <w:r w:rsidR="007A6F61">
          <w:rPr>
            <w:noProof/>
            <w:webHidden/>
          </w:rPr>
          <w:fldChar w:fldCharType="begin"/>
        </w:r>
        <w:r w:rsidR="007A6F61">
          <w:rPr>
            <w:noProof/>
            <w:webHidden/>
          </w:rPr>
          <w:instrText xml:space="preserve"> PAGEREF _Toc116484603 \h </w:instrText>
        </w:r>
        <w:r w:rsidR="007A6F61">
          <w:rPr>
            <w:noProof/>
            <w:webHidden/>
          </w:rPr>
        </w:r>
        <w:r w:rsidR="007A6F61">
          <w:rPr>
            <w:noProof/>
            <w:webHidden/>
          </w:rPr>
          <w:fldChar w:fldCharType="separate"/>
        </w:r>
        <w:r w:rsidR="007A6F61">
          <w:rPr>
            <w:noProof/>
            <w:webHidden/>
          </w:rPr>
          <w:t>29</w:t>
        </w:r>
        <w:r w:rsidR="007A6F61">
          <w:rPr>
            <w:noProof/>
            <w:webHidden/>
          </w:rPr>
          <w:fldChar w:fldCharType="end"/>
        </w:r>
      </w:hyperlink>
    </w:p>
    <w:p w14:paraId="45378A8E" w14:textId="66F4F167" w:rsidR="007A6F61" w:rsidRDefault="000D2E1E">
      <w:pPr>
        <w:pStyle w:val="TOC1"/>
        <w:rPr>
          <w:rFonts w:asciiTheme="minorHAnsi" w:eastAsiaTheme="minorEastAsia" w:hAnsiTheme="minorHAnsi" w:cstheme="minorBidi"/>
          <w:noProof/>
          <w:sz w:val="22"/>
          <w:szCs w:val="22"/>
          <w:lang w:val="en-AU" w:eastAsia="en-AU"/>
        </w:rPr>
      </w:pPr>
      <w:hyperlink w:anchor="_Toc116484604" w:history="1">
        <w:r w:rsidR="007A6F61" w:rsidRPr="00947FB1">
          <w:rPr>
            <w:rStyle w:val="Hyperlink"/>
            <w:rFonts w:eastAsia="Calibri"/>
            <w:noProof/>
          </w:rPr>
          <w:t>7</w:t>
        </w:r>
        <w:r w:rsidR="007A6F61">
          <w:rPr>
            <w:rFonts w:asciiTheme="minorHAnsi" w:eastAsiaTheme="minorEastAsia" w:hAnsiTheme="minorHAnsi" w:cstheme="minorBidi"/>
            <w:noProof/>
            <w:sz w:val="22"/>
            <w:szCs w:val="22"/>
            <w:lang w:val="en-AU" w:eastAsia="en-AU"/>
          </w:rPr>
          <w:tab/>
        </w:r>
        <w:r w:rsidR="007A6F61" w:rsidRPr="00947FB1">
          <w:rPr>
            <w:rStyle w:val="Hyperlink"/>
            <w:rFonts w:eastAsia="Calibri"/>
            <w:noProof/>
          </w:rPr>
          <w:t>Leave under section 50 of the Mental Health Act: ‘ministerial long leave’</w:t>
        </w:r>
        <w:r w:rsidR="007A6F61">
          <w:rPr>
            <w:noProof/>
            <w:webHidden/>
          </w:rPr>
          <w:tab/>
        </w:r>
        <w:r w:rsidR="007A6F61">
          <w:rPr>
            <w:noProof/>
            <w:webHidden/>
          </w:rPr>
          <w:fldChar w:fldCharType="begin"/>
        </w:r>
        <w:r w:rsidR="007A6F61">
          <w:rPr>
            <w:noProof/>
            <w:webHidden/>
          </w:rPr>
          <w:instrText xml:space="preserve"> PAGEREF _Toc116484604 \h </w:instrText>
        </w:r>
        <w:r w:rsidR="007A6F61">
          <w:rPr>
            <w:noProof/>
            <w:webHidden/>
          </w:rPr>
        </w:r>
        <w:r w:rsidR="007A6F61">
          <w:rPr>
            <w:noProof/>
            <w:webHidden/>
          </w:rPr>
          <w:fldChar w:fldCharType="separate"/>
        </w:r>
        <w:r w:rsidR="007A6F61">
          <w:rPr>
            <w:noProof/>
            <w:webHidden/>
          </w:rPr>
          <w:t>30</w:t>
        </w:r>
        <w:r w:rsidR="007A6F61">
          <w:rPr>
            <w:noProof/>
            <w:webHidden/>
          </w:rPr>
          <w:fldChar w:fldCharType="end"/>
        </w:r>
      </w:hyperlink>
    </w:p>
    <w:p w14:paraId="7ECB345C" w14:textId="378C1B14"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05" w:history="1">
        <w:r w:rsidR="007A6F61" w:rsidRPr="00947FB1">
          <w:rPr>
            <w:rStyle w:val="Hyperlink"/>
            <w:noProof/>
          </w:rPr>
          <w:t>7.1</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Extension of leave (re-application)</w:t>
        </w:r>
        <w:r w:rsidR="007A6F61">
          <w:rPr>
            <w:noProof/>
            <w:webHidden/>
          </w:rPr>
          <w:tab/>
        </w:r>
        <w:r w:rsidR="007A6F61">
          <w:rPr>
            <w:noProof/>
            <w:webHidden/>
          </w:rPr>
          <w:fldChar w:fldCharType="begin"/>
        </w:r>
        <w:r w:rsidR="007A6F61">
          <w:rPr>
            <w:noProof/>
            <w:webHidden/>
          </w:rPr>
          <w:instrText xml:space="preserve"> PAGEREF _Toc116484605 \h </w:instrText>
        </w:r>
        <w:r w:rsidR="007A6F61">
          <w:rPr>
            <w:noProof/>
            <w:webHidden/>
          </w:rPr>
        </w:r>
        <w:r w:rsidR="007A6F61">
          <w:rPr>
            <w:noProof/>
            <w:webHidden/>
          </w:rPr>
          <w:fldChar w:fldCharType="separate"/>
        </w:r>
        <w:r w:rsidR="007A6F61">
          <w:rPr>
            <w:noProof/>
            <w:webHidden/>
          </w:rPr>
          <w:t>32</w:t>
        </w:r>
        <w:r w:rsidR="007A6F61">
          <w:rPr>
            <w:noProof/>
            <w:webHidden/>
          </w:rPr>
          <w:fldChar w:fldCharType="end"/>
        </w:r>
      </w:hyperlink>
    </w:p>
    <w:p w14:paraId="54A4B843" w14:textId="2ABD03A7"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06" w:history="1">
        <w:r w:rsidR="007A6F61" w:rsidRPr="00947FB1">
          <w:rPr>
            <w:rStyle w:val="Hyperlink"/>
            <w:noProof/>
          </w:rPr>
          <w:t>7.2</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Recall to hospital and cancelling ministerial long leave</w:t>
        </w:r>
        <w:r w:rsidR="007A6F61">
          <w:rPr>
            <w:noProof/>
            <w:webHidden/>
          </w:rPr>
          <w:tab/>
        </w:r>
        <w:r w:rsidR="007A6F61">
          <w:rPr>
            <w:noProof/>
            <w:webHidden/>
          </w:rPr>
          <w:fldChar w:fldCharType="begin"/>
        </w:r>
        <w:r w:rsidR="007A6F61">
          <w:rPr>
            <w:noProof/>
            <w:webHidden/>
          </w:rPr>
          <w:instrText xml:space="preserve"> PAGEREF _Toc116484606 \h </w:instrText>
        </w:r>
        <w:r w:rsidR="007A6F61">
          <w:rPr>
            <w:noProof/>
            <w:webHidden/>
          </w:rPr>
        </w:r>
        <w:r w:rsidR="007A6F61">
          <w:rPr>
            <w:noProof/>
            <w:webHidden/>
          </w:rPr>
          <w:fldChar w:fldCharType="separate"/>
        </w:r>
        <w:r w:rsidR="007A6F61">
          <w:rPr>
            <w:noProof/>
            <w:webHidden/>
          </w:rPr>
          <w:t>33</w:t>
        </w:r>
        <w:r w:rsidR="007A6F61">
          <w:rPr>
            <w:noProof/>
            <w:webHidden/>
          </w:rPr>
          <w:fldChar w:fldCharType="end"/>
        </w:r>
      </w:hyperlink>
    </w:p>
    <w:p w14:paraId="4E3DD282" w14:textId="5D4650A9"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07" w:history="1">
        <w:r w:rsidR="007A6F61" w:rsidRPr="00947FB1">
          <w:rPr>
            <w:rStyle w:val="Hyperlink"/>
            <w:noProof/>
          </w:rPr>
          <w:t>7.3</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Recommencing short-term leave following cancellation</w:t>
        </w:r>
        <w:r w:rsidR="007A6F61">
          <w:rPr>
            <w:noProof/>
            <w:webHidden/>
          </w:rPr>
          <w:tab/>
        </w:r>
        <w:r w:rsidR="007A6F61">
          <w:rPr>
            <w:noProof/>
            <w:webHidden/>
          </w:rPr>
          <w:fldChar w:fldCharType="begin"/>
        </w:r>
        <w:r w:rsidR="007A6F61">
          <w:rPr>
            <w:noProof/>
            <w:webHidden/>
          </w:rPr>
          <w:instrText xml:space="preserve"> PAGEREF _Toc116484607 \h </w:instrText>
        </w:r>
        <w:r w:rsidR="007A6F61">
          <w:rPr>
            <w:noProof/>
            <w:webHidden/>
          </w:rPr>
        </w:r>
        <w:r w:rsidR="007A6F61">
          <w:rPr>
            <w:noProof/>
            <w:webHidden/>
          </w:rPr>
          <w:fldChar w:fldCharType="separate"/>
        </w:r>
        <w:r w:rsidR="007A6F61">
          <w:rPr>
            <w:noProof/>
            <w:webHidden/>
          </w:rPr>
          <w:t>34</w:t>
        </w:r>
        <w:r w:rsidR="007A6F61">
          <w:rPr>
            <w:noProof/>
            <w:webHidden/>
          </w:rPr>
          <w:fldChar w:fldCharType="end"/>
        </w:r>
      </w:hyperlink>
    </w:p>
    <w:p w14:paraId="34C19BD8" w14:textId="6A5FB2C2"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08" w:history="1">
        <w:r w:rsidR="007A6F61" w:rsidRPr="00947FB1">
          <w:rPr>
            <w:rStyle w:val="Hyperlink"/>
            <w:noProof/>
          </w:rPr>
          <w:t>7.4</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Applying for ministerial long leave following cancellation</w:t>
        </w:r>
        <w:r w:rsidR="007A6F61">
          <w:rPr>
            <w:noProof/>
            <w:webHidden/>
          </w:rPr>
          <w:tab/>
        </w:r>
        <w:r w:rsidR="007A6F61">
          <w:rPr>
            <w:noProof/>
            <w:webHidden/>
          </w:rPr>
          <w:fldChar w:fldCharType="begin"/>
        </w:r>
        <w:r w:rsidR="007A6F61">
          <w:rPr>
            <w:noProof/>
            <w:webHidden/>
          </w:rPr>
          <w:instrText xml:space="preserve"> PAGEREF _Toc116484608 \h </w:instrText>
        </w:r>
        <w:r w:rsidR="007A6F61">
          <w:rPr>
            <w:noProof/>
            <w:webHidden/>
          </w:rPr>
        </w:r>
        <w:r w:rsidR="007A6F61">
          <w:rPr>
            <w:noProof/>
            <w:webHidden/>
          </w:rPr>
          <w:fldChar w:fldCharType="separate"/>
        </w:r>
        <w:r w:rsidR="007A6F61">
          <w:rPr>
            <w:noProof/>
            <w:webHidden/>
          </w:rPr>
          <w:t>34</w:t>
        </w:r>
        <w:r w:rsidR="007A6F61">
          <w:rPr>
            <w:noProof/>
            <w:webHidden/>
          </w:rPr>
          <w:fldChar w:fldCharType="end"/>
        </w:r>
      </w:hyperlink>
    </w:p>
    <w:p w14:paraId="0284866A" w14:textId="1941185F"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09" w:history="1">
        <w:r w:rsidR="007A6F61" w:rsidRPr="00947FB1">
          <w:rPr>
            <w:rStyle w:val="Hyperlink"/>
            <w:noProof/>
          </w:rPr>
          <w:t>7.5</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Voluntary admission to hospital during ministerial long leave</w:t>
        </w:r>
        <w:r w:rsidR="007A6F61">
          <w:rPr>
            <w:noProof/>
            <w:webHidden/>
          </w:rPr>
          <w:tab/>
        </w:r>
        <w:r w:rsidR="007A6F61">
          <w:rPr>
            <w:noProof/>
            <w:webHidden/>
          </w:rPr>
          <w:fldChar w:fldCharType="begin"/>
        </w:r>
        <w:r w:rsidR="007A6F61">
          <w:rPr>
            <w:noProof/>
            <w:webHidden/>
          </w:rPr>
          <w:instrText xml:space="preserve"> PAGEREF _Toc116484609 \h </w:instrText>
        </w:r>
        <w:r w:rsidR="007A6F61">
          <w:rPr>
            <w:noProof/>
            <w:webHidden/>
          </w:rPr>
        </w:r>
        <w:r w:rsidR="007A6F61">
          <w:rPr>
            <w:noProof/>
            <w:webHidden/>
          </w:rPr>
          <w:fldChar w:fldCharType="separate"/>
        </w:r>
        <w:r w:rsidR="007A6F61">
          <w:rPr>
            <w:noProof/>
            <w:webHidden/>
          </w:rPr>
          <w:t>35</w:t>
        </w:r>
        <w:r w:rsidR="007A6F61">
          <w:rPr>
            <w:noProof/>
            <w:webHidden/>
          </w:rPr>
          <w:fldChar w:fldCharType="end"/>
        </w:r>
      </w:hyperlink>
    </w:p>
    <w:p w14:paraId="312534ED" w14:textId="09158922" w:rsidR="007A6F61" w:rsidRDefault="000D2E1E">
      <w:pPr>
        <w:pStyle w:val="TOC1"/>
        <w:rPr>
          <w:rFonts w:asciiTheme="minorHAnsi" w:eastAsiaTheme="minorEastAsia" w:hAnsiTheme="minorHAnsi" w:cstheme="minorBidi"/>
          <w:noProof/>
          <w:sz w:val="22"/>
          <w:szCs w:val="22"/>
          <w:lang w:val="en-AU" w:eastAsia="en-AU"/>
        </w:rPr>
      </w:pPr>
      <w:hyperlink w:anchor="_Toc116484610" w:history="1">
        <w:r w:rsidR="007A6F61" w:rsidRPr="00947FB1">
          <w:rPr>
            <w:rStyle w:val="Hyperlink"/>
            <w:noProof/>
          </w:rPr>
          <w:t>8</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Change of legal status</w:t>
        </w:r>
        <w:r w:rsidR="007A6F61">
          <w:rPr>
            <w:noProof/>
            <w:webHidden/>
          </w:rPr>
          <w:tab/>
        </w:r>
        <w:r w:rsidR="007A6F61">
          <w:rPr>
            <w:noProof/>
            <w:webHidden/>
          </w:rPr>
          <w:fldChar w:fldCharType="begin"/>
        </w:r>
        <w:r w:rsidR="007A6F61">
          <w:rPr>
            <w:noProof/>
            <w:webHidden/>
          </w:rPr>
          <w:instrText xml:space="preserve"> PAGEREF _Toc116484610 \h </w:instrText>
        </w:r>
        <w:r w:rsidR="007A6F61">
          <w:rPr>
            <w:noProof/>
            <w:webHidden/>
          </w:rPr>
        </w:r>
        <w:r w:rsidR="007A6F61">
          <w:rPr>
            <w:noProof/>
            <w:webHidden/>
          </w:rPr>
          <w:fldChar w:fldCharType="separate"/>
        </w:r>
        <w:r w:rsidR="007A6F61">
          <w:rPr>
            <w:noProof/>
            <w:webHidden/>
          </w:rPr>
          <w:t>37</w:t>
        </w:r>
        <w:r w:rsidR="007A6F61">
          <w:rPr>
            <w:noProof/>
            <w:webHidden/>
          </w:rPr>
          <w:fldChar w:fldCharType="end"/>
        </w:r>
      </w:hyperlink>
    </w:p>
    <w:p w14:paraId="7B6C2636" w14:textId="4423DC55"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11" w:history="1">
        <w:r w:rsidR="007A6F61" w:rsidRPr="00947FB1">
          <w:rPr>
            <w:rStyle w:val="Hyperlink"/>
            <w:noProof/>
          </w:rPr>
          <w:t>8.1</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Patients acquitted on the grounds of insanity</w:t>
        </w:r>
        <w:r w:rsidR="007A6F61">
          <w:rPr>
            <w:noProof/>
            <w:webHidden/>
          </w:rPr>
          <w:tab/>
        </w:r>
        <w:r w:rsidR="007A6F61">
          <w:rPr>
            <w:noProof/>
            <w:webHidden/>
          </w:rPr>
          <w:fldChar w:fldCharType="begin"/>
        </w:r>
        <w:r w:rsidR="007A6F61">
          <w:rPr>
            <w:noProof/>
            <w:webHidden/>
          </w:rPr>
          <w:instrText xml:space="preserve"> PAGEREF _Toc116484611 \h </w:instrText>
        </w:r>
        <w:r w:rsidR="007A6F61">
          <w:rPr>
            <w:noProof/>
            <w:webHidden/>
          </w:rPr>
        </w:r>
        <w:r w:rsidR="007A6F61">
          <w:rPr>
            <w:noProof/>
            <w:webHidden/>
          </w:rPr>
          <w:fldChar w:fldCharType="separate"/>
        </w:r>
        <w:r w:rsidR="007A6F61">
          <w:rPr>
            <w:noProof/>
            <w:webHidden/>
          </w:rPr>
          <w:t>37</w:t>
        </w:r>
        <w:r w:rsidR="007A6F61">
          <w:rPr>
            <w:noProof/>
            <w:webHidden/>
          </w:rPr>
          <w:fldChar w:fldCharType="end"/>
        </w:r>
      </w:hyperlink>
    </w:p>
    <w:p w14:paraId="7F02ECB6" w14:textId="1415A5F8"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12" w:history="1">
        <w:r w:rsidR="007A6F61" w:rsidRPr="00947FB1">
          <w:rPr>
            <w:rStyle w:val="Hyperlink"/>
            <w:noProof/>
          </w:rPr>
          <w:t>8.2</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Unfit to stand trial: where a patient is now considered fit to stand trial</w:t>
        </w:r>
        <w:r w:rsidR="007A6F61">
          <w:rPr>
            <w:noProof/>
            <w:webHidden/>
          </w:rPr>
          <w:tab/>
        </w:r>
        <w:r w:rsidR="007A6F61">
          <w:rPr>
            <w:noProof/>
            <w:webHidden/>
          </w:rPr>
          <w:fldChar w:fldCharType="begin"/>
        </w:r>
        <w:r w:rsidR="007A6F61">
          <w:rPr>
            <w:noProof/>
            <w:webHidden/>
          </w:rPr>
          <w:instrText xml:space="preserve"> PAGEREF _Toc116484612 \h </w:instrText>
        </w:r>
        <w:r w:rsidR="007A6F61">
          <w:rPr>
            <w:noProof/>
            <w:webHidden/>
          </w:rPr>
        </w:r>
        <w:r w:rsidR="007A6F61">
          <w:rPr>
            <w:noProof/>
            <w:webHidden/>
          </w:rPr>
          <w:fldChar w:fldCharType="separate"/>
        </w:r>
        <w:r w:rsidR="007A6F61">
          <w:rPr>
            <w:noProof/>
            <w:webHidden/>
          </w:rPr>
          <w:t>38</w:t>
        </w:r>
        <w:r w:rsidR="007A6F61">
          <w:rPr>
            <w:noProof/>
            <w:webHidden/>
          </w:rPr>
          <w:fldChar w:fldCharType="end"/>
        </w:r>
      </w:hyperlink>
    </w:p>
    <w:p w14:paraId="2E3FEF24" w14:textId="463B619E"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13" w:history="1">
        <w:r w:rsidR="007A6F61" w:rsidRPr="00947FB1">
          <w:rPr>
            <w:rStyle w:val="Hyperlink"/>
            <w:noProof/>
          </w:rPr>
          <w:t>8.3</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Unfit to stand trial: end of maximum period of detention</w:t>
        </w:r>
        <w:r w:rsidR="007A6F61">
          <w:rPr>
            <w:noProof/>
            <w:webHidden/>
          </w:rPr>
          <w:tab/>
        </w:r>
        <w:r w:rsidR="007A6F61">
          <w:rPr>
            <w:noProof/>
            <w:webHidden/>
          </w:rPr>
          <w:fldChar w:fldCharType="begin"/>
        </w:r>
        <w:r w:rsidR="007A6F61">
          <w:rPr>
            <w:noProof/>
            <w:webHidden/>
          </w:rPr>
          <w:instrText xml:space="preserve"> PAGEREF _Toc116484613 \h </w:instrText>
        </w:r>
        <w:r w:rsidR="007A6F61">
          <w:rPr>
            <w:noProof/>
            <w:webHidden/>
          </w:rPr>
        </w:r>
        <w:r w:rsidR="007A6F61">
          <w:rPr>
            <w:noProof/>
            <w:webHidden/>
          </w:rPr>
          <w:fldChar w:fldCharType="separate"/>
        </w:r>
        <w:r w:rsidR="007A6F61">
          <w:rPr>
            <w:noProof/>
            <w:webHidden/>
          </w:rPr>
          <w:t>41</w:t>
        </w:r>
        <w:r w:rsidR="007A6F61">
          <w:rPr>
            <w:noProof/>
            <w:webHidden/>
          </w:rPr>
          <w:fldChar w:fldCharType="end"/>
        </w:r>
      </w:hyperlink>
    </w:p>
    <w:p w14:paraId="65C5F6A4" w14:textId="08A72C9D"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14" w:history="1">
        <w:r w:rsidR="007A6F61" w:rsidRPr="00947FB1">
          <w:rPr>
            <w:rStyle w:val="Hyperlink"/>
            <w:noProof/>
          </w:rPr>
          <w:t>8.4</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Unfit to stand trial: where the patient no longer needs to be detained as a special patient</w:t>
        </w:r>
        <w:r w:rsidR="007A6F61">
          <w:rPr>
            <w:noProof/>
            <w:webHidden/>
          </w:rPr>
          <w:tab/>
        </w:r>
        <w:r w:rsidR="007A6F61">
          <w:rPr>
            <w:noProof/>
            <w:webHidden/>
          </w:rPr>
          <w:fldChar w:fldCharType="begin"/>
        </w:r>
        <w:r w:rsidR="007A6F61">
          <w:rPr>
            <w:noProof/>
            <w:webHidden/>
          </w:rPr>
          <w:instrText xml:space="preserve"> PAGEREF _Toc116484614 \h </w:instrText>
        </w:r>
        <w:r w:rsidR="007A6F61">
          <w:rPr>
            <w:noProof/>
            <w:webHidden/>
          </w:rPr>
        </w:r>
        <w:r w:rsidR="007A6F61">
          <w:rPr>
            <w:noProof/>
            <w:webHidden/>
          </w:rPr>
          <w:fldChar w:fldCharType="separate"/>
        </w:r>
        <w:r w:rsidR="007A6F61">
          <w:rPr>
            <w:noProof/>
            <w:webHidden/>
          </w:rPr>
          <w:t>43</w:t>
        </w:r>
        <w:r w:rsidR="007A6F61">
          <w:rPr>
            <w:noProof/>
            <w:webHidden/>
          </w:rPr>
          <w:fldChar w:fldCharType="end"/>
        </w:r>
      </w:hyperlink>
    </w:p>
    <w:p w14:paraId="7693E51D" w14:textId="4B53F293"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15" w:history="1">
        <w:r w:rsidR="007A6F61" w:rsidRPr="00947FB1">
          <w:rPr>
            <w:rStyle w:val="Hyperlink"/>
            <w:noProof/>
          </w:rPr>
          <w:t>8.5</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Withdrawal of charges</w:t>
        </w:r>
        <w:r w:rsidR="007A6F61">
          <w:rPr>
            <w:noProof/>
            <w:webHidden/>
          </w:rPr>
          <w:tab/>
        </w:r>
        <w:r w:rsidR="007A6F61">
          <w:rPr>
            <w:noProof/>
            <w:webHidden/>
          </w:rPr>
          <w:fldChar w:fldCharType="begin"/>
        </w:r>
        <w:r w:rsidR="007A6F61">
          <w:rPr>
            <w:noProof/>
            <w:webHidden/>
          </w:rPr>
          <w:instrText xml:space="preserve"> PAGEREF _Toc116484615 \h </w:instrText>
        </w:r>
        <w:r w:rsidR="007A6F61">
          <w:rPr>
            <w:noProof/>
            <w:webHidden/>
          </w:rPr>
        </w:r>
        <w:r w:rsidR="007A6F61">
          <w:rPr>
            <w:noProof/>
            <w:webHidden/>
          </w:rPr>
          <w:fldChar w:fldCharType="separate"/>
        </w:r>
        <w:r w:rsidR="007A6F61">
          <w:rPr>
            <w:noProof/>
            <w:webHidden/>
          </w:rPr>
          <w:t>44</w:t>
        </w:r>
        <w:r w:rsidR="007A6F61">
          <w:rPr>
            <w:noProof/>
            <w:webHidden/>
          </w:rPr>
          <w:fldChar w:fldCharType="end"/>
        </w:r>
      </w:hyperlink>
    </w:p>
    <w:p w14:paraId="22C98D30" w14:textId="5C664634" w:rsidR="007A6F61" w:rsidRDefault="000D2E1E">
      <w:pPr>
        <w:pStyle w:val="TOC1"/>
        <w:rPr>
          <w:rFonts w:asciiTheme="minorHAnsi" w:eastAsiaTheme="minorEastAsia" w:hAnsiTheme="minorHAnsi" w:cstheme="minorBidi"/>
          <w:noProof/>
          <w:sz w:val="22"/>
          <w:szCs w:val="22"/>
          <w:lang w:val="en-AU" w:eastAsia="en-AU"/>
        </w:rPr>
      </w:pPr>
      <w:hyperlink w:anchor="_Toc116484616" w:history="1">
        <w:r w:rsidR="007A6F61" w:rsidRPr="00947FB1">
          <w:rPr>
            <w:rStyle w:val="Hyperlink"/>
            <w:noProof/>
            <w:lang w:eastAsia="en-US"/>
          </w:rPr>
          <w:t>9</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Application for restricted patient status</w:t>
        </w:r>
        <w:r w:rsidR="007A6F61">
          <w:rPr>
            <w:noProof/>
            <w:webHidden/>
          </w:rPr>
          <w:tab/>
        </w:r>
        <w:r w:rsidR="007A6F61">
          <w:rPr>
            <w:noProof/>
            <w:webHidden/>
          </w:rPr>
          <w:fldChar w:fldCharType="begin"/>
        </w:r>
        <w:r w:rsidR="007A6F61">
          <w:rPr>
            <w:noProof/>
            <w:webHidden/>
          </w:rPr>
          <w:instrText xml:space="preserve"> PAGEREF _Toc116484616 \h </w:instrText>
        </w:r>
        <w:r w:rsidR="007A6F61">
          <w:rPr>
            <w:noProof/>
            <w:webHidden/>
          </w:rPr>
        </w:r>
        <w:r w:rsidR="007A6F61">
          <w:rPr>
            <w:noProof/>
            <w:webHidden/>
          </w:rPr>
          <w:fldChar w:fldCharType="separate"/>
        </w:r>
        <w:r w:rsidR="007A6F61">
          <w:rPr>
            <w:noProof/>
            <w:webHidden/>
          </w:rPr>
          <w:t>45</w:t>
        </w:r>
        <w:r w:rsidR="007A6F61">
          <w:rPr>
            <w:noProof/>
            <w:webHidden/>
          </w:rPr>
          <w:fldChar w:fldCharType="end"/>
        </w:r>
      </w:hyperlink>
    </w:p>
    <w:p w14:paraId="293A2376" w14:textId="6BB2B1F8"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17" w:history="1">
        <w:r w:rsidR="007A6F61" w:rsidRPr="00947FB1">
          <w:rPr>
            <w:rStyle w:val="Hyperlink"/>
            <w:noProof/>
          </w:rPr>
          <w:t>9.1</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Key features of restricted patient status</w:t>
        </w:r>
        <w:r w:rsidR="007A6F61">
          <w:rPr>
            <w:noProof/>
            <w:webHidden/>
          </w:rPr>
          <w:tab/>
        </w:r>
        <w:r w:rsidR="007A6F61">
          <w:rPr>
            <w:noProof/>
            <w:webHidden/>
          </w:rPr>
          <w:fldChar w:fldCharType="begin"/>
        </w:r>
        <w:r w:rsidR="007A6F61">
          <w:rPr>
            <w:noProof/>
            <w:webHidden/>
          </w:rPr>
          <w:instrText xml:space="preserve"> PAGEREF _Toc116484617 \h </w:instrText>
        </w:r>
        <w:r w:rsidR="007A6F61">
          <w:rPr>
            <w:noProof/>
            <w:webHidden/>
          </w:rPr>
        </w:r>
        <w:r w:rsidR="007A6F61">
          <w:rPr>
            <w:noProof/>
            <w:webHidden/>
          </w:rPr>
          <w:fldChar w:fldCharType="separate"/>
        </w:r>
        <w:r w:rsidR="007A6F61">
          <w:rPr>
            <w:noProof/>
            <w:webHidden/>
          </w:rPr>
          <w:t>45</w:t>
        </w:r>
        <w:r w:rsidR="007A6F61">
          <w:rPr>
            <w:noProof/>
            <w:webHidden/>
          </w:rPr>
          <w:fldChar w:fldCharType="end"/>
        </w:r>
      </w:hyperlink>
    </w:p>
    <w:p w14:paraId="366F221C" w14:textId="47A48352"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18" w:history="1">
        <w:r w:rsidR="007A6F61" w:rsidRPr="00947FB1">
          <w:rPr>
            <w:rStyle w:val="Hyperlink"/>
            <w:noProof/>
          </w:rPr>
          <w:t>9.2</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Information in support of an application for restricted patient status</w:t>
        </w:r>
        <w:r w:rsidR="007A6F61">
          <w:rPr>
            <w:noProof/>
            <w:webHidden/>
          </w:rPr>
          <w:tab/>
        </w:r>
        <w:r w:rsidR="007A6F61">
          <w:rPr>
            <w:noProof/>
            <w:webHidden/>
          </w:rPr>
          <w:fldChar w:fldCharType="begin"/>
        </w:r>
        <w:r w:rsidR="007A6F61">
          <w:rPr>
            <w:noProof/>
            <w:webHidden/>
          </w:rPr>
          <w:instrText xml:space="preserve"> PAGEREF _Toc116484618 \h </w:instrText>
        </w:r>
        <w:r w:rsidR="007A6F61">
          <w:rPr>
            <w:noProof/>
            <w:webHidden/>
          </w:rPr>
        </w:r>
        <w:r w:rsidR="007A6F61">
          <w:rPr>
            <w:noProof/>
            <w:webHidden/>
          </w:rPr>
          <w:fldChar w:fldCharType="separate"/>
        </w:r>
        <w:r w:rsidR="007A6F61">
          <w:rPr>
            <w:noProof/>
            <w:webHidden/>
          </w:rPr>
          <w:t>47</w:t>
        </w:r>
        <w:r w:rsidR="007A6F61">
          <w:rPr>
            <w:noProof/>
            <w:webHidden/>
          </w:rPr>
          <w:fldChar w:fldCharType="end"/>
        </w:r>
      </w:hyperlink>
    </w:p>
    <w:p w14:paraId="607C6782" w14:textId="0C48D995" w:rsidR="007A6F61" w:rsidRDefault="000D2E1E">
      <w:pPr>
        <w:pStyle w:val="TOC2"/>
        <w:tabs>
          <w:tab w:val="left" w:pos="1134"/>
        </w:tabs>
        <w:rPr>
          <w:rFonts w:asciiTheme="minorHAnsi" w:eastAsiaTheme="minorEastAsia" w:hAnsiTheme="minorHAnsi" w:cstheme="minorBidi"/>
          <w:noProof/>
          <w:sz w:val="22"/>
          <w:szCs w:val="22"/>
          <w:lang w:val="en-AU" w:eastAsia="en-AU"/>
        </w:rPr>
      </w:pPr>
      <w:hyperlink w:anchor="_Toc116484619" w:history="1">
        <w:r w:rsidR="007A6F61" w:rsidRPr="00947FB1">
          <w:rPr>
            <w:rStyle w:val="Hyperlink"/>
            <w:noProof/>
          </w:rPr>
          <w:t>9.3</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Second opinion</w:t>
        </w:r>
        <w:r w:rsidR="007A6F61">
          <w:rPr>
            <w:noProof/>
            <w:webHidden/>
          </w:rPr>
          <w:tab/>
        </w:r>
        <w:r w:rsidR="007A6F61">
          <w:rPr>
            <w:noProof/>
            <w:webHidden/>
          </w:rPr>
          <w:fldChar w:fldCharType="begin"/>
        </w:r>
        <w:r w:rsidR="007A6F61">
          <w:rPr>
            <w:noProof/>
            <w:webHidden/>
          </w:rPr>
          <w:instrText xml:space="preserve"> PAGEREF _Toc116484619 \h </w:instrText>
        </w:r>
        <w:r w:rsidR="007A6F61">
          <w:rPr>
            <w:noProof/>
            <w:webHidden/>
          </w:rPr>
        </w:r>
        <w:r w:rsidR="007A6F61">
          <w:rPr>
            <w:noProof/>
            <w:webHidden/>
          </w:rPr>
          <w:fldChar w:fldCharType="separate"/>
        </w:r>
        <w:r w:rsidR="007A6F61">
          <w:rPr>
            <w:noProof/>
            <w:webHidden/>
          </w:rPr>
          <w:t>48</w:t>
        </w:r>
        <w:r w:rsidR="007A6F61">
          <w:rPr>
            <w:noProof/>
            <w:webHidden/>
          </w:rPr>
          <w:fldChar w:fldCharType="end"/>
        </w:r>
      </w:hyperlink>
    </w:p>
    <w:p w14:paraId="1F9BD02D" w14:textId="4C363864" w:rsidR="007A6F61" w:rsidRDefault="000D2E1E">
      <w:pPr>
        <w:pStyle w:val="TOC1"/>
        <w:rPr>
          <w:rFonts w:asciiTheme="minorHAnsi" w:eastAsiaTheme="minorEastAsia" w:hAnsiTheme="minorHAnsi" w:cstheme="minorBidi"/>
          <w:noProof/>
          <w:sz w:val="22"/>
          <w:szCs w:val="22"/>
          <w:lang w:val="en-AU" w:eastAsia="en-AU"/>
        </w:rPr>
      </w:pPr>
      <w:hyperlink w:anchor="_Toc116484620" w:history="1">
        <w:r w:rsidR="007A6F61" w:rsidRPr="00947FB1">
          <w:rPr>
            <w:rStyle w:val="Hyperlink"/>
            <w:noProof/>
            <w:lang w:eastAsia="en-NZ"/>
          </w:rPr>
          <w:t>10</w:t>
        </w:r>
        <w:r w:rsidR="007A6F61">
          <w:rPr>
            <w:rFonts w:asciiTheme="minorHAnsi" w:eastAsiaTheme="minorEastAsia" w:hAnsiTheme="minorHAnsi" w:cstheme="minorBidi"/>
            <w:noProof/>
            <w:sz w:val="22"/>
            <w:szCs w:val="22"/>
            <w:lang w:val="en-AU" w:eastAsia="en-AU"/>
          </w:rPr>
          <w:tab/>
        </w:r>
        <w:r w:rsidR="007A6F61" w:rsidRPr="00947FB1">
          <w:rPr>
            <w:rStyle w:val="Hyperlink"/>
            <w:noProof/>
            <w:lang w:eastAsia="en-NZ"/>
          </w:rPr>
          <w:t>Change of legal status: restricted patients</w:t>
        </w:r>
        <w:r w:rsidR="007A6F61">
          <w:rPr>
            <w:noProof/>
            <w:webHidden/>
          </w:rPr>
          <w:tab/>
        </w:r>
        <w:r w:rsidR="007A6F61">
          <w:rPr>
            <w:noProof/>
            <w:webHidden/>
          </w:rPr>
          <w:fldChar w:fldCharType="begin"/>
        </w:r>
        <w:r w:rsidR="007A6F61">
          <w:rPr>
            <w:noProof/>
            <w:webHidden/>
          </w:rPr>
          <w:instrText xml:space="preserve"> PAGEREF _Toc116484620 \h </w:instrText>
        </w:r>
        <w:r w:rsidR="007A6F61">
          <w:rPr>
            <w:noProof/>
            <w:webHidden/>
          </w:rPr>
        </w:r>
        <w:r w:rsidR="007A6F61">
          <w:rPr>
            <w:noProof/>
            <w:webHidden/>
          </w:rPr>
          <w:fldChar w:fldCharType="separate"/>
        </w:r>
        <w:r w:rsidR="007A6F61">
          <w:rPr>
            <w:noProof/>
            <w:webHidden/>
          </w:rPr>
          <w:t>50</w:t>
        </w:r>
        <w:r w:rsidR="007A6F61">
          <w:rPr>
            <w:noProof/>
            <w:webHidden/>
          </w:rPr>
          <w:fldChar w:fldCharType="end"/>
        </w:r>
      </w:hyperlink>
    </w:p>
    <w:p w14:paraId="378E220B" w14:textId="6EE382A3" w:rsidR="007A6F61" w:rsidRDefault="000D2E1E">
      <w:pPr>
        <w:pStyle w:val="TOC2"/>
        <w:tabs>
          <w:tab w:val="left" w:pos="1320"/>
        </w:tabs>
        <w:rPr>
          <w:rFonts w:asciiTheme="minorHAnsi" w:eastAsiaTheme="minorEastAsia" w:hAnsiTheme="minorHAnsi" w:cstheme="minorBidi"/>
          <w:noProof/>
          <w:sz w:val="22"/>
          <w:szCs w:val="22"/>
          <w:lang w:val="en-AU" w:eastAsia="en-AU"/>
        </w:rPr>
      </w:pPr>
      <w:hyperlink w:anchor="_Toc116484621" w:history="1">
        <w:r w:rsidR="007A6F61" w:rsidRPr="00947FB1">
          <w:rPr>
            <w:rStyle w:val="Hyperlink"/>
            <w:noProof/>
          </w:rPr>
          <w:t>10.1</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Where a restricted patient is fit to be released from compulsory status</w:t>
        </w:r>
        <w:r w:rsidR="007A6F61">
          <w:rPr>
            <w:noProof/>
            <w:webHidden/>
          </w:rPr>
          <w:tab/>
        </w:r>
        <w:r w:rsidR="007A6F61">
          <w:rPr>
            <w:noProof/>
            <w:webHidden/>
          </w:rPr>
          <w:fldChar w:fldCharType="begin"/>
        </w:r>
        <w:r w:rsidR="007A6F61">
          <w:rPr>
            <w:noProof/>
            <w:webHidden/>
          </w:rPr>
          <w:instrText xml:space="preserve"> PAGEREF _Toc116484621 \h </w:instrText>
        </w:r>
        <w:r w:rsidR="007A6F61">
          <w:rPr>
            <w:noProof/>
            <w:webHidden/>
          </w:rPr>
        </w:r>
        <w:r w:rsidR="007A6F61">
          <w:rPr>
            <w:noProof/>
            <w:webHidden/>
          </w:rPr>
          <w:fldChar w:fldCharType="separate"/>
        </w:r>
        <w:r w:rsidR="007A6F61">
          <w:rPr>
            <w:noProof/>
            <w:webHidden/>
          </w:rPr>
          <w:t>50</w:t>
        </w:r>
        <w:r w:rsidR="007A6F61">
          <w:rPr>
            <w:noProof/>
            <w:webHidden/>
          </w:rPr>
          <w:fldChar w:fldCharType="end"/>
        </w:r>
      </w:hyperlink>
    </w:p>
    <w:p w14:paraId="62BCD5B6" w14:textId="4ED51BB5" w:rsidR="007A6F61" w:rsidRDefault="000D2E1E">
      <w:pPr>
        <w:pStyle w:val="TOC2"/>
        <w:tabs>
          <w:tab w:val="left" w:pos="1320"/>
        </w:tabs>
        <w:rPr>
          <w:rFonts w:asciiTheme="minorHAnsi" w:eastAsiaTheme="minorEastAsia" w:hAnsiTheme="minorHAnsi" w:cstheme="minorBidi"/>
          <w:noProof/>
          <w:sz w:val="22"/>
          <w:szCs w:val="22"/>
          <w:lang w:val="en-AU" w:eastAsia="en-AU"/>
        </w:rPr>
      </w:pPr>
      <w:hyperlink w:anchor="_Toc116484622" w:history="1">
        <w:r w:rsidR="007A6F61" w:rsidRPr="00947FB1">
          <w:rPr>
            <w:rStyle w:val="Hyperlink"/>
            <w:noProof/>
          </w:rPr>
          <w:t>10.2</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Where a patient is not fit to be released from compulsory status but no longer needs to be a restricted patient</w:t>
        </w:r>
        <w:r w:rsidR="007A6F61">
          <w:rPr>
            <w:noProof/>
            <w:webHidden/>
          </w:rPr>
          <w:tab/>
        </w:r>
        <w:r w:rsidR="007A6F61">
          <w:rPr>
            <w:noProof/>
            <w:webHidden/>
          </w:rPr>
          <w:fldChar w:fldCharType="begin"/>
        </w:r>
        <w:r w:rsidR="007A6F61">
          <w:rPr>
            <w:noProof/>
            <w:webHidden/>
          </w:rPr>
          <w:instrText xml:space="preserve"> PAGEREF _Toc116484622 \h </w:instrText>
        </w:r>
        <w:r w:rsidR="007A6F61">
          <w:rPr>
            <w:noProof/>
            <w:webHidden/>
          </w:rPr>
        </w:r>
        <w:r w:rsidR="007A6F61">
          <w:rPr>
            <w:noProof/>
            <w:webHidden/>
          </w:rPr>
          <w:fldChar w:fldCharType="separate"/>
        </w:r>
        <w:r w:rsidR="007A6F61">
          <w:rPr>
            <w:noProof/>
            <w:webHidden/>
          </w:rPr>
          <w:t>52</w:t>
        </w:r>
        <w:r w:rsidR="007A6F61">
          <w:rPr>
            <w:noProof/>
            <w:webHidden/>
          </w:rPr>
          <w:fldChar w:fldCharType="end"/>
        </w:r>
      </w:hyperlink>
    </w:p>
    <w:p w14:paraId="015F9F88" w14:textId="50FA9FC0" w:rsidR="007A6F61" w:rsidRDefault="000D2E1E">
      <w:pPr>
        <w:pStyle w:val="TOC1"/>
        <w:rPr>
          <w:rFonts w:asciiTheme="minorHAnsi" w:eastAsiaTheme="minorEastAsia" w:hAnsiTheme="minorHAnsi" w:cstheme="minorBidi"/>
          <w:noProof/>
          <w:sz w:val="22"/>
          <w:szCs w:val="22"/>
          <w:lang w:val="en-AU" w:eastAsia="en-AU"/>
        </w:rPr>
      </w:pPr>
      <w:hyperlink w:anchor="_Toc116484623" w:history="1">
        <w:r w:rsidR="007A6F61" w:rsidRPr="00947FB1">
          <w:rPr>
            <w:rStyle w:val="Hyperlink"/>
            <w:noProof/>
          </w:rPr>
          <w:t>11</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Return to prison</w:t>
        </w:r>
        <w:r w:rsidR="007A6F61">
          <w:rPr>
            <w:noProof/>
            <w:webHidden/>
          </w:rPr>
          <w:tab/>
        </w:r>
        <w:r w:rsidR="007A6F61">
          <w:rPr>
            <w:noProof/>
            <w:webHidden/>
          </w:rPr>
          <w:fldChar w:fldCharType="begin"/>
        </w:r>
        <w:r w:rsidR="007A6F61">
          <w:rPr>
            <w:noProof/>
            <w:webHidden/>
          </w:rPr>
          <w:instrText xml:space="preserve"> PAGEREF _Toc116484623 \h </w:instrText>
        </w:r>
        <w:r w:rsidR="007A6F61">
          <w:rPr>
            <w:noProof/>
            <w:webHidden/>
          </w:rPr>
        </w:r>
        <w:r w:rsidR="007A6F61">
          <w:rPr>
            <w:noProof/>
            <w:webHidden/>
          </w:rPr>
          <w:fldChar w:fldCharType="separate"/>
        </w:r>
        <w:r w:rsidR="007A6F61">
          <w:rPr>
            <w:noProof/>
            <w:webHidden/>
          </w:rPr>
          <w:t>54</w:t>
        </w:r>
        <w:r w:rsidR="007A6F61">
          <w:rPr>
            <w:noProof/>
            <w:webHidden/>
          </w:rPr>
          <w:fldChar w:fldCharType="end"/>
        </w:r>
      </w:hyperlink>
    </w:p>
    <w:p w14:paraId="4C77D3E9" w14:textId="2D06BAD5" w:rsidR="007A6F61" w:rsidRDefault="000D2E1E">
      <w:pPr>
        <w:pStyle w:val="TOC1"/>
        <w:rPr>
          <w:rFonts w:asciiTheme="minorHAnsi" w:eastAsiaTheme="minorEastAsia" w:hAnsiTheme="minorHAnsi" w:cstheme="minorBidi"/>
          <w:noProof/>
          <w:sz w:val="22"/>
          <w:szCs w:val="22"/>
          <w:lang w:val="en-AU" w:eastAsia="en-AU"/>
        </w:rPr>
      </w:pPr>
      <w:hyperlink w:anchor="_Toc116484624" w:history="1">
        <w:r w:rsidR="007A6F61" w:rsidRPr="00947FB1">
          <w:rPr>
            <w:rStyle w:val="Hyperlink"/>
            <w:noProof/>
          </w:rPr>
          <w:t>12</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Registered victim notifications</w:t>
        </w:r>
        <w:r w:rsidR="007A6F61">
          <w:rPr>
            <w:noProof/>
            <w:webHidden/>
          </w:rPr>
          <w:tab/>
        </w:r>
        <w:r w:rsidR="007A6F61">
          <w:rPr>
            <w:noProof/>
            <w:webHidden/>
          </w:rPr>
          <w:fldChar w:fldCharType="begin"/>
        </w:r>
        <w:r w:rsidR="007A6F61">
          <w:rPr>
            <w:noProof/>
            <w:webHidden/>
          </w:rPr>
          <w:instrText xml:space="preserve"> PAGEREF _Toc116484624 \h </w:instrText>
        </w:r>
        <w:r w:rsidR="007A6F61">
          <w:rPr>
            <w:noProof/>
            <w:webHidden/>
          </w:rPr>
        </w:r>
        <w:r w:rsidR="007A6F61">
          <w:rPr>
            <w:noProof/>
            <w:webHidden/>
          </w:rPr>
          <w:fldChar w:fldCharType="separate"/>
        </w:r>
        <w:r w:rsidR="007A6F61">
          <w:rPr>
            <w:noProof/>
            <w:webHidden/>
          </w:rPr>
          <w:t>55</w:t>
        </w:r>
        <w:r w:rsidR="007A6F61">
          <w:rPr>
            <w:noProof/>
            <w:webHidden/>
          </w:rPr>
          <w:fldChar w:fldCharType="end"/>
        </w:r>
      </w:hyperlink>
    </w:p>
    <w:p w14:paraId="2C0971A1" w14:textId="29F0C0A7" w:rsidR="007A6F61" w:rsidRDefault="000D2E1E">
      <w:pPr>
        <w:pStyle w:val="TOC2"/>
        <w:tabs>
          <w:tab w:val="left" w:pos="1320"/>
        </w:tabs>
        <w:rPr>
          <w:rFonts w:asciiTheme="minorHAnsi" w:eastAsiaTheme="minorEastAsia" w:hAnsiTheme="minorHAnsi" w:cstheme="minorBidi"/>
          <w:noProof/>
          <w:sz w:val="22"/>
          <w:szCs w:val="22"/>
          <w:lang w:val="en-AU" w:eastAsia="en-AU"/>
        </w:rPr>
      </w:pPr>
      <w:hyperlink w:anchor="_Toc116484625" w:history="1">
        <w:r w:rsidR="007A6F61" w:rsidRPr="00947FB1">
          <w:rPr>
            <w:rStyle w:val="Hyperlink"/>
            <w:bCs/>
            <w:noProof/>
          </w:rPr>
          <w:t>12.1</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Current provisions</w:t>
        </w:r>
        <w:r w:rsidR="007A6F61">
          <w:rPr>
            <w:noProof/>
            <w:webHidden/>
          </w:rPr>
          <w:tab/>
        </w:r>
        <w:r w:rsidR="007A6F61">
          <w:rPr>
            <w:noProof/>
            <w:webHidden/>
          </w:rPr>
          <w:fldChar w:fldCharType="begin"/>
        </w:r>
        <w:r w:rsidR="007A6F61">
          <w:rPr>
            <w:noProof/>
            <w:webHidden/>
          </w:rPr>
          <w:instrText xml:space="preserve"> PAGEREF _Toc116484625 \h </w:instrText>
        </w:r>
        <w:r w:rsidR="007A6F61">
          <w:rPr>
            <w:noProof/>
            <w:webHidden/>
          </w:rPr>
        </w:r>
        <w:r w:rsidR="007A6F61">
          <w:rPr>
            <w:noProof/>
            <w:webHidden/>
          </w:rPr>
          <w:fldChar w:fldCharType="separate"/>
        </w:r>
        <w:r w:rsidR="007A6F61">
          <w:rPr>
            <w:noProof/>
            <w:webHidden/>
          </w:rPr>
          <w:t>55</w:t>
        </w:r>
        <w:r w:rsidR="007A6F61">
          <w:rPr>
            <w:noProof/>
            <w:webHidden/>
          </w:rPr>
          <w:fldChar w:fldCharType="end"/>
        </w:r>
      </w:hyperlink>
    </w:p>
    <w:p w14:paraId="01590695" w14:textId="30579534" w:rsidR="007A6F61" w:rsidRDefault="000D2E1E">
      <w:pPr>
        <w:pStyle w:val="TOC2"/>
        <w:tabs>
          <w:tab w:val="left" w:pos="1320"/>
        </w:tabs>
        <w:rPr>
          <w:rFonts w:asciiTheme="minorHAnsi" w:eastAsiaTheme="minorEastAsia" w:hAnsiTheme="minorHAnsi" w:cstheme="minorBidi"/>
          <w:noProof/>
          <w:sz w:val="22"/>
          <w:szCs w:val="22"/>
          <w:lang w:val="en-AU" w:eastAsia="en-AU"/>
        </w:rPr>
      </w:pPr>
      <w:hyperlink w:anchor="_Toc116484626" w:history="1">
        <w:r w:rsidR="007A6F61" w:rsidRPr="00947FB1">
          <w:rPr>
            <w:rStyle w:val="Hyperlink"/>
            <w:noProof/>
          </w:rPr>
          <w:t>12.2</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Additional provisions applying when the Victims of Insane Offenders Act 2021 comes into force</w:t>
        </w:r>
        <w:r w:rsidR="007A6F61">
          <w:rPr>
            <w:noProof/>
            <w:webHidden/>
          </w:rPr>
          <w:tab/>
        </w:r>
        <w:r w:rsidR="007A6F61">
          <w:rPr>
            <w:noProof/>
            <w:webHidden/>
          </w:rPr>
          <w:fldChar w:fldCharType="begin"/>
        </w:r>
        <w:r w:rsidR="007A6F61">
          <w:rPr>
            <w:noProof/>
            <w:webHidden/>
          </w:rPr>
          <w:instrText xml:space="preserve"> PAGEREF _Toc116484626 \h </w:instrText>
        </w:r>
        <w:r w:rsidR="007A6F61">
          <w:rPr>
            <w:noProof/>
            <w:webHidden/>
          </w:rPr>
        </w:r>
        <w:r w:rsidR="007A6F61">
          <w:rPr>
            <w:noProof/>
            <w:webHidden/>
          </w:rPr>
          <w:fldChar w:fldCharType="separate"/>
        </w:r>
        <w:r w:rsidR="007A6F61">
          <w:rPr>
            <w:noProof/>
            <w:webHidden/>
          </w:rPr>
          <w:t>56</w:t>
        </w:r>
        <w:r w:rsidR="007A6F61">
          <w:rPr>
            <w:noProof/>
            <w:webHidden/>
          </w:rPr>
          <w:fldChar w:fldCharType="end"/>
        </w:r>
      </w:hyperlink>
    </w:p>
    <w:p w14:paraId="4F5E347B" w14:textId="167CECE8" w:rsidR="007A6F61" w:rsidRDefault="000D2E1E">
      <w:pPr>
        <w:pStyle w:val="TOC1"/>
        <w:rPr>
          <w:rFonts w:asciiTheme="minorHAnsi" w:eastAsiaTheme="minorEastAsia" w:hAnsiTheme="minorHAnsi" w:cstheme="minorBidi"/>
          <w:noProof/>
          <w:sz w:val="22"/>
          <w:szCs w:val="22"/>
          <w:lang w:val="en-AU" w:eastAsia="en-AU"/>
        </w:rPr>
      </w:pPr>
      <w:hyperlink w:anchor="_Toc116484627" w:history="1">
        <w:r w:rsidR="007A6F61" w:rsidRPr="00947FB1">
          <w:rPr>
            <w:rStyle w:val="Hyperlink"/>
            <w:noProof/>
          </w:rPr>
          <w:t>13</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Incidents and reportable events</w:t>
        </w:r>
        <w:r w:rsidR="007A6F61">
          <w:rPr>
            <w:noProof/>
            <w:webHidden/>
          </w:rPr>
          <w:tab/>
        </w:r>
        <w:r w:rsidR="007A6F61">
          <w:rPr>
            <w:noProof/>
            <w:webHidden/>
          </w:rPr>
          <w:fldChar w:fldCharType="begin"/>
        </w:r>
        <w:r w:rsidR="007A6F61">
          <w:rPr>
            <w:noProof/>
            <w:webHidden/>
          </w:rPr>
          <w:instrText xml:space="preserve"> PAGEREF _Toc116484627 \h </w:instrText>
        </w:r>
        <w:r w:rsidR="007A6F61">
          <w:rPr>
            <w:noProof/>
            <w:webHidden/>
          </w:rPr>
        </w:r>
        <w:r w:rsidR="007A6F61">
          <w:rPr>
            <w:noProof/>
            <w:webHidden/>
          </w:rPr>
          <w:fldChar w:fldCharType="separate"/>
        </w:r>
        <w:r w:rsidR="007A6F61">
          <w:rPr>
            <w:noProof/>
            <w:webHidden/>
          </w:rPr>
          <w:t>58</w:t>
        </w:r>
        <w:r w:rsidR="007A6F61">
          <w:rPr>
            <w:noProof/>
            <w:webHidden/>
          </w:rPr>
          <w:fldChar w:fldCharType="end"/>
        </w:r>
      </w:hyperlink>
    </w:p>
    <w:p w14:paraId="6C102EEB" w14:textId="3DA98675" w:rsidR="007A6F61" w:rsidRDefault="000D2E1E">
      <w:pPr>
        <w:pStyle w:val="TOC1"/>
        <w:rPr>
          <w:rFonts w:asciiTheme="minorHAnsi" w:eastAsiaTheme="minorEastAsia" w:hAnsiTheme="minorHAnsi" w:cstheme="minorBidi"/>
          <w:noProof/>
          <w:sz w:val="22"/>
          <w:szCs w:val="22"/>
          <w:lang w:val="en-AU" w:eastAsia="en-AU"/>
        </w:rPr>
      </w:pPr>
      <w:hyperlink w:anchor="_Toc116484628" w:history="1">
        <w:r w:rsidR="007A6F61" w:rsidRPr="00947FB1">
          <w:rPr>
            <w:rStyle w:val="Hyperlink"/>
            <w:noProof/>
          </w:rPr>
          <w:t>14</w:t>
        </w:r>
        <w:r w:rsidR="007A6F61">
          <w:rPr>
            <w:rFonts w:asciiTheme="minorHAnsi" w:eastAsiaTheme="minorEastAsia" w:hAnsiTheme="minorHAnsi" w:cstheme="minorBidi"/>
            <w:noProof/>
            <w:sz w:val="22"/>
            <w:szCs w:val="22"/>
            <w:lang w:val="en-AU" w:eastAsia="en-AU"/>
          </w:rPr>
          <w:tab/>
        </w:r>
        <w:r w:rsidR="007A6F61" w:rsidRPr="00947FB1">
          <w:rPr>
            <w:rStyle w:val="Hyperlink"/>
            <w:noProof/>
          </w:rPr>
          <w:t>Contacting the Office of the Director of Mental Health and Addiction</w:t>
        </w:r>
        <w:r w:rsidR="007A6F61">
          <w:rPr>
            <w:noProof/>
            <w:webHidden/>
          </w:rPr>
          <w:tab/>
        </w:r>
        <w:r w:rsidR="007A6F61">
          <w:rPr>
            <w:noProof/>
            <w:webHidden/>
          </w:rPr>
          <w:fldChar w:fldCharType="begin"/>
        </w:r>
        <w:r w:rsidR="007A6F61">
          <w:rPr>
            <w:noProof/>
            <w:webHidden/>
          </w:rPr>
          <w:instrText xml:space="preserve"> PAGEREF _Toc116484628 \h </w:instrText>
        </w:r>
        <w:r w:rsidR="007A6F61">
          <w:rPr>
            <w:noProof/>
            <w:webHidden/>
          </w:rPr>
        </w:r>
        <w:r w:rsidR="007A6F61">
          <w:rPr>
            <w:noProof/>
            <w:webHidden/>
          </w:rPr>
          <w:fldChar w:fldCharType="separate"/>
        </w:r>
        <w:r w:rsidR="007A6F61">
          <w:rPr>
            <w:noProof/>
            <w:webHidden/>
          </w:rPr>
          <w:t>59</w:t>
        </w:r>
        <w:r w:rsidR="007A6F61">
          <w:rPr>
            <w:noProof/>
            <w:webHidden/>
          </w:rPr>
          <w:fldChar w:fldCharType="end"/>
        </w:r>
      </w:hyperlink>
    </w:p>
    <w:p w14:paraId="43E4E9AD" w14:textId="289DC365" w:rsidR="007A6F61" w:rsidRDefault="000D2E1E">
      <w:pPr>
        <w:pStyle w:val="TOC1"/>
        <w:rPr>
          <w:rFonts w:asciiTheme="minorHAnsi" w:eastAsiaTheme="minorEastAsia" w:hAnsiTheme="minorHAnsi" w:cstheme="minorBidi"/>
          <w:noProof/>
          <w:sz w:val="22"/>
          <w:szCs w:val="22"/>
          <w:lang w:val="en-AU" w:eastAsia="en-AU"/>
        </w:rPr>
      </w:pPr>
      <w:hyperlink w:anchor="_Toc116484629" w:history="1">
        <w:r w:rsidR="007A6F61" w:rsidRPr="00947FB1">
          <w:rPr>
            <w:rStyle w:val="Hyperlink"/>
            <w:noProof/>
          </w:rPr>
          <w:t>References</w:t>
        </w:r>
        <w:r w:rsidR="007A6F61">
          <w:rPr>
            <w:noProof/>
            <w:webHidden/>
          </w:rPr>
          <w:tab/>
        </w:r>
        <w:r w:rsidR="007A6F61">
          <w:rPr>
            <w:noProof/>
            <w:webHidden/>
          </w:rPr>
          <w:fldChar w:fldCharType="begin"/>
        </w:r>
        <w:r w:rsidR="007A6F61">
          <w:rPr>
            <w:noProof/>
            <w:webHidden/>
          </w:rPr>
          <w:instrText xml:space="preserve"> PAGEREF _Toc116484629 \h </w:instrText>
        </w:r>
        <w:r w:rsidR="007A6F61">
          <w:rPr>
            <w:noProof/>
            <w:webHidden/>
          </w:rPr>
        </w:r>
        <w:r w:rsidR="007A6F61">
          <w:rPr>
            <w:noProof/>
            <w:webHidden/>
          </w:rPr>
          <w:fldChar w:fldCharType="separate"/>
        </w:r>
        <w:r w:rsidR="007A6F61">
          <w:rPr>
            <w:noProof/>
            <w:webHidden/>
          </w:rPr>
          <w:t>60</w:t>
        </w:r>
        <w:r w:rsidR="007A6F61">
          <w:rPr>
            <w:noProof/>
            <w:webHidden/>
          </w:rPr>
          <w:fldChar w:fldCharType="end"/>
        </w:r>
      </w:hyperlink>
    </w:p>
    <w:p w14:paraId="3FE578E0" w14:textId="1EA7E439" w:rsidR="007A6F61" w:rsidRDefault="000D2E1E">
      <w:pPr>
        <w:pStyle w:val="TOC1"/>
        <w:rPr>
          <w:rFonts w:asciiTheme="minorHAnsi" w:eastAsiaTheme="minorEastAsia" w:hAnsiTheme="minorHAnsi" w:cstheme="minorBidi"/>
          <w:noProof/>
          <w:sz w:val="22"/>
          <w:szCs w:val="22"/>
          <w:lang w:val="en-AU" w:eastAsia="en-AU"/>
        </w:rPr>
      </w:pPr>
      <w:hyperlink w:anchor="_Toc116484630" w:history="1">
        <w:r w:rsidR="007A6F61" w:rsidRPr="00947FB1">
          <w:rPr>
            <w:rStyle w:val="Hyperlink"/>
            <w:noProof/>
          </w:rPr>
          <w:t>Appendix 1: Useful resources</w:t>
        </w:r>
        <w:r w:rsidR="007A6F61">
          <w:rPr>
            <w:noProof/>
            <w:webHidden/>
          </w:rPr>
          <w:tab/>
        </w:r>
        <w:r w:rsidR="007A6F61">
          <w:rPr>
            <w:noProof/>
            <w:webHidden/>
          </w:rPr>
          <w:fldChar w:fldCharType="begin"/>
        </w:r>
        <w:r w:rsidR="007A6F61">
          <w:rPr>
            <w:noProof/>
            <w:webHidden/>
          </w:rPr>
          <w:instrText xml:space="preserve"> PAGEREF _Toc116484630 \h </w:instrText>
        </w:r>
        <w:r w:rsidR="007A6F61">
          <w:rPr>
            <w:noProof/>
            <w:webHidden/>
          </w:rPr>
        </w:r>
        <w:r w:rsidR="007A6F61">
          <w:rPr>
            <w:noProof/>
            <w:webHidden/>
          </w:rPr>
          <w:fldChar w:fldCharType="separate"/>
        </w:r>
        <w:r w:rsidR="007A6F61">
          <w:rPr>
            <w:noProof/>
            <w:webHidden/>
          </w:rPr>
          <w:t>62</w:t>
        </w:r>
        <w:r w:rsidR="007A6F61">
          <w:rPr>
            <w:noProof/>
            <w:webHidden/>
          </w:rPr>
          <w:fldChar w:fldCharType="end"/>
        </w:r>
      </w:hyperlink>
    </w:p>
    <w:p w14:paraId="615AF9D9" w14:textId="20CFB7A5" w:rsidR="007A6F61" w:rsidRDefault="000D2E1E">
      <w:pPr>
        <w:pStyle w:val="TOC2"/>
        <w:rPr>
          <w:rFonts w:asciiTheme="minorHAnsi" w:eastAsiaTheme="minorEastAsia" w:hAnsiTheme="minorHAnsi" w:cstheme="minorBidi"/>
          <w:noProof/>
          <w:sz w:val="22"/>
          <w:szCs w:val="22"/>
          <w:lang w:val="en-AU" w:eastAsia="en-AU"/>
        </w:rPr>
      </w:pPr>
      <w:hyperlink w:anchor="_Toc116484631" w:history="1">
        <w:r w:rsidR="007A6F61" w:rsidRPr="00947FB1">
          <w:rPr>
            <w:rStyle w:val="Hyperlink"/>
            <w:noProof/>
          </w:rPr>
          <w:t>Published documents</w:t>
        </w:r>
        <w:r w:rsidR="007A6F61">
          <w:rPr>
            <w:noProof/>
            <w:webHidden/>
          </w:rPr>
          <w:tab/>
        </w:r>
        <w:r w:rsidR="007A6F61">
          <w:rPr>
            <w:noProof/>
            <w:webHidden/>
          </w:rPr>
          <w:fldChar w:fldCharType="begin"/>
        </w:r>
        <w:r w:rsidR="007A6F61">
          <w:rPr>
            <w:noProof/>
            <w:webHidden/>
          </w:rPr>
          <w:instrText xml:space="preserve"> PAGEREF _Toc116484631 \h </w:instrText>
        </w:r>
        <w:r w:rsidR="007A6F61">
          <w:rPr>
            <w:noProof/>
            <w:webHidden/>
          </w:rPr>
        </w:r>
        <w:r w:rsidR="007A6F61">
          <w:rPr>
            <w:noProof/>
            <w:webHidden/>
          </w:rPr>
          <w:fldChar w:fldCharType="separate"/>
        </w:r>
        <w:r w:rsidR="007A6F61">
          <w:rPr>
            <w:noProof/>
            <w:webHidden/>
          </w:rPr>
          <w:t>62</w:t>
        </w:r>
        <w:r w:rsidR="007A6F61">
          <w:rPr>
            <w:noProof/>
            <w:webHidden/>
          </w:rPr>
          <w:fldChar w:fldCharType="end"/>
        </w:r>
      </w:hyperlink>
    </w:p>
    <w:p w14:paraId="7A2FD6D1" w14:textId="7D9C20C4" w:rsidR="007A6F61" w:rsidRDefault="000D2E1E">
      <w:pPr>
        <w:pStyle w:val="TOC2"/>
        <w:rPr>
          <w:rFonts w:asciiTheme="minorHAnsi" w:eastAsiaTheme="minorEastAsia" w:hAnsiTheme="minorHAnsi" w:cstheme="minorBidi"/>
          <w:noProof/>
          <w:sz w:val="22"/>
          <w:szCs w:val="22"/>
          <w:lang w:val="en-AU" w:eastAsia="en-AU"/>
        </w:rPr>
      </w:pPr>
      <w:hyperlink w:anchor="_Toc116484632" w:history="1">
        <w:r w:rsidR="007A6F61" w:rsidRPr="00947FB1">
          <w:rPr>
            <w:rStyle w:val="Hyperlink"/>
            <w:noProof/>
          </w:rPr>
          <w:t>Attached templates and checklists</w:t>
        </w:r>
        <w:r w:rsidR="007A6F61">
          <w:rPr>
            <w:noProof/>
            <w:webHidden/>
          </w:rPr>
          <w:tab/>
        </w:r>
        <w:r w:rsidR="007A6F61">
          <w:rPr>
            <w:noProof/>
            <w:webHidden/>
          </w:rPr>
          <w:fldChar w:fldCharType="begin"/>
        </w:r>
        <w:r w:rsidR="007A6F61">
          <w:rPr>
            <w:noProof/>
            <w:webHidden/>
          </w:rPr>
          <w:instrText xml:space="preserve"> PAGEREF _Toc116484632 \h </w:instrText>
        </w:r>
        <w:r w:rsidR="007A6F61">
          <w:rPr>
            <w:noProof/>
            <w:webHidden/>
          </w:rPr>
        </w:r>
        <w:r w:rsidR="007A6F61">
          <w:rPr>
            <w:noProof/>
            <w:webHidden/>
          </w:rPr>
          <w:fldChar w:fldCharType="separate"/>
        </w:r>
        <w:r w:rsidR="007A6F61">
          <w:rPr>
            <w:noProof/>
            <w:webHidden/>
          </w:rPr>
          <w:t>62</w:t>
        </w:r>
        <w:r w:rsidR="007A6F61">
          <w:rPr>
            <w:noProof/>
            <w:webHidden/>
          </w:rPr>
          <w:fldChar w:fldCharType="end"/>
        </w:r>
      </w:hyperlink>
    </w:p>
    <w:p w14:paraId="1850F9BA" w14:textId="2D5C911E" w:rsidR="007A6F61" w:rsidRDefault="000D2E1E">
      <w:pPr>
        <w:pStyle w:val="TOC1"/>
        <w:rPr>
          <w:rFonts w:asciiTheme="minorHAnsi" w:eastAsiaTheme="minorEastAsia" w:hAnsiTheme="minorHAnsi" w:cstheme="minorBidi"/>
          <w:noProof/>
          <w:sz w:val="22"/>
          <w:szCs w:val="22"/>
          <w:lang w:val="en-AU" w:eastAsia="en-AU"/>
        </w:rPr>
      </w:pPr>
      <w:hyperlink w:anchor="_Toc116484633" w:history="1">
        <w:r w:rsidR="007A6F61" w:rsidRPr="00947FB1">
          <w:rPr>
            <w:rStyle w:val="Hyperlink"/>
            <w:noProof/>
          </w:rPr>
          <w:t>Appendix 2: Special patient escaped or absent without leave: incident process</w:t>
        </w:r>
        <w:r w:rsidR="007A6F61">
          <w:rPr>
            <w:noProof/>
            <w:webHidden/>
          </w:rPr>
          <w:tab/>
        </w:r>
        <w:r w:rsidR="007A6F61">
          <w:rPr>
            <w:noProof/>
            <w:webHidden/>
          </w:rPr>
          <w:fldChar w:fldCharType="begin"/>
        </w:r>
        <w:r w:rsidR="007A6F61">
          <w:rPr>
            <w:noProof/>
            <w:webHidden/>
          </w:rPr>
          <w:instrText xml:space="preserve"> PAGEREF _Toc116484633 \h </w:instrText>
        </w:r>
        <w:r w:rsidR="007A6F61">
          <w:rPr>
            <w:noProof/>
            <w:webHidden/>
          </w:rPr>
        </w:r>
        <w:r w:rsidR="007A6F61">
          <w:rPr>
            <w:noProof/>
            <w:webHidden/>
          </w:rPr>
          <w:fldChar w:fldCharType="separate"/>
        </w:r>
        <w:r w:rsidR="007A6F61">
          <w:rPr>
            <w:noProof/>
            <w:webHidden/>
          </w:rPr>
          <w:t>73</w:t>
        </w:r>
        <w:r w:rsidR="007A6F61">
          <w:rPr>
            <w:noProof/>
            <w:webHidden/>
          </w:rPr>
          <w:fldChar w:fldCharType="end"/>
        </w:r>
      </w:hyperlink>
    </w:p>
    <w:p w14:paraId="4F9A8942" w14:textId="75891A53" w:rsidR="00D3124A" w:rsidRDefault="00970185" w:rsidP="00D3124A">
      <w:r>
        <w:rPr>
          <w:rFonts w:ascii="Segoe UI Semibold" w:hAnsi="Segoe UI Semibold"/>
          <w:b/>
          <w:sz w:val="24"/>
        </w:rPr>
        <w:fldChar w:fldCharType="end"/>
      </w:r>
    </w:p>
    <w:p w14:paraId="23879A88" w14:textId="1101CDE7" w:rsidR="00D3124A" w:rsidRDefault="00D3124A" w:rsidP="00D3124A"/>
    <w:p w14:paraId="2440193E" w14:textId="77777777" w:rsidR="00D3124A" w:rsidRDefault="00D3124A" w:rsidP="00D3124A">
      <w:pPr>
        <w:pStyle w:val="TOC1"/>
        <w:keepNext/>
      </w:pPr>
      <w:r>
        <w:t>List of Tables</w:t>
      </w:r>
    </w:p>
    <w:p w14:paraId="2CB09AE1" w14:textId="38B00B2D" w:rsidR="007A6F61" w:rsidRDefault="00D3124A">
      <w:pPr>
        <w:pStyle w:val="TOC3"/>
        <w:rPr>
          <w:rFonts w:asciiTheme="minorHAnsi" w:eastAsiaTheme="minorEastAsia" w:hAnsiTheme="minorHAnsi" w:cstheme="minorBidi"/>
          <w:noProof/>
          <w:sz w:val="22"/>
          <w:szCs w:val="22"/>
          <w:lang w:val="en-AU" w:eastAsia="en-AU"/>
        </w:rPr>
      </w:pPr>
      <w:r>
        <w:rPr>
          <w:sz w:val="20"/>
        </w:rPr>
        <w:fldChar w:fldCharType="begin"/>
      </w:r>
      <w:r>
        <w:instrText xml:space="preserve"> TOC \t "Table,3" </w:instrText>
      </w:r>
      <w:r>
        <w:rPr>
          <w:sz w:val="20"/>
        </w:rPr>
        <w:fldChar w:fldCharType="separate"/>
      </w:r>
      <w:r w:rsidR="007A6F61">
        <w:rPr>
          <w:noProof/>
        </w:rPr>
        <w:t>Table 1: Common legislative provisions for detaining special patients</w:t>
      </w:r>
      <w:r w:rsidR="007A6F61">
        <w:rPr>
          <w:noProof/>
        </w:rPr>
        <w:tab/>
      </w:r>
      <w:r w:rsidR="007A6F61">
        <w:rPr>
          <w:noProof/>
        </w:rPr>
        <w:fldChar w:fldCharType="begin"/>
      </w:r>
      <w:r w:rsidR="007A6F61">
        <w:rPr>
          <w:noProof/>
        </w:rPr>
        <w:instrText xml:space="preserve"> PAGEREF _Toc116484634 \h </w:instrText>
      </w:r>
      <w:r w:rsidR="007A6F61">
        <w:rPr>
          <w:noProof/>
        </w:rPr>
      </w:r>
      <w:r w:rsidR="007A6F61">
        <w:rPr>
          <w:noProof/>
        </w:rPr>
        <w:fldChar w:fldCharType="separate"/>
      </w:r>
      <w:r w:rsidR="007A6F61">
        <w:rPr>
          <w:noProof/>
        </w:rPr>
        <w:t>1</w:t>
      </w:r>
      <w:r w:rsidR="007A6F61">
        <w:rPr>
          <w:noProof/>
        </w:rPr>
        <w:fldChar w:fldCharType="end"/>
      </w:r>
    </w:p>
    <w:p w14:paraId="0E32836E" w14:textId="755939AC" w:rsidR="007A6F61" w:rsidRDefault="007A6F61">
      <w:pPr>
        <w:pStyle w:val="TOC3"/>
        <w:rPr>
          <w:rFonts w:asciiTheme="minorHAnsi" w:eastAsiaTheme="minorEastAsia" w:hAnsiTheme="minorHAnsi" w:cstheme="minorBidi"/>
          <w:noProof/>
          <w:sz w:val="22"/>
          <w:szCs w:val="22"/>
          <w:lang w:val="en-AU" w:eastAsia="en-AU"/>
        </w:rPr>
      </w:pPr>
      <w:r>
        <w:rPr>
          <w:noProof/>
        </w:rPr>
        <w:t>Table 2: Information to include in special patient review panel reports</w:t>
      </w:r>
      <w:r>
        <w:rPr>
          <w:noProof/>
        </w:rPr>
        <w:tab/>
      </w:r>
      <w:r>
        <w:rPr>
          <w:noProof/>
        </w:rPr>
        <w:fldChar w:fldCharType="begin"/>
      </w:r>
      <w:r>
        <w:rPr>
          <w:noProof/>
        </w:rPr>
        <w:instrText xml:space="preserve"> PAGEREF _Toc116484635 \h </w:instrText>
      </w:r>
      <w:r>
        <w:rPr>
          <w:noProof/>
        </w:rPr>
      </w:r>
      <w:r>
        <w:rPr>
          <w:noProof/>
        </w:rPr>
        <w:fldChar w:fldCharType="separate"/>
      </w:r>
      <w:r>
        <w:rPr>
          <w:noProof/>
        </w:rPr>
        <w:t>12</w:t>
      </w:r>
      <w:r>
        <w:rPr>
          <w:noProof/>
        </w:rPr>
        <w:fldChar w:fldCharType="end"/>
      </w:r>
    </w:p>
    <w:p w14:paraId="42E8D6B2" w14:textId="26C23D82" w:rsidR="007A6F61" w:rsidRDefault="007A6F61">
      <w:pPr>
        <w:pStyle w:val="TOC3"/>
        <w:rPr>
          <w:rFonts w:asciiTheme="minorHAnsi" w:eastAsiaTheme="minorEastAsia" w:hAnsiTheme="minorHAnsi" w:cstheme="minorBidi"/>
          <w:noProof/>
          <w:sz w:val="22"/>
          <w:szCs w:val="22"/>
          <w:lang w:val="en-AU" w:eastAsia="en-AU"/>
        </w:rPr>
      </w:pPr>
      <w:r>
        <w:rPr>
          <w:noProof/>
        </w:rPr>
        <w:t>Table 3: Leave progression</w:t>
      </w:r>
      <w:r>
        <w:rPr>
          <w:noProof/>
        </w:rPr>
        <w:tab/>
      </w:r>
      <w:r>
        <w:rPr>
          <w:noProof/>
        </w:rPr>
        <w:fldChar w:fldCharType="begin"/>
      </w:r>
      <w:r>
        <w:rPr>
          <w:noProof/>
        </w:rPr>
        <w:instrText xml:space="preserve"> PAGEREF _Toc116484636 \h </w:instrText>
      </w:r>
      <w:r>
        <w:rPr>
          <w:noProof/>
        </w:rPr>
      </w:r>
      <w:r>
        <w:rPr>
          <w:noProof/>
        </w:rPr>
        <w:fldChar w:fldCharType="separate"/>
      </w:r>
      <w:r>
        <w:rPr>
          <w:noProof/>
        </w:rPr>
        <w:t>15</w:t>
      </w:r>
      <w:r>
        <w:rPr>
          <w:noProof/>
        </w:rPr>
        <w:fldChar w:fldCharType="end"/>
      </w:r>
    </w:p>
    <w:p w14:paraId="79814C4B" w14:textId="43F68182" w:rsidR="007A6F61" w:rsidRDefault="007A6F61">
      <w:pPr>
        <w:pStyle w:val="TOC3"/>
        <w:rPr>
          <w:rFonts w:asciiTheme="minorHAnsi" w:eastAsiaTheme="minorEastAsia" w:hAnsiTheme="minorHAnsi" w:cstheme="minorBidi"/>
          <w:noProof/>
          <w:sz w:val="22"/>
          <w:szCs w:val="22"/>
          <w:lang w:val="en-AU" w:eastAsia="en-AU"/>
        </w:rPr>
      </w:pPr>
      <w:r>
        <w:rPr>
          <w:noProof/>
        </w:rPr>
        <w:t>Table 4: Information in support of a non-emergency transfer of a special patient under section 49 applications</w:t>
      </w:r>
      <w:r>
        <w:rPr>
          <w:noProof/>
        </w:rPr>
        <w:tab/>
      </w:r>
      <w:r>
        <w:rPr>
          <w:noProof/>
        </w:rPr>
        <w:fldChar w:fldCharType="begin"/>
      </w:r>
      <w:r>
        <w:rPr>
          <w:noProof/>
        </w:rPr>
        <w:instrText xml:space="preserve"> PAGEREF _Toc116484637 \h </w:instrText>
      </w:r>
      <w:r>
        <w:rPr>
          <w:noProof/>
        </w:rPr>
      </w:r>
      <w:r>
        <w:rPr>
          <w:noProof/>
        </w:rPr>
        <w:fldChar w:fldCharType="separate"/>
      </w:r>
      <w:r>
        <w:rPr>
          <w:noProof/>
        </w:rPr>
        <w:t>20</w:t>
      </w:r>
      <w:r>
        <w:rPr>
          <w:noProof/>
        </w:rPr>
        <w:fldChar w:fldCharType="end"/>
      </w:r>
    </w:p>
    <w:p w14:paraId="7058CD15" w14:textId="5032C1A8" w:rsidR="007A6F61" w:rsidRDefault="007A6F61">
      <w:pPr>
        <w:pStyle w:val="TOC3"/>
        <w:rPr>
          <w:rFonts w:asciiTheme="minorHAnsi" w:eastAsiaTheme="minorEastAsia" w:hAnsiTheme="minorHAnsi" w:cstheme="minorBidi"/>
          <w:noProof/>
          <w:sz w:val="22"/>
          <w:szCs w:val="22"/>
          <w:lang w:val="en-AU" w:eastAsia="en-AU"/>
        </w:rPr>
      </w:pPr>
      <w:r>
        <w:rPr>
          <w:noProof/>
        </w:rPr>
        <w:t>Table 5: Information in support of planned leave and ground access applications</w:t>
      </w:r>
      <w:r>
        <w:rPr>
          <w:noProof/>
        </w:rPr>
        <w:tab/>
      </w:r>
      <w:r>
        <w:rPr>
          <w:noProof/>
        </w:rPr>
        <w:fldChar w:fldCharType="begin"/>
      </w:r>
      <w:r>
        <w:rPr>
          <w:noProof/>
        </w:rPr>
        <w:instrText xml:space="preserve"> PAGEREF _Toc116484638 \h </w:instrText>
      </w:r>
      <w:r>
        <w:rPr>
          <w:noProof/>
        </w:rPr>
      </w:r>
      <w:r>
        <w:rPr>
          <w:noProof/>
        </w:rPr>
        <w:fldChar w:fldCharType="separate"/>
      </w:r>
      <w:r>
        <w:rPr>
          <w:noProof/>
        </w:rPr>
        <w:t>23</w:t>
      </w:r>
      <w:r>
        <w:rPr>
          <w:noProof/>
        </w:rPr>
        <w:fldChar w:fldCharType="end"/>
      </w:r>
    </w:p>
    <w:p w14:paraId="19C097F1" w14:textId="2A9ABF1E" w:rsidR="007A6F61" w:rsidRDefault="007A6F61">
      <w:pPr>
        <w:pStyle w:val="TOC3"/>
        <w:rPr>
          <w:rFonts w:asciiTheme="minorHAnsi" w:eastAsiaTheme="minorEastAsia" w:hAnsiTheme="minorHAnsi" w:cstheme="minorBidi"/>
          <w:noProof/>
          <w:sz w:val="22"/>
          <w:szCs w:val="22"/>
          <w:lang w:val="en-AU" w:eastAsia="en-AU"/>
        </w:rPr>
      </w:pPr>
      <w:r>
        <w:rPr>
          <w:noProof/>
        </w:rPr>
        <w:t>Table 6: Information in support of applications for medical and dental appointments</w:t>
      </w:r>
      <w:r>
        <w:rPr>
          <w:noProof/>
        </w:rPr>
        <w:tab/>
      </w:r>
      <w:r>
        <w:rPr>
          <w:noProof/>
        </w:rPr>
        <w:fldChar w:fldCharType="begin"/>
      </w:r>
      <w:r>
        <w:rPr>
          <w:noProof/>
        </w:rPr>
        <w:instrText xml:space="preserve"> PAGEREF _Toc116484639 \h </w:instrText>
      </w:r>
      <w:r>
        <w:rPr>
          <w:noProof/>
        </w:rPr>
      </w:r>
      <w:r>
        <w:rPr>
          <w:noProof/>
        </w:rPr>
        <w:fldChar w:fldCharType="separate"/>
      </w:r>
      <w:r>
        <w:rPr>
          <w:noProof/>
        </w:rPr>
        <w:t>25</w:t>
      </w:r>
      <w:r>
        <w:rPr>
          <w:noProof/>
        </w:rPr>
        <w:fldChar w:fldCharType="end"/>
      </w:r>
    </w:p>
    <w:p w14:paraId="0C91AF07" w14:textId="5C9101EC" w:rsidR="007A6F61" w:rsidRDefault="007A6F61">
      <w:pPr>
        <w:pStyle w:val="TOC3"/>
        <w:rPr>
          <w:rFonts w:asciiTheme="minorHAnsi" w:eastAsiaTheme="minorEastAsia" w:hAnsiTheme="minorHAnsi" w:cstheme="minorBidi"/>
          <w:noProof/>
          <w:sz w:val="22"/>
          <w:szCs w:val="22"/>
          <w:lang w:val="en-AU" w:eastAsia="en-AU"/>
        </w:rPr>
      </w:pPr>
      <w:r>
        <w:rPr>
          <w:noProof/>
        </w:rPr>
        <w:t>Table 7: Information in support of urgent admissions to hospital</w:t>
      </w:r>
      <w:r>
        <w:rPr>
          <w:noProof/>
        </w:rPr>
        <w:tab/>
      </w:r>
      <w:r>
        <w:rPr>
          <w:noProof/>
        </w:rPr>
        <w:fldChar w:fldCharType="begin"/>
      </w:r>
      <w:r>
        <w:rPr>
          <w:noProof/>
        </w:rPr>
        <w:instrText xml:space="preserve"> PAGEREF _Toc116484640 \h </w:instrText>
      </w:r>
      <w:r>
        <w:rPr>
          <w:noProof/>
        </w:rPr>
      </w:r>
      <w:r>
        <w:rPr>
          <w:noProof/>
        </w:rPr>
        <w:fldChar w:fldCharType="separate"/>
      </w:r>
      <w:r>
        <w:rPr>
          <w:noProof/>
        </w:rPr>
        <w:t>25</w:t>
      </w:r>
      <w:r>
        <w:rPr>
          <w:noProof/>
        </w:rPr>
        <w:fldChar w:fldCharType="end"/>
      </w:r>
    </w:p>
    <w:p w14:paraId="4BF4550B" w14:textId="63F2FD89" w:rsidR="007A6F61" w:rsidRDefault="007A6F61">
      <w:pPr>
        <w:pStyle w:val="TOC3"/>
        <w:rPr>
          <w:rFonts w:asciiTheme="minorHAnsi" w:eastAsiaTheme="minorEastAsia" w:hAnsiTheme="minorHAnsi" w:cstheme="minorBidi"/>
          <w:noProof/>
          <w:sz w:val="22"/>
          <w:szCs w:val="22"/>
          <w:lang w:val="en-AU" w:eastAsia="en-AU"/>
        </w:rPr>
      </w:pPr>
      <w:r>
        <w:rPr>
          <w:noProof/>
        </w:rPr>
        <w:t>Table 8: Information in support of applications for ministerial long leave</w:t>
      </w:r>
      <w:r>
        <w:rPr>
          <w:noProof/>
        </w:rPr>
        <w:tab/>
      </w:r>
      <w:r>
        <w:rPr>
          <w:noProof/>
        </w:rPr>
        <w:fldChar w:fldCharType="begin"/>
      </w:r>
      <w:r>
        <w:rPr>
          <w:noProof/>
        </w:rPr>
        <w:instrText xml:space="preserve"> PAGEREF _Toc116484641 \h </w:instrText>
      </w:r>
      <w:r>
        <w:rPr>
          <w:noProof/>
        </w:rPr>
      </w:r>
      <w:r>
        <w:rPr>
          <w:noProof/>
        </w:rPr>
        <w:fldChar w:fldCharType="separate"/>
      </w:r>
      <w:r>
        <w:rPr>
          <w:noProof/>
        </w:rPr>
        <w:t>31</w:t>
      </w:r>
      <w:r>
        <w:rPr>
          <w:noProof/>
        </w:rPr>
        <w:fldChar w:fldCharType="end"/>
      </w:r>
    </w:p>
    <w:p w14:paraId="776F54FE" w14:textId="6551EBA6" w:rsidR="007A6F61" w:rsidRDefault="007A6F61">
      <w:pPr>
        <w:pStyle w:val="TOC3"/>
        <w:rPr>
          <w:rFonts w:asciiTheme="minorHAnsi" w:eastAsiaTheme="minorEastAsia" w:hAnsiTheme="minorHAnsi" w:cstheme="minorBidi"/>
          <w:noProof/>
          <w:sz w:val="22"/>
          <w:szCs w:val="22"/>
          <w:lang w:val="en-AU" w:eastAsia="en-AU"/>
        </w:rPr>
      </w:pPr>
      <w:r>
        <w:rPr>
          <w:noProof/>
        </w:rPr>
        <w:t>Table 9: Information in support of extension of leave</w:t>
      </w:r>
      <w:r>
        <w:rPr>
          <w:noProof/>
        </w:rPr>
        <w:tab/>
      </w:r>
      <w:r>
        <w:rPr>
          <w:noProof/>
        </w:rPr>
        <w:fldChar w:fldCharType="begin"/>
      </w:r>
      <w:r>
        <w:rPr>
          <w:noProof/>
        </w:rPr>
        <w:instrText xml:space="preserve"> PAGEREF _Toc116484642 \h </w:instrText>
      </w:r>
      <w:r>
        <w:rPr>
          <w:noProof/>
        </w:rPr>
      </w:r>
      <w:r>
        <w:rPr>
          <w:noProof/>
        </w:rPr>
        <w:fldChar w:fldCharType="separate"/>
      </w:r>
      <w:r>
        <w:rPr>
          <w:noProof/>
        </w:rPr>
        <w:t>32</w:t>
      </w:r>
      <w:r>
        <w:rPr>
          <w:noProof/>
        </w:rPr>
        <w:fldChar w:fldCharType="end"/>
      </w:r>
    </w:p>
    <w:p w14:paraId="051C97DA" w14:textId="1104652C" w:rsidR="007A6F61" w:rsidRDefault="007A6F61">
      <w:pPr>
        <w:pStyle w:val="TOC3"/>
        <w:rPr>
          <w:rFonts w:asciiTheme="minorHAnsi" w:eastAsiaTheme="minorEastAsia" w:hAnsiTheme="minorHAnsi" w:cstheme="minorBidi"/>
          <w:noProof/>
          <w:sz w:val="22"/>
          <w:szCs w:val="22"/>
          <w:lang w:val="en-AU" w:eastAsia="en-AU"/>
        </w:rPr>
      </w:pPr>
      <w:r>
        <w:rPr>
          <w:noProof/>
        </w:rPr>
        <w:t>Table 10: Information to support cancellation of ministerial long leave</w:t>
      </w:r>
      <w:r>
        <w:rPr>
          <w:noProof/>
        </w:rPr>
        <w:tab/>
      </w:r>
      <w:r>
        <w:rPr>
          <w:noProof/>
        </w:rPr>
        <w:fldChar w:fldCharType="begin"/>
      </w:r>
      <w:r>
        <w:rPr>
          <w:noProof/>
        </w:rPr>
        <w:instrText xml:space="preserve"> PAGEREF _Toc116484643 \h </w:instrText>
      </w:r>
      <w:r>
        <w:rPr>
          <w:noProof/>
        </w:rPr>
      </w:r>
      <w:r>
        <w:rPr>
          <w:noProof/>
        </w:rPr>
        <w:fldChar w:fldCharType="separate"/>
      </w:r>
      <w:r>
        <w:rPr>
          <w:noProof/>
        </w:rPr>
        <w:t>33</w:t>
      </w:r>
      <w:r>
        <w:rPr>
          <w:noProof/>
        </w:rPr>
        <w:fldChar w:fldCharType="end"/>
      </w:r>
    </w:p>
    <w:p w14:paraId="34FA382C" w14:textId="0A2124CE" w:rsidR="007A6F61" w:rsidRDefault="007A6F61">
      <w:pPr>
        <w:pStyle w:val="TOC3"/>
        <w:rPr>
          <w:rFonts w:asciiTheme="minorHAnsi" w:eastAsiaTheme="minorEastAsia" w:hAnsiTheme="minorHAnsi" w:cstheme="minorBidi"/>
          <w:noProof/>
          <w:sz w:val="22"/>
          <w:szCs w:val="22"/>
          <w:lang w:val="en-AU" w:eastAsia="en-AU"/>
        </w:rPr>
      </w:pPr>
      <w:r>
        <w:rPr>
          <w:noProof/>
        </w:rPr>
        <w:t>Table 11: Information in support of a re-application for ministerial long leave following cancellation</w:t>
      </w:r>
      <w:r>
        <w:rPr>
          <w:noProof/>
        </w:rPr>
        <w:tab/>
      </w:r>
      <w:r>
        <w:rPr>
          <w:noProof/>
        </w:rPr>
        <w:fldChar w:fldCharType="begin"/>
      </w:r>
      <w:r>
        <w:rPr>
          <w:noProof/>
        </w:rPr>
        <w:instrText xml:space="preserve"> PAGEREF _Toc116484644 \h </w:instrText>
      </w:r>
      <w:r>
        <w:rPr>
          <w:noProof/>
        </w:rPr>
      </w:r>
      <w:r>
        <w:rPr>
          <w:noProof/>
        </w:rPr>
        <w:fldChar w:fldCharType="separate"/>
      </w:r>
      <w:r>
        <w:rPr>
          <w:noProof/>
        </w:rPr>
        <w:t>35</w:t>
      </w:r>
      <w:r>
        <w:rPr>
          <w:noProof/>
        </w:rPr>
        <w:fldChar w:fldCharType="end"/>
      </w:r>
    </w:p>
    <w:p w14:paraId="7E49CFBD" w14:textId="0B4181EF" w:rsidR="007A6F61" w:rsidRDefault="007A6F61">
      <w:pPr>
        <w:pStyle w:val="TOC3"/>
        <w:rPr>
          <w:rFonts w:asciiTheme="minorHAnsi" w:eastAsiaTheme="minorEastAsia" w:hAnsiTheme="minorHAnsi" w:cstheme="minorBidi"/>
          <w:noProof/>
          <w:sz w:val="22"/>
          <w:szCs w:val="22"/>
          <w:lang w:val="en-AU" w:eastAsia="en-AU"/>
        </w:rPr>
      </w:pPr>
      <w:r>
        <w:rPr>
          <w:noProof/>
        </w:rPr>
        <w:t>Table 12: Information to support a request for change of legal status (acquitted on account of insanity)</w:t>
      </w:r>
      <w:r>
        <w:rPr>
          <w:noProof/>
        </w:rPr>
        <w:tab/>
      </w:r>
      <w:r>
        <w:rPr>
          <w:noProof/>
        </w:rPr>
        <w:fldChar w:fldCharType="begin"/>
      </w:r>
      <w:r>
        <w:rPr>
          <w:noProof/>
        </w:rPr>
        <w:instrText xml:space="preserve"> PAGEREF _Toc116484645 \h </w:instrText>
      </w:r>
      <w:r>
        <w:rPr>
          <w:noProof/>
        </w:rPr>
      </w:r>
      <w:r>
        <w:rPr>
          <w:noProof/>
        </w:rPr>
        <w:fldChar w:fldCharType="separate"/>
      </w:r>
      <w:r>
        <w:rPr>
          <w:noProof/>
        </w:rPr>
        <w:t>38</w:t>
      </w:r>
      <w:r>
        <w:rPr>
          <w:noProof/>
        </w:rPr>
        <w:fldChar w:fldCharType="end"/>
      </w:r>
    </w:p>
    <w:p w14:paraId="70B38B1B" w14:textId="2C7FAF9A" w:rsidR="007A6F61" w:rsidRDefault="007A6F61">
      <w:pPr>
        <w:pStyle w:val="TOC3"/>
        <w:rPr>
          <w:rFonts w:asciiTheme="minorHAnsi" w:eastAsiaTheme="minorEastAsia" w:hAnsiTheme="minorHAnsi" w:cstheme="minorBidi"/>
          <w:noProof/>
          <w:sz w:val="22"/>
          <w:szCs w:val="22"/>
          <w:lang w:val="en-AU" w:eastAsia="en-AU"/>
        </w:rPr>
      </w:pPr>
      <w:r>
        <w:rPr>
          <w:noProof/>
        </w:rPr>
        <w:t>Table 13: Information to support a request for change of status for a special patient now fit to stand trial</w:t>
      </w:r>
      <w:r>
        <w:rPr>
          <w:noProof/>
        </w:rPr>
        <w:tab/>
      </w:r>
      <w:r>
        <w:rPr>
          <w:noProof/>
        </w:rPr>
        <w:fldChar w:fldCharType="begin"/>
      </w:r>
      <w:r>
        <w:rPr>
          <w:noProof/>
        </w:rPr>
        <w:instrText xml:space="preserve"> PAGEREF _Toc116484646 \h </w:instrText>
      </w:r>
      <w:r>
        <w:rPr>
          <w:noProof/>
        </w:rPr>
      </w:r>
      <w:r>
        <w:rPr>
          <w:noProof/>
        </w:rPr>
        <w:fldChar w:fldCharType="separate"/>
      </w:r>
      <w:r>
        <w:rPr>
          <w:noProof/>
        </w:rPr>
        <w:t>40</w:t>
      </w:r>
      <w:r>
        <w:rPr>
          <w:noProof/>
        </w:rPr>
        <w:fldChar w:fldCharType="end"/>
      </w:r>
    </w:p>
    <w:p w14:paraId="32EC77FB" w14:textId="78131EE8" w:rsidR="007A6F61" w:rsidRDefault="007A6F61">
      <w:pPr>
        <w:pStyle w:val="TOC3"/>
        <w:rPr>
          <w:rFonts w:asciiTheme="minorHAnsi" w:eastAsiaTheme="minorEastAsia" w:hAnsiTheme="minorHAnsi" w:cstheme="minorBidi"/>
          <w:noProof/>
          <w:sz w:val="22"/>
          <w:szCs w:val="22"/>
          <w:lang w:val="en-AU" w:eastAsia="en-AU"/>
        </w:rPr>
      </w:pPr>
      <w:r>
        <w:rPr>
          <w:noProof/>
        </w:rPr>
        <w:t>Table 14: Information to support a change of status for a special patient at the end of the maximum period of detention</w:t>
      </w:r>
      <w:r>
        <w:rPr>
          <w:noProof/>
        </w:rPr>
        <w:tab/>
      </w:r>
      <w:r>
        <w:rPr>
          <w:noProof/>
        </w:rPr>
        <w:fldChar w:fldCharType="begin"/>
      </w:r>
      <w:r>
        <w:rPr>
          <w:noProof/>
        </w:rPr>
        <w:instrText xml:space="preserve"> PAGEREF _Toc116484647 \h </w:instrText>
      </w:r>
      <w:r>
        <w:rPr>
          <w:noProof/>
        </w:rPr>
      </w:r>
      <w:r>
        <w:rPr>
          <w:noProof/>
        </w:rPr>
        <w:fldChar w:fldCharType="separate"/>
      </w:r>
      <w:r>
        <w:rPr>
          <w:noProof/>
        </w:rPr>
        <w:t>41</w:t>
      </w:r>
      <w:r>
        <w:rPr>
          <w:noProof/>
        </w:rPr>
        <w:fldChar w:fldCharType="end"/>
      </w:r>
    </w:p>
    <w:p w14:paraId="34C3A4B0" w14:textId="6AEF233A" w:rsidR="007A6F61" w:rsidRDefault="007A6F61">
      <w:pPr>
        <w:pStyle w:val="TOC3"/>
        <w:rPr>
          <w:rFonts w:asciiTheme="minorHAnsi" w:eastAsiaTheme="minorEastAsia" w:hAnsiTheme="minorHAnsi" w:cstheme="minorBidi"/>
          <w:noProof/>
          <w:sz w:val="22"/>
          <w:szCs w:val="22"/>
          <w:lang w:val="en-AU" w:eastAsia="en-AU"/>
        </w:rPr>
      </w:pPr>
      <w:r>
        <w:rPr>
          <w:noProof/>
        </w:rPr>
        <w:t>Table 15: Protocol for special patients and special care recipients approaching maximum detention dates</w:t>
      </w:r>
      <w:r>
        <w:rPr>
          <w:noProof/>
        </w:rPr>
        <w:tab/>
      </w:r>
      <w:r>
        <w:rPr>
          <w:noProof/>
        </w:rPr>
        <w:fldChar w:fldCharType="begin"/>
      </w:r>
      <w:r>
        <w:rPr>
          <w:noProof/>
        </w:rPr>
        <w:instrText xml:space="preserve"> PAGEREF _Toc116484648 \h </w:instrText>
      </w:r>
      <w:r>
        <w:rPr>
          <w:noProof/>
        </w:rPr>
      </w:r>
      <w:r>
        <w:rPr>
          <w:noProof/>
        </w:rPr>
        <w:fldChar w:fldCharType="separate"/>
      </w:r>
      <w:r>
        <w:rPr>
          <w:noProof/>
        </w:rPr>
        <w:t>42</w:t>
      </w:r>
      <w:r>
        <w:rPr>
          <w:noProof/>
        </w:rPr>
        <w:fldChar w:fldCharType="end"/>
      </w:r>
    </w:p>
    <w:p w14:paraId="5091B8DF" w14:textId="473BA85E" w:rsidR="007A6F61" w:rsidRDefault="007A6F61">
      <w:pPr>
        <w:pStyle w:val="TOC3"/>
        <w:rPr>
          <w:rFonts w:asciiTheme="minorHAnsi" w:eastAsiaTheme="minorEastAsia" w:hAnsiTheme="minorHAnsi" w:cstheme="minorBidi"/>
          <w:noProof/>
          <w:sz w:val="22"/>
          <w:szCs w:val="22"/>
          <w:lang w:val="en-AU" w:eastAsia="en-AU"/>
        </w:rPr>
      </w:pPr>
      <w:r>
        <w:rPr>
          <w:noProof/>
        </w:rPr>
        <w:t>Table 16: Information to support a request for change of status for a patient who is unfit to stand trial but who no longer needs to be detained as a special patient</w:t>
      </w:r>
      <w:r>
        <w:rPr>
          <w:noProof/>
        </w:rPr>
        <w:tab/>
      </w:r>
      <w:r>
        <w:rPr>
          <w:noProof/>
        </w:rPr>
        <w:fldChar w:fldCharType="begin"/>
      </w:r>
      <w:r>
        <w:rPr>
          <w:noProof/>
        </w:rPr>
        <w:instrText xml:space="preserve"> PAGEREF _Toc116484649 \h </w:instrText>
      </w:r>
      <w:r>
        <w:rPr>
          <w:noProof/>
        </w:rPr>
      </w:r>
      <w:r>
        <w:rPr>
          <w:noProof/>
        </w:rPr>
        <w:fldChar w:fldCharType="separate"/>
      </w:r>
      <w:r>
        <w:rPr>
          <w:noProof/>
        </w:rPr>
        <w:t>43</w:t>
      </w:r>
      <w:r>
        <w:rPr>
          <w:noProof/>
        </w:rPr>
        <w:fldChar w:fldCharType="end"/>
      </w:r>
    </w:p>
    <w:p w14:paraId="016E210D" w14:textId="05039F4A" w:rsidR="007A6F61" w:rsidRDefault="007A6F61">
      <w:pPr>
        <w:pStyle w:val="TOC3"/>
        <w:rPr>
          <w:rFonts w:asciiTheme="minorHAnsi" w:eastAsiaTheme="minorEastAsia" w:hAnsiTheme="minorHAnsi" w:cstheme="minorBidi"/>
          <w:noProof/>
          <w:sz w:val="22"/>
          <w:szCs w:val="22"/>
          <w:lang w:val="en-AU" w:eastAsia="en-AU"/>
        </w:rPr>
      </w:pPr>
      <w:r>
        <w:rPr>
          <w:noProof/>
        </w:rPr>
        <w:t>Table 17: Information to support an application for restricted patient status</w:t>
      </w:r>
      <w:r>
        <w:rPr>
          <w:noProof/>
        </w:rPr>
        <w:tab/>
      </w:r>
      <w:r>
        <w:rPr>
          <w:noProof/>
        </w:rPr>
        <w:fldChar w:fldCharType="begin"/>
      </w:r>
      <w:r>
        <w:rPr>
          <w:noProof/>
        </w:rPr>
        <w:instrText xml:space="preserve"> PAGEREF _Toc116484650 \h </w:instrText>
      </w:r>
      <w:r>
        <w:rPr>
          <w:noProof/>
        </w:rPr>
      </w:r>
      <w:r>
        <w:rPr>
          <w:noProof/>
        </w:rPr>
        <w:fldChar w:fldCharType="separate"/>
      </w:r>
      <w:r>
        <w:rPr>
          <w:noProof/>
        </w:rPr>
        <w:t>48</w:t>
      </w:r>
      <w:r>
        <w:rPr>
          <w:noProof/>
        </w:rPr>
        <w:fldChar w:fldCharType="end"/>
      </w:r>
    </w:p>
    <w:p w14:paraId="78F6A19F" w14:textId="6C983BE4" w:rsidR="007A6F61" w:rsidRDefault="007A6F61">
      <w:pPr>
        <w:pStyle w:val="TOC3"/>
        <w:rPr>
          <w:rFonts w:asciiTheme="minorHAnsi" w:eastAsiaTheme="minorEastAsia" w:hAnsiTheme="minorHAnsi" w:cstheme="minorBidi"/>
          <w:noProof/>
          <w:sz w:val="22"/>
          <w:szCs w:val="22"/>
          <w:lang w:val="en-AU" w:eastAsia="en-AU"/>
        </w:rPr>
      </w:pPr>
      <w:r>
        <w:rPr>
          <w:noProof/>
        </w:rPr>
        <w:t>Table 18: Information to support a change of status for a restricted patient who is fit to be released from compulsory treatment status</w:t>
      </w:r>
      <w:r>
        <w:rPr>
          <w:noProof/>
        </w:rPr>
        <w:tab/>
      </w:r>
      <w:r>
        <w:rPr>
          <w:noProof/>
        </w:rPr>
        <w:fldChar w:fldCharType="begin"/>
      </w:r>
      <w:r>
        <w:rPr>
          <w:noProof/>
        </w:rPr>
        <w:instrText xml:space="preserve"> PAGEREF _Toc116484651 \h </w:instrText>
      </w:r>
      <w:r>
        <w:rPr>
          <w:noProof/>
        </w:rPr>
      </w:r>
      <w:r>
        <w:rPr>
          <w:noProof/>
        </w:rPr>
        <w:fldChar w:fldCharType="separate"/>
      </w:r>
      <w:r>
        <w:rPr>
          <w:noProof/>
        </w:rPr>
        <w:t>51</w:t>
      </w:r>
      <w:r>
        <w:rPr>
          <w:noProof/>
        </w:rPr>
        <w:fldChar w:fldCharType="end"/>
      </w:r>
    </w:p>
    <w:p w14:paraId="28A34FEB" w14:textId="1F041CC2" w:rsidR="007A6F61" w:rsidRDefault="007A6F61">
      <w:pPr>
        <w:pStyle w:val="TOC3"/>
        <w:rPr>
          <w:rFonts w:asciiTheme="minorHAnsi" w:eastAsiaTheme="minorEastAsia" w:hAnsiTheme="minorHAnsi" w:cstheme="minorBidi"/>
          <w:noProof/>
          <w:sz w:val="22"/>
          <w:szCs w:val="22"/>
          <w:lang w:val="en-AU" w:eastAsia="en-AU"/>
        </w:rPr>
      </w:pPr>
      <w:r>
        <w:rPr>
          <w:noProof/>
        </w:rPr>
        <w:t>Table 19: Information to support a change of status for a patient who is not fit to be released from compulsory status, but who no longer needs to be a restricted patient</w:t>
      </w:r>
      <w:r>
        <w:rPr>
          <w:noProof/>
        </w:rPr>
        <w:tab/>
      </w:r>
      <w:r>
        <w:rPr>
          <w:noProof/>
        </w:rPr>
        <w:fldChar w:fldCharType="begin"/>
      </w:r>
      <w:r>
        <w:rPr>
          <w:noProof/>
        </w:rPr>
        <w:instrText xml:space="preserve"> PAGEREF _Toc116484652 \h </w:instrText>
      </w:r>
      <w:r>
        <w:rPr>
          <w:noProof/>
        </w:rPr>
      </w:r>
      <w:r>
        <w:rPr>
          <w:noProof/>
        </w:rPr>
        <w:fldChar w:fldCharType="separate"/>
      </w:r>
      <w:r>
        <w:rPr>
          <w:noProof/>
        </w:rPr>
        <w:t>52</w:t>
      </w:r>
      <w:r>
        <w:rPr>
          <w:noProof/>
        </w:rPr>
        <w:fldChar w:fldCharType="end"/>
      </w:r>
    </w:p>
    <w:p w14:paraId="1C3DB2D4" w14:textId="2355ABBE" w:rsidR="007A6F61" w:rsidRDefault="007A6F61">
      <w:pPr>
        <w:pStyle w:val="TOC3"/>
        <w:rPr>
          <w:rFonts w:asciiTheme="minorHAnsi" w:eastAsiaTheme="minorEastAsia" w:hAnsiTheme="minorHAnsi" w:cstheme="minorBidi"/>
          <w:noProof/>
          <w:sz w:val="22"/>
          <w:szCs w:val="22"/>
          <w:lang w:val="en-AU" w:eastAsia="en-AU"/>
        </w:rPr>
      </w:pPr>
      <w:r>
        <w:rPr>
          <w:noProof/>
        </w:rPr>
        <w:t>Table 20: Information to support a request for a patient to be returned to prison</w:t>
      </w:r>
      <w:r>
        <w:rPr>
          <w:noProof/>
        </w:rPr>
        <w:tab/>
      </w:r>
      <w:r>
        <w:rPr>
          <w:noProof/>
        </w:rPr>
        <w:fldChar w:fldCharType="begin"/>
      </w:r>
      <w:r>
        <w:rPr>
          <w:noProof/>
        </w:rPr>
        <w:instrText xml:space="preserve"> PAGEREF _Toc116484653 \h </w:instrText>
      </w:r>
      <w:r>
        <w:rPr>
          <w:noProof/>
        </w:rPr>
      </w:r>
      <w:r>
        <w:rPr>
          <w:noProof/>
        </w:rPr>
        <w:fldChar w:fldCharType="separate"/>
      </w:r>
      <w:r>
        <w:rPr>
          <w:noProof/>
        </w:rPr>
        <w:t>54</w:t>
      </w:r>
      <w:r>
        <w:rPr>
          <w:noProof/>
        </w:rPr>
        <w:fldChar w:fldCharType="end"/>
      </w:r>
    </w:p>
    <w:p w14:paraId="7E8774FD" w14:textId="06023B4C" w:rsidR="008A0B8F" w:rsidRDefault="00D3124A" w:rsidP="00025FEB">
      <w:pPr>
        <w:tabs>
          <w:tab w:val="right" w:pos="7655"/>
        </w:tabs>
        <w:spacing w:before="120"/>
        <w:ind w:right="424"/>
        <w:sectPr w:rsidR="008A0B8F" w:rsidSect="00D3124A">
          <w:pgSz w:w="11907" w:h="16840" w:code="9"/>
          <w:pgMar w:top="1418" w:right="1701" w:bottom="1134" w:left="1843" w:header="284" w:footer="425" w:gutter="284"/>
          <w:pgNumType w:fmt="lowerRoman"/>
          <w:cols w:space="720"/>
        </w:sectPr>
      </w:pPr>
      <w:r>
        <w:fldChar w:fldCharType="end"/>
      </w:r>
    </w:p>
    <w:p w14:paraId="2DE7E214" w14:textId="77777777" w:rsidR="00025FEB" w:rsidRPr="0043478F" w:rsidRDefault="00025FEB" w:rsidP="00025FEB">
      <w:pPr>
        <w:pStyle w:val="Heading1"/>
        <w:numPr>
          <w:ilvl w:val="0"/>
          <w:numId w:val="0"/>
        </w:numPr>
        <w:ind w:left="1134" w:hanging="1134"/>
        <w:rPr>
          <w:spacing w:val="0"/>
        </w:rPr>
      </w:pPr>
      <w:bookmarkStart w:id="4" w:name="_Toc61960267"/>
      <w:bookmarkStart w:id="5" w:name="_Toc63240798"/>
      <w:bookmarkStart w:id="6" w:name="_Toc112862036"/>
      <w:bookmarkStart w:id="7" w:name="_Toc116484577"/>
      <w:bookmarkStart w:id="8" w:name="_Hlk112947477"/>
      <w:bookmarkEnd w:id="4"/>
      <w:bookmarkEnd w:id="5"/>
      <w:r w:rsidRPr="00121607">
        <w:rPr>
          <w:spacing w:val="0"/>
        </w:rPr>
        <w:lastRenderedPageBreak/>
        <w:t>Introduction</w:t>
      </w:r>
      <w:bookmarkEnd w:id="6"/>
      <w:bookmarkEnd w:id="7"/>
    </w:p>
    <w:p w14:paraId="33D8D79B" w14:textId="77777777" w:rsidR="00025FEB" w:rsidRDefault="00025FEB" w:rsidP="00025FEB">
      <w:pPr>
        <w:pStyle w:val="Heading2"/>
        <w:numPr>
          <w:ilvl w:val="0"/>
          <w:numId w:val="0"/>
        </w:numPr>
        <w:ind w:left="1134" w:hanging="1134"/>
      </w:pPr>
      <w:bookmarkStart w:id="9" w:name="_Toc112862037"/>
      <w:bookmarkStart w:id="10" w:name="_Toc116484578"/>
      <w:r>
        <w:t>Definitions</w:t>
      </w:r>
      <w:bookmarkEnd w:id="9"/>
      <w:bookmarkEnd w:id="10"/>
    </w:p>
    <w:p w14:paraId="20D433F2" w14:textId="77777777" w:rsidR="00025FEB" w:rsidRDefault="00025FEB" w:rsidP="00025FEB">
      <w:pPr>
        <w:pStyle w:val="Heading3"/>
        <w:numPr>
          <w:ilvl w:val="0"/>
          <w:numId w:val="0"/>
        </w:numPr>
        <w:ind w:left="1134" w:hanging="1134"/>
      </w:pPr>
      <w:r>
        <w:t>Special patient</w:t>
      </w:r>
    </w:p>
    <w:p w14:paraId="07D98E34" w14:textId="77777777" w:rsidR="00025FEB" w:rsidRDefault="00025FEB" w:rsidP="00025FEB">
      <w:r>
        <w:t xml:space="preserve">The term ‘special patient’ refers to a person who is remanded to or detained in a hospital under specific legislative provisions. Table 1 sets out the </w:t>
      </w:r>
      <w:proofErr w:type="gramStart"/>
      <w:r>
        <w:t>most commonly used</w:t>
      </w:r>
      <w:proofErr w:type="gramEnd"/>
      <w:r>
        <w:t xml:space="preserve"> provisions in relation to special patients.</w:t>
      </w:r>
    </w:p>
    <w:p w14:paraId="403118B6" w14:textId="77777777" w:rsidR="00025FEB" w:rsidRDefault="00025FEB" w:rsidP="00025FEB"/>
    <w:p w14:paraId="368DE452" w14:textId="4BEC93B5" w:rsidR="00025FEB" w:rsidRPr="00121607" w:rsidRDefault="00025FEB" w:rsidP="00025FEB">
      <w:pPr>
        <w:pStyle w:val="Table"/>
      </w:pPr>
      <w:bookmarkStart w:id="11" w:name="_Toc112861574"/>
      <w:bookmarkStart w:id="12" w:name="_Toc116484634"/>
      <w:r w:rsidRPr="00121607">
        <w:t xml:space="preserve">Table </w:t>
      </w:r>
      <w:r>
        <w:fldChar w:fldCharType="begin"/>
      </w:r>
      <w:r>
        <w:instrText>SEQ Table \* ARABIC</w:instrText>
      </w:r>
      <w:r>
        <w:fldChar w:fldCharType="separate"/>
      </w:r>
      <w:r w:rsidR="00F25175">
        <w:rPr>
          <w:noProof/>
        </w:rPr>
        <w:t>1</w:t>
      </w:r>
      <w:r>
        <w:fldChar w:fldCharType="end"/>
      </w:r>
      <w:r w:rsidRPr="00121607">
        <w:t>: Common legislative provisions for detaining special patients</w:t>
      </w:r>
      <w:bookmarkEnd w:id="11"/>
      <w:bookmarkEnd w:id="12"/>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211"/>
        <w:gridCol w:w="5869"/>
      </w:tblGrid>
      <w:tr w:rsidR="00025FEB" w:rsidRPr="00DC20BD" w14:paraId="5FD03D32" w14:textId="77777777" w:rsidTr="00AD0359">
        <w:trPr>
          <w:cantSplit/>
        </w:trPr>
        <w:tc>
          <w:tcPr>
            <w:tcW w:w="8080" w:type="dxa"/>
            <w:gridSpan w:val="2"/>
            <w:tcBorders>
              <w:top w:val="nil"/>
              <w:bottom w:val="nil"/>
            </w:tcBorders>
            <w:shd w:val="clear" w:color="auto" w:fill="D9D9D9" w:themeFill="background1" w:themeFillShade="D9"/>
          </w:tcPr>
          <w:p w14:paraId="7C7CEE55" w14:textId="77777777" w:rsidR="00025FEB" w:rsidRPr="00DC20BD" w:rsidRDefault="00025FEB" w:rsidP="00AD0359">
            <w:pPr>
              <w:pStyle w:val="TableText"/>
              <w:keepNext/>
              <w:rPr>
                <w:b/>
              </w:rPr>
            </w:pPr>
            <w:r w:rsidRPr="00121607">
              <w:rPr>
                <w:b/>
              </w:rPr>
              <w:t>Criminal Procedure (Mentally Impaired Persons) Act 2003</w:t>
            </w:r>
          </w:p>
        </w:tc>
      </w:tr>
      <w:tr w:rsidR="00025FEB" w:rsidRPr="00DC20BD" w14:paraId="0D40C22B" w14:textId="77777777" w:rsidTr="00AD0359">
        <w:trPr>
          <w:cantSplit/>
        </w:trPr>
        <w:tc>
          <w:tcPr>
            <w:tcW w:w="2211" w:type="dxa"/>
            <w:tcBorders>
              <w:top w:val="nil"/>
              <w:bottom w:val="single" w:sz="4" w:space="0" w:color="A6A6A6" w:themeColor="background1" w:themeShade="A6"/>
            </w:tcBorders>
          </w:tcPr>
          <w:p w14:paraId="52C88CFE" w14:textId="77777777" w:rsidR="00025FEB" w:rsidRPr="00DC20BD" w:rsidRDefault="00025FEB" w:rsidP="00AD0359">
            <w:pPr>
              <w:pStyle w:val="TableText"/>
              <w:keepNext/>
            </w:pPr>
            <w:r w:rsidRPr="00D85A4F">
              <w:t>Section 24(2)(a)</w:t>
            </w:r>
          </w:p>
        </w:tc>
        <w:tc>
          <w:tcPr>
            <w:tcW w:w="5869" w:type="dxa"/>
            <w:tcBorders>
              <w:top w:val="nil"/>
              <w:bottom w:val="single" w:sz="4" w:space="0" w:color="A6A6A6" w:themeColor="background1" w:themeShade="A6"/>
            </w:tcBorders>
          </w:tcPr>
          <w:p w14:paraId="72D5C057" w14:textId="77777777" w:rsidR="00025FEB" w:rsidRPr="00DC20BD" w:rsidRDefault="00025FEB" w:rsidP="00AD0359">
            <w:pPr>
              <w:pStyle w:val="TableText"/>
              <w:keepNext/>
              <w:tabs>
                <w:tab w:val="decimal" w:pos="1644"/>
              </w:tabs>
              <w:rPr>
                <w:rFonts w:eastAsia="Lucida Sans Unicode" w:hAnsi="Lucida Sans Unicode" w:cs="Lucida Sans Unicode"/>
              </w:rPr>
            </w:pPr>
            <w:r w:rsidRPr="00D85A4F">
              <w:t>Persons found unfit to stand trial and made a special patient</w:t>
            </w:r>
          </w:p>
        </w:tc>
      </w:tr>
      <w:tr w:rsidR="00025FEB" w:rsidRPr="00DC20BD" w14:paraId="5D9659DA" w14:textId="77777777" w:rsidTr="00AD0359">
        <w:trPr>
          <w:cantSplit/>
        </w:trPr>
        <w:tc>
          <w:tcPr>
            <w:tcW w:w="2211" w:type="dxa"/>
          </w:tcPr>
          <w:p w14:paraId="0865A924" w14:textId="77777777" w:rsidR="00025FEB" w:rsidRPr="00DC20BD" w:rsidRDefault="00025FEB" w:rsidP="00AD0359">
            <w:pPr>
              <w:pStyle w:val="TableText"/>
            </w:pPr>
            <w:r w:rsidRPr="00D85A4F">
              <w:t>Section 24(2)(a)</w:t>
            </w:r>
          </w:p>
        </w:tc>
        <w:tc>
          <w:tcPr>
            <w:tcW w:w="5869" w:type="dxa"/>
          </w:tcPr>
          <w:p w14:paraId="3F16826D" w14:textId="77777777" w:rsidR="00025FEB" w:rsidRPr="00DC20BD" w:rsidRDefault="00025FEB" w:rsidP="00AD0359">
            <w:pPr>
              <w:pStyle w:val="TableText"/>
              <w:tabs>
                <w:tab w:val="decimal" w:pos="1644"/>
              </w:tabs>
              <w:rPr>
                <w:rFonts w:eastAsia="Lucida Sans Unicode" w:hAnsi="Lucida Sans Unicode" w:cs="Lucida Sans Unicode"/>
              </w:rPr>
            </w:pPr>
            <w:r w:rsidRPr="00D85A4F">
              <w:t xml:space="preserve">Persons </w:t>
            </w:r>
            <w:bookmarkStart w:id="13" w:name="_Hlk78836231"/>
            <w:r w:rsidRPr="00D85A4F">
              <w:t xml:space="preserve">acquitted </w:t>
            </w:r>
            <w:r>
              <w:t xml:space="preserve">on account </w:t>
            </w:r>
            <w:r w:rsidRPr="00D85A4F">
              <w:t>of insanity</w:t>
            </w:r>
            <w:bookmarkEnd w:id="13"/>
            <w:r w:rsidRPr="00D85A4F">
              <w:t xml:space="preserve"> and made a special patient</w:t>
            </w:r>
          </w:p>
        </w:tc>
      </w:tr>
      <w:tr w:rsidR="00025FEB" w:rsidRPr="00DC20BD" w14:paraId="25CBA0B0" w14:textId="77777777" w:rsidTr="00AD0359">
        <w:trPr>
          <w:cantSplit/>
        </w:trPr>
        <w:tc>
          <w:tcPr>
            <w:tcW w:w="2211" w:type="dxa"/>
          </w:tcPr>
          <w:p w14:paraId="6C01DA42" w14:textId="77777777" w:rsidR="00025FEB" w:rsidRPr="00DC20BD" w:rsidRDefault="00025FEB" w:rsidP="00AD0359">
            <w:pPr>
              <w:pStyle w:val="TableText"/>
            </w:pPr>
            <w:r w:rsidRPr="00D85A4F">
              <w:t>Section 34(1)(a)(</w:t>
            </w:r>
            <w:proofErr w:type="spellStart"/>
            <w:r w:rsidRPr="00D85A4F">
              <w:t>i</w:t>
            </w:r>
            <w:proofErr w:type="spellEnd"/>
            <w:r w:rsidRPr="00D85A4F">
              <w:t>)</w:t>
            </w:r>
          </w:p>
        </w:tc>
        <w:tc>
          <w:tcPr>
            <w:tcW w:w="5869" w:type="dxa"/>
          </w:tcPr>
          <w:p w14:paraId="1E1EFC8E" w14:textId="77777777" w:rsidR="00025FEB" w:rsidRPr="00DC20BD" w:rsidRDefault="00025FEB" w:rsidP="00AD0359">
            <w:pPr>
              <w:pStyle w:val="TableText"/>
              <w:tabs>
                <w:tab w:val="decimal" w:pos="1644"/>
              </w:tabs>
              <w:rPr>
                <w:rFonts w:eastAsia="Lucida Sans Unicode" w:hAnsi="Lucida Sans Unicode" w:cs="Lucida Sans Unicode"/>
              </w:rPr>
            </w:pPr>
            <w:r w:rsidRPr="00D85A4F">
              <w:t>Persons sentenced to a term of imprisonment and detained as a special patient</w:t>
            </w:r>
          </w:p>
        </w:tc>
      </w:tr>
      <w:tr w:rsidR="00025FEB" w:rsidRPr="00DC20BD" w14:paraId="0ECE8443" w14:textId="77777777" w:rsidTr="00AD0359">
        <w:trPr>
          <w:cantSplit/>
        </w:trPr>
        <w:tc>
          <w:tcPr>
            <w:tcW w:w="2211" w:type="dxa"/>
          </w:tcPr>
          <w:p w14:paraId="0FE05642" w14:textId="77777777" w:rsidR="00025FEB" w:rsidRPr="00DC20BD" w:rsidRDefault="00025FEB" w:rsidP="00AD0359">
            <w:pPr>
              <w:pStyle w:val="TableText"/>
              <w:rPr>
                <w:rFonts w:eastAsia="Lucida Sans Unicode"/>
                <w:b/>
              </w:rPr>
            </w:pPr>
            <w:r w:rsidRPr="00D85A4F">
              <w:t>Section 35</w:t>
            </w:r>
          </w:p>
        </w:tc>
        <w:tc>
          <w:tcPr>
            <w:tcW w:w="5869" w:type="dxa"/>
          </w:tcPr>
          <w:p w14:paraId="2C59DF0B" w14:textId="77777777" w:rsidR="00025FEB" w:rsidRPr="00DC20BD" w:rsidRDefault="00025FEB" w:rsidP="00AD0359">
            <w:pPr>
              <w:pStyle w:val="TableText"/>
              <w:tabs>
                <w:tab w:val="decimal" w:pos="1644"/>
              </w:tabs>
              <w:rPr>
                <w:rFonts w:eastAsia="Lucida Sans Unicode"/>
                <w:b/>
              </w:rPr>
            </w:pPr>
            <w:r w:rsidRPr="00D85A4F">
              <w:t>In</w:t>
            </w:r>
            <w:r w:rsidRPr="007C04ED">
              <w:t>quiries</w:t>
            </w:r>
            <w:r w:rsidRPr="00D85A4F">
              <w:t xml:space="preserve"> about a person in respect of whom the court has proposed to make an order under section 34 </w:t>
            </w:r>
          </w:p>
        </w:tc>
      </w:tr>
      <w:tr w:rsidR="00025FEB" w:rsidRPr="00DC20BD" w14:paraId="1378EDA3" w14:textId="77777777" w:rsidTr="00AD0359">
        <w:trPr>
          <w:cantSplit/>
        </w:trPr>
        <w:tc>
          <w:tcPr>
            <w:tcW w:w="2211" w:type="dxa"/>
          </w:tcPr>
          <w:p w14:paraId="23B4BAF5" w14:textId="77777777" w:rsidR="00025FEB" w:rsidRPr="00DC20BD" w:rsidRDefault="00025FEB" w:rsidP="00AD0359">
            <w:pPr>
              <w:pStyle w:val="TableText"/>
              <w:rPr>
                <w:rFonts w:eastAsia="Lucida Sans Unicode"/>
                <w:b/>
              </w:rPr>
            </w:pPr>
            <w:r w:rsidRPr="00D85A4F">
              <w:t>Section 38(</w:t>
            </w:r>
            <w:proofErr w:type="gramStart"/>
            <w:r w:rsidRPr="00D85A4F">
              <w:t>2)(</w:t>
            </w:r>
            <w:proofErr w:type="gramEnd"/>
            <w:r w:rsidRPr="00D85A4F">
              <w:t>c )</w:t>
            </w:r>
          </w:p>
        </w:tc>
        <w:tc>
          <w:tcPr>
            <w:tcW w:w="5869" w:type="dxa"/>
          </w:tcPr>
          <w:p w14:paraId="677520D1" w14:textId="77777777" w:rsidR="00025FEB" w:rsidRPr="00DC20BD" w:rsidRDefault="00025FEB" w:rsidP="00AD0359">
            <w:pPr>
              <w:pStyle w:val="TableText"/>
              <w:tabs>
                <w:tab w:val="decimal" w:pos="1644"/>
              </w:tabs>
              <w:rPr>
                <w:rFonts w:eastAsia="Lucida Sans Unicode"/>
                <w:b/>
              </w:rPr>
            </w:pPr>
            <w:r w:rsidRPr="00D85A4F">
              <w:t>Persons remanded for the purpose of an assessment report</w:t>
            </w:r>
          </w:p>
        </w:tc>
      </w:tr>
      <w:tr w:rsidR="00025FEB" w:rsidRPr="00DC20BD" w14:paraId="0C03F215" w14:textId="77777777" w:rsidTr="00AD0359">
        <w:trPr>
          <w:cantSplit/>
        </w:trPr>
        <w:tc>
          <w:tcPr>
            <w:tcW w:w="2211" w:type="dxa"/>
          </w:tcPr>
          <w:p w14:paraId="2141356C" w14:textId="77777777" w:rsidR="00025FEB" w:rsidRPr="00DC20BD" w:rsidRDefault="00025FEB" w:rsidP="00AD0359">
            <w:pPr>
              <w:pStyle w:val="TableText"/>
              <w:rPr>
                <w:rFonts w:eastAsia="Lucida Sans Unicode"/>
                <w:b/>
              </w:rPr>
            </w:pPr>
            <w:r w:rsidRPr="00D85A4F">
              <w:t>Section 44(1)</w:t>
            </w:r>
          </w:p>
        </w:tc>
        <w:tc>
          <w:tcPr>
            <w:tcW w:w="5869" w:type="dxa"/>
          </w:tcPr>
          <w:p w14:paraId="5DAB3458" w14:textId="77777777" w:rsidR="00025FEB" w:rsidRPr="00DC20BD" w:rsidRDefault="00025FEB" w:rsidP="00AD0359">
            <w:pPr>
              <w:pStyle w:val="TableText"/>
              <w:tabs>
                <w:tab w:val="decimal" w:pos="1644"/>
              </w:tabs>
              <w:rPr>
                <w:rFonts w:eastAsia="Lucida Sans Unicode"/>
                <w:b/>
              </w:rPr>
            </w:pPr>
            <w:r w:rsidRPr="00D85A4F">
              <w:t>Persons remanded pending a hearing or trial</w:t>
            </w:r>
          </w:p>
        </w:tc>
      </w:tr>
      <w:tr w:rsidR="00025FEB" w:rsidRPr="00DC20BD" w14:paraId="15A57434" w14:textId="77777777" w:rsidTr="00AD0359">
        <w:trPr>
          <w:cantSplit/>
        </w:trPr>
        <w:tc>
          <w:tcPr>
            <w:tcW w:w="2211" w:type="dxa"/>
          </w:tcPr>
          <w:p w14:paraId="0E6AC881" w14:textId="77777777" w:rsidR="00025FEB" w:rsidRPr="00DC20BD" w:rsidRDefault="00025FEB" w:rsidP="00AD0359">
            <w:pPr>
              <w:pStyle w:val="TableText"/>
              <w:rPr>
                <w:rFonts w:eastAsia="Lucida Sans Unicode"/>
                <w:b/>
              </w:rPr>
            </w:pPr>
            <w:r w:rsidRPr="00D85A4F">
              <w:t>Section 23</w:t>
            </w:r>
          </w:p>
        </w:tc>
        <w:tc>
          <w:tcPr>
            <w:tcW w:w="5869" w:type="dxa"/>
          </w:tcPr>
          <w:p w14:paraId="319AAB2C" w14:textId="77777777" w:rsidR="00025FEB" w:rsidRPr="00DC20BD" w:rsidRDefault="00025FEB" w:rsidP="00AD0359">
            <w:pPr>
              <w:pStyle w:val="TableText"/>
              <w:tabs>
                <w:tab w:val="decimal" w:pos="1644"/>
              </w:tabs>
              <w:rPr>
                <w:rFonts w:eastAsia="Lucida Sans Unicode"/>
                <w:b/>
              </w:rPr>
            </w:pPr>
            <w:r w:rsidRPr="00D85A4F">
              <w:t>Persons found unfit to stand trial or acquitted on account of their insanity</w:t>
            </w:r>
            <w:r>
              <w:t>,</w:t>
            </w:r>
            <w:r w:rsidRPr="00D85A4F">
              <w:t xml:space="preserve"> remanded while inquiries are made to determine the most suitable method of dealing with the person </w:t>
            </w:r>
          </w:p>
        </w:tc>
      </w:tr>
      <w:tr w:rsidR="00025FEB" w:rsidRPr="00DC20BD" w14:paraId="301A074F" w14:textId="77777777" w:rsidTr="00AD0359">
        <w:trPr>
          <w:cantSplit/>
        </w:trPr>
        <w:tc>
          <w:tcPr>
            <w:tcW w:w="8080" w:type="dxa"/>
            <w:gridSpan w:val="2"/>
            <w:shd w:val="clear" w:color="auto" w:fill="D9D9D9" w:themeFill="background1" w:themeFillShade="D9"/>
          </w:tcPr>
          <w:p w14:paraId="0767B1BB" w14:textId="77777777" w:rsidR="00025FEB" w:rsidRPr="00DC20BD" w:rsidRDefault="00025FEB" w:rsidP="00AD0359">
            <w:pPr>
              <w:pStyle w:val="TableText"/>
              <w:tabs>
                <w:tab w:val="decimal" w:pos="1644"/>
              </w:tabs>
              <w:rPr>
                <w:rFonts w:eastAsia="Lucida Sans Unicode"/>
                <w:b/>
              </w:rPr>
            </w:pPr>
            <w:r w:rsidRPr="00121607">
              <w:rPr>
                <w:rFonts w:eastAsia="Lucida Sans Unicode"/>
                <w:b/>
              </w:rPr>
              <w:t>Mental Health (Compulsory Assessment and Treatment) Act 1992 Mental Health Act</w:t>
            </w:r>
          </w:p>
        </w:tc>
      </w:tr>
      <w:tr w:rsidR="00025FEB" w:rsidRPr="00DC20BD" w14:paraId="77D02628" w14:textId="77777777" w:rsidTr="00AD0359">
        <w:trPr>
          <w:cantSplit/>
        </w:trPr>
        <w:tc>
          <w:tcPr>
            <w:tcW w:w="2211" w:type="dxa"/>
          </w:tcPr>
          <w:p w14:paraId="71973A43" w14:textId="77777777" w:rsidR="00025FEB" w:rsidRPr="00DC20BD" w:rsidRDefault="00025FEB" w:rsidP="00AD0359">
            <w:pPr>
              <w:pStyle w:val="TableText"/>
              <w:rPr>
                <w:rFonts w:eastAsia="Lucida Sans Unicode"/>
                <w:b/>
              </w:rPr>
            </w:pPr>
            <w:r w:rsidRPr="00D85A4F">
              <w:t>Section 45</w:t>
            </w:r>
          </w:p>
        </w:tc>
        <w:tc>
          <w:tcPr>
            <w:tcW w:w="5869" w:type="dxa"/>
          </w:tcPr>
          <w:p w14:paraId="51A31101" w14:textId="77777777" w:rsidR="00025FEB" w:rsidRPr="00DC20BD" w:rsidRDefault="00025FEB" w:rsidP="00AD0359">
            <w:pPr>
              <w:pStyle w:val="TableText"/>
              <w:tabs>
                <w:tab w:val="decimal" w:pos="1644"/>
              </w:tabs>
              <w:rPr>
                <w:rFonts w:eastAsia="Lucida Sans Unicode"/>
                <w:b/>
              </w:rPr>
            </w:pPr>
            <w:r w:rsidRPr="00D85A4F">
              <w:t>Remand or sentenced prisoners who require compulsory assessment and treatment for a mental disorder</w:t>
            </w:r>
          </w:p>
        </w:tc>
      </w:tr>
      <w:tr w:rsidR="00025FEB" w:rsidRPr="00DC20BD" w14:paraId="4C654A8E" w14:textId="77777777" w:rsidTr="00AD0359">
        <w:trPr>
          <w:cantSplit/>
        </w:trPr>
        <w:tc>
          <w:tcPr>
            <w:tcW w:w="2211" w:type="dxa"/>
          </w:tcPr>
          <w:p w14:paraId="0754C1B9" w14:textId="77777777" w:rsidR="00025FEB" w:rsidRPr="00DC20BD" w:rsidRDefault="00025FEB" w:rsidP="00AD0359">
            <w:pPr>
              <w:pStyle w:val="TableText"/>
              <w:rPr>
                <w:rFonts w:eastAsia="Lucida Sans Unicode"/>
                <w:b/>
              </w:rPr>
            </w:pPr>
            <w:r w:rsidRPr="00D85A4F">
              <w:t>Section 46</w:t>
            </w:r>
          </w:p>
        </w:tc>
        <w:tc>
          <w:tcPr>
            <w:tcW w:w="5869" w:type="dxa"/>
          </w:tcPr>
          <w:p w14:paraId="59988CFA" w14:textId="77777777" w:rsidR="00025FEB" w:rsidRPr="00DC20BD" w:rsidRDefault="00025FEB" w:rsidP="00AD0359">
            <w:pPr>
              <w:pStyle w:val="TableText"/>
              <w:tabs>
                <w:tab w:val="decimal" w:pos="1644"/>
              </w:tabs>
              <w:rPr>
                <w:rFonts w:eastAsia="Lucida Sans Unicode"/>
                <w:b/>
              </w:rPr>
            </w:pPr>
            <w:r w:rsidRPr="00D85A4F">
              <w:t>Remand or sentenced prisoners who are voluntarily admitted for treatment for a mental disorder</w:t>
            </w:r>
          </w:p>
        </w:tc>
      </w:tr>
    </w:tbl>
    <w:p w14:paraId="64EA0D77" w14:textId="77777777" w:rsidR="00025FEB" w:rsidRDefault="00025FEB" w:rsidP="00025FEB">
      <w:pPr>
        <w:pStyle w:val="Heading3"/>
        <w:numPr>
          <w:ilvl w:val="0"/>
          <w:numId w:val="0"/>
        </w:numPr>
        <w:ind w:left="1134" w:hanging="1134"/>
      </w:pPr>
      <w:r>
        <w:t>Restricted patient</w:t>
      </w:r>
    </w:p>
    <w:p w14:paraId="02136CF2" w14:textId="77777777" w:rsidR="00025FEB" w:rsidRDefault="00025FEB" w:rsidP="00025FEB">
      <w:r>
        <w:t>Restricted patients are patients who are declared to be restricted patients by the court in an order under section 55 of the Mental Health (Compulsory Assessment and Treatment) Act 1992 (Mental Health Act). Such orders may be made where the court is satisfied that a patient presents special difficulties because of the danger they pose to others.</w:t>
      </w:r>
    </w:p>
    <w:p w14:paraId="3E4723CE" w14:textId="77777777" w:rsidR="00025FEB" w:rsidRDefault="00025FEB" w:rsidP="00025FEB"/>
    <w:p w14:paraId="4A356FE7" w14:textId="77777777" w:rsidR="00025FEB" w:rsidRDefault="00025FEB" w:rsidP="00025FEB">
      <w:r>
        <w:t>Restricted patients are generally subject to the same leave provisions as those applying to special patients. These guidelines use the term ‘special patient’; other than where specifically stated, this should be read as also applying to restricted patients.</w:t>
      </w:r>
    </w:p>
    <w:p w14:paraId="7F12C822" w14:textId="77777777" w:rsidR="00025FEB" w:rsidRDefault="00025FEB" w:rsidP="00025FEB">
      <w:pPr>
        <w:pStyle w:val="Heading2"/>
        <w:numPr>
          <w:ilvl w:val="0"/>
          <w:numId w:val="0"/>
        </w:numPr>
        <w:ind w:left="1134" w:hanging="1134"/>
      </w:pPr>
      <w:bookmarkStart w:id="14" w:name="_Toc112862038"/>
      <w:bookmarkStart w:id="15" w:name="_Toc116484579"/>
      <w:r>
        <w:lastRenderedPageBreak/>
        <w:t>Purpose of the guidelines</w:t>
      </w:r>
      <w:bookmarkEnd w:id="14"/>
      <w:bookmarkEnd w:id="15"/>
    </w:p>
    <w:p w14:paraId="0E94AAAE" w14:textId="77777777" w:rsidR="00025FEB" w:rsidRDefault="00025FEB" w:rsidP="00025FEB">
      <w:r>
        <w:t>The Ministry of Health intends that these guidelines will support regional forensic mental health services (RFMHSs) to work effectively with the Office of the Director of Mental Health (Office of the Director). Within these guidelines, the Director of Mental Health (the Director) provides guidance on what is expected from forensic services in support of applications for special patient leave (including medical and dental appointments) and transfer, and recommendations for change of legal status.</w:t>
      </w:r>
    </w:p>
    <w:p w14:paraId="78647F18" w14:textId="77777777" w:rsidR="00025FEB" w:rsidRDefault="00025FEB" w:rsidP="00025FEB"/>
    <w:p w14:paraId="426CAA2A" w14:textId="77777777" w:rsidR="00025FEB" w:rsidRDefault="00025FEB" w:rsidP="00025FEB">
      <w:proofErr w:type="gramStart"/>
      <w:r>
        <w:t>In particular, these</w:t>
      </w:r>
      <w:proofErr w:type="gramEnd"/>
      <w:r>
        <w:t xml:space="preserve"> guidelines aim to:</w:t>
      </w:r>
    </w:p>
    <w:p w14:paraId="5DC8DD34" w14:textId="77777777" w:rsidR="00025FEB" w:rsidRDefault="00025FEB" w:rsidP="00025FEB">
      <w:pPr>
        <w:pStyle w:val="Bullet"/>
        <w:tabs>
          <w:tab w:val="clear" w:pos="284"/>
        </w:tabs>
      </w:pPr>
      <w:r>
        <w:t xml:space="preserve">minimise the risk of harm from forensic patients who are special patients as defined under the Mental Health Act </w:t>
      </w:r>
    </w:p>
    <w:p w14:paraId="7DDB0CD2" w14:textId="77777777" w:rsidR="00025FEB" w:rsidRDefault="00025FEB" w:rsidP="00025FEB">
      <w:pPr>
        <w:pStyle w:val="Bullet"/>
        <w:tabs>
          <w:tab w:val="clear" w:pos="284"/>
        </w:tabs>
      </w:pPr>
      <w:r>
        <w:t>support the care and rehabilitation of special patients</w:t>
      </w:r>
    </w:p>
    <w:p w14:paraId="5787DAEF" w14:textId="77777777" w:rsidR="00025FEB" w:rsidRDefault="00025FEB" w:rsidP="00025FEB">
      <w:pPr>
        <w:pStyle w:val="Bullet"/>
        <w:tabs>
          <w:tab w:val="clear" w:pos="284"/>
        </w:tabs>
      </w:pPr>
      <w:r>
        <w:t xml:space="preserve">describe the process for requests from RFMHSs relating to special patient movements </w:t>
      </w:r>
    </w:p>
    <w:p w14:paraId="11E6EC67" w14:textId="77777777" w:rsidR="00025FEB" w:rsidRDefault="00025FEB" w:rsidP="00025FEB">
      <w:pPr>
        <w:pStyle w:val="Bullet"/>
        <w:tabs>
          <w:tab w:val="clear" w:pos="284"/>
        </w:tabs>
      </w:pPr>
      <w:r>
        <w:t>provide transparency on the processes to be undertaken when seeking leave or considering a change of status for special patients.</w:t>
      </w:r>
    </w:p>
    <w:p w14:paraId="6307DC45" w14:textId="77777777" w:rsidR="00025FEB" w:rsidRDefault="00025FEB" w:rsidP="00025FEB">
      <w:pPr>
        <w:pStyle w:val="Heading2"/>
        <w:numPr>
          <w:ilvl w:val="0"/>
          <w:numId w:val="0"/>
        </w:numPr>
        <w:ind w:left="1134" w:hanging="1134"/>
      </w:pPr>
      <w:bookmarkStart w:id="16" w:name="_Toc112862039"/>
      <w:bookmarkStart w:id="17" w:name="_Toc116484580"/>
      <w:r>
        <w:t>Context</w:t>
      </w:r>
      <w:bookmarkEnd w:id="16"/>
      <w:bookmarkEnd w:id="17"/>
    </w:p>
    <w:p w14:paraId="3F9A2D64" w14:textId="77777777" w:rsidR="00025FEB" w:rsidRDefault="00025FEB" w:rsidP="00025FEB">
      <w:r>
        <w:t>The guidelines should be read within the context of the following legislation:</w:t>
      </w:r>
    </w:p>
    <w:p w14:paraId="18CC2581" w14:textId="77777777" w:rsidR="00025FEB" w:rsidRDefault="00025FEB" w:rsidP="00025FEB">
      <w:pPr>
        <w:pStyle w:val="Bullet"/>
        <w:tabs>
          <w:tab w:val="clear" w:pos="284"/>
        </w:tabs>
      </w:pPr>
      <w:r>
        <w:t>Mental Health Act</w:t>
      </w:r>
    </w:p>
    <w:p w14:paraId="6AC786F9" w14:textId="77777777" w:rsidR="00025FEB" w:rsidRDefault="00025FEB" w:rsidP="00025FEB">
      <w:pPr>
        <w:pStyle w:val="Bullet"/>
        <w:tabs>
          <w:tab w:val="clear" w:pos="284"/>
        </w:tabs>
      </w:pPr>
      <w:r>
        <w:t>Criminal Procedure (Mentally Impaired Persons) Act 2003 (CP(MIP) Act).</w:t>
      </w:r>
    </w:p>
    <w:p w14:paraId="0391F8BE" w14:textId="77777777" w:rsidR="00025FEB" w:rsidRDefault="00025FEB" w:rsidP="00025FEB"/>
    <w:p w14:paraId="12005549" w14:textId="77777777" w:rsidR="00025FEB" w:rsidRDefault="00025FEB" w:rsidP="00025FEB">
      <w:r>
        <w:t xml:space="preserve">These guidelines complement the following guidelines, accessible from the Ministry of Health’s webpage ‘The Mental Health Act – guidelines and resources’ (Ministry of Health 2020c):  </w:t>
      </w:r>
    </w:p>
    <w:p w14:paraId="31D49734" w14:textId="77777777" w:rsidR="00025FEB" w:rsidRDefault="00025FEB" w:rsidP="00025FEB">
      <w:pPr>
        <w:pStyle w:val="Bullet"/>
        <w:tabs>
          <w:tab w:val="clear" w:pos="284"/>
        </w:tabs>
      </w:pPr>
      <w:r w:rsidRPr="00EE6EE1">
        <w:rPr>
          <w:i/>
          <w:iCs/>
        </w:rPr>
        <w:t>Guidelines to the Mental Health (Compulsory Assessment and Treatment) Act 1992</w:t>
      </w:r>
      <w:r>
        <w:t xml:space="preserve"> (Ministry of Health 2020a)</w:t>
      </w:r>
    </w:p>
    <w:p w14:paraId="43B97CE2" w14:textId="78992D34" w:rsidR="00025FEB" w:rsidRDefault="7CB9D73B" w:rsidP="00025FEB">
      <w:pPr>
        <w:pStyle w:val="Bullet"/>
        <w:tabs>
          <w:tab w:val="clear" w:pos="284"/>
        </w:tabs>
      </w:pPr>
      <w:r w:rsidRPr="7CB9D73B">
        <w:rPr>
          <w:i/>
          <w:iCs/>
        </w:rPr>
        <w:t>Seclusion under the Mental Health (Compulsory Assessment and Treatment) Act 1992</w:t>
      </w:r>
      <w:r>
        <w:t xml:space="preserve"> (Ministry of Health 2010). Note that the Ministry is currently reviewing these guidelines: a new version will be available by the end of 2022. In addition, the use of seclusion and restraint is governed by the section related to here </w:t>
      </w:r>
      <w:proofErr w:type="spellStart"/>
      <w:r>
        <w:t>taratahi</w:t>
      </w:r>
      <w:proofErr w:type="spellEnd"/>
      <w:r>
        <w:t xml:space="preserve"> (restraint and seclusion) within the </w:t>
      </w:r>
      <w:proofErr w:type="spellStart"/>
      <w:r>
        <w:t>Ngā</w:t>
      </w:r>
      <w:proofErr w:type="spellEnd"/>
      <w:r>
        <w:t xml:space="preserve"> </w:t>
      </w:r>
      <w:proofErr w:type="spellStart"/>
      <w:r>
        <w:t>Paerewa</w:t>
      </w:r>
      <w:proofErr w:type="spellEnd"/>
      <w:r>
        <w:t xml:space="preserve"> Health and Disability Services Standard (NZS 8134:2021).</w:t>
      </w:r>
    </w:p>
    <w:p w14:paraId="3DF8BF85" w14:textId="77777777" w:rsidR="00025FEB" w:rsidRDefault="00025FEB" w:rsidP="00025FEB">
      <w:pPr>
        <w:pStyle w:val="Bullet"/>
        <w:tabs>
          <w:tab w:val="clear" w:pos="284"/>
        </w:tabs>
      </w:pPr>
      <w:r w:rsidRPr="00EE6EE1">
        <w:rPr>
          <w:i/>
          <w:iCs/>
        </w:rPr>
        <w:t>Human Rights and the Mental Health (Compulsory Assessment and Treatment) Act 1992</w:t>
      </w:r>
      <w:r>
        <w:t xml:space="preserve"> (Ministry of Health 2020b)</w:t>
      </w:r>
    </w:p>
    <w:p w14:paraId="0AD82DDB" w14:textId="77777777" w:rsidR="00025FEB" w:rsidRDefault="00025FEB" w:rsidP="00025FEB">
      <w:pPr>
        <w:pStyle w:val="Bullet"/>
        <w:tabs>
          <w:tab w:val="clear" w:pos="284"/>
        </w:tabs>
      </w:pPr>
      <w:r w:rsidRPr="00EE6EE1">
        <w:rPr>
          <w:i/>
          <w:iCs/>
        </w:rPr>
        <w:t>Guidelines for the Role and Function of Statutory Officers: Appointed under the Mental Health (Compulsory Assessment and Treatment) Act 1992</w:t>
      </w:r>
      <w:r>
        <w:t xml:space="preserve"> (Ministry of Health 2022)</w:t>
      </w:r>
    </w:p>
    <w:p w14:paraId="2263EA8D" w14:textId="77777777" w:rsidR="00025FEB" w:rsidRDefault="00025FEB" w:rsidP="00025FEB">
      <w:pPr>
        <w:pStyle w:val="Heading2"/>
        <w:numPr>
          <w:ilvl w:val="0"/>
          <w:numId w:val="0"/>
        </w:numPr>
        <w:ind w:left="1134" w:hanging="1134"/>
      </w:pPr>
      <w:bookmarkStart w:id="18" w:name="_Toc112862040"/>
      <w:bookmarkStart w:id="19" w:name="_Toc116484581"/>
      <w:r>
        <w:lastRenderedPageBreak/>
        <w:t>Scope of these guidelines</w:t>
      </w:r>
      <w:bookmarkEnd w:id="18"/>
      <w:bookmarkEnd w:id="19"/>
    </w:p>
    <w:p w14:paraId="6E29DB57" w14:textId="77777777" w:rsidR="00025FEB" w:rsidRDefault="00025FEB" w:rsidP="00025FEB">
      <w:r>
        <w:t>These guidelines apply to all RFMHSs as well as hospitals and other inpatient mental health services involved in the care of a special patient (such as during court processes). Other people or entities providing care for special care recipients may also find these guidelines helpful.</w:t>
      </w:r>
    </w:p>
    <w:p w14:paraId="56D09AAE" w14:textId="77777777" w:rsidR="00025FEB" w:rsidRDefault="00025FEB" w:rsidP="00025FEB"/>
    <w:p w14:paraId="1BCAEBA4" w14:textId="77777777" w:rsidR="00025FEB" w:rsidRDefault="00025FEB" w:rsidP="00025FEB">
      <w:r>
        <w:t>Special patients who are potentially affected by the guidelines are those in the following situations:</w:t>
      </w:r>
    </w:p>
    <w:p w14:paraId="52BEB1AB" w14:textId="77777777" w:rsidR="00025FEB" w:rsidRDefault="00025FEB" w:rsidP="00025FEB">
      <w:pPr>
        <w:pStyle w:val="Bullet"/>
        <w:tabs>
          <w:tab w:val="clear" w:pos="284"/>
        </w:tabs>
      </w:pPr>
      <w:r>
        <w:t>special patients detained at an RFMHS under section 45 or 46 of the Mental Health Act (section 45 or 46 patients) who are granted leave under section 49 or 52 of the Mental Health Act to attend urgent medical or dental appointments</w:t>
      </w:r>
    </w:p>
    <w:p w14:paraId="78B2C4B6" w14:textId="77777777" w:rsidR="00025FEB" w:rsidRDefault="00025FEB" w:rsidP="00025FEB">
      <w:pPr>
        <w:pStyle w:val="Bullet"/>
        <w:tabs>
          <w:tab w:val="clear" w:pos="284"/>
        </w:tabs>
      </w:pPr>
      <w:r>
        <w:t>section 45 or 46 patients being returned to prison under section 47 of the Mental Health Act</w:t>
      </w:r>
    </w:p>
    <w:p w14:paraId="7D3160EA" w14:textId="77777777" w:rsidR="00025FEB" w:rsidRDefault="00025FEB" w:rsidP="00025FEB">
      <w:pPr>
        <w:pStyle w:val="Bullet"/>
        <w:tabs>
          <w:tab w:val="clear" w:pos="284"/>
        </w:tabs>
      </w:pPr>
      <w:r>
        <w:t>section 45 or 46 patients required to appear before the court</w:t>
      </w:r>
    </w:p>
    <w:p w14:paraId="6A5FF94D" w14:textId="77777777" w:rsidR="00025FEB" w:rsidRDefault="00025FEB" w:rsidP="00025FEB">
      <w:pPr>
        <w:pStyle w:val="Bullet"/>
        <w:tabs>
          <w:tab w:val="clear" w:pos="284"/>
        </w:tabs>
      </w:pPr>
      <w:r>
        <w:t>special patients detained under section 34(1)(a) of the CP(MIP) Act</w:t>
      </w:r>
    </w:p>
    <w:p w14:paraId="7EEBE865" w14:textId="77777777" w:rsidR="00025FEB" w:rsidRDefault="00025FEB" w:rsidP="00025FEB">
      <w:pPr>
        <w:pStyle w:val="Bullet"/>
        <w:tabs>
          <w:tab w:val="clear" w:pos="284"/>
        </w:tabs>
      </w:pPr>
      <w:r>
        <w:t>special patients remanded at an RFMHS under section 23(2)(b) or 35(2)(b), or detailed at an RFMHS under 38(2)(c) of the CP(MIP) Act</w:t>
      </w:r>
    </w:p>
    <w:p w14:paraId="3B3F5A56" w14:textId="77777777" w:rsidR="00025FEB" w:rsidRDefault="00025FEB" w:rsidP="00025FEB">
      <w:pPr>
        <w:pStyle w:val="Bullet"/>
        <w:tabs>
          <w:tab w:val="clear" w:pos="284"/>
        </w:tabs>
      </w:pPr>
      <w:r>
        <w:t>special patients detained at an RFMHS under section 24(2)(a) of the CP(MIP) Act found unfit to stand trial or acquitted on account of insanity.</w:t>
      </w:r>
    </w:p>
    <w:p w14:paraId="08796199" w14:textId="77777777" w:rsidR="00025FEB" w:rsidRDefault="00025FEB" w:rsidP="00025FEB"/>
    <w:p w14:paraId="33A1E195" w14:textId="77777777" w:rsidR="00025FEB" w:rsidRDefault="00025FEB" w:rsidP="00025FEB">
      <w:r>
        <w:t xml:space="preserve">These guidelines also apply when special patients need to be transported from an RFMHS to another </w:t>
      </w:r>
      <w:proofErr w:type="gramStart"/>
      <w:r>
        <w:t>service;</w:t>
      </w:r>
      <w:proofErr w:type="gramEnd"/>
      <w:r>
        <w:t xml:space="preserve"> for example, transfers to:</w:t>
      </w:r>
    </w:p>
    <w:p w14:paraId="6457D10A" w14:textId="77777777" w:rsidR="00025FEB" w:rsidRDefault="00025FEB" w:rsidP="00025FEB">
      <w:pPr>
        <w:pStyle w:val="Bullet"/>
        <w:tabs>
          <w:tab w:val="clear" w:pos="284"/>
        </w:tabs>
      </w:pPr>
      <w:r>
        <w:t>general hospital or specialist clinics for health treatment</w:t>
      </w:r>
    </w:p>
    <w:p w14:paraId="17FB6A84" w14:textId="77777777" w:rsidR="00025FEB" w:rsidRDefault="00025FEB" w:rsidP="00025FEB">
      <w:pPr>
        <w:pStyle w:val="Bullet"/>
        <w:tabs>
          <w:tab w:val="clear" w:pos="284"/>
        </w:tabs>
      </w:pPr>
      <w:r>
        <w:t>court in relation to charges against the individual, or as a witness</w:t>
      </w:r>
    </w:p>
    <w:p w14:paraId="2332036D" w14:textId="77777777" w:rsidR="00025FEB" w:rsidRDefault="00025FEB" w:rsidP="00025FEB">
      <w:pPr>
        <w:pStyle w:val="Bullet"/>
        <w:tabs>
          <w:tab w:val="clear" w:pos="284"/>
        </w:tabs>
      </w:pPr>
      <w:r>
        <w:t>prison or police custody where it is no longer necessary for a person to be treated by the RFMHS.</w:t>
      </w:r>
    </w:p>
    <w:p w14:paraId="50BA2C49" w14:textId="77777777" w:rsidR="00025FEB" w:rsidRDefault="00025FEB" w:rsidP="00025FEB">
      <w:pPr>
        <w:pStyle w:val="Heading2-nonumbering"/>
      </w:pPr>
      <w:bookmarkStart w:id="20" w:name="_Toc112862041"/>
      <w:bookmarkStart w:id="21" w:name="_Toc116484582"/>
      <w:r>
        <w:t>Cultural and personal rights considerations</w:t>
      </w:r>
      <w:bookmarkEnd w:id="20"/>
      <w:bookmarkEnd w:id="21"/>
    </w:p>
    <w:p w14:paraId="1141D57F" w14:textId="2E24D0E2" w:rsidR="00025FEB" w:rsidRDefault="00025FEB" w:rsidP="00025FEB">
      <w:r>
        <w:t xml:space="preserve">The </w:t>
      </w:r>
      <w:r w:rsidRPr="00EE6EE1">
        <w:rPr>
          <w:i/>
          <w:iCs/>
        </w:rPr>
        <w:t>Guidelines to the Mental Health (Compulsory Assessment and Treatment) Act 1992</w:t>
      </w:r>
      <w:r>
        <w:t xml:space="preserve"> (Ministry of Health 2020a) contain a detailed description of the sections of the Mental Health </w:t>
      </w:r>
      <w:r w:rsidR="009C6AFE">
        <w:t>Act and</w:t>
      </w:r>
      <w:r>
        <w:t xml:space="preserve"> outline the importance of </w:t>
      </w:r>
      <w:proofErr w:type="spellStart"/>
      <w:r>
        <w:t>Te</w:t>
      </w:r>
      <w:proofErr w:type="spellEnd"/>
      <w:r>
        <w:t xml:space="preserve"> </w:t>
      </w:r>
      <w:proofErr w:type="spellStart"/>
      <w:r>
        <w:t>Tiriti</w:t>
      </w:r>
      <w:proofErr w:type="spellEnd"/>
      <w:r>
        <w:t xml:space="preserve"> and the constitutional constraints it imposes. It is especially important to follow these recommendations when applying these guidelines.</w:t>
      </w:r>
    </w:p>
    <w:p w14:paraId="25A82EF9" w14:textId="77777777" w:rsidR="00025FEB" w:rsidRDefault="00025FEB" w:rsidP="00025FEB"/>
    <w:p w14:paraId="401EC506" w14:textId="569D9D25" w:rsidR="00025FEB" w:rsidRDefault="00025FEB" w:rsidP="00025FEB">
      <w:r>
        <w:t>We know from data provided for the Office of the Director’s annual reports that Māori are more likely to be assessed or treated under the Mental Health Act than non-Māori. In the Director’s report (2020), Māori are also recorded as being 2.9 times more likely to be subject to an indefinite community treatment order than non-Māori</w:t>
      </w:r>
      <w:r w:rsidR="007A6F61">
        <w:t>.</w:t>
      </w:r>
    </w:p>
    <w:p w14:paraId="7779445A" w14:textId="77777777" w:rsidR="00025FEB" w:rsidRDefault="00025FEB" w:rsidP="00025FEB"/>
    <w:p w14:paraId="02403459" w14:textId="00F34F70" w:rsidR="00025FEB" w:rsidRDefault="00025FEB" w:rsidP="007A6F61">
      <w:pPr>
        <w:ind w:right="-96"/>
      </w:pPr>
      <w:r>
        <w:lastRenderedPageBreak/>
        <w:t xml:space="preserve">We also know </w:t>
      </w:r>
      <w:r w:rsidR="00805DB5">
        <w:t>that</w:t>
      </w:r>
      <w:r>
        <w:t xml:space="preserve"> nationwide, Māori are more likely than non-Māori to have been secluded, have more seclusion events (as a rate per 100,000 population) and have longer periods of seclusion on average.</w:t>
      </w:r>
    </w:p>
    <w:p w14:paraId="7424F359" w14:textId="77777777" w:rsidR="00025FEB" w:rsidRDefault="00025FEB" w:rsidP="007A6F61">
      <w:pPr>
        <w:ind w:right="-96"/>
      </w:pPr>
    </w:p>
    <w:p w14:paraId="4898A64E" w14:textId="77777777" w:rsidR="00025FEB" w:rsidRDefault="00025FEB" w:rsidP="007A6F61">
      <w:pPr>
        <w:ind w:right="-96"/>
      </w:pPr>
      <w:r>
        <w:t>Of specific significance to these guidelines, we note that the ethnic group with the highest proportion of people subject to a special patient order is Māori (54 percent in 2020).</w:t>
      </w:r>
      <w:r>
        <w:rPr>
          <w:rStyle w:val="FootnoteReference"/>
        </w:rPr>
        <w:footnoteReference w:id="3"/>
      </w:r>
      <w:r>
        <w:t xml:space="preserve">  In 2020, Māori represented the highest proportion of both extended forensic care (43 percent) and short-term forensic care (60 percent) special patients.</w:t>
      </w:r>
    </w:p>
    <w:p w14:paraId="2330CA64" w14:textId="77777777" w:rsidR="00025FEB" w:rsidRDefault="00025FEB" w:rsidP="007A6F61">
      <w:pPr>
        <w:ind w:right="-96"/>
      </w:pPr>
    </w:p>
    <w:p w14:paraId="21D11FD1" w14:textId="77777777" w:rsidR="00025FEB" w:rsidRDefault="00025FEB" w:rsidP="007A6F61">
      <w:pPr>
        <w:ind w:right="-96"/>
      </w:pPr>
      <w:r>
        <w:t>Therefore, it is imperative that RFMHSs are aware that equitable health and wellness outcomes are a priority within the Aotearoa New Zealand health system, and that they support the achievement of health equity.</w:t>
      </w:r>
    </w:p>
    <w:p w14:paraId="6EBE6552" w14:textId="77777777" w:rsidR="00025FEB" w:rsidRDefault="00025FEB" w:rsidP="007A6F61">
      <w:pPr>
        <w:ind w:right="-96"/>
      </w:pPr>
    </w:p>
    <w:p w14:paraId="1941F72C" w14:textId="77777777" w:rsidR="00025FEB" w:rsidRDefault="00025FEB" w:rsidP="007A6F61">
      <w:pPr>
        <w:ind w:right="-96"/>
      </w:pPr>
      <w:r>
        <w:t>Section 5 of the Mental Health Act requires powers under the Act to be exercised:</w:t>
      </w:r>
    </w:p>
    <w:p w14:paraId="12B41A8B" w14:textId="77777777" w:rsidR="00025FEB" w:rsidRDefault="00025FEB" w:rsidP="007A6F61">
      <w:pPr>
        <w:pStyle w:val="Letter"/>
        <w:numPr>
          <w:ilvl w:val="1"/>
          <w:numId w:val="16"/>
        </w:numPr>
        <w:ind w:left="284" w:right="-96" w:hanging="284"/>
      </w:pPr>
      <w:r>
        <w:t xml:space="preserve">with proper recognition of the importance and significance to the person of the person’s ties with their family, </w:t>
      </w:r>
      <w:proofErr w:type="spellStart"/>
      <w:r>
        <w:t>whānau</w:t>
      </w:r>
      <w:proofErr w:type="spellEnd"/>
      <w:r>
        <w:t xml:space="preserve">, </w:t>
      </w:r>
      <w:proofErr w:type="spellStart"/>
      <w:r>
        <w:t>hapū</w:t>
      </w:r>
      <w:proofErr w:type="spellEnd"/>
      <w:r>
        <w:t>, iwi and family group</w:t>
      </w:r>
    </w:p>
    <w:p w14:paraId="226B0BE2" w14:textId="77777777" w:rsidR="00025FEB" w:rsidRDefault="00025FEB" w:rsidP="007A6F61">
      <w:pPr>
        <w:pStyle w:val="Letter"/>
        <w:numPr>
          <w:ilvl w:val="1"/>
          <w:numId w:val="16"/>
        </w:numPr>
        <w:ind w:left="284" w:right="-96" w:hanging="284"/>
      </w:pPr>
      <w:r>
        <w:t>with proper recognition of the contribution those ties make to the person’s wellbeing</w:t>
      </w:r>
    </w:p>
    <w:p w14:paraId="7FB39837" w14:textId="77777777" w:rsidR="00025FEB" w:rsidRDefault="00025FEB" w:rsidP="007A6F61">
      <w:pPr>
        <w:pStyle w:val="Letter"/>
        <w:numPr>
          <w:ilvl w:val="1"/>
          <w:numId w:val="16"/>
        </w:numPr>
        <w:ind w:left="284" w:right="-96" w:hanging="284"/>
      </w:pPr>
      <w:r>
        <w:t>with proper respect for the person’s cultural and ethnic identity, language and religious or ethical beliefs.</w:t>
      </w:r>
    </w:p>
    <w:p w14:paraId="27E3823F" w14:textId="77777777" w:rsidR="00025FEB" w:rsidRDefault="00025FEB" w:rsidP="007A6F61">
      <w:pPr>
        <w:ind w:right="-96"/>
      </w:pPr>
    </w:p>
    <w:p w14:paraId="5E0885EC" w14:textId="77777777" w:rsidR="00025FEB" w:rsidRDefault="00025FEB" w:rsidP="007A6F61">
      <w:pPr>
        <w:ind w:right="-96"/>
      </w:pPr>
      <w:r>
        <w:t xml:space="preserve">Every patient is entitled to be dealt with in a manner that accords with the spirit and intent of section 5 of the Mental Health Act (section 65 of the Mental Health Act). This patient right is enforceable through the </w:t>
      </w:r>
      <w:proofErr w:type="gramStart"/>
      <w:r>
        <w:t>complaints</w:t>
      </w:r>
      <w:proofErr w:type="gramEnd"/>
      <w:r>
        <w:t xml:space="preserve"> procedures set out in section 75 of the Mental Health Act. </w:t>
      </w:r>
    </w:p>
    <w:p w14:paraId="0806A32D" w14:textId="77777777" w:rsidR="00025FEB" w:rsidRDefault="00025FEB" w:rsidP="007A6F61">
      <w:pPr>
        <w:ind w:right="-96"/>
      </w:pPr>
    </w:p>
    <w:p w14:paraId="01AEB32B" w14:textId="77777777" w:rsidR="00025FEB" w:rsidRDefault="00025FEB" w:rsidP="007A6F61">
      <w:pPr>
        <w:ind w:right="-96"/>
      </w:pPr>
      <w:r>
        <w:t>This patient right is reinforced by:</w:t>
      </w:r>
    </w:p>
    <w:p w14:paraId="261C267B" w14:textId="77777777" w:rsidR="00025FEB" w:rsidRDefault="00025FEB" w:rsidP="007A6F61">
      <w:pPr>
        <w:pStyle w:val="Bullet"/>
        <w:tabs>
          <w:tab w:val="clear" w:pos="284"/>
        </w:tabs>
        <w:ind w:right="-96"/>
      </w:pPr>
      <w:r>
        <w:t xml:space="preserve">Right 1(3) of the Code of Health and Disability Service Consumers' Rights, which states that ‘every consumer has the right to be provided with services that </w:t>
      </w:r>
      <w:proofErr w:type="gramStart"/>
      <w:r>
        <w:t>take into account</w:t>
      </w:r>
      <w:proofErr w:type="gramEnd"/>
      <w:r>
        <w:t xml:space="preserve"> the needs, values, and beliefs of different cultural, religious, social, and ethnic groups, including the needs, values, and beliefs of Māori’ </w:t>
      </w:r>
    </w:p>
    <w:p w14:paraId="20FCF675" w14:textId="77777777" w:rsidR="00025FEB" w:rsidRDefault="00025FEB" w:rsidP="007A6F61">
      <w:pPr>
        <w:pStyle w:val="Bullet"/>
        <w:tabs>
          <w:tab w:val="clear" w:pos="284"/>
        </w:tabs>
        <w:ind w:right="-96"/>
      </w:pPr>
      <w:r>
        <w:t>The rights within the New Zealand Bill of Rights Act 1990, including, for example:</w:t>
      </w:r>
    </w:p>
    <w:p w14:paraId="2387B2B5" w14:textId="77777777" w:rsidR="00025FEB" w:rsidRDefault="00025FEB" w:rsidP="007A6F61">
      <w:pPr>
        <w:pStyle w:val="Dash"/>
        <w:ind w:right="-96"/>
      </w:pPr>
      <w:r>
        <w:t xml:space="preserve">section 15, which states that 'every person has the right to manifest that person’s religion or belief in worship, observance, practice, or teaching, either individually or in community with others, and either in public or in private'; and </w:t>
      </w:r>
    </w:p>
    <w:p w14:paraId="27DF992E" w14:textId="77777777" w:rsidR="00025FEB" w:rsidRDefault="00025FEB" w:rsidP="007A6F61">
      <w:pPr>
        <w:pStyle w:val="Dash"/>
        <w:ind w:right="-96"/>
      </w:pPr>
      <w:r>
        <w:t xml:space="preserve">section 20, which states that 'A person who belongs to an ethnic, religious, or linguistic minority in New Zealand shall not be denied the right, in community with other members of that minority, to enjoy the culture, to profess and practise the religion, or to use the language, of that minority'. </w:t>
      </w:r>
    </w:p>
    <w:p w14:paraId="480441DE" w14:textId="77777777" w:rsidR="00025FEB" w:rsidRDefault="00025FEB" w:rsidP="007A6F61">
      <w:pPr>
        <w:ind w:right="-96"/>
      </w:pPr>
    </w:p>
    <w:p w14:paraId="665FB86A" w14:textId="77777777" w:rsidR="00025FEB" w:rsidRDefault="00025FEB" w:rsidP="007A6F61">
      <w:pPr>
        <w:ind w:right="-96"/>
        <w:rPr>
          <w:rFonts w:eastAsia="Arial Unicode MS"/>
        </w:rPr>
      </w:pPr>
      <w:r>
        <w:t>Reports submitted with the objective of requesting a decision about special patients’ treatment must address the person’s cultural identity and any potential impact that the treatment decision will have in relation to the person's cultural identity. Reports must show evidence of a cultural assessment and cultural considerations in recovery and rehabilitation plans. If there was no cultural assessment or cultural considerations, the reasons for this must also be documented.</w:t>
      </w:r>
    </w:p>
    <w:p w14:paraId="0E661581" w14:textId="77777777" w:rsidR="00025FEB" w:rsidRPr="00696B26" w:rsidRDefault="00025FEB" w:rsidP="00025FEB">
      <w:pPr>
        <w:pStyle w:val="Heading1"/>
      </w:pPr>
      <w:bookmarkStart w:id="22" w:name="_bookmark21"/>
      <w:bookmarkStart w:id="23" w:name="_Toc112862042"/>
      <w:bookmarkStart w:id="24" w:name="_Toc116484583"/>
      <w:bookmarkEnd w:id="22"/>
      <w:r w:rsidRPr="00696B26">
        <w:lastRenderedPageBreak/>
        <w:t>Notification of admission of special patients</w:t>
      </w:r>
      <w:bookmarkEnd w:id="23"/>
      <w:bookmarkEnd w:id="24"/>
    </w:p>
    <w:p w14:paraId="7D53B4BA" w14:textId="77777777" w:rsidR="00025FEB" w:rsidRPr="00D85A4F" w:rsidRDefault="00025FEB" w:rsidP="00025FEB">
      <w:pPr>
        <w:rPr>
          <w:b/>
          <w:bCs/>
        </w:rPr>
      </w:pPr>
      <w:r w:rsidRPr="00D85A4F">
        <w:t xml:space="preserve">Section 42 of the </w:t>
      </w:r>
      <w:r>
        <w:t>Mental Health Act</w:t>
      </w:r>
      <w:r w:rsidRPr="00D85A4F">
        <w:t xml:space="preserve"> requires </w:t>
      </w:r>
      <w:r>
        <w:t>the Director of Area Mental Health Services (</w:t>
      </w:r>
      <w:r w:rsidRPr="00D85A4F">
        <w:t>DAMHS</w:t>
      </w:r>
      <w:r>
        <w:t>)</w:t>
      </w:r>
      <w:r w:rsidRPr="00D85A4F">
        <w:t xml:space="preserve"> to ensure </w:t>
      </w:r>
      <w:r>
        <w:t xml:space="preserve">that </w:t>
      </w:r>
      <w:r w:rsidRPr="00D85A4F">
        <w:t>the person in charge of a hospital to which a special patient is admitted sends the following information to the Director within 14 days after the patient is admitted</w:t>
      </w:r>
      <w:r w:rsidRPr="00D85A4F">
        <w:rPr>
          <w:b/>
          <w:bCs/>
        </w:rPr>
        <w:t>:</w:t>
      </w:r>
    </w:p>
    <w:p w14:paraId="0F493820" w14:textId="77777777" w:rsidR="00025FEB" w:rsidRPr="00D85A4F" w:rsidRDefault="00025FEB" w:rsidP="00025FEB">
      <w:pPr>
        <w:pStyle w:val="Bullet"/>
        <w:spacing w:line="264" w:lineRule="auto"/>
      </w:pPr>
      <w:r w:rsidRPr="00D85A4F">
        <w:t>notice of the admission</w:t>
      </w:r>
    </w:p>
    <w:p w14:paraId="06FAD8C1" w14:textId="77777777" w:rsidR="00025FEB" w:rsidRPr="00D85A4F" w:rsidRDefault="00025FEB" w:rsidP="00025FEB">
      <w:pPr>
        <w:pStyle w:val="Bullet"/>
        <w:spacing w:line="264" w:lineRule="auto"/>
      </w:pPr>
      <w:r w:rsidRPr="00D85A4F">
        <w:t>a copy of the order on which the patient was admitted</w:t>
      </w:r>
    </w:p>
    <w:p w14:paraId="605A0F45" w14:textId="77777777" w:rsidR="00025FEB" w:rsidRPr="00D85A4F" w:rsidRDefault="00025FEB" w:rsidP="00025FEB">
      <w:pPr>
        <w:pStyle w:val="Bullet"/>
        <w:spacing w:line="264" w:lineRule="auto"/>
      </w:pPr>
      <w:r w:rsidRPr="00D85A4F">
        <w:t xml:space="preserve">a copy of the </w:t>
      </w:r>
      <w:r>
        <w:t>Mental Health Act</w:t>
      </w:r>
      <w:r w:rsidRPr="00D85A4F">
        <w:t xml:space="preserve"> certificates or clinical documentation accompanying the order, such as </w:t>
      </w:r>
      <w:r>
        <w:t xml:space="preserve">a </w:t>
      </w:r>
      <w:r w:rsidRPr="00D85A4F">
        <w:t xml:space="preserve">section 45 form, section 8B certificate </w:t>
      </w:r>
      <w:r>
        <w:t xml:space="preserve">or </w:t>
      </w:r>
      <w:r w:rsidRPr="00D85A4F">
        <w:t>section 10 certificate, and clinical particulars</w:t>
      </w:r>
    </w:p>
    <w:p w14:paraId="7A08BBE1" w14:textId="77777777" w:rsidR="00025FEB" w:rsidRPr="00D85A4F" w:rsidRDefault="00025FEB" w:rsidP="00025FEB">
      <w:pPr>
        <w:pStyle w:val="Bullet"/>
        <w:spacing w:line="264" w:lineRule="auto"/>
      </w:pPr>
      <w:r w:rsidRPr="00D85A4F">
        <w:t>a statement of both the mental and physical condition of the patient at the time of admission (such as reports prepared for the court and reports from prison in-reach teams)</w:t>
      </w:r>
    </w:p>
    <w:p w14:paraId="3C1CA392" w14:textId="77777777" w:rsidR="00025FEB" w:rsidRPr="00D85A4F" w:rsidRDefault="00025FEB" w:rsidP="00025FEB"/>
    <w:p w14:paraId="31BBE331" w14:textId="77777777" w:rsidR="00025FEB" w:rsidRPr="00860331" w:rsidRDefault="00025FEB" w:rsidP="00025FEB">
      <w:r w:rsidRPr="00860331">
        <w:t xml:space="preserve">In practice, this information will be uploaded into the </w:t>
      </w:r>
      <w:r>
        <w:t>s</w:t>
      </w:r>
      <w:r w:rsidRPr="00860331">
        <w:t xml:space="preserve">pecial </w:t>
      </w:r>
      <w:r>
        <w:t>p</w:t>
      </w:r>
      <w:r w:rsidRPr="00860331">
        <w:t xml:space="preserve">atient </w:t>
      </w:r>
      <w:r>
        <w:t>m</w:t>
      </w:r>
      <w:r w:rsidRPr="00860331">
        <w:t xml:space="preserve">anagement </w:t>
      </w:r>
      <w:r>
        <w:t>s</w:t>
      </w:r>
      <w:r w:rsidRPr="00860331">
        <w:t>ystem (SPMS).</w:t>
      </w:r>
    </w:p>
    <w:p w14:paraId="1007AFC3" w14:textId="77777777" w:rsidR="00025FEB" w:rsidRDefault="00025FEB" w:rsidP="00025FEB">
      <w:pPr>
        <w:rPr>
          <w:b/>
          <w:bCs/>
        </w:rPr>
      </w:pPr>
    </w:p>
    <w:p w14:paraId="11EE80F8" w14:textId="77777777" w:rsidR="00025FEB" w:rsidRPr="00D85A4F" w:rsidRDefault="00025FEB" w:rsidP="00025FEB">
      <w:r>
        <w:t xml:space="preserve">The Ministry of Health </w:t>
      </w:r>
      <w:r w:rsidRPr="00D85A4F">
        <w:t xml:space="preserve">strongly recommended that the patient's biometrical information (obtained pursuant to section 43A of the </w:t>
      </w:r>
      <w:r>
        <w:t>Mental Health Act</w:t>
      </w:r>
      <w:r w:rsidRPr="00D85A4F">
        <w:t xml:space="preserve">) is provided to the Director as soon as practicable after admission. </w:t>
      </w:r>
    </w:p>
    <w:p w14:paraId="05D65542" w14:textId="77777777" w:rsidR="00025FEB" w:rsidRPr="00D85A4F" w:rsidRDefault="00025FEB" w:rsidP="00025FEB"/>
    <w:p w14:paraId="0A916A12" w14:textId="77777777" w:rsidR="00025FEB" w:rsidRPr="00D85A4F" w:rsidRDefault="00025FEB" w:rsidP="00025FEB">
      <w:r w:rsidRPr="00D85A4F">
        <w:t>This information forms the basis of the Ministry’s special patient database.</w:t>
      </w:r>
    </w:p>
    <w:p w14:paraId="079EE4A6" w14:textId="77777777" w:rsidR="00025FEB" w:rsidRPr="00D85A4F" w:rsidRDefault="00025FEB" w:rsidP="00025FEB"/>
    <w:p w14:paraId="75B658F1" w14:textId="77777777" w:rsidR="00025FEB" w:rsidRPr="00D85A4F" w:rsidRDefault="00025FEB" w:rsidP="00025FEB">
      <w:r w:rsidRPr="00D85A4F">
        <w:t>Section 43 requires the DAMHS to ensure that the person in charge of a hospital sends notice to the Director of any of the following events that concern a special patient admitted to the hospital within 14 days of the occurrence of the event:</w:t>
      </w:r>
    </w:p>
    <w:p w14:paraId="6F7F0EEF" w14:textId="77777777" w:rsidR="00025FEB" w:rsidRPr="00D85A4F" w:rsidRDefault="00025FEB" w:rsidP="00025FEB">
      <w:pPr>
        <w:pStyle w:val="Bullet"/>
        <w:tabs>
          <w:tab w:val="clear" w:pos="284"/>
        </w:tabs>
      </w:pPr>
      <w:r w:rsidRPr="00D85A4F">
        <w:t xml:space="preserve">discharge from the hospital </w:t>
      </w:r>
    </w:p>
    <w:p w14:paraId="786CCA8D" w14:textId="77777777" w:rsidR="00025FEB" w:rsidRPr="00D85A4F" w:rsidRDefault="00025FEB" w:rsidP="00025FEB">
      <w:pPr>
        <w:pStyle w:val="Bullet"/>
        <w:tabs>
          <w:tab w:val="clear" w:pos="284"/>
        </w:tabs>
      </w:pPr>
      <w:r w:rsidRPr="00D85A4F">
        <w:t xml:space="preserve">transfer from the hospital </w:t>
      </w:r>
    </w:p>
    <w:p w14:paraId="00A37A70" w14:textId="77777777" w:rsidR="00025FEB" w:rsidRPr="00D85A4F" w:rsidRDefault="00025FEB" w:rsidP="00025FEB">
      <w:pPr>
        <w:pStyle w:val="Bullet"/>
        <w:tabs>
          <w:tab w:val="clear" w:pos="284"/>
        </w:tabs>
      </w:pPr>
      <w:r w:rsidRPr="00D85A4F">
        <w:t xml:space="preserve">absence on leave from the hospital </w:t>
      </w:r>
    </w:p>
    <w:p w14:paraId="1A9CCDDE" w14:textId="77777777" w:rsidR="00025FEB" w:rsidRPr="00D85A4F" w:rsidRDefault="00025FEB" w:rsidP="00025FEB">
      <w:pPr>
        <w:pStyle w:val="Bullet"/>
        <w:tabs>
          <w:tab w:val="clear" w:pos="284"/>
        </w:tabs>
      </w:pPr>
      <w:r w:rsidRPr="00D85A4F">
        <w:t xml:space="preserve">cancellation of leave from the hospital </w:t>
      </w:r>
    </w:p>
    <w:p w14:paraId="0C927374" w14:textId="77777777" w:rsidR="00025FEB" w:rsidRPr="00D85A4F" w:rsidRDefault="00025FEB" w:rsidP="00025FEB">
      <w:pPr>
        <w:pStyle w:val="Bullet"/>
        <w:tabs>
          <w:tab w:val="clear" w:pos="284"/>
        </w:tabs>
      </w:pPr>
      <w:r w:rsidRPr="00D85A4F">
        <w:t xml:space="preserve">return from leave </w:t>
      </w:r>
    </w:p>
    <w:p w14:paraId="6963D1C9" w14:textId="77777777" w:rsidR="00025FEB" w:rsidRPr="00D85A4F" w:rsidRDefault="00025FEB" w:rsidP="00025FEB">
      <w:pPr>
        <w:pStyle w:val="Bullet"/>
        <w:tabs>
          <w:tab w:val="clear" w:pos="284"/>
        </w:tabs>
      </w:pPr>
      <w:r w:rsidRPr="00D85A4F">
        <w:t xml:space="preserve">escape from the hospital </w:t>
      </w:r>
    </w:p>
    <w:p w14:paraId="35740DC2" w14:textId="77777777" w:rsidR="00025FEB" w:rsidRPr="00D85A4F" w:rsidRDefault="00025FEB" w:rsidP="00025FEB">
      <w:pPr>
        <w:pStyle w:val="Bullet"/>
        <w:tabs>
          <w:tab w:val="clear" w:pos="284"/>
        </w:tabs>
      </w:pPr>
      <w:r w:rsidRPr="00D85A4F">
        <w:t>retaking after an escape.</w:t>
      </w:r>
    </w:p>
    <w:p w14:paraId="4040A5B1" w14:textId="77777777" w:rsidR="00025FEB" w:rsidRPr="00D85A4F" w:rsidRDefault="00025FEB" w:rsidP="00025FEB">
      <w:r w:rsidRPr="00D85A4F">
        <w:t xml:space="preserve">Section 129 of the </w:t>
      </w:r>
      <w:r>
        <w:t>Mental Health Act</w:t>
      </w:r>
      <w:r w:rsidRPr="00D85A4F">
        <w:t xml:space="preserve"> requires DAMHS</w:t>
      </w:r>
      <w:r>
        <w:t>s</w:t>
      </w:r>
      <w:r w:rsidRPr="00D85A4F">
        <w:t xml:space="preserve"> to ensure that in every hospital or service the person in charge keeps a register of the admission and discharge of compulsory patients (including transfers and deaths), a register of restraint and </w:t>
      </w:r>
      <w:r w:rsidRPr="00D85A4F">
        <w:lastRenderedPageBreak/>
        <w:t>seclusion, and any other records required by the Director. In practice</w:t>
      </w:r>
      <w:r>
        <w:t>,</w:t>
      </w:r>
      <w:r w:rsidRPr="00D85A4F">
        <w:t xml:space="preserve"> this information is collected and held in the RFMHS reportable event database. </w:t>
      </w:r>
      <w:r>
        <w:t xml:space="preserve">The Ministry </w:t>
      </w:r>
      <w:r w:rsidRPr="00D85A4F">
        <w:t>recommend</w:t>
      </w:r>
      <w:r>
        <w:t>s</w:t>
      </w:r>
      <w:r w:rsidRPr="00D85A4F">
        <w:t xml:space="preserve"> that RFMHS</w:t>
      </w:r>
      <w:r>
        <w:t>s</w:t>
      </w:r>
      <w:r w:rsidRPr="00D85A4F">
        <w:t xml:space="preserve"> work with their data entry staff to ensure that a high quality of data is entered into PRIMHD</w:t>
      </w:r>
      <w:r>
        <w:rPr>
          <w:rStyle w:val="FootnoteReference"/>
        </w:rPr>
        <w:footnoteReference w:id="4"/>
      </w:r>
      <w:r w:rsidRPr="00D85A4F">
        <w:t xml:space="preserve"> for this purpose. </w:t>
      </w:r>
    </w:p>
    <w:p w14:paraId="0B214574" w14:textId="77777777" w:rsidR="00025FEB" w:rsidRDefault="00025FEB" w:rsidP="00025FEB">
      <w:pPr>
        <w:spacing w:before="37" w:line="300" w:lineRule="exact"/>
        <w:ind w:right="2188"/>
        <w:jc w:val="both"/>
      </w:pPr>
    </w:p>
    <w:p w14:paraId="167237ED" w14:textId="77777777" w:rsidR="00025FEB" w:rsidRDefault="00025FEB" w:rsidP="00025FEB">
      <w:pPr>
        <w:pStyle w:val="References"/>
        <w:rPr>
          <w:b/>
          <w:color w:val="23305D"/>
          <w:spacing w:val="-10"/>
          <w:sz w:val="72"/>
        </w:rPr>
        <w:sectPr w:rsidR="00025FEB" w:rsidSect="003309CA">
          <w:headerReference w:type="default" r:id="rId21"/>
          <w:footerReference w:type="even" r:id="rId22"/>
          <w:footerReference w:type="default" r:id="rId23"/>
          <w:pgSz w:w="11907" w:h="16834" w:code="9"/>
          <w:pgMar w:top="1418" w:right="1701" w:bottom="1134" w:left="1843" w:header="284" w:footer="425" w:gutter="284"/>
          <w:pgNumType w:start="1"/>
          <w:cols w:space="720"/>
        </w:sectPr>
      </w:pPr>
      <w:bookmarkStart w:id="25" w:name="_bookmark70"/>
      <w:bookmarkEnd w:id="25"/>
    </w:p>
    <w:p w14:paraId="36D84F32" w14:textId="77777777" w:rsidR="00025FEB" w:rsidRDefault="00025FEB" w:rsidP="00025FEB">
      <w:pPr>
        <w:pStyle w:val="Heading1"/>
      </w:pPr>
      <w:bookmarkStart w:id="26" w:name="_Toc112862043"/>
      <w:bookmarkStart w:id="27" w:name="_Toc116484584"/>
      <w:r w:rsidRPr="00983E53">
        <w:lastRenderedPageBreak/>
        <w:t>Safety and security</w:t>
      </w:r>
      <w:bookmarkEnd w:id="26"/>
      <w:bookmarkEnd w:id="27"/>
    </w:p>
    <w:p w14:paraId="236311AC" w14:textId="77777777" w:rsidR="00025FEB" w:rsidRPr="00696B26" w:rsidRDefault="00025FEB" w:rsidP="00025FEB">
      <w:pPr>
        <w:pStyle w:val="Heading2"/>
      </w:pPr>
      <w:bookmarkStart w:id="28" w:name="_Toc112862044"/>
      <w:bookmarkStart w:id="29" w:name="_Toc116484585"/>
      <w:r w:rsidRPr="00696B26">
        <w:t>Travel restrictions</w:t>
      </w:r>
      <w:bookmarkEnd w:id="28"/>
      <w:bookmarkEnd w:id="29"/>
    </w:p>
    <w:p w14:paraId="2AA9CB87" w14:textId="77777777" w:rsidR="00025FEB" w:rsidRPr="00D85A4F" w:rsidRDefault="00025FEB" w:rsidP="00025FEB">
      <w:r w:rsidRPr="00696B26">
        <w:t>As a part of their orientation into an RFMHS, special patients need to be informed of security and safety conditions relating to their legal status. The following matters need to be covered in a format suitable to the condition and language of each patient</w:t>
      </w:r>
      <w:r w:rsidRPr="00D85A4F">
        <w:t>:</w:t>
      </w:r>
    </w:p>
    <w:p w14:paraId="4EF1BDED" w14:textId="77777777" w:rsidR="00025FEB" w:rsidRPr="00696B26" w:rsidRDefault="00025FEB" w:rsidP="00025FEB">
      <w:pPr>
        <w:pStyle w:val="Bullet"/>
        <w:tabs>
          <w:tab w:val="clear" w:pos="284"/>
        </w:tabs>
      </w:pPr>
      <w:r w:rsidRPr="00696B26">
        <w:t xml:space="preserve">the requirement to remain in a facility in Aotearoa New Zealand as a special patient unless granted leave </w:t>
      </w:r>
    </w:p>
    <w:p w14:paraId="2B101CAB" w14:textId="77777777" w:rsidR="00025FEB" w:rsidRPr="00696B26" w:rsidRDefault="00025FEB" w:rsidP="00025FEB">
      <w:pPr>
        <w:pStyle w:val="Bullet"/>
        <w:tabs>
          <w:tab w:val="clear" w:pos="284"/>
        </w:tabs>
      </w:pPr>
      <w:r w:rsidRPr="00696B26">
        <w:t xml:space="preserve">the fact that they will not be able to leave Aotearoa New Zealand without specific approval by the Minister </w:t>
      </w:r>
    </w:p>
    <w:p w14:paraId="2428915B" w14:textId="77777777" w:rsidR="00025FEB" w:rsidRPr="00696B26" w:rsidRDefault="00025FEB" w:rsidP="00025FEB">
      <w:pPr>
        <w:pStyle w:val="Bullet"/>
        <w:tabs>
          <w:tab w:val="clear" w:pos="284"/>
        </w:tabs>
      </w:pPr>
      <w:r w:rsidRPr="00696B26">
        <w:t>the fact that they may not leave the facility without leave being approved</w:t>
      </w:r>
    </w:p>
    <w:p w14:paraId="435D239B" w14:textId="77777777" w:rsidR="00025FEB" w:rsidRPr="00696B26" w:rsidRDefault="00025FEB" w:rsidP="00025FEB">
      <w:pPr>
        <w:pStyle w:val="Bullet"/>
        <w:tabs>
          <w:tab w:val="clear" w:pos="284"/>
        </w:tabs>
      </w:pPr>
      <w:r w:rsidRPr="00696B26">
        <w:t>the fact that they will be returned if they escape or are outside the facility without leave</w:t>
      </w:r>
    </w:p>
    <w:p w14:paraId="672BB916" w14:textId="77777777" w:rsidR="00025FEB" w:rsidRPr="00696B26" w:rsidRDefault="00025FEB" w:rsidP="00025FEB">
      <w:pPr>
        <w:pStyle w:val="Bullet"/>
        <w:tabs>
          <w:tab w:val="clear" w:pos="284"/>
        </w:tabs>
      </w:pPr>
      <w:r w:rsidRPr="00696B26">
        <w:t>the fact that their biometric information will be collected by the Director, the DAMHS or the person in charge of the hospital in which they are detained.</w:t>
      </w:r>
    </w:p>
    <w:p w14:paraId="136881A6" w14:textId="77777777" w:rsidR="00025FEB" w:rsidRPr="00D85A4F" w:rsidRDefault="00025FEB" w:rsidP="00025FEB"/>
    <w:p w14:paraId="2B426C10" w14:textId="77777777" w:rsidR="00025FEB" w:rsidRPr="00D85A4F" w:rsidRDefault="00025FEB" w:rsidP="00025FEB">
      <w:r w:rsidRPr="00D85A4F">
        <w:t>If the special patient is eligible for leave</w:t>
      </w:r>
      <w:r>
        <w:t>,</w:t>
      </w:r>
      <w:r w:rsidRPr="00D85A4F">
        <w:t xml:space="preserve"> they should be made aware that </w:t>
      </w:r>
      <w:r>
        <w:t xml:space="preserve">the </w:t>
      </w:r>
      <w:r w:rsidRPr="00D85A4F">
        <w:t>leave will have conditions attached, including:</w:t>
      </w:r>
    </w:p>
    <w:p w14:paraId="2E38627A" w14:textId="77777777" w:rsidR="00025FEB" w:rsidRPr="00696B26" w:rsidRDefault="00025FEB" w:rsidP="00025FEB">
      <w:pPr>
        <w:pStyle w:val="Bullet"/>
        <w:tabs>
          <w:tab w:val="clear" w:pos="284"/>
        </w:tabs>
      </w:pPr>
      <w:r w:rsidRPr="00696B26">
        <w:t>the requirement that they do not travel overseas</w:t>
      </w:r>
    </w:p>
    <w:p w14:paraId="4426B2CB" w14:textId="77777777" w:rsidR="00025FEB" w:rsidRPr="00696B26" w:rsidRDefault="00025FEB" w:rsidP="00025FEB">
      <w:pPr>
        <w:pStyle w:val="Bullet"/>
        <w:tabs>
          <w:tab w:val="clear" w:pos="284"/>
        </w:tabs>
      </w:pPr>
      <w:r w:rsidRPr="00696B26">
        <w:t>if they are on unescorted leave in the community (short or long), an overseas border alert that will prevent them from departing Aotearoa New Zealand without permission</w:t>
      </w:r>
    </w:p>
    <w:p w14:paraId="1BA5F2BC" w14:textId="77777777" w:rsidR="00025FEB" w:rsidRPr="00696B26" w:rsidRDefault="00025FEB" w:rsidP="00025FEB">
      <w:pPr>
        <w:pStyle w:val="Bullet"/>
        <w:tabs>
          <w:tab w:val="clear" w:pos="284"/>
        </w:tabs>
      </w:pPr>
      <w:r w:rsidRPr="00696B26">
        <w:t>the fact that they will be returned to hospital if they breach any conditions of their leave</w:t>
      </w:r>
    </w:p>
    <w:p w14:paraId="485DD9BB" w14:textId="77777777" w:rsidR="00025FEB" w:rsidRPr="00696B26" w:rsidRDefault="00025FEB" w:rsidP="00025FEB">
      <w:pPr>
        <w:pStyle w:val="Bullet"/>
        <w:tabs>
          <w:tab w:val="clear" w:pos="284"/>
        </w:tabs>
      </w:pPr>
      <w:r w:rsidRPr="00696B26">
        <w:t>the requirement that they abstain from using alcohol or other illegal substances</w:t>
      </w:r>
    </w:p>
    <w:p w14:paraId="5376C70E" w14:textId="77777777" w:rsidR="00025FEB" w:rsidRPr="00696B26" w:rsidRDefault="00025FEB" w:rsidP="00025FEB">
      <w:pPr>
        <w:pStyle w:val="Bullet"/>
        <w:tabs>
          <w:tab w:val="clear" w:pos="284"/>
        </w:tabs>
      </w:pPr>
      <w:r w:rsidRPr="00696B26">
        <w:t xml:space="preserve">the requirement that they comply with any treatment their responsible clinician prescribes.  </w:t>
      </w:r>
    </w:p>
    <w:p w14:paraId="0EBF420D" w14:textId="77777777" w:rsidR="00025FEB" w:rsidRPr="00D85A4F" w:rsidRDefault="00025FEB" w:rsidP="00025FEB">
      <w:pPr>
        <w:pStyle w:val="Heading2"/>
      </w:pPr>
      <w:bookmarkStart w:id="30" w:name="_Toc83197057"/>
      <w:bookmarkStart w:id="31" w:name="_Toc112845441"/>
      <w:bookmarkStart w:id="32" w:name="_Toc112862045"/>
      <w:bookmarkStart w:id="33" w:name="_Toc116484586"/>
      <w:r w:rsidRPr="00D85A4F">
        <w:t>Photographing special patients</w:t>
      </w:r>
      <w:bookmarkEnd w:id="30"/>
      <w:bookmarkEnd w:id="31"/>
      <w:bookmarkEnd w:id="32"/>
      <w:bookmarkEnd w:id="33"/>
    </w:p>
    <w:p w14:paraId="5A5597A8" w14:textId="77777777" w:rsidR="00025FEB" w:rsidRPr="00D85A4F" w:rsidRDefault="00025FEB" w:rsidP="00025FEB">
      <w:r w:rsidRPr="00D85A4F">
        <w:t xml:space="preserve">Under section 43A of the </w:t>
      </w:r>
      <w:r>
        <w:t>Mental Health Act</w:t>
      </w:r>
      <w:r w:rsidRPr="00D85A4F">
        <w:t xml:space="preserve">, the Director, </w:t>
      </w:r>
      <w:r>
        <w:t xml:space="preserve">the </w:t>
      </w:r>
      <w:r w:rsidRPr="00D85A4F">
        <w:t>DAMHS or person in charge of a hospital may direct the collection of biometric information from special patients. Biometric information comprises one or more of:</w:t>
      </w:r>
    </w:p>
    <w:p w14:paraId="20A7E4F2" w14:textId="77777777" w:rsidR="00025FEB" w:rsidRPr="00D85A4F" w:rsidRDefault="00025FEB" w:rsidP="00025FEB">
      <w:pPr>
        <w:pStyle w:val="Bullet"/>
        <w:spacing w:line="264" w:lineRule="auto"/>
      </w:pPr>
      <w:r w:rsidRPr="00D85A4F">
        <w:t>a photograph of a person's head and shoulders, according to passport requirements (see below)</w:t>
      </w:r>
    </w:p>
    <w:p w14:paraId="6406D461" w14:textId="77777777" w:rsidR="00025FEB" w:rsidRPr="00D85A4F" w:rsidRDefault="00025FEB" w:rsidP="00025FEB">
      <w:pPr>
        <w:pStyle w:val="Bullet"/>
        <w:spacing w:line="264" w:lineRule="auto"/>
      </w:pPr>
      <w:r w:rsidRPr="00D85A4F">
        <w:t>fingerprint impressions</w:t>
      </w:r>
    </w:p>
    <w:p w14:paraId="750E7D7A" w14:textId="77777777" w:rsidR="00025FEB" w:rsidRPr="00D85A4F" w:rsidRDefault="00025FEB" w:rsidP="00025FEB">
      <w:pPr>
        <w:pStyle w:val="Bullet"/>
        <w:spacing w:line="264" w:lineRule="auto"/>
      </w:pPr>
      <w:r>
        <w:t xml:space="preserve">an </w:t>
      </w:r>
      <w:r w:rsidRPr="00D85A4F">
        <w:t xml:space="preserve">iris </w:t>
      </w:r>
      <w:proofErr w:type="gramStart"/>
      <w:r w:rsidRPr="00D85A4F">
        <w:t>scan</w:t>
      </w:r>
      <w:proofErr w:type="gramEnd"/>
      <w:r w:rsidRPr="00D85A4F">
        <w:t xml:space="preserve"> </w:t>
      </w:r>
    </w:p>
    <w:p w14:paraId="47F0B545" w14:textId="77777777" w:rsidR="00025FEB" w:rsidRPr="00D85A4F" w:rsidRDefault="00025FEB" w:rsidP="00025FEB">
      <w:pPr>
        <w:pStyle w:val="Bullet"/>
        <w:spacing w:line="264" w:lineRule="auto"/>
      </w:pPr>
      <w:r>
        <w:t xml:space="preserve">an </w:t>
      </w:r>
      <w:r w:rsidRPr="00D85A4F">
        <w:t>electronic record of the information capable of being used for biometric matching.</w:t>
      </w:r>
    </w:p>
    <w:p w14:paraId="7866ECF5" w14:textId="77777777" w:rsidR="00025FEB" w:rsidRPr="00D85A4F" w:rsidRDefault="00025FEB" w:rsidP="00025FEB"/>
    <w:p w14:paraId="1F9D6B7E" w14:textId="77777777" w:rsidR="00025FEB" w:rsidRPr="00D85A4F" w:rsidRDefault="00025FEB" w:rsidP="00025FEB">
      <w:r w:rsidRPr="00D85A4F">
        <w:t xml:space="preserve">Photographing special patients will strengthen the management, </w:t>
      </w:r>
      <w:proofErr w:type="gramStart"/>
      <w:r w:rsidRPr="00D85A4F">
        <w:t>safety</w:t>
      </w:r>
      <w:proofErr w:type="gramEnd"/>
      <w:r w:rsidRPr="00D85A4F">
        <w:t xml:space="preserve"> and security of special patients by:</w:t>
      </w:r>
    </w:p>
    <w:p w14:paraId="7531773E" w14:textId="77777777" w:rsidR="00025FEB" w:rsidRPr="00D85A4F" w:rsidRDefault="00025FEB" w:rsidP="00025FEB">
      <w:pPr>
        <w:pStyle w:val="Bullet"/>
        <w:spacing w:line="264" w:lineRule="auto"/>
      </w:pPr>
      <w:r w:rsidRPr="00D85A4F">
        <w:t>identifying special patients to staff</w:t>
      </w:r>
    </w:p>
    <w:p w14:paraId="05B887C1" w14:textId="77777777" w:rsidR="00025FEB" w:rsidRPr="00D85A4F" w:rsidRDefault="00025FEB" w:rsidP="00025FEB">
      <w:pPr>
        <w:pStyle w:val="Bullet"/>
        <w:spacing w:line="264" w:lineRule="auto"/>
      </w:pPr>
      <w:r w:rsidRPr="00D85A4F">
        <w:t>providing identification in the case of an emergency, including a natural disaster</w:t>
      </w:r>
    </w:p>
    <w:p w14:paraId="133C9EE7" w14:textId="77777777" w:rsidR="00025FEB" w:rsidRPr="00D85A4F" w:rsidRDefault="00025FEB" w:rsidP="00025FEB">
      <w:pPr>
        <w:pStyle w:val="Bullet"/>
        <w:spacing w:line="264" w:lineRule="auto"/>
      </w:pPr>
      <w:r w:rsidRPr="00D85A4F">
        <w:t>assisting in identification with New Zealand Customs (Customs) if travel alerts are in place</w:t>
      </w:r>
    </w:p>
    <w:p w14:paraId="17A8C8B4" w14:textId="77777777" w:rsidR="00025FEB" w:rsidRPr="00D85A4F" w:rsidRDefault="00025FEB" w:rsidP="00025FEB">
      <w:pPr>
        <w:pStyle w:val="Bullet"/>
        <w:spacing w:line="264" w:lineRule="auto"/>
      </w:pPr>
      <w:r w:rsidRPr="00D85A4F">
        <w:t xml:space="preserve">assisting other agencies (such as the New Zealand Police (the </w:t>
      </w:r>
      <w:r>
        <w:t>p</w:t>
      </w:r>
      <w:r w:rsidRPr="00D85A4F">
        <w:t>olice)) to search for any special patient who is absent without leave, and to warn the public if there are dangers in approaching the person.</w:t>
      </w:r>
    </w:p>
    <w:p w14:paraId="4128717D" w14:textId="77777777" w:rsidR="00025FEB" w:rsidRPr="00D85A4F" w:rsidRDefault="00025FEB" w:rsidP="00025FEB"/>
    <w:p w14:paraId="4796A8EB" w14:textId="77777777" w:rsidR="00025FEB" w:rsidRPr="00D85A4F" w:rsidRDefault="00025FEB" w:rsidP="00025FEB">
      <w:r>
        <w:t xml:space="preserve">The Ministry suggests constructing a </w:t>
      </w:r>
      <w:r w:rsidRPr="00D85A4F">
        <w:t xml:space="preserve">client profile </w:t>
      </w:r>
      <w:r>
        <w:t xml:space="preserve">that </w:t>
      </w:r>
      <w:r w:rsidRPr="00D85A4F">
        <w:t xml:space="preserve">contains </w:t>
      </w:r>
      <w:r>
        <w:t xml:space="preserve">the following </w:t>
      </w:r>
      <w:r w:rsidRPr="00D85A4F">
        <w:t>information</w:t>
      </w:r>
      <w:r>
        <w:t>, verified where possible,</w:t>
      </w:r>
      <w:r w:rsidRPr="00D85A4F">
        <w:t xml:space="preserve"> that can be used to assist biometric matching</w:t>
      </w:r>
      <w:r>
        <w:t>:</w:t>
      </w:r>
      <w:r w:rsidRPr="00D85A4F">
        <w:t xml:space="preserve"> </w:t>
      </w:r>
    </w:p>
    <w:p w14:paraId="79DB1769" w14:textId="77777777" w:rsidR="00025FEB" w:rsidRPr="00696B26" w:rsidRDefault="00025FEB" w:rsidP="00025FEB">
      <w:pPr>
        <w:pStyle w:val="Bullet"/>
        <w:tabs>
          <w:tab w:val="clear" w:pos="284"/>
        </w:tabs>
      </w:pPr>
      <w:r w:rsidRPr="00696B26">
        <w:t>name (registered at birth or on first entry to Aotearoa New Zealand)</w:t>
      </w:r>
    </w:p>
    <w:p w14:paraId="651E0164" w14:textId="77777777" w:rsidR="00025FEB" w:rsidRPr="00696B26" w:rsidRDefault="00025FEB" w:rsidP="00025FEB">
      <w:pPr>
        <w:pStyle w:val="Bullet"/>
        <w:tabs>
          <w:tab w:val="clear" w:pos="284"/>
        </w:tabs>
      </w:pPr>
      <w:r w:rsidRPr="00696B26">
        <w:t>preferred name</w:t>
      </w:r>
    </w:p>
    <w:p w14:paraId="4B28490C" w14:textId="77777777" w:rsidR="00025FEB" w:rsidRPr="00696B26" w:rsidRDefault="00025FEB" w:rsidP="00025FEB">
      <w:pPr>
        <w:pStyle w:val="Bullet"/>
        <w:tabs>
          <w:tab w:val="clear" w:pos="284"/>
        </w:tabs>
      </w:pPr>
      <w:r w:rsidRPr="00696B26">
        <w:t xml:space="preserve">alternative names and aliases </w:t>
      </w:r>
    </w:p>
    <w:p w14:paraId="63872487" w14:textId="77777777" w:rsidR="00025FEB" w:rsidRPr="00696B26" w:rsidRDefault="00025FEB" w:rsidP="00025FEB">
      <w:pPr>
        <w:pStyle w:val="Bullet"/>
        <w:tabs>
          <w:tab w:val="clear" w:pos="284"/>
        </w:tabs>
      </w:pPr>
      <w:r w:rsidRPr="00696B26">
        <w:t>National Health Index (NHI) number</w:t>
      </w:r>
    </w:p>
    <w:p w14:paraId="529140B5" w14:textId="77777777" w:rsidR="00025FEB" w:rsidRPr="00696B26" w:rsidRDefault="00025FEB" w:rsidP="00025FEB">
      <w:pPr>
        <w:pStyle w:val="Bullet"/>
        <w:tabs>
          <w:tab w:val="clear" w:pos="284"/>
        </w:tabs>
      </w:pPr>
      <w:r w:rsidRPr="00696B26">
        <w:t xml:space="preserve">photograph </w:t>
      </w:r>
    </w:p>
    <w:p w14:paraId="296C4EA6" w14:textId="77777777" w:rsidR="00025FEB" w:rsidRPr="00696B26" w:rsidRDefault="00025FEB" w:rsidP="00025FEB">
      <w:pPr>
        <w:pStyle w:val="Bullet"/>
        <w:tabs>
          <w:tab w:val="clear" w:pos="284"/>
        </w:tabs>
      </w:pPr>
      <w:r w:rsidRPr="00696B26">
        <w:t>date photograph was taken</w:t>
      </w:r>
    </w:p>
    <w:p w14:paraId="3B12098D" w14:textId="77777777" w:rsidR="00025FEB" w:rsidRPr="00696B26" w:rsidRDefault="00025FEB" w:rsidP="00025FEB">
      <w:pPr>
        <w:pStyle w:val="Bullet"/>
        <w:tabs>
          <w:tab w:val="clear" w:pos="284"/>
        </w:tabs>
      </w:pPr>
      <w:r w:rsidRPr="00696B26">
        <w:t>date of birth</w:t>
      </w:r>
    </w:p>
    <w:p w14:paraId="3E05387F" w14:textId="77777777" w:rsidR="00025FEB" w:rsidRPr="00696B26" w:rsidRDefault="00025FEB" w:rsidP="00025FEB">
      <w:pPr>
        <w:pStyle w:val="Bullet"/>
        <w:tabs>
          <w:tab w:val="clear" w:pos="284"/>
        </w:tabs>
      </w:pPr>
      <w:r w:rsidRPr="00696B26">
        <w:t>place of birth</w:t>
      </w:r>
    </w:p>
    <w:p w14:paraId="6955248B" w14:textId="77777777" w:rsidR="00025FEB" w:rsidRPr="00696B26" w:rsidRDefault="00025FEB" w:rsidP="00025FEB">
      <w:pPr>
        <w:pStyle w:val="Bullet"/>
        <w:tabs>
          <w:tab w:val="clear" w:pos="284"/>
        </w:tabs>
      </w:pPr>
      <w:r w:rsidRPr="00696B26">
        <w:t>type of leave currently on</w:t>
      </w:r>
    </w:p>
    <w:p w14:paraId="0267E27C" w14:textId="77777777" w:rsidR="00025FEB" w:rsidRPr="00696B26" w:rsidRDefault="00025FEB" w:rsidP="00025FEB">
      <w:pPr>
        <w:pStyle w:val="Bullet"/>
        <w:tabs>
          <w:tab w:val="clear" w:pos="284"/>
        </w:tabs>
      </w:pPr>
      <w:r w:rsidRPr="00696B26">
        <w:t>registered victim (Yes or No).</w:t>
      </w:r>
    </w:p>
    <w:p w14:paraId="6668576E" w14:textId="77777777" w:rsidR="00025FEB" w:rsidRPr="00D85A4F" w:rsidRDefault="00025FEB" w:rsidP="00025FEB"/>
    <w:p w14:paraId="4BEF137E" w14:textId="77777777" w:rsidR="00025FEB" w:rsidRDefault="00025FEB" w:rsidP="00025FEB">
      <w:r w:rsidRPr="00D85A4F">
        <w:t xml:space="preserve">This information will make it easier to place overseas border alerts on special patients who are on ministerial long leave or unescorted short leave. </w:t>
      </w:r>
    </w:p>
    <w:p w14:paraId="2DCBB545" w14:textId="77777777" w:rsidR="00025FEB" w:rsidRDefault="00025FEB" w:rsidP="00025FEB"/>
    <w:p w14:paraId="7AF5F280" w14:textId="77777777" w:rsidR="00025FEB" w:rsidRDefault="00025FEB" w:rsidP="00025FEB">
      <w:r w:rsidRPr="00D85A4F">
        <w:t>When a special patient first enters a</w:t>
      </w:r>
      <w:r>
        <w:t>n</w:t>
      </w:r>
      <w:r w:rsidRPr="00D85A4F">
        <w:t xml:space="preserve"> RFMHS, the RFMHS </w:t>
      </w:r>
      <w:r w:rsidRPr="00AF0630">
        <w:t xml:space="preserve">should require them to sign a </w:t>
      </w:r>
      <w:r w:rsidRPr="00216178">
        <w:t xml:space="preserve">form </w:t>
      </w:r>
      <w:r w:rsidRPr="00AF0630">
        <w:t>authorising the provision of a photograph along with the supporting information</w:t>
      </w:r>
      <w:r>
        <w:t xml:space="preserve">. </w:t>
      </w:r>
      <w:r>
        <w:rPr>
          <w:color w:val="000000"/>
        </w:rPr>
        <w:t xml:space="preserve">The form should include information for the special patient about what the information is likely to be used for, who it is likely to be shared with and why it is being collected. The special patient should be informed as a part of this process </w:t>
      </w:r>
      <w:r>
        <w:t xml:space="preserve">that refusal to provide this biometric information may have negative consequences for their subsequent leave applications (and why), </w:t>
      </w:r>
      <w:proofErr w:type="gramStart"/>
      <w:r>
        <w:t>and also</w:t>
      </w:r>
      <w:proofErr w:type="gramEnd"/>
      <w:r>
        <w:t xml:space="preserve"> information on how the patient may request and access their own information if they want it.</w:t>
      </w:r>
    </w:p>
    <w:p w14:paraId="486521EB" w14:textId="77777777" w:rsidR="00025FEB" w:rsidRDefault="00025FEB" w:rsidP="00025FEB">
      <w:pPr>
        <w:rPr>
          <w:color w:val="000000"/>
        </w:rPr>
      </w:pPr>
    </w:p>
    <w:p w14:paraId="6AD3134E" w14:textId="77777777" w:rsidR="00025FEB" w:rsidRPr="00D85A4F" w:rsidRDefault="00025FEB" w:rsidP="00025FEB">
      <w:pPr>
        <w:rPr>
          <w:color w:val="000000"/>
        </w:rPr>
      </w:pPr>
      <w:r w:rsidRPr="00D85A4F">
        <w:rPr>
          <w:color w:val="000000"/>
        </w:rPr>
        <w:t xml:space="preserve">Guidance on the appropriate quality for special patient photographs can be found on the following website: </w:t>
      </w:r>
      <w:hyperlink r:id="rId24" w:history="1">
        <w:r w:rsidRPr="00D85A4F">
          <w:rPr>
            <w:rStyle w:val="Hyperlink"/>
          </w:rPr>
          <w:t>www.passports.govt.nz/passport-photos/</w:t>
        </w:r>
      </w:hyperlink>
      <w:r w:rsidRPr="00D85A4F">
        <w:rPr>
          <w:color w:val="000000"/>
        </w:rPr>
        <w:t xml:space="preserve">. </w:t>
      </w:r>
    </w:p>
    <w:p w14:paraId="3E98767F" w14:textId="77777777" w:rsidR="00025FEB" w:rsidRPr="00D85A4F" w:rsidRDefault="00025FEB" w:rsidP="00025FEB"/>
    <w:p w14:paraId="7A06B3FC" w14:textId="77777777" w:rsidR="00025FEB" w:rsidRPr="00D85A4F" w:rsidRDefault="00025FEB" w:rsidP="00025FEB">
      <w:r>
        <w:t xml:space="preserve">Individual </w:t>
      </w:r>
      <w:r w:rsidRPr="00D85A4F">
        <w:t>RFMHS</w:t>
      </w:r>
      <w:r>
        <w:t>s</w:t>
      </w:r>
      <w:r w:rsidRPr="00D85A4F">
        <w:t xml:space="preserve"> may develop their own processes for taking photographs</w:t>
      </w:r>
      <w:r>
        <w:t>,</w:t>
      </w:r>
      <w:r w:rsidRPr="00D85A4F">
        <w:t xml:space="preserve"> </w:t>
      </w:r>
      <w:proofErr w:type="gramStart"/>
      <w:r w:rsidRPr="00D85A4F">
        <w:t>provided that</w:t>
      </w:r>
      <w:proofErr w:type="gramEnd"/>
      <w:r w:rsidRPr="00D85A4F">
        <w:t xml:space="preserve"> </w:t>
      </w:r>
      <w:r>
        <w:t xml:space="preserve">they follow </w:t>
      </w:r>
      <w:r w:rsidRPr="00D85A4F">
        <w:t>the consent, storage and disposal protocols in this section. Some RFMHS</w:t>
      </w:r>
      <w:r>
        <w:t>s</w:t>
      </w:r>
      <w:r w:rsidRPr="00D85A4F">
        <w:t xml:space="preserve"> may have the facility to take photographs</w:t>
      </w:r>
      <w:r>
        <w:t xml:space="preserve">; a </w:t>
      </w:r>
      <w:r w:rsidRPr="00D85A4F">
        <w:t>photographer can attend the forensic unit. In such instances, photographs should be taken with a forensic staff member present. An alternative is to purchase a digital camera and have a staff member take the photograph. Personal cameras or cell phones should not be used.</w:t>
      </w:r>
    </w:p>
    <w:p w14:paraId="6E33C02F" w14:textId="77777777" w:rsidR="00025FEB" w:rsidRPr="00D85A4F" w:rsidRDefault="00025FEB" w:rsidP="00025FEB"/>
    <w:p w14:paraId="5260ABCE" w14:textId="77777777" w:rsidR="00025FEB" w:rsidRPr="00D85A4F" w:rsidRDefault="00025FEB" w:rsidP="00025FEB">
      <w:r w:rsidRPr="00D85A4F">
        <w:t xml:space="preserve">Each photograph must be stored electronically and in hard copy. The </w:t>
      </w:r>
      <w:r>
        <w:t xml:space="preserve">profile form and </w:t>
      </w:r>
      <w:r w:rsidRPr="00D85A4F">
        <w:t xml:space="preserve">photograph should be treated as part of the patient’s record and be stored as part of </w:t>
      </w:r>
      <w:r>
        <w:t xml:space="preserve">the </w:t>
      </w:r>
      <w:r w:rsidRPr="00D85A4F">
        <w:t xml:space="preserve">RFMHS’s patient management system, to meet the requirements of the Public </w:t>
      </w:r>
      <w:r>
        <w:t xml:space="preserve">Records </w:t>
      </w:r>
      <w:r w:rsidRPr="00D85A4F">
        <w:t>Act 200</w:t>
      </w:r>
      <w:r>
        <w:t>5</w:t>
      </w:r>
      <w:r w:rsidRPr="00D85A4F">
        <w:t xml:space="preserve"> (and the</w:t>
      </w:r>
      <w:r>
        <w:t xml:space="preserve"> </w:t>
      </w:r>
      <w:r w:rsidRPr="00D85A4F">
        <w:t xml:space="preserve">Health Information Privacy Code 2020). The image on the camera should be deleted once the photograph </w:t>
      </w:r>
      <w:r>
        <w:t xml:space="preserve">has been </w:t>
      </w:r>
      <w:r w:rsidRPr="00D85A4F">
        <w:t>taken.</w:t>
      </w:r>
    </w:p>
    <w:p w14:paraId="61ABEADB" w14:textId="77777777" w:rsidR="00025FEB" w:rsidRPr="00D85A4F" w:rsidRDefault="00025FEB" w:rsidP="00025FEB"/>
    <w:p w14:paraId="1B5DB86A" w14:textId="77777777" w:rsidR="00025FEB" w:rsidRPr="00D85A4F" w:rsidRDefault="00025FEB" w:rsidP="00025FEB">
      <w:r w:rsidRPr="00D85A4F">
        <w:t>Photographs should be updated at least every five years while the person remains a special patient.</w:t>
      </w:r>
    </w:p>
    <w:p w14:paraId="757880B6" w14:textId="77777777" w:rsidR="00025FEB" w:rsidRPr="00D85A4F" w:rsidRDefault="00025FEB" w:rsidP="00025FEB"/>
    <w:p w14:paraId="2AEECDE4" w14:textId="77777777" w:rsidR="00025FEB" w:rsidRPr="00D85A4F" w:rsidRDefault="00025FEB" w:rsidP="00025FEB">
      <w:r w:rsidRPr="00D85A4F">
        <w:t>The DAMHS must ensure that</w:t>
      </w:r>
      <w:r>
        <w:t>,</w:t>
      </w:r>
      <w:r w:rsidRPr="00D85A4F">
        <w:t xml:space="preserve"> if an individual’s status as a special patient is lifted</w:t>
      </w:r>
      <w:r>
        <w:t>,</w:t>
      </w:r>
      <w:r w:rsidRPr="00D85A4F">
        <w:t xml:space="preserve"> all photographs (including any negatives or digital or other records of the photographs) taken during the special patient’s detention will be kept in accordance with the</w:t>
      </w:r>
      <w:r>
        <w:t xml:space="preserve"> relevant sector standards,</w:t>
      </w:r>
      <w:r w:rsidRPr="00D85A4F">
        <w:t xml:space="preserve"> </w:t>
      </w:r>
      <w:r>
        <w:t xml:space="preserve">the Privacy Act 2020 (and the Health Information Privacy Code 2020), the </w:t>
      </w:r>
      <w:r w:rsidRPr="00D85A4F">
        <w:t>Public Records Act 2005</w:t>
      </w:r>
      <w:r>
        <w:t xml:space="preserve"> and the </w:t>
      </w:r>
      <w:r w:rsidRPr="006F3676">
        <w:t>Health (Retention of Information) Regulations 1996.</w:t>
      </w:r>
    </w:p>
    <w:p w14:paraId="265D5C67" w14:textId="77777777" w:rsidR="00025FEB" w:rsidRPr="00D85A4F" w:rsidRDefault="00025FEB" w:rsidP="00025FEB"/>
    <w:p w14:paraId="66AE9436" w14:textId="77777777" w:rsidR="00025FEB" w:rsidRPr="00D85A4F" w:rsidRDefault="00025FEB" w:rsidP="00025FEB">
      <w:r w:rsidRPr="00D85A4F">
        <w:t xml:space="preserve">If a special patient refuses to provide the biometric information requested for the purpose of section 43A </w:t>
      </w:r>
      <w:r>
        <w:t>of the Mental Health Act</w:t>
      </w:r>
      <w:r w:rsidRPr="00447A2C">
        <w:t>, the Director must be informed for the purpose of determining the conditions of subsequent leave applications</w:t>
      </w:r>
      <w:r w:rsidRPr="007920A4">
        <w:t>.</w:t>
      </w:r>
      <w:r>
        <w:t xml:space="preserve">  </w:t>
      </w:r>
    </w:p>
    <w:p w14:paraId="5278CFAE" w14:textId="77777777" w:rsidR="00025FEB" w:rsidRPr="00D85A4F" w:rsidRDefault="00025FEB" w:rsidP="00025FEB">
      <w:pPr>
        <w:pStyle w:val="Heading2"/>
      </w:pPr>
      <w:bookmarkStart w:id="34" w:name="_Toc83197058"/>
      <w:bookmarkStart w:id="35" w:name="_Toc112845442"/>
      <w:bookmarkStart w:id="36" w:name="_Toc112862046"/>
      <w:bookmarkStart w:id="37" w:name="_Toc116484587"/>
      <w:r w:rsidRPr="00D85A4F">
        <w:t>Flight risk assessment</w:t>
      </w:r>
      <w:bookmarkEnd w:id="34"/>
      <w:bookmarkEnd w:id="35"/>
      <w:bookmarkEnd w:id="36"/>
      <w:bookmarkEnd w:id="37"/>
    </w:p>
    <w:p w14:paraId="7FC42DE8" w14:textId="77777777" w:rsidR="00025FEB" w:rsidRPr="00D85A4F" w:rsidRDefault="00025FEB" w:rsidP="00025FEB">
      <w:r w:rsidRPr="00D85A4F">
        <w:t>A</w:t>
      </w:r>
      <w:r>
        <w:t>n RFMHS should conduct a</w:t>
      </w:r>
      <w:r w:rsidRPr="00D85A4F">
        <w:t xml:space="preserve"> flight risk assessment for every special patient </w:t>
      </w:r>
      <w:r>
        <w:t>on entry</w:t>
      </w:r>
      <w:r w:rsidRPr="00D85A4F">
        <w:t xml:space="preserve">. The flight risk assessment should identify the level of risk (high, </w:t>
      </w:r>
      <w:proofErr w:type="gramStart"/>
      <w:r w:rsidRPr="00D85A4F">
        <w:t>medium</w:t>
      </w:r>
      <w:proofErr w:type="gramEnd"/>
      <w:r w:rsidRPr="00D85A4F">
        <w:t xml:space="preserve"> or low) and be supported by a summary of reasons underlying the assessed level of risk.</w:t>
      </w:r>
    </w:p>
    <w:p w14:paraId="24222C79" w14:textId="77777777" w:rsidR="00025FEB" w:rsidRPr="00D85A4F" w:rsidRDefault="00025FEB" w:rsidP="00025FEB"/>
    <w:p w14:paraId="4E10D5EE" w14:textId="77777777" w:rsidR="00025FEB" w:rsidRPr="00D85A4F" w:rsidRDefault="00025FEB" w:rsidP="00025FEB">
      <w:r w:rsidRPr="00D85A4F">
        <w:t>Factors to consider when assessing for flight risk include:</w:t>
      </w:r>
    </w:p>
    <w:p w14:paraId="76EBD93C" w14:textId="77777777" w:rsidR="00025FEB" w:rsidRPr="00696B26" w:rsidRDefault="00025FEB" w:rsidP="00025FEB">
      <w:pPr>
        <w:pStyle w:val="Bullet"/>
        <w:tabs>
          <w:tab w:val="clear" w:pos="284"/>
        </w:tabs>
      </w:pPr>
      <w:r w:rsidRPr="00696B26">
        <w:t>dual citizenship</w:t>
      </w:r>
    </w:p>
    <w:p w14:paraId="50F9C177" w14:textId="77777777" w:rsidR="00025FEB" w:rsidRPr="00696B26" w:rsidRDefault="00025FEB" w:rsidP="00025FEB">
      <w:pPr>
        <w:pStyle w:val="Bullet"/>
        <w:tabs>
          <w:tab w:val="clear" w:pos="284"/>
        </w:tabs>
      </w:pPr>
      <w:r w:rsidRPr="00696B26">
        <w:t>relatives or connections overseas</w:t>
      </w:r>
    </w:p>
    <w:p w14:paraId="187FD703" w14:textId="77777777" w:rsidR="00025FEB" w:rsidRPr="00696B26" w:rsidRDefault="00025FEB" w:rsidP="00025FEB">
      <w:pPr>
        <w:pStyle w:val="Bullet"/>
        <w:tabs>
          <w:tab w:val="clear" w:pos="284"/>
        </w:tabs>
      </w:pPr>
      <w:r w:rsidRPr="00696B26">
        <w:t>financial circumstances</w:t>
      </w:r>
    </w:p>
    <w:p w14:paraId="7B684D53" w14:textId="77777777" w:rsidR="00025FEB" w:rsidRPr="00696B26" w:rsidRDefault="00025FEB" w:rsidP="00025FEB">
      <w:pPr>
        <w:pStyle w:val="Bullet"/>
        <w:tabs>
          <w:tab w:val="clear" w:pos="284"/>
        </w:tabs>
      </w:pPr>
      <w:r w:rsidRPr="00696B26">
        <w:t>expressed desire to travel</w:t>
      </w:r>
    </w:p>
    <w:p w14:paraId="6B6B750B" w14:textId="77777777" w:rsidR="00025FEB" w:rsidRPr="00696B26" w:rsidRDefault="00025FEB" w:rsidP="00025FEB">
      <w:pPr>
        <w:pStyle w:val="Bullet"/>
        <w:tabs>
          <w:tab w:val="clear" w:pos="284"/>
        </w:tabs>
      </w:pPr>
      <w:r w:rsidRPr="00696B26">
        <w:t>other incentives to travel</w:t>
      </w:r>
    </w:p>
    <w:p w14:paraId="147605A2" w14:textId="77777777" w:rsidR="00025FEB" w:rsidRPr="00696B26" w:rsidRDefault="00025FEB" w:rsidP="00025FEB">
      <w:pPr>
        <w:pStyle w:val="Bullet"/>
        <w:tabs>
          <w:tab w:val="clear" w:pos="284"/>
        </w:tabs>
      </w:pPr>
      <w:r w:rsidRPr="00696B26">
        <w:t>possession of current passport/passports.</w:t>
      </w:r>
    </w:p>
    <w:p w14:paraId="0EC2DB37" w14:textId="77777777" w:rsidR="00025FEB" w:rsidRPr="00D85A4F" w:rsidRDefault="00025FEB" w:rsidP="00025FEB"/>
    <w:p w14:paraId="64608BC5" w14:textId="77777777" w:rsidR="00025FEB" w:rsidRDefault="00025FEB" w:rsidP="00025FEB">
      <w:r w:rsidRPr="00D85A4F">
        <w:t xml:space="preserve">The patient’s current management plan should indicate the steps that </w:t>
      </w:r>
      <w:r>
        <w:t xml:space="preserve">the RFMHS has </w:t>
      </w:r>
      <w:r w:rsidRPr="00D85A4F">
        <w:t>taken to mitigate these risks.</w:t>
      </w:r>
    </w:p>
    <w:p w14:paraId="66DEE6A5" w14:textId="77777777" w:rsidR="00025FEB" w:rsidRPr="00696B26" w:rsidRDefault="00025FEB" w:rsidP="00025FEB">
      <w:pPr>
        <w:pStyle w:val="Heading3"/>
      </w:pPr>
      <w:r w:rsidRPr="00696B26">
        <w:t>Overseas border alerts</w:t>
      </w:r>
    </w:p>
    <w:p w14:paraId="10433F3B" w14:textId="77777777" w:rsidR="00025FEB" w:rsidRPr="00D85A4F" w:rsidRDefault="00025FEB" w:rsidP="00025FEB">
      <w:r w:rsidRPr="00D85A4F">
        <w:t xml:space="preserve">A planned overseas border alert needs to be in place for any special patient who has ministerial long leave or unescorted short leave in the community. </w:t>
      </w:r>
    </w:p>
    <w:p w14:paraId="7EDD7480" w14:textId="77777777" w:rsidR="00025FEB" w:rsidRPr="00D85A4F" w:rsidRDefault="00025FEB" w:rsidP="00025FEB"/>
    <w:p w14:paraId="10CB49F0" w14:textId="77777777" w:rsidR="00025FEB" w:rsidRPr="00D85A4F" w:rsidRDefault="00025FEB" w:rsidP="00025FEB">
      <w:r w:rsidRPr="00D85A4F">
        <w:t xml:space="preserve">When a special patient is granted unescorted short leave for the first time, travel restrictions (an overseas border alert and passport block) need to be instigated. To do </w:t>
      </w:r>
      <w:r w:rsidRPr="00D85A4F">
        <w:lastRenderedPageBreak/>
        <w:t>this, the Office of the Director will notify two external agencies, Interpol (</w:t>
      </w:r>
      <w:r>
        <w:t xml:space="preserve">overseeing </w:t>
      </w:r>
      <w:r w:rsidRPr="00D85A4F">
        <w:t>border alerts) and the Department of Internal Affairs (</w:t>
      </w:r>
      <w:r>
        <w:t xml:space="preserve">overseeing </w:t>
      </w:r>
      <w:r w:rsidRPr="00D85A4F">
        <w:t>passport blocks).</w:t>
      </w:r>
    </w:p>
    <w:p w14:paraId="61E04457" w14:textId="77777777" w:rsidR="00025FEB" w:rsidRPr="00D85A4F" w:rsidRDefault="00025FEB" w:rsidP="00025FEB"/>
    <w:p w14:paraId="73AABABC" w14:textId="77777777" w:rsidR="00025FEB" w:rsidRPr="00D85A4F" w:rsidRDefault="00025FEB" w:rsidP="00025FEB">
      <w:r w:rsidRPr="00D85A4F">
        <w:t>Emergency overseas border alerts can be placed where a special patient escapes or is otherwise absent without leave.</w:t>
      </w:r>
    </w:p>
    <w:p w14:paraId="77CAA52C" w14:textId="77777777" w:rsidR="00025FEB" w:rsidRPr="00D85A4F" w:rsidRDefault="00025FEB" w:rsidP="00025FEB"/>
    <w:p w14:paraId="342F71F6" w14:textId="77777777" w:rsidR="00025FEB" w:rsidRPr="00D85A4F" w:rsidRDefault="00025FEB" w:rsidP="00025FEB">
      <w:r w:rsidRPr="00D85A4F">
        <w:t xml:space="preserve">The RFMHS is responsible for placing and removing emergency overseas border alerts for special patients. </w:t>
      </w:r>
      <w:r>
        <w:t>Section 6.3.1 of these guidelines sets out d</w:t>
      </w:r>
      <w:r w:rsidRPr="00D85A4F">
        <w:t>etails of the process for placing an emergency overseas border alert.</w:t>
      </w:r>
    </w:p>
    <w:p w14:paraId="1B33B047" w14:textId="77777777" w:rsidR="00025FEB" w:rsidRPr="00D85A4F" w:rsidRDefault="00025FEB" w:rsidP="00025FEB"/>
    <w:p w14:paraId="28FE5954" w14:textId="77777777" w:rsidR="00025FEB" w:rsidRPr="00D85A4F" w:rsidRDefault="00025FEB" w:rsidP="00025FEB">
      <w:r w:rsidRPr="00D85A4F">
        <w:t>In the rare event that a special patient is granted leave and approval to travel overseas, the overseas border alert will need to be removed and reinstated on their return.</w:t>
      </w:r>
    </w:p>
    <w:p w14:paraId="40B5B492" w14:textId="77777777" w:rsidR="00025FEB" w:rsidRPr="00D85A4F" w:rsidRDefault="00025FEB" w:rsidP="00025FEB"/>
    <w:p w14:paraId="15DD22B4" w14:textId="77777777" w:rsidR="00025FEB" w:rsidRPr="00D85A4F" w:rsidRDefault="00025FEB" w:rsidP="00025FEB">
      <w:r w:rsidRPr="00D85A4F">
        <w:t>When a special patient is granted a change of status,</w:t>
      </w:r>
      <w:r>
        <w:t xml:space="preserve"> the Office of the Director will remove</w:t>
      </w:r>
      <w:r w:rsidRPr="00D85A4F">
        <w:t xml:space="preserve"> travel restrictions (an overseas border alert and passport block) as soon as the Office of the Director is notified of </w:t>
      </w:r>
      <w:r>
        <w:t xml:space="preserve">the </w:t>
      </w:r>
      <w:r w:rsidRPr="00D85A4F">
        <w:t>change of status.</w:t>
      </w:r>
    </w:p>
    <w:p w14:paraId="5F8908D0" w14:textId="77777777" w:rsidR="00025FEB" w:rsidRPr="00D85A4F" w:rsidRDefault="00025FEB" w:rsidP="00025FEB">
      <w:pPr>
        <w:pStyle w:val="Heading3"/>
      </w:pPr>
      <w:r w:rsidRPr="00D85A4F">
        <w:t>Process when an overseas border alert is activated</w:t>
      </w:r>
    </w:p>
    <w:p w14:paraId="272400F6" w14:textId="77777777" w:rsidR="00025FEB" w:rsidRPr="00D85A4F" w:rsidRDefault="00025FEB" w:rsidP="00025FEB">
      <w:pPr>
        <w:keepNext/>
      </w:pPr>
      <w:r w:rsidRPr="00D85A4F">
        <w:t xml:space="preserve">If an overseas border alert is activated, Customs will contact </w:t>
      </w:r>
      <w:r>
        <w:t>p</w:t>
      </w:r>
      <w:r w:rsidRPr="00D85A4F">
        <w:t xml:space="preserve">olice at the border. Police will check the photograph held by Customs to confirm the patient’s identity. If the patient is subject to an overseas border alert, </w:t>
      </w:r>
      <w:r>
        <w:t>p</w:t>
      </w:r>
      <w:r w:rsidRPr="00D85A4F">
        <w:t xml:space="preserve">olice will contact the Director or the </w:t>
      </w:r>
      <w:r>
        <w:t xml:space="preserve">relevant </w:t>
      </w:r>
      <w:r w:rsidRPr="00D85A4F">
        <w:t xml:space="preserve">DAMHS. </w:t>
      </w:r>
    </w:p>
    <w:p w14:paraId="2B459856" w14:textId="77777777" w:rsidR="00025FEB" w:rsidRPr="00D85A4F" w:rsidRDefault="00025FEB" w:rsidP="00025FEB">
      <w:pPr>
        <w:keepNext/>
      </w:pPr>
    </w:p>
    <w:p w14:paraId="27F1F336" w14:textId="77777777" w:rsidR="00025FEB" w:rsidRPr="00D85A4F" w:rsidRDefault="00025FEB" w:rsidP="00025FEB">
      <w:r w:rsidRPr="00D85A4F">
        <w:t>If the patient is on short leave, their leave must immediately be cancelled</w:t>
      </w:r>
      <w:r>
        <w:t xml:space="preserve"> </w:t>
      </w:r>
      <w:r w:rsidRPr="00D85A4F">
        <w:t xml:space="preserve">by the Director or the DAMHS under section 52 of the </w:t>
      </w:r>
      <w:r>
        <w:t>Mental Health Act</w:t>
      </w:r>
      <w:r w:rsidRPr="00D85A4F">
        <w:t>. If the patient is on ministerial long leave, the DAMHS is to direct in writing that the patient be admitted or re-admitted to hospital (</w:t>
      </w:r>
      <w:r>
        <w:t xml:space="preserve">under </w:t>
      </w:r>
      <w:r w:rsidRPr="00D85A4F">
        <w:t xml:space="preserve">section 51 of the </w:t>
      </w:r>
      <w:r>
        <w:t>Mental Health Act</w:t>
      </w:r>
      <w:r w:rsidRPr="00D85A4F">
        <w:t xml:space="preserve">). If </w:t>
      </w:r>
      <w:r>
        <w:t>p</w:t>
      </w:r>
      <w:r w:rsidRPr="00D85A4F">
        <w:t xml:space="preserve">olice need a copy of that direction, they will provide the DAMHS with an email address. </w:t>
      </w:r>
      <w:r>
        <w:t>Section 3 of these guidelines sets out f</w:t>
      </w:r>
      <w:r w:rsidRPr="00D85A4F">
        <w:t>urther details.</w:t>
      </w:r>
    </w:p>
    <w:p w14:paraId="080C1B8A" w14:textId="77777777" w:rsidR="00025FEB" w:rsidRPr="00D85A4F" w:rsidRDefault="00025FEB" w:rsidP="00025FEB"/>
    <w:p w14:paraId="53892418" w14:textId="77777777" w:rsidR="00025FEB" w:rsidRDefault="00025FEB" w:rsidP="00025FEB">
      <w:r w:rsidRPr="00D85A4F">
        <w:t xml:space="preserve">The DAMHS (or the person acting on the authority of the DAMHS) </w:t>
      </w:r>
      <w:r>
        <w:t xml:space="preserve">must </w:t>
      </w:r>
      <w:r w:rsidRPr="00D85A4F">
        <w:t xml:space="preserve">advise </w:t>
      </w:r>
      <w:r>
        <w:t>p</w:t>
      </w:r>
      <w:r w:rsidRPr="00D85A4F">
        <w:t xml:space="preserve">olice of the RFMHS to which the patient is to be taken. </w:t>
      </w:r>
      <w:r>
        <w:t>Police and the RFMHS should agree on a</w:t>
      </w:r>
      <w:r w:rsidRPr="00D85A4F">
        <w:t xml:space="preserve"> transport plan, reflecting the Ministry’s guidance on </w:t>
      </w:r>
      <w:r>
        <w:t xml:space="preserve">safe transportation of </w:t>
      </w:r>
      <w:r w:rsidRPr="00D85A4F">
        <w:t>special patient</w:t>
      </w:r>
      <w:r>
        <w:t>s</w:t>
      </w:r>
      <w:r w:rsidRPr="00D85A4F">
        <w:t xml:space="preserve"> </w:t>
      </w:r>
      <w:r>
        <w:t xml:space="preserve">on the Ministry of Health website. </w:t>
      </w:r>
      <w:r w:rsidRPr="00EC1F42">
        <w:rPr>
          <w:rFonts w:asciiTheme="minorHAnsi" w:eastAsiaTheme="minorHAnsi" w:hAnsiTheme="minorHAnsi" w:cstheme="minorBidi"/>
          <w:szCs w:val="22"/>
          <w:lang w:eastAsia="en-US"/>
        </w:rPr>
        <w:t xml:space="preserve"> </w:t>
      </w:r>
      <w:r w:rsidRPr="00EC1F42">
        <w:t>The Ministry is reviewing its current guidelines; a new version will be available by the end of 2022</w:t>
      </w:r>
      <w:r w:rsidRPr="00D85A4F">
        <w:t>.</w:t>
      </w:r>
    </w:p>
    <w:p w14:paraId="4F3A97F1" w14:textId="77777777" w:rsidR="00025FEB" w:rsidRDefault="00025FEB" w:rsidP="00025FEB">
      <w:pPr>
        <w:sectPr w:rsidR="00025FEB" w:rsidSect="00696B26">
          <w:pgSz w:w="11907" w:h="16834" w:code="9"/>
          <w:pgMar w:top="1418" w:right="1701" w:bottom="1134" w:left="1843" w:header="284" w:footer="425" w:gutter="284"/>
          <w:cols w:space="720"/>
        </w:sectPr>
      </w:pPr>
    </w:p>
    <w:p w14:paraId="15E3CF9F" w14:textId="77777777" w:rsidR="00025FEB" w:rsidRPr="00D85A4F" w:rsidRDefault="00025FEB" w:rsidP="00025FEB">
      <w:pPr>
        <w:pStyle w:val="Heading1"/>
      </w:pPr>
      <w:bookmarkStart w:id="38" w:name="_Toc83197059"/>
      <w:bookmarkStart w:id="39" w:name="_Toc112845443"/>
      <w:bookmarkStart w:id="40" w:name="_Toc112862047"/>
      <w:bookmarkStart w:id="41" w:name="_Toc116484588"/>
      <w:r w:rsidRPr="00D85A4F">
        <w:lastRenderedPageBreak/>
        <w:t>Special patient reviews</w:t>
      </w:r>
      <w:bookmarkEnd w:id="38"/>
      <w:bookmarkEnd w:id="39"/>
      <w:bookmarkEnd w:id="40"/>
      <w:bookmarkEnd w:id="41"/>
    </w:p>
    <w:p w14:paraId="5FA0BCC9" w14:textId="77777777" w:rsidR="00025FEB" w:rsidRPr="00D85A4F" w:rsidRDefault="00025FEB" w:rsidP="00025FEB">
      <w:r w:rsidRPr="00D85A4F">
        <w:t xml:space="preserve">Special </w:t>
      </w:r>
      <w:r>
        <w:t>p</w:t>
      </w:r>
      <w:r w:rsidRPr="00D85A4F">
        <w:t xml:space="preserve">atient </w:t>
      </w:r>
      <w:r>
        <w:t>r</w:t>
      </w:r>
      <w:r w:rsidRPr="00D85A4F">
        <w:t xml:space="preserve">eview </w:t>
      </w:r>
      <w:r>
        <w:t>p</w:t>
      </w:r>
      <w:r w:rsidRPr="00D85A4F">
        <w:t xml:space="preserve">anels (SPRPs) originated from the recommendations of the Mason Report </w:t>
      </w:r>
      <w:r>
        <w:t xml:space="preserve">in </w:t>
      </w:r>
      <w:r w:rsidRPr="00D85A4F">
        <w:t>1988</w:t>
      </w:r>
      <w:r>
        <w:t xml:space="preserve"> (Ministry of Health 1988)</w:t>
      </w:r>
      <w:r w:rsidRPr="00D85A4F">
        <w:t xml:space="preserve">. They provide a useful source of information and advice to the Director on the progress of individual special patients. However, SPRPs are not legal entities and do not replace the decision-making responsibilities </w:t>
      </w:r>
      <w:r>
        <w:t xml:space="preserve">that the Mental Health Act </w:t>
      </w:r>
      <w:r w:rsidRPr="00D85A4F">
        <w:t>place</w:t>
      </w:r>
      <w:r>
        <w:t>s</w:t>
      </w:r>
      <w:r w:rsidRPr="00D85A4F">
        <w:t xml:space="preserve"> on responsible clinicians, DAMHS</w:t>
      </w:r>
      <w:r>
        <w:t>s</w:t>
      </w:r>
      <w:r w:rsidRPr="00D85A4F">
        <w:t xml:space="preserve"> and the Director</w:t>
      </w:r>
      <w:r>
        <w:t xml:space="preserve">. </w:t>
      </w:r>
    </w:p>
    <w:p w14:paraId="34774370" w14:textId="77777777" w:rsidR="00025FEB" w:rsidRPr="00D85A4F" w:rsidRDefault="00025FEB" w:rsidP="00025FEB"/>
    <w:p w14:paraId="5E62E00D" w14:textId="77777777" w:rsidR="00025FEB" w:rsidRPr="00D85A4F" w:rsidRDefault="00025FEB" w:rsidP="00025FEB">
      <w:r>
        <w:t xml:space="preserve">The SPRP process is </w:t>
      </w:r>
      <w:r w:rsidRPr="00D85A4F">
        <w:t>a useful source of advice for the Director</w:t>
      </w:r>
      <w:r>
        <w:t>;</w:t>
      </w:r>
      <w:r w:rsidRPr="00D85A4F">
        <w:t xml:space="preserve"> more importantly</w:t>
      </w:r>
      <w:r>
        <w:t>,</w:t>
      </w:r>
      <w:r w:rsidRPr="00D85A4F">
        <w:t xml:space="preserve"> </w:t>
      </w:r>
      <w:r>
        <w:t xml:space="preserve">it </w:t>
      </w:r>
      <w:r w:rsidRPr="00D85A4F">
        <w:t xml:space="preserve">provides a mechanism for a multidisciplinary peer review of decisions about special patients. The information provided by SPRPs </w:t>
      </w:r>
      <w:r>
        <w:t xml:space="preserve">is </w:t>
      </w:r>
      <w:r w:rsidRPr="00D85A4F">
        <w:t xml:space="preserve">a comprehensive, multidisciplinary update of </w:t>
      </w:r>
      <w:r>
        <w:t xml:space="preserve">a </w:t>
      </w:r>
      <w:r w:rsidRPr="00D85A4F">
        <w:t>patient’s progress</w:t>
      </w:r>
      <w:r>
        <w:t>,</w:t>
      </w:r>
      <w:r w:rsidRPr="00D85A4F">
        <w:t xml:space="preserve"> and often </w:t>
      </w:r>
      <w:r>
        <w:t xml:space="preserve">comprises </w:t>
      </w:r>
      <w:r w:rsidRPr="00D85A4F">
        <w:t>supporting information for a request for ministerial long leave or change of legal status.</w:t>
      </w:r>
    </w:p>
    <w:p w14:paraId="123A2DB0" w14:textId="77777777" w:rsidR="00025FEB" w:rsidRPr="00D85A4F" w:rsidRDefault="00025FEB" w:rsidP="00025FEB"/>
    <w:p w14:paraId="5CF7800B" w14:textId="77777777" w:rsidR="00025FEB" w:rsidRPr="00D85A4F" w:rsidRDefault="00025FEB" w:rsidP="00025FEB">
      <w:r>
        <w:t xml:space="preserve">Special patient review panel </w:t>
      </w:r>
      <w:r w:rsidRPr="00D85A4F">
        <w:t xml:space="preserve">reports should provide a comprehensive picture, over time, of the progress of individual special patients. </w:t>
      </w:r>
      <w:r>
        <w:t>In constructing a report, t</w:t>
      </w:r>
      <w:r w:rsidRPr="00D85A4F">
        <w:t>he SPRP should consider reports from all those involved in the patient’s care, including:</w:t>
      </w:r>
    </w:p>
    <w:p w14:paraId="1DF80E4C" w14:textId="77777777" w:rsidR="00025FEB" w:rsidRPr="00D85A4F" w:rsidRDefault="00025FEB" w:rsidP="00025FEB">
      <w:pPr>
        <w:pStyle w:val="Bullet"/>
        <w:spacing w:line="264" w:lineRule="auto"/>
      </w:pPr>
      <w:r w:rsidRPr="00D85A4F">
        <w:t>the responsible clinician</w:t>
      </w:r>
    </w:p>
    <w:p w14:paraId="50494D74" w14:textId="77777777" w:rsidR="00025FEB" w:rsidRPr="00D85A4F" w:rsidRDefault="00025FEB" w:rsidP="00025FEB">
      <w:pPr>
        <w:pStyle w:val="Bullet"/>
        <w:spacing w:line="264" w:lineRule="auto"/>
      </w:pPr>
      <w:r w:rsidRPr="00D85A4F">
        <w:t>the case manager / key</w:t>
      </w:r>
      <w:r>
        <w:t xml:space="preserve"> </w:t>
      </w:r>
      <w:r w:rsidRPr="00D85A4F">
        <w:t>worker</w:t>
      </w:r>
    </w:p>
    <w:p w14:paraId="272D3ECC" w14:textId="77777777" w:rsidR="00025FEB" w:rsidRPr="00D85A4F" w:rsidRDefault="00025FEB" w:rsidP="00025FEB">
      <w:pPr>
        <w:pStyle w:val="Bullet"/>
        <w:spacing w:line="264" w:lineRule="auto"/>
      </w:pPr>
      <w:r w:rsidRPr="00D85A4F">
        <w:t>nursing staff</w:t>
      </w:r>
    </w:p>
    <w:p w14:paraId="0DCEE1EB" w14:textId="77777777" w:rsidR="00025FEB" w:rsidRPr="00D85A4F" w:rsidRDefault="00025FEB" w:rsidP="00025FEB">
      <w:pPr>
        <w:pStyle w:val="Bullet"/>
        <w:spacing w:line="264" w:lineRule="auto"/>
      </w:pPr>
      <w:r w:rsidRPr="00D85A4F">
        <w:t>psychologists</w:t>
      </w:r>
    </w:p>
    <w:p w14:paraId="54BDA4A0" w14:textId="77777777" w:rsidR="00025FEB" w:rsidRPr="00D85A4F" w:rsidRDefault="00025FEB" w:rsidP="00025FEB">
      <w:pPr>
        <w:pStyle w:val="Bullet"/>
        <w:spacing w:line="264" w:lineRule="auto"/>
      </w:pPr>
      <w:r w:rsidRPr="00D85A4F">
        <w:t>occupational therapists</w:t>
      </w:r>
    </w:p>
    <w:p w14:paraId="0A616712" w14:textId="77777777" w:rsidR="00025FEB" w:rsidRPr="00D85A4F" w:rsidRDefault="00025FEB" w:rsidP="00025FEB">
      <w:pPr>
        <w:pStyle w:val="Bullet"/>
        <w:spacing w:line="264" w:lineRule="auto"/>
      </w:pPr>
      <w:r w:rsidRPr="00D85A4F">
        <w:t>social workers</w:t>
      </w:r>
    </w:p>
    <w:p w14:paraId="55BBC1F4" w14:textId="77777777" w:rsidR="00025FEB" w:rsidRPr="00D85A4F" w:rsidRDefault="00025FEB" w:rsidP="00025FEB">
      <w:pPr>
        <w:pStyle w:val="Bullet"/>
        <w:spacing w:line="264" w:lineRule="auto"/>
      </w:pPr>
      <w:r w:rsidRPr="00D85A4F">
        <w:t>cultural advisors / cultural workers</w:t>
      </w:r>
    </w:p>
    <w:p w14:paraId="1F0C921F" w14:textId="77777777" w:rsidR="00025FEB" w:rsidRPr="00D85A4F" w:rsidRDefault="00025FEB" w:rsidP="00025FEB">
      <w:pPr>
        <w:pStyle w:val="Bullet"/>
        <w:spacing w:line="264" w:lineRule="auto"/>
      </w:pPr>
      <w:r w:rsidRPr="00D85A4F">
        <w:t>lived experience advisor</w:t>
      </w:r>
    </w:p>
    <w:p w14:paraId="404E78FE" w14:textId="77777777" w:rsidR="00025FEB" w:rsidRPr="00D85A4F" w:rsidRDefault="00025FEB" w:rsidP="00025FEB">
      <w:pPr>
        <w:pStyle w:val="Bullet"/>
        <w:spacing w:line="264" w:lineRule="auto"/>
      </w:pPr>
      <w:r w:rsidRPr="00D85A4F">
        <w:t xml:space="preserve">the patient’s family and </w:t>
      </w:r>
      <w:proofErr w:type="spellStart"/>
      <w:r w:rsidRPr="00D85A4F">
        <w:t>whānau</w:t>
      </w:r>
      <w:proofErr w:type="spellEnd"/>
    </w:p>
    <w:p w14:paraId="1D8477ED" w14:textId="77777777" w:rsidR="00025FEB" w:rsidRPr="00D85A4F" w:rsidRDefault="00025FEB" w:rsidP="00025FEB">
      <w:pPr>
        <w:pStyle w:val="Bullet"/>
        <w:spacing w:line="264" w:lineRule="auto"/>
      </w:pPr>
      <w:r w:rsidRPr="00D85A4F">
        <w:t>the patient</w:t>
      </w:r>
    </w:p>
    <w:p w14:paraId="7DF975CB" w14:textId="77777777" w:rsidR="00025FEB" w:rsidRPr="00D85A4F" w:rsidRDefault="00025FEB" w:rsidP="00025FEB">
      <w:pPr>
        <w:pStyle w:val="Bullet"/>
        <w:spacing w:line="264" w:lineRule="auto"/>
      </w:pPr>
      <w:r w:rsidRPr="00D85A4F">
        <w:t>other service providers, as appropriate (</w:t>
      </w:r>
      <w:r>
        <w:t>for example</w:t>
      </w:r>
      <w:r w:rsidRPr="00D85A4F">
        <w:t>, non-governmental organisations, employer</w:t>
      </w:r>
      <w:r>
        <w:t>s</w:t>
      </w:r>
      <w:r w:rsidRPr="00D85A4F">
        <w:t>).</w:t>
      </w:r>
    </w:p>
    <w:p w14:paraId="6628DD83" w14:textId="77777777" w:rsidR="00025FEB" w:rsidRPr="00D85A4F" w:rsidRDefault="00025FEB" w:rsidP="00025FEB"/>
    <w:p w14:paraId="48C6D2AA" w14:textId="77777777" w:rsidR="00025FEB" w:rsidRPr="00D85A4F" w:rsidRDefault="00025FEB" w:rsidP="00025FEB">
      <w:r>
        <w:t xml:space="preserve">The Ministry of Health </w:t>
      </w:r>
      <w:r w:rsidRPr="00D85A4F">
        <w:t>recommend</w:t>
      </w:r>
      <w:r>
        <w:t>s</w:t>
      </w:r>
      <w:r w:rsidRPr="00D85A4F">
        <w:t xml:space="preserve"> that SPRPs include an external member</w:t>
      </w:r>
      <w:r>
        <w:t>:</w:t>
      </w:r>
      <w:r w:rsidRPr="00D85A4F">
        <w:t xml:space="preserve"> preferably a psychiatrist with expertise in forensic psychiatry.</w:t>
      </w:r>
    </w:p>
    <w:p w14:paraId="0E8CA910" w14:textId="77777777" w:rsidR="00025FEB" w:rsidRPr="00D85A4F" w:rsidRDefault="00025FEB" w:rsidP="00025FEB"/>
    <w:p w14:paraId="453E9478" w14:textId="77777777" w:rsidR="00025FEB" w:rsidRPr="00D85A4F" w:rsidRDefault="00025FEB" w:rsidP="00025FEB">
      <w:r w:rsidRPr="00D85A4F">
        <w:t xml:space="preserve">Patients may sometimes ask to have a support person, or their lawyer, present when the SPRP conducts its review. This decision should </w:t>
      </w:r>
      <w:r>
        <w:t xml:space="preserve">generally </w:t>
      </w:r>
      <w:r w:rsidRPr="00D85A4F">
        <w:t>be respected</w:t>
      </w:r>
      <w:r>
        <w:t>:</w:t>
      </w:r>
      <w:r w:rsidRPr="00D85A4F">
        <w:t xml:space="preserve"> patients have the right to a lawyer under </w:t>
      </w:r>
      <w:r w:rsidRPr="000F75B1">
        <w:t xml:space="preserve">section 70 of the </w:t>
      </w:r>
      <w:r>
        <w:t>Mental Health Act</w:t>
      </w:r>
      <w:r w:rsidRPr="00D85A4F">
        <w:t xml:space="preserve"> as well as the right to natural justice </w:t>
      </w:r>
      <w:r>
        <w:t xml:space="preserve">and the right to have support (Right 8 of the </w:t>
      </w:r>
      <w:r w:rsidRPr="00FD22B3">
        <w:t>Code of Health and Disability Service Consumers' Rights</w:t>
      </w:r>
      <w:r>
        <w:t>).</w:t>
      </w:r>
      <w:r w:rsidRPr="00FD22B3">
        <w:t xml:space="preserve"> </w:t>
      </w:r>
      <w:r>
        <w:t xml:space="preserve"> </w:t>
      </w:r>
      <w:r w:rsidRPr="00D85A4F">
        <w:t xml:space="preserve"> </w:t>
      </w:r>
    </w:p>
    <w:p w14:paraId="0CD28847" w14:textId="77777777" w:rsidR="00025FEB" w:rsidRPr="00D85A4F" w:rsidRDefault="00025FEB" w:rsidP="00025FEB"/>
    <w:p w14:paraId="03C2C69E" w14:textId="77777777" w:rsidR="00025FEB" w:rsidRPr="00D85A4F" w:rsidRDefault="00025FEB" w:rsidP="00025FEB">
      <w:r w:rsidRPr="00D85A4F">
        <w:lastRenderedPageBreak/>
        <w:t xml:space="preserve">The first report from the SPRP </w:t>
      </w:r>
      <w:r>
        <w:t xml:space="preserve">should </w:t>
      </w:r>
      <w:r w:rsidRPr="00D85A4F">
        <w:t>provide a general comment about the leave plan, which should be provided in detail in the responsible clinician’s report. This leave plan should be updated for subsequent SPRP reports. This will assist</w:t>
      </w:r>
      <w:r>
        <w:t xml:space="preserve"> the</w:t>
      </w:r>
      <w:r w:rsidRPr="00D85A4F">
        <w:t xml:space="preserve"> RFMHS when seeking approval for leave by assuring the Office of the Director that each request for leave is part of a planned process.</w:t>
      </w:r>
    </w:p>
    <w:p w14:paraId="624A3F10" w14:textId="77777777" w:rsidR="00025FEB" w:rsidRPr="00D85A4F" w:rsidRDefault="00025FEB" w:rsidP="00025FEB"/>
    <w:p w14:paraId="55623455" w14:textId="77777777" w:rsidR="00025FEB" w:rsidRPr="00D85A4F" w:rsidRDefault="00025FEB" w:rsidP="00025FEB">
      <w:r w:rsidRPr="00D85A4F">
        <w:t>SPRP reports should include the information given in Table 2.</w:t>
      </w:r>
    </w:p>
    <w:p w14:paraId="337E93D2" w14:textId="77777777" w:rsidR="00025FEB" w:rsidRDefault="00025FEB" w:rsidP="00025FEB"/>
    <w:p w14:paraId="19F9AB32" w14:textId="58DDA43F" w:rsidR="00025FEB" w:rsidRDefault="00025FEB" w:rsidP="00025FEB">
      <w:pPr>
        <w:pStyle w:val="Table"/>
      </w:pPr>
      <w:bookmarkStart w:id="42" w:name="_Toc112861575"/>
      <w:bookmarkStart w:id="43" w:name="_Toc116484635"/>
      <w:r>
        <w:t xml:space="preserve">Table </w:t>
      </w:r>
      <w:r>
        <w:fldChar w:fldCharType="begin"/>
      </w:r>
      <w:r>
        <w:instrText>SEQ Table \* ARABIC</w:instrText>
      </w:r>
      <w:r>
        <w:fldChar w:fldCharType="separate"/>
      </w:r>
      <w:r w:rsidR="00F25175">
        <w:rPr>
          <w:noProof/>
        </w:rPr>
        <w:t>2</w:t>
      </w:r>
      <w:r>
        <w:fldChar w:fldCharType="end"/>
      </w:r>
      <w:r>
        <w:t xml:space="preserve">: </w:t>
      </w:r>
      <w:r w:rsidRPr="00696B26">
        <w:t>Information to include in special patient review panel reports</w:t>
      </w:r>
      <w:bookmarkEnd w:id="42"/>
      <w:bookmarkEnd w:id="43"/>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211"/>
        <w:gridCol w:w="5869"/>
      </w:tblGrid>
      <w:tr w:rsidR="00025FEB" w:rsidRPr="00DC20BD" w14:paraId="13B4631D" w14:textId="77777777" w:rsidTr="00AD0359">
        <w:trPr>
          <w:cantSplit/>
        </w:trPr>
        <w:tc>
          <w:tcPr>
            <w:tcW w:w="2211" w:type="dxa"/>
            <w:tcBorders>
              <w:top w:val="single" w:sz="4" w:space="0" w:color="A6A6A6" w:themeColor="background1" w:themeShade="A6"/>
              <w:bottom w:val="single" w:sz="4" w:space="0" w:color="A6A6A6" w:themeColor="background1" w:themeShade="A6"/>
            </w:tcBorders>
          </w:tcPr>
          <w:p w14:paraId="1A2950B8" w14:textId="77777777" w:rsidR="00025FEB" w:rsidRPr="00DC20BD" w:rsidRDefault="00025FEB" w:rsidP="00AD0359">
            <w:pPr>
              <w:pStyle w:val="TableText"/>
              <w:keepNext/>
            </w:pPr>
            <w:r w:rsidRPr="00F06913">
              <w:t>First report</w:t>
            </w:r>
          </w:p>
        </w:tc>
        <w:tc>
          <w:tcPr>
            <w:tcW w:w="5869" w:type="dxa"/>
            <w:tcBorders>
              <w:top w:val="single" w:sz="4" w:space="0" w:color="A6A6A6" w:themeColor="background1" w:themeShade="A6"/>
              <w:bottom w:val="single" w:sz="4" w:space="0" w:color="A6A6A6" w:themeColor="background1" w:themeShade="A6"/>
            </w:tcBorders>
          </w:tcPr>
          <w:p w14:paraId="3E0A551F" w14:textId="77777777" w:rsidR="00025FEB" w:rsidRPr="00D85A4F" w:rsidRDefault="00025FEB" w:rsidP="00025FEB">
            <w:pPr>
              <w:pStyle w:val="TableBullet"/>
              <w:spacing w:before="60" w:line="264" w:lineRule="auto"/>
            </w:pPr>
            <w:r w:rsidRPr="00D85A4F">
              <w:t>A covering letter, signed by the SPRP chair, outlining the key issues noted by the SPRP and including any recommendations on the patient’s legal status or leave progress, including addiction issues and treatment plan if applicable</w:t>
            </w:r>
          </w:p>
          <w:p w14:paraId="2D705B88" w14:textId="77777777" w:rsidR="00025FEB" w:rsidRPr="00D85A4F" w:rsidRDefault="00025FEB" w:rsidP="00025FEB">
            <w:pPr>
              <w:pStyle w:val="TableBullet"/>
              <w:spacing w:line="264" w:lineRule="auto"/>
            </w:pPr>
            <w:r w:rsidRPr="00D85A4F">
              <w:t>A report from the patient’s responsible clinician</w:t>
            </w:r>
          </w:p>
          <w:p w14:paraId="4A743F01" w14:textId="77777777" w:rsidR="00025FEB" w:rsidRPr="00D85A4F" w:rsidRDefault="00025FEB" w:rsidP="00025FEB">
            <w:pPr>
              <w:pStyle w:val="TableBullet"/>
              <w:spacing w:line="264" w:lineRule="auto"/>
            </w:pPr>
            <w:r w:rsidRPr="00D85A4F">
              <w:t>Summary reports from members of the multidisciplinary team</w:t>
            </w:r>
          </w:p>
          <w:p w14:paraId="68A1F7F5" w14:textId="77777777" w:rsidR="00025FEB" w:rsidRPr="00D85A4F" w:rsidRDefault="00025FEB" w:rsidP="00025FEB">
            <w:pPr>
              <w:pStyle w:val="TableBullet"/>
              <w:spacing w:line="264" w:lineRule="auto"/>
            </w:pPr>
            <w:r w:rsidRPr="00D85A4F">
              <w:t xml:space="preserve">A proposed management and rehabilitation plan, including </w:t>
            </w:r>
            <w:r>
              <w:t xml:space="preserve">an </w:t>
            </w:r>
            <w:r w:rsidRPr="00D85A4F">
              <w:t>integrated care plan, wellness and recovery plan and leave plan</w:t>
            </w:r>
          </w:p>
          <w:p w14:paraId="28B24FBE" w14:textId="77777777" w:rsidR="00025FEB" w:rsidRPr="00D85A4F" w:rsidRDefault="00025FEB" w:rsidP="00025FEB">
            <w:pPr>
              <w:pStyle w:val="TableBullet"/>
              <w:spacing w:line="264" w:lineRule="auto"/>
            </w:pPr>
            <w:r w:rsidRPr="00D85A4F">
              <w:t>The patient’s history prior to becoming a special patient</w:t>
            </w:r>
          </w:p>
          <w:p w14:paraId="5BA9E86A" w14:textId="77777777" w:rsidR="00025FEB" w:rsidRPr="00D85A4F" w:rsidRDefault="00025FEB" w:rsidP="00025FEB">
            <w:pPr>
              <w:pStyle w:val="TableBullet"/>
              <w:spacing w:line="264" w:lineRule="auto"/>
            </w:pPr>
            <w:r w:rsidRPr="00D85A4F">
              <w:t xml:space="preserve">The circumstances of the </w:t>
            </w:r>
            <w:r>
              <w:t xml:space="preserve">patient’s </w:t>
            </w:r>
            <w:r w:rsidRPr="00D85A4F">
              <w:t>offending</w:t>
            </w:r>
          </w:p>
          <w:p w14:paraId="204613C9" w14:textId="77777777" w:rsidR="00025FEB" w:rsidRPr="00D85A4F" w:rsidRDefault="00025FEB" w:rsidP="00025FEB">
            <w:pPr>
              <w:pStyle w:val="TableBullet"/>
              <w:spacing w:line="264" w:lineRule="auto"/>
            </w:pPr>
            <w:r w:rsidRPr="00D85A4F">
              <w:t>The patient’s mental state on admission to hospital</w:t>
            </w:r>
          </w:p>
          <w:p w14:paraId="3B71C15D" w14:textId="77777777" w:rsidR="00025FEB" w:rsidRPr="00D85A4F" w:rsidRDefault="00025FEB" w:rsidP="00025FEB">
            <w:pPr>
              <w:pStyle w:val="TableBullet"/>
              <w:spacing w:line="264" w:lineRule="auto"/>
            </w:pPr>
            <w:r w:rsidRPr="00D85A4F">
              <w:t>Comment on matters relating to the offending (</w:t>
            </w:r>
            <w:r>
              <w:t>for example</w:t>
            </w:r>
            <w:r w:rsidRPr="00D85A4F">
              <w:t>, insight into the offending, relationship with victims)</w:t>
            </w:r>
          </w:p>
          <w:p w14:paraId="1613E13B" w14:textId="77777777" w:rsidR="00025FEB" w:rsidRPr="00DC20BD" w:rsidRDefault="00025FEB" w:rsidP="00025FEB">
            <w:pPr>
              <w:pStyle w:val="TableBullet"/>
              <w:spacing w:line="264" w:lineRule="auto"/>
              <w:rPr>
                <w:rFonts w:eastAsia="Lucida Sans Unicode" w:hAnsi="Lucida Sans Unicode" w:cs="Lucida Sans Unicode"/>
              </w:rPr>
            </w:pPr>
            <w:r w:rsidRPr="00D85A4F">
              <w:t>Family/</w:t>
            </w:r>
            <w:proofErr w:type="spellStart"/>
            <w:r>
              <w:t>w</w:t>
            </w:r>
            <w:r w:rsidRPr="00D85A4F">
              <w:t>h</w:t>
            </w:r>
            <w:r w:rsidRPr="00856460">
              <w:t>ā</w:t>
            </w:r>
            <w:r w:rsidRPr="00D85A4F">
              <w:t>nau</w:t>
            </w:r>
            <w:proofErr w:type="spellEnd"/>
            <w:r w:rsidRPr="00D85A4F">
              <w:t xml:space="preserve"> feedback on progress </w:t>
            </w:r>
          </w:p>
        </w:tc>
      </w:tr>
      <w:tr w:rsidR="00025FEB" w:rsidRPr="00DC20BD" w14:paraId="0F9E1FE8" w14:textId="77777777" w:rsidTr="00AD0359">
        <w:trPr>
          <w:cantSplit/>
        </w:trPr>
        <w:tc>
          <w:tcPr>
            <w:tcW w:w="2211" w:type="dxa"/>
          </w:tcPr>
          <w:p w14:paraId="0A4AF860" w14:textId="77777777" w:rsidR="00025FEB" w:rsidRPr="00DC20BD" w:rsidRDefault="00025FEB" w:rsidP="00AD0359">
            <w:pPr>
              <w:pStyle w:val="TableText"/>
            </w:pPr>
            <w:r w:rsidRPr="00F06913">
              <w:t>Subsequent reports</w:t>
            </w:r>
          </w:p>
        </w:tc>
        <w:tc>
          <w:tcPr>
            <w:tcW w:w="5869" w:type="dxa"/>
          </w:tcPr>
          <w:p w14:paraId="79272E1F" w14:textId="77777777" w:rsidR="00025FEB" w:rsidRPr="00D85A4F" w:rsidRDefault="00025FEB" w:rsidP="00025FEB">
            <w:pPr>
              <w:pStyle w:val="TableBullet"/>
              <w:spacing w:before="60" w:line="264" w:lineRule="auto"/>
            </w:pPr>
            <w:r w:rsidRPr="00D85A4F">
              <w:t>A covering report, signed by the SPRP chair, outlining the key issues noted by the SPRP and including any recommendations relating to the patient’s legal status or leave progress</w:t>
            </w:r>
          </w:p>
          <w:p w14:paraId="6F2164C1" w14:textId="77777777" w:rsidR="00025FEB" w:rsidRPr="00D85A4F" w:rsidRDefault="00025FEB" w:rsidP="00025FEB">
            <w:pPr>
              <w:pStyle w:val="TableBullet"/>
              <w:spacing w:line="264" w:lineRule="auto"/>
            </w:pPr>
            <w:r w:rsidRPr="00D85A4F">
              <w:t>A report from the patient’s responsible clinician, including an updated leave plan</w:t>
            </w:r>
          </w:p>
          <w:p w14:paraId="6F2325F0" w14:textId="77777777" w:rsidR="00025FEB" w:rsidRPr="00D85A4F" w:rsidRDefault="00025FEB" w:rsidP="00025FEB">
            <w:pPr>
              <w:pStyle w:val="TableBullet"/>
              <w:spacing w:line="264" w:lineRule="auto"/>
            </w:pPr>
            <w:r w:rsidRPr="00D85A4F">
              <w:t>Summary reports from members of the multidisciplinary team</w:t>
            </w:r>
          </w:p>
          <w:p w14:paraId="327362B2" w14:textId="77777777" w:rsidR="00025FEB" w:rsidRPr="00DC20BD" w:rsidRDefault="00025FEB" w:rsidP="00AD0359">
            <w:pPr>
              <w:pStyle w:val="TableText"/>
              <w:tabs>
                <w:tab w:val="decimal" w:pos="1644"/>
              </w:tabs>
              <w:rPr>
                <w:rFonts w:eastAsia="Lucida Sans Unicode" w:hAnsi="Lucida Sans Unicode" w:cs="Lucida Sans Unicode"/>
              </w:rPr>
            </w:pPr>
            <w:r w:rsidRPr="00D85A4F">
              <w:t>NB: Reports should not repeat previous information</w:t>
            </w:r>
            <w:r>
              <w:t>;</w:t>
            </w:r>
            <w:r w:rsidRPr="00D85A4F">
              <w:t xml:space="preserve"> nor should they consist of ‘cut and paste’ printouts from the patient’s clinical file.</w:t>
            </w:r>
          </w:p>
        </w:tc>
      </w:tr>
    </w:tbl>
    <w:p w14:paraId="403AC792" w14:textId="77777777" w:rsidR="00025FEB" w:rsidRPr="00D85A4F" w:rsidRDefault="00025FEB" w:rsidP="00025FEB">
      <w:pPr>
        <w:pStyle w:val="Table"/>
      </w:pPr>
    </w:p>
    <w:p w14:paraId="2A070009" w14:textId="77777777" w:rsidR="00025FEB" w:rsidRPr="00D85A4F" w:rsidRDefault="00025FEB" w:rsidP="00025FEB">
      <w:r>
        <w:t xml:space="preserve">The Ministry holds </w:t>
      </w:r>
      <w:r w:rsidRPr="00D85A4F">
        <w:t xml:space="preserve">SPRP reports on </w:t>
      </w:r>
      <w:r>
        <w:t xml:space="preserve">its </w:t>
      </w:r>
      <w:r w:rsidRPr="00D85A4F">
        <w:t>secure SPMS database</w:t>
      </w:r>
      <w:r>
        <w:t>; RFMHSs</w:t>
      </w:r>
      <w:r w:rsidRPr="00D85A4F">
        <w:t xml:space="preserve"> do not need to provide </w:t>
      </w:r>
      <w:r>
        <w:t xml:space="preserve">them </w:t>
      </w:r>
      <w:r w:rsidRPr="00D85A4F">
        <w:t xml:space="preserve">with every request for leave once </w:t>
      </w:r>
      <w:r>
        <w:t xml:space="preserve">they have been </w:t>
      </w:r>
      <w:r w:rsidRPr="00D85A4F">
        <w:t xml:space="preserve">entered into the SPMS. </w:t>
      </w:r>
    </w:p>
    <w:p w14:paraId="6999247F" w14:textId="77777777" w:rsidR="00025FEB" w:rsidRDefault="00025FEB" w:rsidP="00025FEB"/>
    <w:p w14:paraId="331A0410" w14:textId="6C67A760" w:rsidR="00025FEB" w:rsidRDefault="00025FEB" w:rsidP="00025FEB">
      <w:r>
        <w:t xml:space="preserve">It is important to note that RFMHSs will hold </w:t>
      </w:r>
      <w:r w:rsidRPr="0027384B">
        <w:t>original</w:t>
      </w:r>
      <w:r>
        <w:t xml:space="preserve"> SPRP</w:t>
      </w:r>
      <w:r w:rsidRPr="0027384B">
        <w:t xml:space="preserve"> documents</w:t>
      </w:r>
      <w:r>
        <w:t>. I</w:t>
      </w:r>
      <w:r w:rsidRPr="0027384B">
        <w:t>f a patient wishes to see these</w:t>
      </w:r>
      <w:r>
        <w:t xml:space="preserve">, they </w:t>
      </w:r>
      <w:r w:rsidRPr="0027384B">
        <w:t>should make a privacy request to the service in the usual manner.</w:t>
      </w:r>
    </w:p>
    <w:p w14:paraId="5F8D1113" w14:textId="77777777" w:rsidR="00025FEB" w:rsidRPr="00D85A4F" w:rsidRDefault="00025FEB" w:rsidP="00025FEB"/>
    <w:p w14:paraId="081AB12F" w14:textId="77777777" w:rsidR="00025FEB" w:rsidRPr="00D85A4F" w:rsidRDefault="00025FEB" w:rsidP="00025FEB">
      <w:pPr>
        <w:pStyle w:val="Heading2"/>
      </w:pPr>
      <w:bookmarkStart w:id="44" w:name="_Toc377543393"/>
      <w:bookmarkStart w:id="45" w:name="_Toc441658587"/>
      <w:bookmarkStart w:id="46" w:name="_Toc83197060"/>
      <w:bookmarkStart w:id="47" w:name="_Toc112845444"/>
      <w:bookmarkStart w:id="48" w:name="_Toc112862048"/>
      <w:bookmarkStart w:id="49" w:name="_Toc116484589"/>
      <w:r w:rsidRPr="00D85A4F">
        <w:lastRenderedPageBreak/>
        <w:t>A note regarding risk assessments</w:t>
      </w:r>
      <w:bookmarkEnd w:id="44"/>
      <w:bookmarkEnd w:id="45"/>
      <w:bookmarkEnd w:id="46"/>
      <w:bookmarkEnd w:id="47"/>
      <w:bookmarkEnd w:id="48"/>
      <w:bookmarkEnd w:id="49"/>
    </w:p>
    <w:p w14:paraId="030C039D" w14:textId="77777777" w:rsidR="00025FEB" w:rsidRPr="00D85A4F" w:rsidRDefault="00025FEB" w:rsidP="00025FEB">
      <w:r w:rsidRPr="00D85A4F">
        <w:t>Several clinical tools, including structured clinical judgement tools, may be used to assess risk. The decision about which one to use is the responsibility of the patient’s responsible clinician, in line with practice in individual services</w:t>
      </w:r>
      <w:r>
        <w:t>,</w:t>
      </w:r>
      <w:r w:rsidRPr="00D85A4F">
        <w:t xml:space="preserve"> and will depend upon the type of risk the individual presents. Both the HCR20</w:t>
      </w:r>
      <w:r w:rsidRPr="00D85A4F">
        <w:rPr>
          <w:rStyle w:val="FootnoteReference"/>
        </w:rPr>
        <w:footnoteReference w:id="5"/>
      </w:r>
      <w:r w:rsidRPr="00D85A4F">
        <w:t xml:space="preserve"> and START</w:t>
      </w:r>
      <w:r w:rsidRPr="00D85A4F">
        <w:rPr>
          <w:rStyle w:val="FootnoteReference"/>
        </w:rPr>
        <w:footnoteReference w:id="6"/>
      </w:r>
      <w:r w:rsidRPr="00D85A4F">
        <w:t xml:space="preserve"> are suitable structured clinical judgement risk assessment tools. </w:t>
      </w:r>
      <w:r>
        <w:t>Some RFMHSs are also effectively using t</w:t>
      </w:r>
      <w:r w:rsidRPr="00D85A4F">
        <w:t>he DUNDRUM</w:t>
      </w:r>
      <w:r w:rsidRPr="00D85A4F">
        <w:rPr>
          <w:rStyle w:val="FootnoteReference"/>
        </w:rPr>
        <w:footnoteReference w:id="7"/>
      </w:r>
      <w:r w:rsidRPr="00D85A4F">
        <w:t xml:space="preserve"> toolkit.</w:t>
      </w:r>
    </w:p>
    <w:p w14:paraId="7EF33F99" w14:textId="77777777" w:rsidR="00025FEB" w:rsidRPr="00D85A4F" w:rsidRDefault="00025FEB" w:rsidP="00025FEB"/>
    <w:p w14:paraId="54DBDF2C" w14:textId="77777777" w:rsidR="00025FEB" w:rsidRPr="00D85A4F" w:rsidRDefault="00025FEB" w:rsidP="00025FEB">
      <w:r w:rsidRPr="00D85A4F">
        <w:t>Note that a full HCR20/START or other comprehensive risk assessment is not required for each leave application. However, the most recent assessment should be summarised, and a current summary of risk provided in support of any leave application. It is suggested that a full risk assessment be provided to each SPRP.</w:t>
      </w:r>
    </w:p>
    <w:p w14:paraId="120D7EDE" w14:textId="77777777" w:rsidR="00025FEB" w:rsidRPr="00D85A4F" w:rsidRDefault="00025FEB" w:rsidP="00025FEB">
      <w:pPr>
        <w:pStyle w:val="Heading2"/>
      </w:pPr>
      <w:bookmarkStart w:id="50" w:name="_Toc377543394"/>
      <w:bookmarkStart w:id="51" w:name="_Toc441658588"/>
      <w:bookmarkStart w:id="52" w:name="_Toc83197061"/>
      <w:bookmarkStart w:id="53" w:name="_Toc112845445"/>
      <w:bookmarkStart w:id="54" w:name="_Toc112862049"/>
      <w:bookmarkStart w:id="55" w:name="_Toc116484590"/>
      <w:r w:rsidRPr="00D85A4F">
        <w:t>Timing of special patient reviews</w:t>
      </w:r>
      <w:bookmarkEnd w:id="50"/>
      <w:bookmarkEnd w:id="51"/>
      <w:bookmarkEnd w:id="52"/>
      <w:bookmarkEnd w:id="53"/>
      <w:bookmarkEnd w:id="54"/>
      <w:bookmarkEnd w:id="55"/>
    </w:p>
    <w:p w14:paraId="2AC8C2FF" w14:textId="77777777" w:rsidR="00025FEB" w:rsidRPr="00D85A4F" w:rsidRDefault="00025FEB" w:rsidP="00025FEB">
      <w:pPr>
        <w:keepNext/>
      </w:pPr>
      <w:r w:rsidRPr="00D85A4F">
        <w:t>Because the SPRP process is not specified in legislation, RFMHS</w:t>
      </w:r>
      <w:r>
        <w:t>s undertake these reviews at</w:t>
      </w:r>
      <w:r w:rsidRPr="00D85A4F">
        <w:t xml:space="preserve"> vary</w:t>
      </w:r>
      <w:r>
        <w:t>ing</w:t>
      </w:r>
      <w:r w:rsidRPr="00D85A4F">
        <w:t xml:space="preserve"> frequenc</w:t>
      </w:r>
      <w:r>
        <w:t>ies</w:t>
      </w:r>
      <w:r w:rsidRPr="00D85A4F">
        <w:t xml:space="preserve">. As a general practice, </w:t>
      </w:r>
      <w:r>
        <w:t xml:space="preserve">the Ministry </w:t>
      </w:r>
      <w:r w:rsidRPr="00D85A4F">
        <w:t>recommend</w:t>
      </w:r>
      <w:r>
        <w:t>s</w:t>
      </w:r>
      <w:r w:rsidRPr="00D85A4F">
        <w:t xml:space="preserve"> that </w:t>
      </w:r>
      <w:r>
        <w:t xml:space="preserve">an SPRP review </w:t>
      </w:r>
      <w:r w:rsidRPr="00D85A4F">
        <w:t xml:space="preserve">special patients at least every six months following the order for their detention as a special patient. Some special patients </w:t>
      </w:r>
      <w:r>
        <w:t xml:space="preserve">can </w:t>
      </w:r>
      <w:r w:rsidRPr="00D85A4F">
        <w:t>be seen by the SPRP less frequently (</w:t>
      </w:r>
      <w:r>
        <w:t xml:space="preserve">for example, </w:t>
      </w:r>
      <w:r w:rsidRPr="00D85A4F">
        <w:t xml:space="preserve">every 12 months) </w:t>
      </w:r>
      <w:r>
        <w:t xml:space="preserve">where they are </w:t>
      </w:r>
      <w:r w:rsidRPr="00D85A4F">
        <w:t xml:space="preserve">sufficiently </w:t>
      </w:r>
      <w:proofErr w:type="gramStart"/>
      <w:r w:rsidRPr="00D85A4F">
        <w:t>stable</w:t>
      </w:r>
      <w:proofErr w:type="gramEnd"/>
      <w:r w:rsidRPr="00D85A4F">
        <w:t xml:space="preserve"> and their stability appears unlikely to change in the near future. It is helpful if the DAMHS provides the Office of the Director with a list of patients who are on </w:t>
      </w:r>
      <w:r>
        <w:t xml:space="preserve">such </w:t>
      </w:r>
      <w:r w:rsidRPr="00D85A4F">
        <w:t>an extended review cycle.</w:t>
      </w:r>
    </w:p>
    <w:p w14:paraId="72ED7AE3" w14:textId="77777777" w:rsidR="00025FEB" w:rsidRPr="00D85A4F" w:rsidRDefault="00025FEB" w:rsidP="00025FEB">
      <w:pPr>
        <w:keepNext/>
      </w:pPr>
    </w:p>
    <w:p w14:paraId="1B9056E5" w14:textId="77777777" w:rsidR="00025FEB" w:rsidRPr="00D85A4F" w:rsidRDefault="00025FEB" w:rsidP="00025FEB">
      <w:r>
        <w:t xml:space="preserve">An RFMHS should upload </w:t>
      </w:r>
      <w:r w:rsidRPr="00D85A4F">
        <w:t xml:space="preserve">SPRP reports into the </w:t>
      </w:r>
      <w:r>
        <w:t xml:space="preserve">SPMS, </w:t>
      </w:r>
      <w:r w:rsidRPr="00D85A4F">
        <w:t>including the outcome of the SPRP signed by the DAMHS.</w:t>
      </w:r>
    </w:p>
    <w:p w14:paraId="0B624F8F" w14:textId="77777777" w:rsidR="00025FEB" w:rsidRPr="00D85A4F" w:rsidRDefault="00025FEB" w:rsidP="00025FEB"/>
    <w:p w14:paraId="5592D58C" w14:textId="77777777" w:rsidR="00025FEB" w:rsidRPr="00D85A4F" w:rsidRDefault="00025FEB" w:rsidP="00025FEB">
      <w:r>
        <w:t>An SPRP should review p</w:t>
      </w:r>
      <w:r w:rsidRPr="00D85A4F">
        <w:t xml:space="preserve">atients detained under section 45 of the </w:t>
      </w:r>
      <w:r>
        <w:t>Mental Health Act</w:t>
      </w:r>
      <w:r w:rsidRPr="00D85A4F">
        <w:t xml:space="preserve"> when they have been subject to a compulsory treatment order for longer than 12 months.  </w:t>
      </w:r>
    </w:p>
    <w:p w14:paraId="7D174954" w14:textId="77777777" w:rsidR="00025FEB" w:rsidRPr="00D85A4F" w:rsidRDefault="00025FEB" w:rsidP="00025FEB"/>
    <w:p w14:paraId="016503D2" w14:textId="77777777" w:rsidR="00025FEB" w:rsidRPr="00D85A4F" w:rsidRDefault="00025FEB" w:rsidP="00025FEB">
      <w:r w:rsidRPr="00D85A4F">
        <w:t>In some cases, the patient’s responsible clinician may decide to ask the SPRP to review a patient before that date.</w:t>
      </w:r>
    </w:p>
    <w:p w14:paraId="70383538" w14:textId="77777777" w:rsidR="00025FEB" w:rsidRPr="00D85A4F" w:rsidRDefault="00025FEB" w:rsidP="00025FEB">
      <w:pPr>
        <w:pStyle w:val="Heading3"/>
      </w:pPr>
      <w:r w:rsidRPr="00D85A4F">
        <w:lastRenderedPageBreak/>
        <w:t xml:space="preserve">Clinical review of certain special patients </w:t>
      </w:r>
    </w:p>
    <w:p w14:paraId="375EA104" w14:textId="77777777" w:rsidR="00025FEB" w:rsidRDefault="00025FEB" w:rsidP="00025FEB">
      <w:pPr>
        <w:sectPr w:rsidR="00025FEB" w:rsidSect="00856460">
          <w:pgSz w:w="11907" w:h="16834" w:code="9"/>
          <w:pgMar w:top="1418" w:right="1701" w:bottom="1134" w:left="1843" w:header="284" w:footer="425" w:gutter="284"/>
          <w:cols w:space="720"/>
        </w:sectPr>
      </w:pPr>
      <w:r w:rsidRPr="00D85A4F">
        <w:t xml:space="preserve">In addition to the SPRP process, </w:t>
      </w:r>
      <w:r w:rsidRPr="00A04CAC">
        <w:t xml:space="preserve">section 77 of the </w:t>
      </w:r>
      <w:r>
        <w:t>Mental Health Act</w:t>
      </w:r>
      <w:r w:rsidRPr="00D85A4F">
        <w:t xml:space="preserve"> requires </w:t>
      </w:r>
      <w:r>
        <w:t xml:space="preserve">responsible clinicians to review </w:t>
      </w:r>
      <w:r w:rsidRPr="00D85A4F">
        <w:t xml:space="preserve">special patients who are special patients because they have been detained in a hospital pursuant to </w:t>
      </w:r>
      <w:r>
        <w:t xml:space="preserve">a </w:t>
      </w:r>
      <w:r w:rsidRPr="00D85A4F">
        <w:t xml:space="preserve">court order made under section 24(2)(a) of the </w:t>
      </w:r>
      <w:r w:rsidRPr="00D85A4F">
        <w:rPr>
          <w:color w:val="000000"/>
        </w:rPr>
        <w:t xml:space="preserve">CP(MIP) Act </w:t>
      </w:r>
      <w:r w:rsidRPr="00D85A4F">
        <w:t>no later than three months following the order for detention, and at least every six months thereafter. Where a section 77 clinical review results in the patient’s responsible clinician finding that the patient no longer meets the criteria for being held as a special patient, SPRP reports provide valuable information to assist the Office of the Director in making a recommendation to the Minister and/or the Attorney-General.</w:t>
      </w:r>
    </w:p>
    <w:p w14:paraId="4453D578" w14:textId="77777777" w:rsidR="00025FEB" w:rsidRPr="00D85A4F" w:rsidRDefault="00025FEB" w:rsidP="00025FEB">
      <w:pPr>
        <w:pStyle w:val="Heading1"/>
      </w:pPr>
      <w:bookmarkStart w:id="56" w:name="_Toc112862050"/>
      <w:bookmarkStart w:id="57" w:name="_Toc116484591"/>
      <w:r w:rsidRPr="00D85A4F">
        <w:lastRenderedPageBreak/>
        <w:t>Leave for special and restricted patients</w:t>
      </w:r>
      <w:bookmarkEnd w:id="56"/>
      <w:bookmarkEnd w:id="57"/>
    </w:p>
    <w:p w14:paraId="5F312D37" w14:textId="77777777" w:rsidR="00025FEB" w:rsidRPr="00D85A4F" w:rsidRDefault="00025FEB" w:rsidP="00025FEB">
      <w:r w:rsidRPr="00D85A4F">
        <w:t>Leave is an important part of the rehabilitation and recovery process for special patients and should generally occur as part of a comprehensive leave plan supported by the SPRP.</w:t>
      </w:r>
    </w:p>
    <w:p w14:paraId="7CA081E6" w14:textId="77777777" w:rsidR="00025FEB" w:rsidRPr="00D85A4F" w:rsidRDefault="00025FEB" w:rsidP="00025FEB"/>
    <w:p w14:paraId="34A45C7A" w14:textId="77777777" w:rsidR="00025FEB" w:rsidRPr="00D85A4F" w:rsidRDefault="00025FEB" w:rsidP="00025FEB">
      <w:r>
        <w:t>Table 3 sets out t</w:t>
      </w:r>
      <w:r w:rsidRPr="00D85A4F">
        <w:t>he individual steps for leave progression, varied according to the patient’s individual plan. A person’s first access to the grounds of the hospital or facility is not considered a leave of absence. Ground access should be considered in the person’s overall leave plan approved by the DAMHS.</w:t>
      </w:r>
    </w:p>
    <w:p w14:paraId="207C7AFB" w14:textId="77777777" w:rsidR="00025FEB" w:rsidRPr="00D85A4F" w:rsidRDefault="00025FEB" w:rsidP="00025FEB"/>
    <w:p w14:paraId="6286ADAC" w14:textId="77777777" w:rsidR="00025FEB" w:rsidRPr="00D85A4F" w:rsidRDefault="00025FEB" w:rsidP="00025FEB">
      <w:r w:rsidRPr="00D85A4F">
        <w:t xml:space="preserve">Following ground access within the hospital grounds, the first leave will generally be escorted short leave. Note that each step in the leave progression may not need to be taken consecutively, and that </w:t>
      </w:r>
      <w:r>
        <w:t xml:space="preserve">in this context </w:t>
      </w:r>
      <w:r w:rsidRPr="00D85A4F">
        <w:t>patients may progress at different rates.</w:t>
      </w:r>
    </w:p>
    <w:p w14:paraId="63C18C0E" w14:textId="77777777" w:rsidR="00025FEB" w:rsidRPr="00D85A4F" w:rsidRDefault="00025FEB" w:rsidP="00025FEB"/>
    <w:p w14:paraId="1326D67F" w14:textId="3AC4EBB9" w:rsidR="00025FEB" w:rsidRPr="00D85A4F" w:rsidRDefault="00025FEB" w:rsidP="00025FEB">
      <w:pPr>
        <w:pStyle w:val="Table"/>
      </w:pPr>
      <w:bookmarkStart w:id="58" w:name="_Toc445803199"/>
      <w:bookmarkStart w:id="59" w:name="_Toc83191228"/>
      <w:bookmarkStart w:id="60" w:name="_Toc111810258"/>
      <w:bookmarkStart w:id="61" w:name="_Toc112861576"/>
      <w:bookmarkStart w:id="62" w:name="_Toc116484636"/>
      <w:r>
        <w:t xml:space="preserve">Table </w:t>
      </w:r>
      <w:r>
        <w:fldChar w:fldCharType="begin"/>
      </w:r>
      <w:r>
        <w:instrText>SEQ Table \* ARABIC</w:instrText>
      </w:r>
      <w:r>
        <w:fldChar w:fldCharType="separate"/>
      </w:r>
      <w:r w:rsidR="00F25175">
        <w:rPr>
          <w:noProof/>
        </w:rPr>
        <w:t>3</w:t>
      </w:r>
      <w:r>
        <w:fldChar w:fldCharType="end"/>
      </w:r>
      <w:r>
        <w:t xml:space="preserve">: </w:t>
      </w:r>
      <w:r w:rsidRPr="00D85A4F">
        <w:t>Leave progression</w:t>
      </w:r>
      <w:bookmarkEnd w:id="58"/>
      <w:bookmarkEnd w:id="59"/>
      <w:bookmarkEnd w:id="60"/>
      <w:bookmarkEnd w:id="61"/>
      <w:bookmarkEnd w:id="62"/>
    </w:p>
    <w:tbl>
      <w:tblPr>
        <w:tblStyle w:val="TableGrid"/>
        <w:tblW w:w="7886"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4394"/>
        <w:gridCol w:w="2273"/>
      </w:tblGrid>
      <w:tr w:rsidR="00025FEB" w:rsidRPr="00DC20BD" w14:paraId="09D99175" w14:textId="77777777" w:rsidTr="007A6F61">
        <w:trPr>
          <w:cantSplit/>
        </w:trPr>
        <w:tc>
          <w:tcPr>
            <w:tcW w:w="1219" w:type="dxa"/>
            <w:shd w:val="clear" w:color="auto" w:fill="D9D9D9" w:themeFill="background1" w:themeFillShade="D9"/>
          </w:tcPr>
          <w:p w14:paraId="53FF7EB5" w14:textId="77777777" w:rsidR="00025FEB" w:rsidRPr="00121607" w:rsidRDefault="00025FEB" w:rsidP="00AD0359">
            <w:pPr>
              <w:pStyle w:val="TableText"/>
              <w:keepNext/>
              <w:rPr>
                <w:b/>
              </w:rPr>
            </w:pPr>
            <w:r w:rsidRPr="00D85A4F">
              <w:rPr>
                <w:b/>
              </w:rPr>
              <w:t>Step</w:t>
            </w:r>
          </w:p>
        </w:tc>
        <w:tc>
          <w:tcPr>
            <w:tcW w:w="4394" w:type="dxa"/>
            <w:shd w:val="clear" w:color="auto" w:fill="D9D9D9" w:themeFill="background1" w:themeFillShade="D9"/>
          </w:tcPr>
          <w:p w14:paraId="0BACC4EB" w14:textId="77777777" w:rsidR="00025FEB" w:rsidRPr="00DC20BD" w:rsidRDefault="00025FEB" w:rsidP="00AD0359">
            <w:pPr>
              <w:pStyle w:val="TableText"/>
              <w:keepNext/>
              <w:rPr>
                <w:b/>
              </w:rPr>
            </w:pPr>
            <w:r w:rsidRPr="00D85A4F">
              <w:rPr>
                <w:b/>
              </w:rPr>
              <w:t>Type of ground access</w:t>
            </w:r>
          </w:p>
        </w:tc>
        <w:tc>
          <w:tcPr>
            <w:tcW w:w="2273" w:type="dxa"/>
            <w:shd w:val="clear" w:color="auto" w:fill="D9D9D9" w:themeFill="background1" w:themeFillShade="D9"/>
          </w:tcPr>
          <w:p w14:paraId="7E0B12B4" w14:textId="77777777" w:rsidR="00025FEB" w:rsidRPr="00DC20BD" w:rsidRDefault="00025FEB" w:rsidP="00AD0359">
            <w:pPr>
              <w:pStyle w:val="TableText"/>
              <w:keepNext/>
              <w:rPr>
                <w:b/>
              </w:rPr>
            </w:pPr>
            <w:r w:rsidRPr="00D85A4F">
              <w:rPr>
                <w:b/>
              </w:rPr>
              <w:t>Approval required</w:t>
            </w:r>
          </w:p>
        </w:tc>
      </w:tr>
      <w:tr w:rsidR="00025FEB" w:rsidRPr="00DC20BD" w14:paraId="781C48DE" w14:textId="77777777" w:rsidTr="007A6F61">
        <w:trPr>
          <w:cantSplit/>
        </w:trPr>
        <w:tc>
          <w:tcPr>
            <w:tcW w:w="1219" w:type="dxa"/>
          </w:tcPr>
          <w:p w14:paraId="7AADF7F6" w14:textId="77777777" w:rsidR="00025FEB" w:rsidRPr="00D85A4F" w:rsidRDefault="00025FEB" w:rsidP="00AD0359">
            <w:pPr>
              <w:pStyle w:val="TableText"/>
              <w:keepNext/>
            </w:pPr>
            <w:r w:rsidRPr="00D85A4F">
              <w:t>Step 1</w:t>
            </w:r>
          </w:p>
        </w:tc>
        <w:tc>
          <w:tcPr>
            <w:tcW w:w="4394" w:type="dxa"/>
          </w:tcPr>
          <w:p w14:paraId="7F0E9CFD" w14:textId="77777777" w:rsidR="00025FEB" w:rsidRPr="00DC20BD" w:rsidRDefault="00025FEB" w:rsidP="00AD0359">
            <w:pPr>
              <w:pStyle w:val="TableText"/>
              <w:keepNext/>
            </w:pPr>
            <w:r w:rsidRPr="00D85A4F">
              <w:t>Ground access with staff escort</w:t>
            </w:r>
          </w:p>
        </w:tc>
        <w:tc>
          <w:tcPr>
            <w:tcW w:w="2273" w:type="dxa"/>
          </w:tcPr>
          <w:p w14:paraId="6EA9833A" w14:textId="77777777" w:rsidR="00025FEB" w:rsidRPr="00856460" w:rsidRDefault="00025FEB" w:rsidP="00AD0359">
            <w:pPr>
              <w:pStyle w:val="TableText"/>
              <w:keepNext/>
            </w:pPr>
            <w:r w:rsidRPr="00D85A4F">
              <w:t>DAMHS</w:t>
            </w:r>
          </w:p>
        </w:tc>
      </w:tr>
      <w:tr w:rsidR="00025FEB" w:rsidRPr="00DC20BD" w14:paraId="72DBCEC2" w14:textId="77777777" w:rsidTr="007A6F61">
        <w:trPr>
          <w:cantSplit/>
        </w:trPr>
        <w:tc>
          <w:tcPr>
            <w:tcW w:w="1219" w:type="dxa"/>
          </w:tcPr>
          <w:p w14:paraId="70247624" w14:textId="77777777" w:rsidR="00025FEB" w:rsidRPr="00D85A4F" w:rsidRDefault="00025FEB" w:rsidP="00AD0359">
            <w:pPr>
              <w:pStyle w:val="TableText"/>
            </w:pPr>
            <w:r w:rsidRPr="00D85A4F">
              <w:t>Step 2</w:t>
            </w:r>
          </w:p>
        </w:tc>
        <w:tc>
          <w:tcPr>
            <w:tcW w:w="4394" w:type="dxa"/>
          </w:tcPr>
          <w:p w14:paraId="41D528E8" w14:textId="77777777" w:rsidR="00025FEB" w:rsidRPr="00DC20BD" w:rsidRDefault="00025FEB" w:rsidP="00AD0359">
            <w:pPr>
              <w:pStyle w:val="TableText"/>
            </w:pPr>
            <w:r w:rsidRPr="00D85A4F">
              <w:t>Unescorted ground access</w:t>
            </w:r>
          </w:p>
        </w:tc>
        <w:tc>
          <w:tcPr>
            <w:tcW w:w="2273" w:type="dxa"/>
          </w:tcPr>
          <w:p w14:paraId="298F206D" w14:textId="77777777" w:rsidR="00025FEB" w:rsidRPr="00856460" w:rsidRDefault="00025FEB" w:rsidP="00AD0359">
            <w:pPr>
              <w:pStyle w:val="TableText"/>
              <w:keepNext/>
            </w:pPr>
            <w:r w:rsidRPr="00D85A4F">
              <w:t>DAMHS</w:t>
            </w:r>
          </w:p>
        </w:tc>
      </w:tr>
      <w:tr w:rsidR="00025FEB" w:rsidRPr="00DC20BD" w14:paraId="2EE07094" w14:textId="77777777" w:rsidTr="007A6F61">
        <w:trPr>
          <w:cantSplit/>
        </w:trPr>
        <w:tc>
          <w:tcPr>
            <w:tcW w:w="1219" w:type="dxa"/>
          </w:tcPr>
          <w:p w14:paraId="7597EE85" w14:textId="77777777" w:rsidR="00025FEB" w:rsidRPr="00D85A4F" w:rsidRDefault="00025FEB" w:rsidP="00AD0359">
            <w:pPr>
              <w:pStyle w:val="TableText"/>
            </w:pPr>
          </w:p>
        </w:tc>
        <w:tc>
          <w:tcPr>
            <w:tcW w:w="4394" w:type="dxa"/>
          </w:tcPr>
          <w:p w14:paraId="60A662DE" w14:textId="77777777" w:rsidR="00025FEB" w:rsidRPr="00DC20BD" w:rsidRDefault="00025FEB" w:rsidP="00AD0359">
            <w:pPr>
              <w:pStyle w:val="TableText"/>
            </w:pPr>
          </w:p>
        </w:tc>
        <w:tc>
          <w:tcPr>
            <w:tcW w:w="2273" w:type="dxa"/>
          </w:tcPr>
          <w:p w14:paraId="6A2BD6E8" w14:textId="77777777" w:rsidR="00025FEB" w:rsidRPr="00DC20BD" w:rsidRDefault="00025FEB" w:rsidP="00AD0359">
            <w:pPr>
              <w:pStyle w:val="TableText"/>
              <w:tabs>
                <w:tab w:val="decimal" w:pos="1644"/>
              </w:tabs>
              <w:rPr>
                <w:rFonts w:eastAsia="Lucida Sans Unicode" w:hAnsi="Lucida Sans Unicode" w:cs="Lucida Sans Unicode"/>
              </w:rPr>
            </w:pPr>
          </w:p>
        </w:tc>
      </w:tr>
      <w:tr w:rsidR="00025FEB" w:rsidRPr="00DC20BD" w14:paraId="377B687C" w14:textId="77777777" w:rsidTr="007A6F61">
        <w:trPr>
          <w:cantSplit/>
        </w:trPr>
        <w:tc>
          <w:tcPr>
            <w:tcW w:w="1219" w:type="dxa"/>
          </w:tcPr>
          <w:p w14:paraId="734B9FA0" w14:textId="77777777" w:rsidR="00025FEB" w:rsidRPr="00D85A4F" w:rsidRDefault="00025FEB" w:rsidP="00AD0359">
            <w:pPr>
              <w:pStyle w:val="TableText"/>
            </w:pPr>
            <w:r w:rsidRPr="00D85A4F">
              <w:rPr>
                <w:b/>
              </w:rPr>
              <w:t>Step</w:t>
            </w:r>
          </w:p>
        </w:tc>
        <w:tc>
          <w:tcPr>
            <w:tcW w:w="4394" w:type="dxa"/>
          </w:tcPr>
          <w:p w14:paraId="3737B05E" w14:textId="77777777" w:rsidR="00025FEB" w:rsidRPr="00DC20BD" w:rsidRDefault="00025FEB" w:rsidP="00AD0359">
            <w:pPr>
              <w:pStyle w:val="TableText"/>
              <w:rPr>
                <w:rFonts w:eastAsia="Lucida Sans Unicode"/>
                <w:b/>
              </w:rPr>
            </w:pPr>
            <w:r w:rsidRPr="00D85A4F">
              <w:rPr>
                <w:b/>
              </w:rPr>
              <w:t>Type of short leave</w:t>
            </w:r>
          </w:p>
        </w:tc>
        <w:tc>
          <w:tcPr>
            <w:tcW w:w="2273" w:type="dxa"/>
          </w:tcPr>
          <w:p w14:paraId="6E75C7B5" w14:textId="77777777" w:rsidR="00025FEB" w:rsidRPr="00DC20BD" w:rsidRDefault="00025FEB" w:rsidP="00AD0359">
            <w:pPr>
              <w:pStyle w:val="TableText"/>
              <w:tabs>
                <w:tab w:val="decimal" w:pos="1644"/>
              </w:tabs>
              <w:rPr>
                <w:rFonts w:eastAsia="Lucida Sans Unicode"/>
                <w:b/>
              </w:rPr>
            </w:pPr>
            <w:r w:rsidRPr="00D85A4F">
              <w:rPr>
                <w:b/>
              </w:rPr>
              <w:t>Approval required</w:t>
            </w:r>
          </w:p>
        </w:tc>
      </w:tr>
      <w:tr w:rsidR="00025FEB" w:rsidRPr="00DC20BD" w14:paraId="111C10F3" w14:textId="77777777" w:rsidTr="007A6F61">
        <w:trPr>
          <w:cantSplit/>
        </w:trPr>
        <w:tc>
          <w:tcPr>
            <w:tcW w:w="1219" w:type="dxa"/>
          </w:tcPr>
          <w:p w14:paraId="14642F19" w14:textId="77777777" w:rsidR="00025FEB" w:rsidRPr="00D85A4F" w:rsidRDefault="00025FEB" w:rsidP="00AD0359">
            <w:pPr>
              <w:pStyle w:val="TableText"/>
            </w:pPr>
            <w:r w:rsidRPr="00D85A4F">
              <w:t>Step 3</w:t>
            </w:r>
          </w:p>
        </w:tc>
        <w:tc>
          <w:tcPr>
            <w:tcW w:w="4394" w:type="dxa"/>
          </w:tcPr>
          <w:p w14:paraId="626F8196" w14:textId="77777777" w:rsidR="00025FEB" w:rsidRPr="00DC20BD" w:rsidRDefault="00025FEB" w:rsidP="00AD0359">
            <w:pPr>
              <w:pStyle w:val="TableText"/>
              <w:rPr>
                <w:rFonts w:eastAsia="Lucida Sans Unicode"/>
                <w:b/>
              </w:rPr>
            </w:pPr>
            <w:r w:rsidRPr="00D85A4F">
              <w:t>Staff-escorted leave outside the hospital grounds</w:t>
            </w:r>
          </w:p>
        </w:tc>
        <w:tc>
          <w:tcPr>
            <w:tcW w:w="2273" w:type="dxa"/>
          </w:tcPr>
          <w:p w14:paraId="6ACB3779" w14:textId="77777777" w:rsidR="00025FEB" w:rsidRPr="00DC20BD" w:rsidRDefault="00025FEB" w:rsidP="00AD0359">
            <w:pPr>
              <w:pStyle w:val="TableText"/>
              <w:tabs>
                <w:tab w:val="decimal" w:pos="1644"/>
              </w:tabs>
              <w:rPr>
                <w:rFonts w:eastAsia="Lucida Sans Unicode"/>
                <w:b/>
              </w:rPr>
            </w:pPr>
            <w:r w:rsidRPr="00D85A4F">
              <w:t>Director of Mental Health</w:t>
            </w:r>
          </w:p>
        </w:tc>
      </w:tr>
      <w:tr w:rsidR="00025FEB" w:rsidRPr="00DC20BD" w14:paraId="41403AC4" w14:textId="77777777" w:rsidTr="007A6F61">
        <w:trPr>
          <w:cantSplit/>
        </w:trPr>
        <w:tc>
          <w:tcPr>
            <w:tcW w:w="1219" w:type="dxa"/>
          </w:tcPr>
          <w:p w14:paraId="7CC2F4A5" w14:textId="77777777" w:rsidR="00025FEB" w:rsidRPr="00D85A4F" w:rsidRDefault="00025FEB" w:rsidP="00AD0359">
            <w:pPr>
              <w:pStyle w:val="TableText"/>
            </w:pPr>
            <w:r w:rsidRPr="00D85A4F">
              <w:t>Step 4</w:t>
            </w:r>
          </w:p>
        </w:tc>
        <w:tc>
          <w:tcPr>
            <w:tcW w:w="4394" w:type="dxa"/>
          </w:tcPr>
          <w:p w14:paraId="5E304AE3" w14:textId="77777777" w:rsidR="00025FEB" w:rsidRPr="00DC20BD" w:rsidRDefault="00025FEB" w:rsidP="00AD0359">
            <w:pPr>
              <w:pStyle w:val="TableText"/>
              <w:rPr>
                <w:rFonts w:eastAsia="Lucida Sans Unicode"/>
                <w:b/>
              </w:rPr>
            </w:pPr>
            <w:r w:rsidRPr="00D85A4F">
              <w:t>Staff-escorted short-term leave, where the patient is left unescorted while at their destination (</w:t>
            </w:r>
            <w:r>
              <w:t>for example</w:t>
            </w:r>
            <w:r w:rsidRPr="00D85A4F">
              <w:t>, to attend a community programme, or a home visit)</w:t>
            </w:r>
          </w:p>
        </w:tc>
        <w:tc>
          <w:tcPr>
            <w:tcW w:w="2273" w:type="dxa"/>
          </w:tcPr>
          <w:p w14:paraId="7DB5C47F" w14:textId="77777777" w:rsidR="00025FEB" w:rsidRPr="00DC20BD" w:rsidRDefault="00025FEB" w:rsidP="00AD0359">
            <w:pPr>
              <w:pStyle w:val="TableText"/>
              <w:tabs>
                <w:tab w:val="decimal" w:pos="1644"/>
              </w:tabs>
              <w:rPr>
                <w:rFonts w:eastAsia="Lucida Sans Unicode"/>
                <w:b/>
              </w:rPr>
            </w:pPr>
            <w:r w:rsidRPr="00D85A4F">
              <w:t>Director of Mental Health</w:t>
            </w:r>
          </w:p>
        </w:tc>
      </w:tr>
      <w:tr w:rsidR="00025FEB" w:rsidRPr="00DC20BD" w14:paraId="17D38862" w14:textId="77777777" w:rsidTr="007A6F61">
        <w:trPr>
          <w:cantSplit/>
        </w:trPr>
        <w:tc>
          <w:tcPr>
            <w:tcW w:w="1219" w:type="dxa"/>
          </w:tcPr>
          <w:p w14:paraId="581B4A24" w14:textId="77777777" w:rsidR="00025FEB" w:rsidRPr="00D85A4F" w:rsidRDefault="00025FEB" w:rsidP="00AD0359">
            <w:pPr>
              <w:pStyle w:val="TableText"/>
            </w:pPr>
            <w:r w:rsidRPr="00D85A4F">
              <w:t>Step 5</w:t>
            </w:r>
          </w:p>
        </w:tc>
        <w:tc>
          <w:tcPr>
            <w:tcW w:w="4394" w:type="dxa"/>
          </w:tcPr>
          <w:p w14:paraId="29F83839" w14:textId="77777777" w:rsidR="00025FEB" w:rsidRPr="00DC20BD" w:rsidRDefault="00025FEB" w:rsidP="00AD0359">
            <w:pPr>
              <w:pStyle w:val="TableText"/>
              <w:rPr>
                <w:rFonts w:eastAsia="Lucida Sans Unicode"/>
                <w:b/>
              </w:rPr>
            </w:pPr>
            <w:r w:rsidRPr="00D85A4F">
              <w:t>Unescorted short leave, not including overnight leave</w:t>
            </w:r>
          </w:p>
        </w:tc>
        <w:tc>
          <w:tcPr>
            <w:tcW w:w="2273" w:type="dxa"/>
          </w:tcPr>
          <w:p w14:paraId="3291A0D3" w14:textId="77777777" w:rsidR="00025FEB" w:rsidRPr="00DC20BD" w:rsidRDefault="00025FEB" w:rsidP="00AD0359">
            <w:pPr>
              <w:pStyle w:val="TableText"/>
              <w:tabs>
                <w:tab w:val="decimal" w:pos="1644"/>
              </w:tabs>
              <w:rPr>
                <w:rFonts w:eastAsia="Lucida Sans Unicode"/>
                <w:b/>
              </w:rPr>
            </w:pPr>
            <w:r w:rsidRPr="00D85A4F">
              <w:t>Director of Mental Health</w:t>
            </w:r>
          </w:p>
        </w:tc>
      </w:tr>
      <w:tr w:rsidR="00025FEB" w:rsidRPr="00DC20BD" w14:paraId="44199F3B" w14:textId="77777777" w:rsidTr="007A6F61">
        <w:trPr>
          <w:cantSplit/>
        </w:trPr>
        <w:tc>
          <w:tcPr>
            <w:tcW w:w="1219" w:type="dxa"/>
          </w:tcPr>
          <w:p w14:paraId="2923E741" w14:textId="77777777" w:rsidR="00025FEB" w:rsidRPr="00D85A4F" w:rsidRDefault="00025FEB" w:rsidP="00AD0359">
            <w:pPr>
              <w:pStyle w:val="TableText"/>
            </w:pPr>
            <w:r w:rsidRPr="00D85A4F">
              <w:t>Step 6</w:t>
            </w:r>
          </w:p>
        </w:tc>
        <w:tc>
          <w:tcPr>
            <w:tcW w:w="4394" w:type="dxa"/>
          </w:tcPr>
          <w:p w14:paraId="616B5F4F" w14:textId="77777777" w:rsidR="00025FEB" w:rsidRPr="00D85A4F" w:rsidRDefault="00025FEB" w:rsidP="00AD0359">
            <w:pPr>
              <w:pStyle w:val="TableText"/>
            </w:pPr>
            <w:r w:rsidRPr="00D85A4F">
              <w:t>Overnight leave 1–3 days (‘2+1’ leave)</w:t>
            </w:r>
          </w:p>
        </w:tc>
        <w:tc>
          <w:tcPr>
            <w:tcW w:w="2273" w:type="dxa"/>
          </w:tcPr>
          <w:p w14:paraId="6F344A77" w14:textId="77777777" w:rsidR="00025FEB" w:rsidRPr="00D85A4F" w:rsidRDefault="00025FEB" w:rsidP="00AD0359">
            <w:pPr>
              <w:pStyle w:val="TableText"/>
              <w:tabs>
                <w:tab w:val="decimal" w:pos="1644"/>
              </w:tabs>
            </w:pPr>
            <w:r w:rsidRPr="00D85A4F">
              <w:t>Director of Mental Health</w:t>
            </w:r>
          </w:p>
        </w:tc>
      </w:tr>
      <w:tr w:rsidR="00025FEB" w:rsidRPr="00DC20BD" w14:paraId="4290FD22" w14:textId="77777777" w:rsidTr="007A6F61">
        <w:trPr>
          <w:cantSplit/>
        </w:trPr>
        <w:tc>
          <w:tcPr>
            <w:tcW w:w="1219" w:type="dxa"/>
          </w:tcPr>
          <w:p w14:paraId="25FE78C5" w14:textId="77777777" w:rsidR="00025FEB" w:rsidRPr="00D85A4F" w:rsidRDefault="00025FEB" w:rsidP="00AD0359">
            <w:pPr>
              <w:pStyle w:val="TableText"/>
            </w:pPr>
            <w:r w:rsidRPr="00D85A4F">
              <w:t>Step 7</w:t>
            </w:r>
          </w:p>
        </w:tc>
        <w:tc>
          <w:tcPr>
            <w:tcW w:w="4394" w:type="dxa"/>
          </w:tcPr>
          <w:p w14:paraId="2E6BEB58" w14:textId="77777777" w:rsidR="00025FEB" w:rsidRPr="00D85A4F" w:rsidRDefault="00025FEB" w:rsidP="00AD0359">
            <w:pPr>
              <w:pStyle w:val="TableText"/>
            </w:pPr>
            <w:r w:rsidRPr="00D85A4F">
              <w:t>Overnight leave 4–7 days (‘6+1’ leave)</w:t>
            </w:r>
          </w:p>
        </w:tc>
        <w:tc>
          <w:tcPr>
            <w:tcW w:w="2273" w:type="dxa"/>
          </w:tcPr>
          <w:p w14:paraId="7D305745" w14:textId="77777777" w:rsidR="00025FEB" w:rsidRPr="00D85A4F" w:rsidRDefault="00025FEB" w:rsidP="00AD0359">
            <w:pPr>
              <w:pStyle w:val="TableText"/>
              <w:tabs>
                <w:tab w:val="decimal" w:pos="1644"/>
              </w:tabs>
            </w:pPr>
            <w:r w:rsidRPr="00D85A4F">
              <w:t>Director of Mental Health</w:t>
            </w:r>
          </w:p>
        </w:tc>
      </w:tr>
    </w:tbl>
    <w:p w14:paraId="4F4BDFFC" w14:textId="77777777" w:rsidR="00025FEB" w:rsidRPr="00D85A4F" w:rsidRDefault="00025FEB" w:rsidP="00025FEB"/>
    <w:p w14:paraId="2CDCB032" w14:textId="77777777" w:rsidR="00025FEB" w:rsidRPr="00D85A4F" w:rsidRDefault="00025FEB" w:rsidP="00025FEB">
      <w:pPr>
        <w:rPr>
          <w:b/>
          <w:bCs/>
        </w:rPr>
      </w:pPr>
      <w:r w:rsidRPr="00D85A4F">
        <w:rPr>
          <w:b/>
          <w:bCs/>
        </w:rPr>
        <w:t>Step 7 Overnight leave 4–7 days</w:t>
      </w:r>
    </w:p>
    <w:p w14:paraId="29604C5A" w14:textId="77777777" w:rsidR="00025FEB" w:rsidRPr="00D85A4F" w:rsidRDefault="00025FEB" w:rsidP="00025FEB"/>
    <w:p w14:paraId="6E5DD888" w14:textId="77777777" w:rsidR="00025FEB" w:rsidRPr="00D85A4F" w:rsidRDefault="00025FEB" w:rsidP="00025FEB">
      <w:r>
        <w:t>P</w:t>
      </w:r>
      <w:r w:rsidRPr="00D85A4F">
        <w:t xml:space="preserve">rior to the COVID-19 </w:t>
      </w:r>
      <w:r>
        <w:t>p</w:t>
      </w:r>
      <w:r w:rsidRPr="00D85A4F">
        <w:t xml:space="preserve">andemic, procedures for </w:t>
      </w:r>
      <w:r>
        <w:t xml:space="preserve">special </w:t>
      </w:r>
      <w:r w:rsidRPr="00D85A4F">
        <w:t xml:space="preserve">patients on full section 52 overnight leave </w:t>
      </w:r>
      <w:r>
        <w:t xml:space="preserve">for 4–7 days </w:t>
      </w:r>
      <w:r w:rsidRPr="00D85A4F">
        <w:t xml:space="preserve">required the </w:t>
      </w:r>
      <w:r>
        <w:t>p</w:t>
      </w:r>
      <w:r w:rsidRPr="00D85A4F">
        <w:t xml:space="preserve">atient to return to hospital to stay overnight after being out of hospital for six nights. The patient was assessed the following day and, if deemed to be safe, they were granted another period of leave for a further seven days. </w:t>
      </w:r>
    </w:p>
    <w:p w14:paraId="2148D052" w14:textId="77777777" w:rsidR="00025FEB" w:rsidRPr="00D85A4F" w:rsidRDefault="00025FEB" w:rsidP="00025FEB"/>
    <w:p w14:paraId="016C9776" w14:textId="77777777" w:rsidR="00025FEB" w:rsidRPr="00D85A4F" w:rsidRDefault="00025FEB" w:rsidP="00025FEB">
      <w:r w:rsidRPr="00D85A4F">
        <w:t>During COVID</w:t>
      </w:r>
      <w:r>
        <w:t>-</w:t>
      </w:r>
      <w:r w:rsidRPr="00D85A4F">
        <w:t xml:space="preserve">19 alert levels, to ensure service continuity and minimise the risk of infection for patients and staff, it was necessary to modify this approach. </w:t>
      </w:r>
      <w:r>
        <w:t xml:space="preserve">Under the new approach, patients could </w:t>
      </w:r>
      <w:r w:rsidRPr="00D85A4F">
        <w:t xml:space="preserve">return to the hospital (noting that from previous court </w:t>
      </w:r>
      <w:r w:rsidRPr="00D85A4F">
        <w:lastRenderedPageBreak/>
        <w:t>rulings, this includes the grounds that the hospital is on) for a full assessment by the responsible clinician and case manager or another member of the care team</w:t>
      </w:r>
      <w:r>
        <w:t>, without the need to stay overnight</w:t>
      </w:r>
      <w:r w:rsidRPr="00D85A4F">
        <w:t xml:space="preserve">. </w:t>
      </w:r>
      <w:r>
        <w:t>This approach has remained in place.</w:t>
      </w:r>
    </w:p>
    <w:p w14:paraId="3DFB29C9" w14:textId="77777777" w:rsidR="00025FEB" w:rsidRPr="00D85A4F" w:rsidRDefault="00025FEB" w:rsidP="00025FEB"/>
    <w:p w14:paraId="677EEC65" w14:textId="77777777" w:rsidR="00025FEB" w:rsidRPr="00D85A4F" w:rsidRDefault="00025FEB" w:rsidP="00025FEB">
      <w:r w:rsidRPr="00D85A4F">
        <w:t>Provided the patient is compliant with leave conditions, their mental state is stable and there are no safety issues, they can be granted leave for a further period of seven days</w:t>
      </w:r>
      <w:r>
        <w:t xml:space="preserve"> following the assessment</w:t>
      </w:r>
      <w:r w:rsidRPr="00D85A4F">
        <w:t xml:space="preserve">. This approach requires the </w:t>
      </w:r>
      <w:r>
        <w:t xml:space="preserve">DAMHS </w:t>
      </w:r>
      <w:r w:rsidRPr="00D85A4F">
        <w:t xml:space="preserve">and </w:t>
      </w:r>
      <w:r>
        <w:t>the c</w:t>
      </w:r>
      <w:r w:rsidRPr="00D85A4F">
        <w:t xml:space="preserve">linical </w:t>
      </w:r>
      <w:r>
        <w:t>d</w:t>
      </w:r>
      <w:r w:rsidRPr="00D85A4F">
        <w:t xml:space="preserve">irector of the service to agree on where in the hospital, or on hospital grounds, would be the safest place for the return and assessment to take place. </w:t>
      </w:r>
      <w:r>
        <w:t>N</w:t>
      </w:r>
      <w:r w:rsidRPr="00D85A4F">
        <w:t xml:space="preserve">ote that it is not possible to dispense with the return to hospital </w:t>
      </w:r>
      <w:r>
        <w:t xml:space="preserve">entirely; </w:t>
      </w:r>
      <w:r w:rsidRPr="00D85A4F">
        <w:t xml:space="preserve">that would in effect give the patient a form of </w:t>
      </w:r>
      <w:r>
        <w:t>m</w:t>
      </w:r>
      <w:r w:rsidRPr="00D85A4F">
        <w:t xml:space="preserve">inisterial </w:t>
      </w:r>
      <w:r>
        <w:t>l</w:t>
      </w:r>
      <w:r w:rsidRPr="00D85A4F">
        <w:t xml:space="preserve">ong </w:t>
      </w:r>
      <w:r>
        <w:t>l</w:t>
      </w:r>
      <w:r w:rsidRPr="00D85A4F">
        <w:t>eave.</w:t>
      </w:r>
    </w:p>
    <w:p w14:paraId="0B3FC4F9" w14:textId="77777777" w:rsidR="00025FEB" w:rsidRPr="00D85A4F" w:rsidRDefault="00025FEB" w:rsidP="00025FEB">
      <w:pPr>
        <w:pStyle w:val="Heading2"/>
      </w:pPr>
      <w:bookmarkStart w:id="63" w:name="_Toc83197063"/>
      <w:bookmarkStart w:id="64" w:name="_Toc112845447"/>
      <w:bookmarkStart w:id="65" w:name="_Toc112862051"/>
      <w:bookmarkStart w:id="66" w:name="_Toc116484592"/>
      <w:r w:rsidRPr="00D85A4F">
        <w:t>Ground access</w:t>
      </w:r>
      <w:bookmarkEnd w:id="63"/>
      <w:bookmarkEnd w:id="64"/>
      <w:bookmarkEnd w:id="65"/>
      <w:bookmarkEnd w:id="66"/>
    </w:p>
    <w:p w14:paraId="2874359D" w14:textId="77777777" w:rsidR="00025FEB" w:rsidRPr="00D85A4F" w:rsidRDefault="00025FEB" w:rsidP="00025FEB">
      <w:r w:rsidRPr="00D85A4F">
        <w:t>‘Ground access’ is defined as permission for a patient to enter the grounds of the RFMHS at which they are detained, either with an escort or unescorted. The grounds of a</w:t>
      </w:r>
      <w:r>
        <w:t>n</w:t>
      </w:r>
      <w:r w:rsidRPr="00D85A4F">
        <w:t xml:space="preserve"> RFMHS are defined by each individual service. For mixed</w:t>
      </w:r>
      <w:r>
        <w:t>-</w:t>
      </w:r>
      <w:r w:rsidRPr="00D85A4F">
        <w:t>purpose hospital facilities, the grounds are likely to include the premises of the wider hospital.</w:t>
      </w:r>
    </w:p>
    <w:p w14:paraId="0D398182" w14:textId="77777777" w:rsidR="00025FEB" w:rsidRPr="00D85A4F" w:rsidRDefault="00025FEB" w:rsidP="00025FEB"/>
    <w:p w14:paraId="722A17EA" w14:textId="77777777" w:rsidR="00025FEB" w:rsidRPr="00D85A4F" w:rsidRDefault="00025FEB" w:rsidP="00025FEB">
      <w:r w:rsidRPr="00D85A4F">
        <w:t xml:space="preserve">All special patients are eligible for ground access, including patients excluded from section 52 leave under section 50(2) of the </w:t>
      </w:r>
      <w:r>
        <w:t>Mental Health Act</w:t>
      </w:r>
      <w:r w:rsidRPr="00D85A4F">
        <w:t xml:space="preserve"> (</w:t>
      </w:r>
      <w:r>
        <w:t>that is,</w:t>
      </w:r>
      <w:r w:rsidRPr="00D85A4F">
        <w:t xml:space="preserve"> patients detained for trial or sentencing, or awaiting the outcome of an appeal following conviction).</w:t>
      </w:r>
    </w:p>
    <w:p w14:paraId="53E454FB" w14:textId="77777777" w:rsidR="00025FEB" w:rsidRPr="00D85A4F" w:rsidRDefault="00025FEB" w:rsidP="00025FEB"/>
    <w:p w14:paraId="799D0D74" w14:textId="77777777" w:rsidR="00025FEB" w:rsidRPr="00D85A4F" w:rsidRDefault="00025FEB" w:rsidP="00025FEB">
      <w:r w:rsidRPr="00D85A4F">
        <w:t xml:space="preserve">Although ground access is not governed by the provisions of section 52 of the </w:t>
      </w:r>
      <w:r>
        <w:t>Mental Health Act</w:t>
      </w:r>
      <w:r w:rsidRPr="00D85A4F">
        <w:t xml:space="preserve">, </w:t>
      </w:r>
      <w:r>
        <w:t xml:space="preserve">the Ministry </w:t>
      </w:r>
      <w:r w:rsidRPr="00D85A4F">
        <w:t>recommend</w:t>
      </w:r>
      <w:r>
        <w:t>s</w:t>
      </w:r>
      <w:r w:rsidRPr="00D85A4F">
        <w:t xml:space="preserve"> that the patient’s responsible clinician should be responsible for seeking permission for ground access, and the DAMHS should provide approval of the requests.</w:t>
      </w:r>
    </w:p>
    <w:p w14:paraId="191A070A" w14:textId="77777777" w:rsidR="00025FEB" w:rsidRPr="00D85A4F" w:rsidRDefault="00025FEB" w:rsidP="00025FEB"/>
    <w:p w14:paraId="168CD3B1" w14:textId="77777777" w:rsidR="00025FEB" w:rsidRPr="00D85A4F" w:rsidRDefault="00025FEB" w:rsidP="00025FEB">
      <w:r w:rsidRPr="00D85A4F">
        <w:t xml:space="preserve">The DAMHS should inform the Director of any request for ground access where the patient is considered to present a significant risk to themselves or to another person, or is likely to attract media attention, prior to granting approval. </w:t>
      </w:r>
    </w:p>
    <w:p w14:paraId="33A1E499" w14:textId="77777777" w:rsidR="00025FEB" w:rsidRPr="00D85A4F" w:rsidRDefault="00025FEB" w:rsidP="00025FEB">
      <w:pPr>
        <w:pStyle w:val="Heading2"/>
      </w:pPr>
      <w:bookmarkStart w:id="67" w:name="_Toc83197064"/>
      <w:bookmarkStart w:id="68" w:name="_Toc112845448"/>
      <w:bookmarkStart w:id="69" w:name="_Toc112862052"/>
      <w:bookmarkStart w:id="70" w:name="_Toc116484593"/>
      <w:r w:rsidRPr="00D85A4F">
        <w:t>Ground access requirements and risk management</w:t>
      </w:r>
      <w:bookmarkEnd w:id="67"/>
      <w:bookmarkEnd w:id="68"/>
      <w:bookmarkEnd w:id="69"/>
      <w:bookmarkEnd w:id="70"/>
    </w:p>
    <w:p w14:paraId="64CB9D5E" w14:textId="77777777" w:rsidR="00025FEB" w:rsidRPr="00D85A4F" w:rsidRDefault="00025FEB" w:rsidP="00025FEB">
      <w:r w:rsidRPr="00D85A4F">
        <w:t xml:space="preserve">Ground access requests </w:t>
      </w:r>
      <w:r>
        <w:t xml:space="preserve">for each patient </w:t>
      </w:r>
      <w:r w:rsidRPr="00D85A4F">
        <w:t xml:space="preserve">should align with the patient’s leave plan and be part of an identifiable pathway set out in the documentation accompanying the request for DAMHS approval. This must include an individualised assessment of risk and consideration of all the relevant circumstances for the patient. The </w:t>
      </w:r>
      <w:r>
        <w:t xml:space="preserve">documentation accompanying the request must clearly identify the </w:t>
      </w:r>
      <w:r w:rsidRPr="00D85A4F">
        <w:t>type of ground access and any restrictions on access. Escort arrangements, including the ratio and gender of escorting staff, should reflect the RFMHS'</w:t>
      </w:r>
      <w:r>
        <w:t>s</w:t>
      </w:r>
      <w:r w:rsidRPr="00D85A4F">
        <w:t xml:space="preserve"> current policy and the degree of risk </w:t>
      </w:r>
      <w:r>
        <w:t xml:space="preserve">the </w:t>
      </w:r>
      <w:proofErr w:type="gramStart"/>
      <w:r>
        <w:t>particular patient</w:t>
      </w:r>
      <w:proofErr w:type="gramEnd"/>
      <w:r>
        <w:t xml:space="preserve"> </w:t>
      </w:r>
      <w:r w:rsidRPr="00D85A4F">
        <w:t>present</w:t>
      </w:r>
      <w:r>
        <w:t>s</w:t>
      </w:r>
      <w:r w:rsidRPr="00D85A4F">
        <w:t xml:space="preserve"> to themself or others.</w:t>
      </w:r>
    </w:p>
    <w:p w14:paraId="72610C8A" w14:textId="77777777" w:rsidR="00025FEB" w:rsidRPr="00D85A4F" w:rsidRDefault="00025FEB" w:rsidP="00025FEB"/>
    <w:p w14:paraId="102B11D5" w14:textId="77777777" w:rsidR="00025FEB" w:rsidRPr="00D85A4F" w:rsidRDefault="00025FEB" w:rsidP="00025FEB">
      <w:r w:rsidRPr="00D85A4F">
        <w:t xml:space="preserve">Before each period of ground access, staff (in practice, </w:t>
      </w:r>
      <w:r>
        <w:t xml:space="preserve">usually </w:t>
      </w:r>
      <w:r w:rsidRPr="00D85A4F">
        <w:t>be a registered nurse) should conduct a risk assessment. This should include the following:</w:t>
      </w:r>
    </w:p>
    <w:p w14:paraId="5F57CA0E" w14:textId="77777777" w:rsidR="00025FEB" w:rsidRPr="00D85A4F" w:rsidRDefault="00025FEB" w:rsidP="00025FEB">
      <w:pPr>
        <w:pStyle w:val="Bullet"/>
        <w:tabs>
          <w:tab w:val="clear" w:pos="284"/>
        </w:tabs>
      </w:pPr>
      <w:r>
        <w:lastRenderedPageBreak/>
        <w:t>w</w:t>
      </w:r>
      <w:r w:rsidRPr="00D85A4F">
        <w:t>hether there is the right staff mix to support the person to take the leave</w:t>
      </w:r>
    </w:p>
    <w:p w14:paraId="45EF6556" w14:textId="77777777" w:rsidR="00025FEB" w:rsidRPr="00D85A4F" w:rsidRDefault="00025FEB" w:rsidP="00025FEB">
      <w:pPr>
        <w:pStyle w:val="Bullet"/>
        <w:tabs>
          <w:tab w:val="clear" w:pos="284"/>
        </w:tabs>
      </w:pPr>
      <w:r>
        <w:t>w</w:t>
      </w:r>
      <w:r w:rsidRPr="00D85A4F">
        <w:t>hether the staff escorts have good rapport with the patient.</w:t>
      </w:r>
    </w:p>
    <w:p w14:paraId="0C0F5D73" w14:textId="77777777" w:rsidR="00025FEB" w:rsidRDefault="00025FEB" w:rsidP="00025FEB"/>
    <w:p w14:paraId="4480CA03" w14:textId="77777777" w:rsidR="00025FEB" w:rsidRPr="00D85A4F" w:rsidRDefault="00025FEB" w:rsidP="00025FEB">
      <w:r w:rsidRPr="00D85A4F">
        <w:t>The focus should be on making sure that person is well supported to have the optimal experience from the period of leave that helps them achieve their recovery goals</w:t>
      </w:r>
      <w:r>
        <w:t>,</w:t>
      </w:r>
      <w:r w:rsidRPr="00D85A4F">
        <w:t xml:space="preserve"> which may include connecting with </w:t>
      </w:r>
      <w:proofErr w:type="spellStart"/>
      <w:r w:rsidRPr="00D85A4F">
        <w:t>wh</w:t>
      </w:r>
      <w:r>
        <w:t>ā</w:t>
      </w:r>
      <w:r w:rsidRPr="00D85A4F">
        <w:t>nau</w:t>
      </w:r>
      <w:proofErr w:type="spellEnd"/>
      <w:r w:rsidRPr="00D85A4F">
        <w:t>. Thi</w:t>
      </w:r>
      <w:r>
        <w:t>s</w:t>
      </w:r>
      <w:r w:rsidRPr="00D85A4F">
        <w:t xml:space="preserve"> experience should be safe for all who are involved.</w:t>
      </w:r>
    </w:p>
    <w:p w14:paraId="1BD2A8A3" w14:textId="77777777" w:rsidR="00025FEB" w:rsidRPr="00D85A4F" w:rsidRDefault="00025FEB" w:rsidP="00025FEB"/>
    <w:p w14:paraId="7B9C3CFE" w14:textId="77777777" w:rsidR="00025FEB" w:rsidRPr="00D85A4F" w:rsidRDefault="00025FEB" w:rsidP="00025FEB">
      <w:r w:rsidRPr="00D85A4F">
        <w:t>The request may be deferred if the patient presents with a significant increase in risk. Ground access may be subject to restrictions and conditions imposed by the responsible clinician. Where appropriate, the request for ground access should specify the geographic limits within which the leave can occur.</w:t>
      </w:r>
    </w:p>
    <w:p w14:paraId="33DCDCED" w14:textId="77777777" w:rsidR="00025FEB" w:rsidRPr="00D85A4F" w:rsidRDefault="00025FEB" w:rsidP="00025FEB"/>
    <w:p w14:paraId="3B14454B" w14:textId="77777777" w:rsidR="00025FEB" w:rsidRPr="00D85A4F" w:rsidRDefault="00025FEB" w:rsidP="00025FEB">
      <w:r w:rsidRPr="00D85A4F">
        <w:t>When considering whether to seek the DAMHS’</w:t>
      </w:r>
      <w:r>
        <w:t>s</w:t>
      </w:r>
      <w:r w:rsidRPr="00D85A4F">
        <w:t xml:space="preserve"> approval for ground access, the treating team should consider such factors as whether the patient:</w:t>
      </w:r>
    </w:p>
    <w:p w14:paraId="13B315E1" w14:textId="77777777" w:rsidR="00025FEB" w:rsidRPr="00D85A4F" w:rsidRDefault="00025FEB" w:rsidP="00025FEB">
      <w:pPr>
        <w:pStyle w:val="Bullet"/>
        <w:spacing w:line="264" w:lineRule="auto"/>
      </w:pPr>
      <w:r w:rsidRPr="00D85A4F">
        <w:t xml:space="preserve">is assessed as posing a low risk to the public, identified </w:t>
      </w:r>
      <w:r>
        <w:t xml:space="preserve">people </w:t>
      </w:r>
      <w:r w:rsidRPr="00D85A4F">
        <w:t xml:space="preserve">or groups of </w:t>
      </w:r>
      <w:r>
        <w:t>people</w:t>
      </w:r>
    </w:p>
    <w:p w14:paraId="585B2517" w14:textId="77777777" w:rsidR="00025FEB" w:rsidRPr="00D85A4F" w:rsidRDefault="00025FEB" w:rsidP="00025FEB">
      <w:pPr>
        <w:pStyle w:val="Bullet"/>
        <w:spacing w:line="264" w:lineRule="auto"/>
      </w:pPr>
      <w:r w:rsidRPr="00D85A4F">
        <w:t>has the capacity for socially appropriate behaviour</w:t>
      </w:r>
    </w:p>
    <w:p w14:paraId="3BAAC0B7" w14:textId="77777777" w:rsidR="00025FEB" w:rsidRPr="00D85A4F" w:rsidRDefault="00025FEB" w:rsidP="00025FEB">
      <w:pPr>
        <w:pStyle w:val="Bullet"/>
        <w:spacing w:line="264" w:lineRule="auto"/>
      </w:pPr>
      <w:proofErr w:type="gramStart"/>
      <w:r w:rsidRPr="00D85A4F">
        <w:t>is able to</w:t>
      </w:r>
      <w:proofErr w:type="gramEnd"/>
      <w:r w:rsidRPr="00D85A4F">
        <w:t xml:space="preserve"> take responsibility for their wellbeing and recovery</w:t>
      </w:r>
    </w:p>
    <w:p w14:paraId="20B012C3" w14:textId="77777777" w:rsidR="00025FEB" w:rsidRPr="00D85A4F" w:rsidRDefault="00025FEB" w:rsidP="00025FEB">
      <w:pPr>
        <w:pStyle w:val="Bullet"/>
        <w:spacing w:line="264" w:lineRule="auto"/>
      </w:pPr>
      <w:r w:rsidRPr="00D85A4F">
        <w:t xml:space="preserve">is assessed as </w:t>
      </w:r>
      <w:r>
        <w:t xml:space="preserve">being at </w:t>
      </w:r>
      <w:r w:rsidRPr="00D85A4F">
        <w:t>low risk of absconding/escaping</w:t>
      </w:r>
    </w:p>
    <w:p w14:paraId="1DCC73FF" w14:textId="77777777" w:rsidR="00025FEB" w:rsidRPr="00D85A4F" w:rsidRDefault="00025FEB" w:rsidP="00025FEB">
      <w:pPr>
        <w:pStyle w:val="Bullet"/>
        <w:spacing w:line="264" w:lineRule="auto"/>
      </w:pPr>
      <w:r w:rsidRPr="00D85A4F">
        <w:t>has the capacity to follow directions</w:t>
      </w:r>
    </w:p>
    <w:p w14:paraId="478AB71B" w14:textId="77777777" w:rsidR="00025FEB" w:rsidRPr="00D85A4F" w:rsidRDefault="00025FEB" w:rsidP="00025FEB">
      <w:pPr>
        <w:pStyle w:val="Bullet"/>
        <w:spacing w:line="264" w:lineRule="auto"/>
      </w:pPr>
      <w:r w:rsidRPr="00D85A4F">
        <w:t>is compliant with medication and directions</w:t>
      </w:r>
    </w:p>
    <w:p w14:paraId="2F9F6CDD" w14:textId="77777777" w:rsidR="00025FEB" w:rsidRPr="00D85A4F" w:rsidRDefault="00025FEB" w:rsidP="00025FEB">
      <w:pPr>
        <w:pStyle w:val="Bullet"/>
        <w:spacing w:line="264" w:lineRule="auto"/>
      </w:pPr>
      <w:r w:rsidRPr="00D85A4F">
        <w:t>is abstinent from illicit substances and alcohol</w:t>
      </w:r>
    </w:p>
    <w:p w14:paraId="12201CE6" w14:textId="77777777" w:rsidR="00025FEB" w:rsidRPr="00D85A4F" w:rsidRDefault="00025FEB" w:rsidP="00025FEB">
      <w:pPr>
        <w:pStyle w:val="Bullet"/>
        <w:spacing w:line="264" w:lineRule="auto"/>
      </w:pPr>
      <w:r w:rsidRPr="00D85A4F">
        <w:t xml:space="preserve">if the patient is on remand, or awaiting the outcome of a trial or sentencing, has </w:t>
      </w:r>
      <w:r>
        <w:t xml:space="preserve">had </w:t>
      </w:r>
      <w:r w:rsidRPr="00D85A4F">
        <w:t xml:space="preserve">liaison with </w:t>
      </w:r>
      <w:bookmarkStart w:id="71" w:name="_Hlk78831560"/>
      <w:r w:rsidRPr="00D85A4F">
        <w:t>Ara Poutama</w:t>
      </w:r>
      <w:bookmarkEnd w:id="71"/>
      <w:r w:rsidRPr="00D85A4F">
        <w:t xml:space="preserve"> Aotearoa (Department of Corrections) staff, where appropriate.</w:t>
      </w:r>
    </w:p>
    <w:p w14:paraId="75016963" w14:textId="77777777" w:rsidR="00025FEB" w:rsidRPr="00D85A4F" w:rsidRDefault="00025FEB" w:rsidP="00025FEB"/>
    <w:p w14:paraId="5234DFE4" w14:textId="77777777" w:rsidR="00025FEB" w:rsidRPr="00D85A4F" w:rsidRDefault="00025FEB" w:rsidP="00025FEB">
      <w:bookmarkStart w:id="72" w:name="_Toc445803200"/>
      <w:r w:rsidRPr="00D85A4F">
        <w:t>The RFMHS should have a plan in place to enable escorting staff to receive assistance in an emergency. This plan should include a requirement that escorting staff carry a mobile telephone or two-way radio. Any incident during leave should be reported to the DAMHS and, if necessary, to the Director in accordance with the Ministry’s requirements on reportable events (see section 12 of these guidelines).</w:t>
      </w:r>
      <w:bookmarkEnd w:id="72"/>
    </w:p>
    <w:p w14:paraId="517E2171" w14:textId="77777777" w:rsidR="00025FEB" w:rsidRPr="00D85A4F" w:rsidRDefault="00025FEB" w:rsidP="00025FEB">
      <w:pPr>
        <w:pStyle w:val="Heading2"/>
      </w:pPr>
      <w:bookmarkStart w:id="73" w:name="_Toc445803201"/>
      <w:bookmarkStart w:id="74" w:name="_Toc83197065"/>
      <w:bookmarkStart w:id="75" w:name="_Toc112845449"/>
      <w:bookmarkStart w:id="76" w:name="_Toc112862053"/>
      <w:bookmarkStart w:id="77" w:name="_Toc116484594"/>
      <w:r w:rsidRPr="00D85A4F">
        <w:t>Managing flight risk</w:t>
      </w:r>
      <w:bookmarkEnd w:id="73"/>
      <w:bookmarkEnd w:id="74"/>
      <w:bookmarkEnd w:id="75"/>
      <w:bookmarkEnd w:id="76"/>
      <w:bookmarkEnd w:id="77"/>
    </w:p>
    <w:p w14:paraId="6ED5D04D" w14:textId="77777777" w:rsidR="00025FEB" w:rsidRPr="00D85A4F" w:rsidRDefault="00025FEB" w:rsidP="00025FEB">
      <w:r w:rsidRPr="00D85A4F">
        <w:t xml:space="preserve">As noted in section 2.3, </w:t>
      </w:r>
      <w:r>
        <w:t xml:space="preserve">RFMHSs should assess </w:t>
      </w:r>
      <w:r w:rsidRPr="00D85A4F">
        <w:t xml:space="preserve">all special patients for flight risk and </w:t>
      </w:r>
      <w:r>
        <w:t xml:space="preserve">put </w:t>
      </w:r>
      <w:r w:rsidRPr="00D85A4F">
        <w:t>steps in place to mitigate any risk.</w:t>
      </w:r>
    </w:p>
    <w:p w14:paraId="1BA51B87" w14:textId="77777777" w:rsidR="00025FEB" w:rsidRPr="00D85A4F" w:rsidRDefault="00025FEB" w:rsidP="00025FEB"/>
    <w:p w14:paraId="281DBFC5" w14:textId="77777777" w:rsidR="00025FEB" w:rsidRPr="00D85A4F" w:rsidRDefault="00025FEB" w:rsidP="00025FEB">
      <w:r w:rsidRPr="00D85A4F">
        <w:t>If the Ministry or the RFMHS considers that a special patient presents a flight risk, leave will not be approved until actions have been taken to minimise this risk.</w:t>
      </w:r>
    </w:p>
    <w:p w14:paraId="1852A51C" w14:textId="77777777" w:rsidR="00025FEB" w:rsidRPr="00D85A4F" w:rsidRDefault="00025FEB" w:rsidP="00025FEB"/>
    <w:p w14:paraId="3594F405" w14:textId="77777777" w:rsidR="00025FEB" w:rsidRPr="00D85A4F" w:rsidRDefault="00025FEB" w:rsidP="00025FEB">
      <w:pPr>
        <w:keepNext/>
      </w:pPr>
      <w:r w:rsidRPr="00D85A4F">
        <w:t>There are no grounds under which special patients can be restricted in their ability to hold a passport. However, RFMHS</w:t>
      </w:r>
      <w:r>
        <w:t>s</w:t>
      </w:r>
      <w:r w:rsidRPr="00D85A4F">
        <w:t xml:space="preserve"> should ask patients assessed as high flight risk to voluntarily surrender their travel documents as a condition of leave. So long as the surrender of documents is done with the special patient’s consent and not against their will</w:t>
      </w:r>
      <w:r>
        <w:t xml:space="preserve"> (and the special patient had capacity to make that decision)</w:t>
      </w:r>
      <w:r w:rsidRPr="00D85A4F">
        <w:t xml:space="preserve">, there will be no </w:t>
      </w:r>
      <w:r w:rsidRPr="00D85A4F">
        <w:lastRenderedPageBreak/>
        <w:t xml:space="preserve">offence under the Passports Act 1992. If a special patient refuses to provide their passport or other travel document, this can be considered as part of the decision on </w:t>
      </w:r>
      <w:proofErr w:type="gramStart"/>
      <w:r w:rsidRPr="00D85A4F">
        <w:t>whether or not</w:t>
      </w:r>
      <w:proofErr w:type="gramEnd"/>
      <w:r w:rsidRPr="00D85A4F">
        <w:t xml:space="preserve"> to grant leave (provided safe and secure storage of the passport or travel document was offered to the patient).</w:t>
      </w:r>
    </w:p>
    <w:p w14:paraId="2E623D48" w14:textId="77777777" w:rsidR="00025FEB" w:rsidRPr="00D85A4F" w:rsidRDefault="00025FEB" w:rsidP="00025FEB"/>
    <w:p w14:paraId="09D5C85A" w14:textId="77777777" w:rsidR="00025FEB" w:rsidRPr="00D85A4F" w:rsidRDefault="00025FEB" w:rsidP="00025FEB">
      <w:r w:rsidRPr="00D85A4F">
        <w:t>If a special patient fails to return from leave (</w:t>
      </w:r>
      <w:r>
        <w:t xml:space="preserve">that is, </w:t>
      </w:r>
      <w:r w:rsidRPr="00D85A4F">
        <w:t xml:space="preserve">is absent without leave) and there are concerns that they may try to leave the country, </w:t>
      </w:r>
      <w:r>
        <w:t xml:space="preserve">the RFMHS should notify </w:t>
      </w:r>
      <w:r w:rsidRPr="00D85A4F">
        <w:t>immigration authorities immediately.</w:t>
      </w:r>
    </w:p>
    <w:p w14:paraId="6973EC53" w14:textId="77777777" w:rsidR="00025FEB" w:rsidRPr="00D85A4F" w:rsidRDefault="00025FEB" w:rsidP="00025FEB">
      <w:pPr>
        <w:pStyle w:val="Heading2"/>
      </w:pPr>
      <w:bookmarkStart w:id="78" w:name="_Toc83197066"/>
      <w:bookmarkStart w:id="79" w:name="_Toc112845450"/>
      <w:bookmarkStart w:id="80" w:name="_Toc112862054"/>
      <w:bookmarkStart w:id="81" w:name="_Toc116484595"/>
      <w:r w:rsidRPr="00D85A4F">
        <w:t>Border alerts and notifying registered victims</w:t>
      </w:r>
      <w:bookmarkEnd w:id="78"/>
      <w:bookmarkEnd w:id="79"/>
      <w:bookmarkEnd w:id="80"/>
      <w:bookmarkEnd w:id="81"/>
    </w:p>
    <w:p w14:paraId="1F3E1EDF" w14:textId="77777777" w:rsidR="00025FEB" w:rsidRPr="00D85A4F" w:rsidRDefault="00025FEB" w:rsidP="00025FEB">
      <w:r w:rsidRPr="00D85A4F">
        <w:t>Overseas border alerts should be in place for all special patients who have unescorted short leave or ministerial long leave. See section 2.3</w:t>
      </w:r>
      <w:r>
        <w:t>.1</w:t>
      </w:r>
      <w:r w:rsidRPr="00D85A4F">
        <w:t xml:space="preserve"> and 6.3.1 for more information on the process of placing overseas border alerts.</w:t>
      </w:r>
    </w:p>
    <w:p w14:paraId="2D330803" w14:textId="77777777" w:rsidR="00025FEB" w:rsidRPr="00D85A4F" w:rsidRDefault="00025FEB" w:rsidP="00025FEB"/>
    <w:p w14:paraId="19C71B02" w14:textId="77777777" w:rsidR="00025FEB" w:rsidRPr="00D85A4F" w:rsidRDefault="00025FEB" w:rsidP="00025FEB">
      <w:r w:rsidRPr="00D85A4F">
        <w:t>Registered victims need to be notified in certain circumstances, including when the special patient has first unescorted leave from hospital, has their first unescorted overnight leave from hospital or is absent without leave (including failing to return from leave). See section 12 of these guidelines for a more detailed explanation of the requirements relating to victim notification.</w:t>
      </w:r>
    </w:p>
    <w:p w14:paraId="0663CCE2" w14:textId="77777777" w:rsidR="00025FEB" w:rsidRPr="00D85A4F" w:rsidRDefault="00025FEB" w:rsidP="00025FEB">
      <w:pPr>
        <w:pStyle w:val="Heading2"/>
      </w:pPr>
      <w:bookmarkStart w:id="82" w:name="_Toc83197067"/>
      <w:bookmarkStart w:id="83" w:name="_Toc112845451"/>
      <w:bookmarkStart w:id="84" w:name="_Toc112862055"/>
      <w:bookmarkStart w:id="85" w:name="_Toc116484596"/>
      <w:r w:rsidRPr="00D85A4F">
        <w:t>Conditions of ministerial long leave and unescorted community short leave</w:t>
      </w:r>
      <w:bookmarkEnd w:id="82"/>
      <w:bookmarkEnd w:id="83"/>
      <w:bookmarkEnd w:id="84"/>
      <w:bookmarkEnd w:id="85"/>
    </w:p>
    <w:p w14:paraId="3DB7B392" w14:textId="77777777" w:rsidR="00025FEB" w:rsidRPr="00D85A4F" w:rsidRDefault="00025FEB" w:rsidP="00025FEB">
      <w:r w:rsidRPr="00D85A4F">
        <w:t xml:space="preserve">Certain conditions apply to all special patients on unescorted short leave and ministerial long leave. Those conditions do not apply to patients on escorted or unescorted ground leave. The </w:t>
      </w:r>
      <w:r>
        <w:t xml:space="preserve">RFMHS must inform the </w:t>
      </w:r>
      <w:r w:rsidRPr="00D85A4F">
        <w:t xml:space="preserve">patient of all conditions of leave before they leave the hospital grounds, and </w:t>
      </w:r>
      <w:r>
        <w:t xml:space="preserve">document </w:t>
      </w:r>
      <w:r w:rsidRPr="00D85A4F">
        <w:t>conditions in the patient’s records.</w:t>
      </w:r>
    </w:p>
    <w:p w14:paraId="4B70CE17" w14:textId="77777777" w:rsidR="00025FEB" w:rsidRPr="00D85A4F" w:rsidRDefault="00025FEB" w:rsidP="00025FEB"/>
    <w:p w14:paraId="419F3155" w14:textId="77777777" w:rsidR="00025FEB" w:rsidRPr="00D85A4F" w:rsidRDefault="00025FEB" w:rsidP="00025FEB">
      <w:r w:rsidRPr="00D85A4F">
        <w:t>Any application for ministerial long leave or for unescorted short leave in the community should include the following information:</w:t>
      </w:r>
    </w:p>
    <w:p w14:paraId="13344FB7" w14:textId="77777777" w:rsidR="00025FEB" w:rsidRPr="00D85A4F" w:rsidRDefault="00025FEB" w:rsidP="00025FEB">
      <w:pPr>
        <w:pStyle w:val="Bullet"/>
        <w:spacing w:line="264" w:lineRule="auto"/>
      </w:pPr>
      <w:r w:rsidRPr="00D85A4F">
        <w:t>confirmation that no overseas travel will be permitted</w:t>
      </w:r>
    </w:p>
    <w:p w14:paraId="58E2DE0B" w14:textId="77777777" w:rsidR="00025FEB" w:rsidRPr="00D85A4F" w:rsidRDefault="00025FEB" w:rsidP="00025FEB">
      <w:pPr>
        <w:pStyle w:val="Bullet"/>
        <w:spacing w:line="264" w:lineRule="auto"/>
      </w:pPr>
      <w:r w:rsidRPr="00D85A4F">
        <w:t>a current flight risk assessment</w:t>
      </w:r>
    </w:p>
    <w:p w14:paraId="126D3F8A" w14:textId="77777777" w:rsidR="00025FEB" w:rsidRPr="00D85A4F" w:rsidRDefault="00025FEB" w:rsidP="00025FEB">
      <w:pPr>
        <w:pStyle w:val="Bullet"/>
        <w:spacing w:line="264" w:lineRule="auto"/>
      </w:pPr>
      <w:r w:rsidRPr="00D85A4F">
        <w:t>confirmation that the patient has agreed to surrender their travel documents.</w:t>
      </w:r>
    </w:p>
    <w:p w14:paraId="042B480F" w14:textId="77777777" w:rsidR="00025FEB" w:rsidRDefault="00025FEB" w:rsidP="00025FEB">
      <w:pPr>
        <w:sectPr w:rsidR="00025FEB" w:rsidSect="00856460">
          <w:pgSz w:w="11907" w:h="16834" w:code="9"/>
          <w:pgMar w:top="1418" w:right="1701" w:bottom="1134" w:left="1843" w:header="284" w:footer="425" w:gutter="284"/>
          <w:cols w:space="720"/>
        </w:sectPr>
      </w:pPr>
    </w:p>
    <w:p w14:paraId="0B782066" w14:textId="77777777" w:rsidR="00025FEB" w:rsidRPr="00D85A4F" w:rsidRDefault="00025FEB" w:rsidP="00025FEB">
      <w:pPr>
        <w:pStyle w:val="Heading1"/>
      </w:pPr>
      <w:bookmarkStart w:id="86" w:name="_Toc112862056"/>
      <w:bookmarkStart w:id="87" w:name="_Toc116484597"/>
      <w:r w:rsidRPr="00D85A4F">
        <w:lastRenderedPageBreak/>
        <w:t xml:space="preserve">Transfer of special patients under </w:t>
      </w:r>
      <w:r>
        <w:t>s</w:t>
      </w:r>
      <w:r w:rsidRPr="00D85A4F">
        <w:t>ection 49</w:t>
      </w:r>
      <w:bookmarkEnd w:id="86"/>
      <w:bookmarkEnd w:id="87"/>
    </w:p>
    <w:p w14:paraId="2CE9DBFA" w14:textId="77777777" w:rsidR="00025FEB" w:rsidRPr="00D85A4F" w:rsidRDefault="00025FEB" w:rsidP="00025FEB">
      <w:r w:rsidRPr="00D85A4F">
        <w:t xml:space="preserve">Section 49 </w:t>
      </w:r>
      <w:r>
        <w:t xml:space="preserve">of the Mental Health Act </w:t>
      </w:r>
      <w:r w:rsidRPr="00D85A4F">
        <w:t xml:space="preserve">enables the Director of Mental Health to direct the transfer of </w:t>
      </w:r>
      <w:r w:rsidRPr="00D85A4F">
        <w:rPr>
          <w:color w:val="000000"/>
          <w:lang w:eastAsia="en-NZ"/>
        </w:rPr>
        <w:t xml:space="preserve">any special patient from any hospital in which the patient is detained to any other hospital. </w:t>
      </w:r>
      <w:r w:rsidRPr="00D85A4F">
        <w:t>These transfers can be permanent or temporary transfers, such as for a period of urgent assessment and treatment.</w:t>
      </w:r>
    </w:p>
    <w:p w14:paraId="22A8C908" w14:textId="77777777" w:rsidR="00025FEB" w:rsidRPr="00D85A4F" w:rsidRDefault="00025FEB" w:rsidP="00025FEB"/>
    <w:p w14:paraId="40350F20" w14:textId="77777777" w:rsidR="00025FEB" w:rsidRPr="00D85A4F" w:rsidRDefault="00025FEB" w:rsidP="00025FEB">
      <w:r>
        <w:t xml:space="preserve">A </w:t>
      </w:r>
      <w:r w:rsidRPr="00D85A4F">
        <w:t xml:space="preserve">special patient subject to a direction under this section always remains in custody and is considered to detained and to be continuing their assessment and treatment as required under the court orders. There needs to be a secure escort during the transfer process (see </w:t>
      </w:r>
      <w:r w:rsidRPr="00C61F0F">
        <w:rPr>
          <w:i/>
          <w:iCs/>
        </w:rPr>
        <w:t>Guidelines for the Safe Transport of Special Patients and Special Care Recipients in the Care of Regional Forensic Mental Health Services</w:t>
      </w:r>
      <w:r w:rsidRPr="00D85A4F">
        <w:t xml:space="preserve"> </w:t>
      </w:r>
      <w:r>
        <w:t>(Ministry of Health 2012))</w:t>
      </w:r>
      <w:r w:rsidRPr="00D85A4F">
        <w:t>.</w:t>
      </w:r>
    </w:p>
    <w:p w14:paraId="4E920296" w14:textId="77777777" w:rsidR="00025FEB" w:rsidRPr="00D85A4F" w:rsidRDefault="00025FEB" w:rsidP="00025FEB"/>
    <w:p w14:paraId="527A04AA" w14:textId="77777777" w:rsidR="00025FEB" w:rsidRPr="00D85A4F" w:rsidRDefault="00025FEB" w:rsidP="00025FEB">
      <w:r w:rsidRPr="00D85A4F">
        <w:t xml:space="preserve">This is not a form of leave. Therefore, special patients on remand can be subject to a transfer direction.  </w:t>
      </w:r>
    </w:p>
    <w:p w14:paraId="2E11D53C" w14:textId="77777777" w:rsidR="00025FEB" w:rsidRPr="00D85A4F" w:rsidRDefault="00025FEB" w:rsidP="00025FEB"/>
    <w:p w14:paraId="7D2E32B7" w14:textId="77777777" w:rsidR="00025FEB" w:rsidRPr="00D85A4F" w:rsidRDefault="00025FEB" w:rsidP="00025FEB">
      <w:r w:rsidRPr="00D85A4F">
        <w:t xml:space="preserve">It is important to note that </w:t>
      </w:r>
      <w:r>
        <w:t xml:space="preserve">DAMHSs for </w:t>
      </w:r>
      <w:r w:rsidRPr="00D85A4F">
        <w:t>RFMHS</w:t>
      </w:r>
      <w:r>
        <w:t>s</w:t>
      </w:r>
      <w:r w:rsidRPr="00D85A4F">
        <w:t xml:space="preserve"> cover region</w:t>
      </w:r>
      <w:r>
        <w:t>s</w:t>
      </w:r>
      <w:r w:rsidRPr="00D85A4F">
        <w:t xml:space="preserve"> that often contain more than one hospital. This means that special patients can move from one hospital to another but still be under the oversight (and control) </w:t>
      </w:r>
      <w:proofErr w:type="gramStart"/>
      <w:r w:rsidRPr="00D85A4F">
        <w:t xml:space="preserve">of  </w:t>
      </w:r>
      <w:r>
        <w:t>the</w:t>
      </w:r>
      <w:proofErr w:type="gramEnd"/>
      <w:r>
        <w:t xml:space="preserve"> same</w:t>
      </w:r>
      <w:r w:rsidRPr="00D85A4F">
        <w:t xml:space="preserve"> DAMHS. </w:t>
      </w:r>
      <w:r>
        <w:t>The wording of section 49(3) anticipates t</w:t>
      </w:r>
      <w:r w:rsidRPr="00D85A4F">
        <w:t>his.</w:t>
      </w:r>
    </w:p>
    <w:p w14:paraId="705C811A" w14:textId="77777777" w:rsidR="00025FEB" w:rsidRPr="00D85A4F" w:rsidRDefault="00025FEB" w:rsidP="00025FEB"/>
    <w:p w14:paraId="27D1AE92" w14:textId="77777777" w:rsidR="00025FEB" w:rsidRPr="00D85A4F" w:rsidRDefault="00025FEB" w:rsidP="00025FEB">
      <w:r>
        <w:t>T</w:t>
      </w:r>
      <w:r w:rsidRPr="00D85A4F">
        <w:t xml:space="preserve">he assessment and treatment of special patients should be completed in a holistic </w:t>
      </w:r>
      <w:proofErr w:type="gramStart"/>
      <w:r w:rsidRPr="00D85A4F">
        <w:t>manner</w:t>
      </w:r>
      <w:r>
        <w:t>,</w:t>
      </w:r>
      <w:r w:rsidRPr="00D85A4F">
        <w:t xml:space="preserve"> and</w:t>
      </w:r>
      <w:proofErr w:type="gramEnd"/>
      <w:r w:rsidRPr="00D85A4F">
        <w:t xml:space="preserve"> </w:t>
      </w:r>
      <w:r>
        <w:t xml:space="preserve">should </w:t>
      </w:r>
      <w:r w:rsidRPr="00D85A4F">
        <w:t xml:space="preserve">include all medical treatment and other health care that is appropriate to </w:t>
      </w:r>
      <w:r>
        <w:t xml:space="preserve">the patient’s </w:t>
      </w:r>
      <w:r w:rsidRPr="00D85A4F">
        <w:t>condition (</w:t>
      </w:r>
      <w:r>
        <w:t xml:space="preserve">under </w:t>
      </w:r>
      <w:r w:rsidRPr="00D85A4F">
        <w:t>section 66), including physical health investigations and care.</w:t>
      </w:r>
    </w:p>
    <w:p w14:paraId="3222CEB6" w14:textId="77777777" w:rsidR="00025FEB" w:rsidRPr="00D85A4F" w:rsidRDefault="00025FEB" w:rsidP="00025FEB"/>
    <w:p w14:paraId="7C60F461" w14:textId="77777777" w:rsidR="00025FEB" w:rsidRPr="00D85A4F" w:rsidRDefault="00025FEB" w:rsidP="00025FEB">
      <w:r w:rsidRPr="00D85A4F">
        <w:t xml:space="preserve">When a special patient is transferred from a forensic mental health ward to a medical or surgical ward, their forensic mental health care </w:t>
      </w:r>
      <w:r>
        <w:t xml:space="preserve">(for example, their medication) </w:t>
      </w:r>
      <w:r w:rsidRPr="00D85A4F">
        <w:t>continues but in addition they will receive the medical treatment</w:t>
      </w:r>
      <w:r>
        <w:t xml:space="preserve"> they need</w:t>
      </w:r>
      <w:r w:rsidRPr="00D85A4F">
        <w:t xml:space="preserve">. </w:t>
      </w:r>
      <w:r>
        <w:t>F</w:t>
      </w:r>
      <w:r w:rsidRPr="00D85A4F">
        <w:t>or short appointments or admissions for medical treatment</w:t>
      </w:r>
      <w:r>
        <w:t>, it may not be necessary</w:t>
      </w:r>
      <w:r w:rsidRPr="00D85A4F">
        <w:t xml:space="preserve"> to transfer DAMHS responsibilities for the special patient from the </w:t>
      </w:r>
      <w:r>
        <w:t>f</w:t>
      </w:r>
      <w:r w:rsidRPr="00D85A4F">
        <w:t>orensic DAMHS to the general DAMH</w:t>
      </w:r>
      <w:r>
        <w:t>S</w:t>
      </w:r>
      <w:r w:rsidRPr="00D85A4F">
        <w:t xml:space="preserve">. </w:t>
      </w:r>
    </w:p>
    <w:p w14:paraId="2E8C2C65" w14:textId="77777777" w:rsidR="00025FEB" w:rsidRPr="00D85A4F" w:rsidRDefault="00025FEB" w:rsidP="00025FEB"/>
    <w:p w14:paraId="528FDB9B" w14:textId="77777777" w:rsidR="00025FEB" w:rsidRPr="00D85A4F" w:rsidRDefault="00025FEB" w:rsidP="00025FEB">
      <w:r w:rsidRPr="00D85A4F">
        <w:t>When a special patient is transferred for extended treatment over a period of weeks</w:t>
      </w:r>
      <w:r>
        <w:t>,</w:t>
      </w:r>
      <w:r w:rsidRPr="00D85A4F">
        <w:t xml:space="preserve"> it may be necessary to transfer DAMHS responsibilities. However, it is likely that</w:t>
      </w:r>
      <w:r>
        <w:t>,</w:t>
      </w:r>
      <w:r w:rsidRPr="00D85A4F">
        <w:t xml:space="preserve"> in terms of assessment and care under the </w:t>
      </w:r>
      <w:r>
        <w:t>Mental Health Act,</w:t>
      </w:r>
      <w:r w:rsidRPr="00D85A4F">
        <w:t xml:space="preserve"> a specific assessment and treatment programme </w:t>
      </w:r>
      <w:r>
        <w:t xml:space="preserve">will </w:t>
      </w:r>
      <w:r w:rsidRPr="00D85A4F">
        <w:t xml:space="preserve">be needed </w:t>
      </w:r>
      <w:r>
        <w:t xml:space="preserve">in this case </w:t>
      </w:r>
      <w:r w:rsidRPr="00D85A4F">
        <w:t>that include</w:t>
      </w:r>
      <w:r>
        <w:t>s</w:t>
      </w:r>
      <w:r w:rsidRPr="00D85A4F">
        <w:t xml:space="preserve"> hospital consultation and liaison staff, forensic staff and general hospital staff (perhaps including security).  </w:t>
      </w:r>
    </w:p>
    <w:p w14:paraId="73E8BCFF" w14:textId="77777777" w:rsidR="00025FEB" w:rsidRPr="00D85A4F" w:rsidRDefault="00025FEB" w:rsidP="00025FEB"/>
    <w:p w14:paraId="7B92E938" w14:textId="77777777" w:rsidR="007A6F61" w:rsidRDefault="007A6F61" w:rsidP="00025FEB"/>
    <w:p w14:paraId="42A76DDC" w14:textId="1DAC0B78" w:rsidR="00025FEB" w:rsidRPr="00D85A4F" w:rsidRDefault="00025FEB" w:rsidP="00025FEB">
      <w:r w:rsidRPr="00D85A4F">
        <w:lastRenderedPageBreak/>
        <w:t>The section 49 approval is necessary to transfer the place of care so there is an unbroken chain of custody (which is why the warrant holding the patient need</w:t>
      </w:r>
      <w:r>
        <w:t>s</w:t>
      </w:r>
      <w:r w:rsidRPr="00D85A4F">
        <w:t xml:space="preserve"> to be held by the hospital</w:t>
      </w:r>
      <w:proofErr w:type="gramStart"/>
      <w:r w:rsidR="007A6F61" w:rsidRPr="00D85A4F">
        <w:t>)</w:t>
      </w:r>
      <w:proofErr w:type="gramEnd"/>
      <w:r w:rsidRPr="00D85A4F">
        <w:t xml:space="preserve"> but the mental health treatment (including compulsory treatment) continues. In practice</w:t>
      </w:r>
      <w:r>
        <w:t>,</w:t>
      </w:r>
      <w:r w:rsidRPr="00D85A4F">
        <w:t xml:space="preserve"> it may still be the same DAMHS administrator </w:t>
      </w:r>
      <w:r>
        <w:t xml:space="preserve">who </w:t>
      </w:r>
      <w:r w:rsidRPr="00D85A4F">
        <w:t>holds the master copy of the warrant.</w:t>
      </w:r>
    </w:p>
    <w:p w14:paraId="2C2E6811" w14:textId="77777777" w:rsidR="00025FEB" w:rsidRPr="00D85A4F" w:rsidRDefault="00025FEB" w:rsidP="00025FEB"/>
    <w:p w14:paraId="0B5B112C" w14:textId="668D7633" w:rsidR="00025FEB" w:rsidRDefault="00025FEB" w:rsidP="00025FEB">
      <w:pPr>
        <w:pStyle w:val="Table"/>
      </w:pPr>
      <w:bookmarkStart w:id="88" w:name="_Toc83191229"/>
      <w:bookmarkStart w:id="89" w:name="_Toc111810259"/>
      <w:bookmarkStart w:id="90" w:name="_Toc112861577"/>
      <w:bookmarkStart w:id="91" w:name="_Toc116484637"/>
      <w:r>
        <w:t xml:space="preserve">Table </w:t>
      </w:r>
      <w:r>
        <w:fldChar w:fldCharType="begin"/>
      </w:r>
      <w:r>
        <w:instrText>SEQ Table \* ARABIC</w:instrText>
      </w:r>
      <w:r>
        <w:fldChar w:fldCharType="separate"/>
      </w:r>
      <w:r w:rsidR="00F25175">
        <w:rPr>
          <w:noProof/>
        </w:rPr>
        <w:t>4</w:t>
      </w:r>
      <w:r>
        <w:fldChar w:fldCharType="end"/>
      </w:r>
      <w:r>
        <w:t xml:space="preserve">: </w:t>
      </w:r>
      <w:r w:rsidRPr="00D85A4F">
        <w:t xml:space="preserve">Information in support of a non-emergency transfer of a special patient under </w:t>
      </w:r>
      <w:r>
        <w:t>s</w:t>
      </w:r>
      <w:r w:rsidRPr="00D85A4F">
        <w:t>ection 49 applications</w:t>
      </w:r>
      <w:bookmarkEnd w:id="88"/>
      <w:bookmarkEnd w:id="89"/>
      <w:bookmarkEnd w:id="90"/>
      <w:bookmarkEnd w:id="91"/>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433AF6C6"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3FAE72EA" w14:textId="77777777" w:rsidR="00025FEB" w:rsidRPr="00DC20BD" w:rsidRDefault="00025FEB" w:rsidP="00AD0359">
            <w:pPr>
              <w:pStyle w:val="TableText"/>
              <w:keepN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227B621C" w14:textId="77777777" w:rsidR="00025FEB" w:rsidRPr="00D85A4F" w:rsidRDefault="00025FEB" w:rsidP="00AD0359">
            <w:pPr>
              <w:pStyle w:val="TableText"/>
            </w:pPr>
            <w:r w:rsidRPr="00D85A4F">
              <w:t>A letter from the responsible clinician, including:</w:t>
            </w:r>
          </w:p>
          <w:p w14:paraId="726FA39C" w14:textId="77777777" w:rsidR="00025FEB" w:rsidRPr="00D85A4F" w:rsidRDefault="00025FEB" w:rsidP="00025FEB">
            <w:pPr>
              <w:pStyle w:val="TableBullet"/>
              <w:spacing w:line="264" w:lineRule="auto"/>
            </w:pPr>
            <w:r w:rsidRPr="00D85A4F">
              <w:t xml:space="preserve">the patient’s legal status </w:t>
            </w:r>
          </w:p>
          <w:p w14:paraId="3FE496E7" w14:textId="77777777" w:rsidR="00025FEB" w:rsidRPr="00D85A4F" w:rsidRDefault="00025FEB" w:rsidP="00025FEB">
            <w:pPr>
              <w:pStyle w:val="TableBullet"/>
              <w:spacing w:line="264" w:lineRule="auto"/>
            </w:pPr>
            <w:r w:rsidRPr="00D85A4F">
              <w:t>a current mental state assessment, including compliance with treatment</w:t>
            </w:r>
          </w:p>
          <w:p w14:paraId="3F7DDFE1" w14:textId="77777777" w:rsidR="00025FEB" w:rsidRPr="00D85A4F" w:rsidRDefault="00025FEB" w:rsidP="00025FEB">
            <w:pPr>
              <w:pStyle w:val="TableBullet"/>
              <w:spacing w:line="264" w:lineRule="auto"/>
            </w:pPr>
            <w:r w:rsidRPr="00D85A4F">
              <w:t>advice of any critical incidents, including possession of weapons, drugs or other prohibited material, and the management of that incident</w:t>
            </w:r>
          </w:p>
          <w:p w14:paraId="5B028AE9" w14:textId="77777777" w:rsidR="00025FEB" w:rsidRPr="00D85A4F" w:rsidRDefault="00025FEB" w:rsidP="00025FEB">
            <w:pPr>
              <w:pStyle w:val="TableBullet"/>
              <w:spacing w:line="264" w:lineRule="auto"/>
            </w:pPr>
            <w:r w:rsidRPr="00D85A4F">
              <w:t>the reason for the transfer request, including urgency</w:t>
            </w:r>
          </w:p>
          <w:p w14:paraId="0B97F420" w14:textId="77777777" w:rsidR="00025FEB" w:rsidRPr="00D85A4F" w:rsidRDefault="00025FEB" w:rsidP="00025FEB">
            <w:pPr>
              <w:pStyle w:val="TableBullet"/>
              <w:spacing w:line="264" w:lineRule="auto"/>
            </w:pPr>
            <w:r w:rsidRPr="00D85A4F">
              <w:t>escort/supervision details, if relevant</w:t>
            </w:r>
          </w:p>
          <w:p w14:paraId="5F7D1D2E" w14:textId="77777777" w:rsidR="00025FEB" w:rsidRPr="00D85A4F" w:rsidRDefault="00025FEB" w:rsidP="00025FEB">
            <w:pPr>
              <w:pStyle w:val="TableBullet"/>
              <w:spacing w:line="264" w:lineRule="auto"/>
            </w:pPr>
            <w:r w:rsidRPr="00D85A4F">
              <w:t>a treatment plan including clinical risk assessment and management and flight risk</w:t>
            </w:r>
          </w:p>
          <w:p w14:paraId="5DD55855" w14:textId="77777777" w:rsidR="00025FEB" w:rsidRPr="00D85A4F" w:rsidRDefault="00025FEB" w:rsidP="00025FEB">
            <w:pPr>
              <w:pStyle w:val="TableBullet"/>
              <w:spacing w:line="264" w:lineRule="auto"/>
            </w:pPr>
            <w:r w:rsidRPr="00D85A4F">
              <w:t>the correct section 49 transfer form, signed by the patient’s responsible clinician and the DAMHS</w:t>
            </w:r>
          </w:p>
          <w:p w14:paraId="5CAAA0ED" w14:textId="77777777" w:rsidR="00025FEB" w:rsidRPr="00D85A4F" w:rsidRDefault="00025FEB" w:rsidP="00025FEB">
            <w:pPr>
              <w:pStyle w:val="TableBullet"/>
              <w:spacing w:line="264" w:lineRule="auto"/>
            </w:pPr>
            <w:r w:rsidRPr="00D85A4F">
              <w:t xml:space="preserve">for patients under sections 45 or 46 of the </w:t>
            </w:r>
            <w:r>
              <w:t>Mental Health Act</w:t>
            </w:r>
            <w:r w:rsidRPr="00D85A4F">
              <w:t>, advice on where the patient is in terms of their sentence</w:t>
            </w:r>
          </w:p>
          <w:p w14:paraId="18EC7B18" w14:textId="77777777" w:rsidR="00025FEB" w:rsidRPr="00DC20BD" w:rsidRDefault="00025FEB" w:rsidP="00AD0359">
            <w:pPr>
              <w:pStyle w:val="TableText"/>
              <w:rPr>
                <w:rFonts w:eastAsia="Lucida Sans Unicode" w:hAnsi="Lucida Sans Unicode" w:cs="Lucida Sans Unicode"/>
              </w:rPr>
            </w:pPr>
            <w:r w:rsidRPr="00C84E6C">
              <w:t xml:space="preserve">A signed transport management plan under the </w:t>
            </w:r>
            <w:r w:rsidRPr="00C84E6C">
              <w:rPr>
                <w:i/>
                <w:iCs/>
              </w:rPr>
              <w:t>Guidelines for the Safe Transport of Special Patients in the Care of Regional Forensic Mental Health Services</w:t>
            </w:r>
            <w:r w:rsidRPr="00F42F27">
              <w:t xml:space="preserve"> </w:t>
            </w:r>
            <w:r w:rsidRPr="00C84E6C">
              <w:t>(Ministry of Health)</w:t>
            </w:r>
            <w:r w:rsidRPr="00F42F27">
              <w:t xml:space="preserve"> </w:t>
            </w:r>
            <w:r w:rsidRPr="00C84E6C">
              <w:t>if assistance by another agency is required.</w:t>
            </w:r>
          </w:p>
        </w:tc>
      </w:tr>
    </w:tbl>
    <w:p w14:paraId="4819E677" w14:textId="77777777" w:rsidR="00025FEB" w:rsidRDefault="00025FEB" w:rsidP="00025FEB"/>
    <w:p w14:paraId="24AB4996" w14:textId="77777777" w:rsidR="00025FEB" w:rsidRPr="00D85A4F" w:rsidRDefault="00025FEB" w:rsidP="00025FEB">
      <w:r w:rsidRPr="00D85A4F">
        <w:t>In practice</w:t>
      </w:r>
      <w:r>
        <w:t>,</w:t>
      </w:r>
      <w:r w:rsidRPr="00D85A4F">
        <w:t xml:space="preserve"> this information will be uploaded into the </w:t>
      </w:r>
      <w:r>
        <w:t>SPMS.</w:t>
      </w:r>
    </w:p>
    <w:p w14:paraId="5A32B79D" w14:textId="77777777" w:rsidR="00025FEB" w:rsidRPr="00D85A4F" w:rsidRDefault="00025FEB" w:rsidP="00025FEB">
      <w:pPr>
        <w:pStyle w:val="Heading2"/>
      </w:pPr>
      <w:bookmarkStart w:id="92" w:name="_Toc112845453"/>
      <w:bookmarkStart w:id="93" w:name="_Toc112862057"/>
      <w:bookmarkStart w:id="94" w:name="_Toc116484598"/>
      <w:r w:rsidRPr="00D85A4F">
        <w:t>Medical emergency transfers</w:t>
      </w:r>
      <w:bookmarkEnd w:id="92"/>
      <w:bookmarkEnd w:id="93"/>
      <w:bookmarkEnd w:id="94"/>
    </w:p>
    <w:p w14:paraId="66BADDBF" w14:textId="77777777" w:rsidR="00025FEB" w:rsidRPr="00D85A4F" w:rsidRDefault="00025FEB" w:rsidP="00025FEB">
      <w:pPr>
        <w:rPr>
          <w:b/>
          <w:bCs/>
          <w:sz w:val="20"/>
        </w:rPr>
      </w:pPr>
    </w:p>
    <w:p w14:paraId="29D9CED1" w14:textId="77777777" w:rsidR="00025FEB" w:rsidRPr="006D79BD" w:rsidRDefault="00025FEB" w:rsidP="00025FEB">
      <w:pPr>
        <w:rPr>
          <w:szCs w:val="22"/>
        </w:rPr>
      </w:pPr>
      <w:r w:rsidRPr="006D79BD">
        <w:rPr>
          <w:szCs w:val="22"/>
        </w:rPr>
        <w:t xml:space="preserve">In a medical emergency, </w:t>
      </w:r>
      <w:r>
        <w:rPr>
          <w:szCs w:val="22"/>
        </w:rPr>
        <w:t xml:space="preserve">meeting </w:t>
      </w:r>
      <w:r w:rsidRPr="006D79BD">
        <w:rPr>
          <w:szCs w:val="22"/>
        </w:rPr>
        <w:t xml:space="preserve">the full requirements of </w:t>
      </w:r>
      <w:r>
        <w:rPr>
          <w:szCs w:val="22"/>
        </w:rPr>
        <w:t xml:space="preserve">a </w:t>
      </w:r>
      <w:r w:rsidRPr="006D79BD">
        <w:rPr>
          <w:szCs w:val="22"/>
        </w:rPr>
        <w:t>section 53A transport management plan may not be possible</w:t>
      </w:r>
      <w:r>
        <w:rPr>
          <w:szCs w:val="22"/>
        </w:rPr>
        <w:t>,</w:t>
      </w:r>
      <w:r w:rsidRPr="006D79BD">
        <w:rPr>
          <w:szCs w:val="22"/>
        </w:rPr>
        <w:t xml:space="preserve"> as </w:t>
      </w:r>
      <w:proofErr w:type="gramStart"/>
      <w:r w:rsidRPr="006D79BD">
        <w:rPr>
          <w:szCs w:val="22"/>
        </w:rPr>
        <w:t>all of</w:t>
      </w:r>
      <w:proofErr w:type="gramEnd"/>
      <w:r w:rsidRPr="006D79BD">
        <w:rPr>
          <w:szCs w:val="22"/>
        </w:rPr>
        <w:t xml:space="preserve"> the above information may not be </w:t>
      </w:r>
      <w:r>
        <w:rPr>
          <w:szCs w:val="22"/>
        </w:rPr>
        <w:t xml:space="preserve">immediately </w:t>
      </w:r>
      <w:r w:rsidRPr="006D79BD">
        <w:rPr>
          <w:szCs w:val="22"/>
        </w:rPr>
        <w:t xml:space="preserve">available. </w:t>
      </w:r>
      <w:r>
        <w:rPr>
          <w:szCs w:val="22"/>
        </w:rPr>
        <w:t>In this case, t</w:t>
      </w:r>
      <w:r w:rsidRPr="006D79BD">
        <w:rPr>
          <w:szCs w:val="22"/>
        </w:rPr>
        <w:t>he priority is to ensure the special patient receives life</w:t>
      </w:r>
      <w:r>
        <w:rPr>
          <w:szCs w:val="22"/>
        </w:rPr>
        <w:t>-</w:t>
      </w:r>
      <w:r w:rsidRPr="006D79BD">
        <w:rPr>
          <w:szCs w:val="22"/>
        </w:rPr>
        <w:t xml:space="preserve">preserving medical attention. </w:t>
      </w:r>
      <w:r>
        <w:rPr>
          <w:szCs w:val="22"/>
        </w:rPr>
        <w:t>T</w:t>
      </w:r>
      <w:r w:rsidRPr="006D79BD">
        <w:rPr>
          <w:szCs w:val="22"/>
        </w:rPr>
        <w:t>he RFMHS facility should arrange for 111 emergency services if required.</w:t>
      </w:r>
    </w:p>
    <w:p w14:paraId="23DFE704" w14:textId="77777777" w:rsidR="00025FEB" w:rsidRPr="006D79BD" w:rsidRDefault="00025FEB" w:rsidP="00025FEB">
      <w:pPr>
        <w:rPr>
          <w:szCs w:val="22"/>
        </w:rPr>
      </w:pPr>
    </w:p>
    <w:p w14:paraId="5FAE5C0B" w14:textId="77777777" w:rsidR="00025FEB" w:rsidRPr="006D79BD" w:rsidRDefault="00025FEB" w:rsidP="00025FEB">
      <w:pPr>
        <w:rPr>
          <w:szCs w:val="22"/>
        </w:rPr>
      </w:pPr>
      <w:r>
        <w:rPr>
          <w:szCs w:val="22"/>
        </w:rPr>
        <w:t>In a medical emergency, t</w:t>
      </w:r>
      <w:r w:rsidRPr="006D79BD">
        <w:rPr>
          <w:szCs w:val="22"/>
        </w:rPr>
        <w:t xml:space="preserve">he special patient’s </w:t>
      </w:r>
      <w:r>
        <w:rPr>
          <w:szCs w:val="22"/>
        </w:rPr>
        <w:t>r</w:t>
      </w:r>
      <w:r w:rsidRPr="006D79BD">
        <w:rPr>
          <w:szCs w:val="22"/>
        </w:rPr>
        <w:t xml:space="preserve">esponsible </w:t>
      </w:r>
      <w:r>
        <w:rPr>
          <w:szCs w:val="22"/>
        </w:rPr>
        <w:t>c</w:t>
      </w:r>
      <w:r w:rsidRPr="006D79BD">
        <w:rPr>
          <w:szCs w:val="22"/>
        </w:rPr>
        <w:t xml:space="preserve">linician or RFMHS staff must notify the DAMHS </w:t>
      </w:r>
      <w:r>
        <w:rPr>
          <w:szCs w:val="22"/>
        </w:rPr>
        <w:t xml:space="preserve">within the RFMHS </w:t>
      </w:r>
      <w:r w:rsidRPr="006D79BD">
        <w:rPr>
          <w:szCs w:val="22"/>
        </w:rPr>
        <w:t>as soon as practicable of the situation</w:t>
      </w:r>
      <w:r>
        <w:rPr>
          <w:szCs w:val="22"/>
        </w:rPr>
        <w:t>,</w:t>
      </w:r>
      <w:r w:rsidRPr="006D79BD">
        <w:rPr>
          <w:szCs w:val="22"/>
        </w:rPr>
        <w:t xml:space="preserve"> and discuss transportation requirements, including the need for restraint or police assistance to support clinical staff to transfer the patient to a general hospital emergency department.</w:t>
      </w:r>
    </w:p>
    <w:p w14:paraId="3F0DF8CC" w14:textId="77777777" w:rsidR="00025FEB" w:rsidRPr="006D79BD" w:rsidRDefault="00025FEB" w:rsidP="00025FEB">
      <w:pPr>
        <w:rPr>
          <w:szCs w:val="22"/>
        </w:rPr>
      </w:pPr>
    </w:p>
    <w:p w14:paraId="160E8C0B" w14:textId="77777777" w:rsidR="00025FEB" w:rsidRPr="006D79BD" w:rsidRDefault="00025FEB" w:rsidP="00025FEB">
      <w:pPr>
        <w:rPr>
          <w:szCs w:val="22"/>
        </w:rPr>
      </w:pPr>
      <w:r w:rsidRPr="006D79BD">
        <w:rPr>
          <w:szCs w:val="22"/>
        </w:rPr>
        <w:t xml:space="preserve">The DAMHS </w:t>
      </w:r>
      <w:r>
        <w:rPr>
          <w:szCs w:val="22"/>
        </w:rPr>
        <w:t xml:space="preserve">within the RFMHS </w:t>
      </w:r>
      <w:r w:rsidRPr="006D79BD">
        <w:rPr>
          <w:szCs w:val="22"/>
        </w:rPr>
        <w:t>should contact the Director or Deputy Director of Mental Health as soon as practicable and provide the patient details, a summary of the situation, background</w:t>
      </w:r>
      <w:r>
        <w:rPr>
          <w:szCs w:val="22"/>
        </w:rPr>
        <w:t xml:space="preserve"> information</w:t>
      </w:r>
      <w:r w:rsidRPr="006D79BD">
        <w:rPr>
          <w:szCs w:val="22"/>
        </w:rPr>
        <w:t xml:space="preserve">, </w:t>
      </w:r>
      <w:r>
        <w:rPr>
          <w:szCs w:val="22"/>
        </w:rPr>
        <w:t xml:space="preserve">information on </w:t>
      </w:r>
      <w:r w:rsidRPr="006D79BD">
        <w:rPr>
          <w:szCs w:val="22"/>
        </w:rPr>
        <w:t>assessments undertaken and recommendations regarding the transportation plan</w:t>
      </w:r>
      <w:r>
        <w:rPr>
          <w:szCs w:val="22"/>
        </w:rPr>
        <w:t>,</w:t>
      </w:r>
      <w:r w:rsidRPr="006D79BD">
        <w:rPr>
          <w:szCs w:val="22"/>
        </w:rPr>
        <w:t xml:space="preserve"> including whether police assistance is required and whether restraint is deemed necessary. </w:t>
      </w:r>
      <w:r>
        <w:rPr>
          <w:szCs w:val="22"/>
        </w:rPr>
        <w:t>T</w:t>
      </w:r>
      <w:r w:rsidRPr="006D79BD">
        <w:rPr>
          <w:szCs w:val="22"/>
        </w:rPr>
        <w:t xml:space="preserve">he Director or </w:t>
      </w:r>
      <w:r w:rsidRPr="006D79BD">
        <w:rPr>
          <w:szCs w:val="22"/>
        </w:rPr>
        <w:lastRenderedPageBreak/>
        <w:t xml:space="preserve">Deputy Director can </w:t>
      </w:r>
      <w:r>
        <w:rPr>
          <w:szCs w:val="22"/>
        </w:rPr>
        <w:t xml:space="preserve">thereafter </w:t>
      </w:r>
      <w:r w:rsidRPr="006D79BD">
        <w:rPr>
          <w:szCs w:val="22"/>
        </w:rPr>
        <w:t xml:space="preserve">approve </w:t>
      </w:r>
      <w:r>
        <w:rPr>
          <w:szCs w:val="22"/>
        </w:rPr>
        <w:t xml:space="preserve">the transfer </w:t>
      </w:r>
      <w:r w:rsidRPr="006D79BD">
        <w:rPr>
          <w:szCs w:val="22"/>
        </w:rPr>
        <w:t xml:space="preserve">verbally, </w:t>
      </w:r>
      <w:r>
        <w:rPr>
          <w:szCs w:val="22"/>
        </w:rPr>
        <w:t xml:space="preserve">so </w:t>
      </w:r>
      <w:r w:rsidRPr="006D79BD">
        <w:rPr>
          <w:szCs w:val="22"/>
        </w:rPr>
        <w:t>as not to delay treatment.</w:t>
      </w:r>
    </w:p>
    <w:p w14:paraId="471F44FB" w14:textId="77777777" w:rsidR="00025FEB" w:rsidRPr="006D79BD" w:rsidRDefault="00025FEB" w:rsidP="00025FEB">
      <w:pPr>
        <w:rPr>
          <w:szCs w:val="22"/>
        </w:rPr>
      </w:pPr>
    </w:p>
    <w:p w14:paraId="15A639DC" w14:textId="77777777" w:rsidR="00025FEB" w:rsidRDefault="00025FEB" w:rsidP="00025FEB">
      <w:pPr>
        <w:rPr>
          <w:szCs w:val="22"/>
        </w:rPr>
      </w:pPr>
      <w:r w:rsidRPr="006D79BD">
        <w:rPr>
          <w:szCs w:val="22"/>
        </w:rPr>
        <w:t>Due to the urgency of the situation</w:t>
      </w:r>
      <w:r>
        <w:rPr>
          <w:szCs w:val="22"/>
        </w:rPr>
        <w:t>,</w:t>
      </w:r>
      <w:r w:rsidRPr="006D79BD">
        <w:rPr>
          <w:szCs w:val="22"/>
        </w:rPr>
        <w:t xml:space="preserve"> an exchange of emails between the DAMHS and the Director may be the quickest way to gain confirmation of the transfer and transport approvals. This should be followed up by the more formal documentation being uploaded into the SPMS.</w:t>
      </w:r>
    </w:p>
    <w:p w14:paraId="25067D3F" w14:textId="77777777" w:rsidR="00025FEB" w:rsidRDefault="00025FEB" w:rsidP="00025FEB">
      <w:pPr>
        <w:rPr>
          <w:szCs w:val="22"/>
        </w:rPr>
        <w:sectPr w:rsidR="00025FEB" w:rsidSect="00856460">
          <w:pgSz w:w="11907" w:h="16834" w:code="9"/>
          <w:pgMar w:top="1418" w:right="1701" w:bottom="1134" w:left="1843" w:header="284" w:footer="425" w:gutter="284"/>
          <w:cols w:space="720"/>
        </w:sectPr>
      </w:pPr>
    </w:p>
    <w:p w14:paraId="04FFA8F1" w14:textId="77777777" w:rsidR="00025FEB" w:rsidRPr="00D85A4F" w:rsidRDefault="00025FEB" w:rsidP="00025FEB">
      <w:pPr>
        <w:pStyle w:val="Heading1"/>
      </w:pPr>
      <w:bookmarkStart w:id="95" w:name="_Toc112862058"/>
      <w:bookmarkStart w:id="96" w:name="_Toc116484599"/>
      <w:r w:rsidRPr="00D85A4F">
        <w:lastRenderedPageBreak/>
        <w:t>Leave under section 52: ‘short-term leave’ requests</w:t>
      </w:r>
      <w:bookmarkEnd w:id="95"/>
      <w:bookmarkEnd w:id="96"/>
    </w:p>
    <w:p w14:paraId="5F00CADD" w14:textId="77777777" w:rsidR="00025FEB" w:rsidRPr="00D85A4F" w:rsidRDefault="00025FEB" w:rsidP="007A6F61">
      <w:pPr>
        <w:ind w:right="-110"/>
      </w:pPr>
      <w:r w:rsidRPr="00D85A4F">
        <w:t xml:space="preserve">Section 52 of the </w:t>
      </w:r>
      <w:r>
        <w:t>Mental Health Act</w:t>
      </w:r>
      <w:r w:rsidRPr="00D85A4F">
        <w:t xml:space="preserve"> enables the Director (through the Office of the Director) to approve leave for up to </w:t>
      </w:r>
      <w:r>
        <w:t>seven</w:t>
      </w:r>
      <w:r w:rsidRPr="00D85A4F">
        <w:t xml:space="preserve"> days to certain special patients. </w:t>
      </w:r>
      <w:r>
        <w:t>This is called ‘s</w:t>
      </w:r>
      <w:r w:rsidRPr="00D85A4F">
        <w:t>hort</w:t>
      </w:r>
      <w:r>
        <w:t>-</w:t>
      </w:r>
      <w:r w:rsidRPr="00D85A4F">
        <w:t>term leave</w:t>
      </w:r>
      <w:proofErr w:type="gramStart"/>
      <w:r>
        <w:t>’, and</w:t>
      </w:r>
      <w:proofErr w:type="gramEnd"/>
      <w:r w:rsidRPr="00D85A4F">
        <w:t xml:space="preserve"> is subject to conditions the Director sees fit.</w:t>
      </w:r>
    </w:p>
    <w:p w14:paraId="3C736BA8" w14:textId="77777777" w:rsidR="00025FEB" w:rsidRPr="00D85A4F" w:rsidRDefault="00025FEB" w:rsidP="007A6F61">
      <w:pPr>
        <w:ind w:right="-110"/>
      </w:pPr>
    </w:p>
    <w:p w14:paraId="32F5F109" w14:textId="77777777" w:rsidR="00025FEB" w:rsidRPr="00D85A4F" w:rsidRDefault="00025FEB" w:rsidP="007A6F61">
      <w:pPr>
        <w:ind w:right="-110"/>
      </w:pPr>
      <w:r w:rsidRPr="00D85A4F">
        <w:t xml:space="preserve">Once the </w:t>
      </w:r>
      <w:r>
        <w:t xml:space="preserve">Director has approved the </w:t>
      </w:r>
      <w:r w:rsidRPr="00D85A4F">
        <w:t>category of short</w:t>
      </w:r>
      <w:r>
        <w:t>-term</w:t>
      </w:r>
      <w:r w:rsidRPr="00D85A4F">
        <w:t xml:space="preserve"> leave, DAMHS</w:t>
      </w:r>
      <w:r>
        <w:t>s</w:t>
      </w:r>
      <w:r w:rsidRPr="00D85A4F">
        <w:t xml:space="preserve"> have delegated authority to approve ongoing short</w:t>
      </w:r>
      <w:r>
        <w:t>-term</w:t>
      </w:r>
      <w:r w:rsidRPr="00D85A4F">
        <w:t xml:space="preserve"> leave applications within the category and to cancel or withhold leaves of that category </w:t>
      </w:r>
      <w:r>
        <w:t xml:space="preserve">under </w:t>
      </w:r>
      <w:r w:rsidRPr="00D85A4F">
        <w:t>(</w:t>
      </w:r>
      <w:r>
        <w:t>s</w:t>
      </w:r>
      <w:r w:rsidRPr="00D85A4F">
        <w:t>ection 52(4)</w:t>
      </w:r>
      <w:r w:rsidRPr="00445EFA">
        <w:t>)</w:t>
      </w:r>
      <w:r w:rsidRPr="00D85A4F">
        <w:t>.</w:t>
      </w:r>
    </w:p>
    <w:p w14:paraId="202CBA6B" w14:textId="77777777" w:rsidR="00025FEB" w:rsidRPr="00D85A4F" w:rsidRDefault="00025FEB" w:rsidP="007A6F61">
      <w:pPr>
        <w:ind w:right="-110"/>
      </w:pPr>
    </w:p>
    <w:p w14:paraId="6EF84DAC" w14:textId="77777777" w:rsidR="00025FEB" w:rsidRPr="00D85A4F" w:rsidRDefault="00025FEB" w:rsidP="007A6F61">
      <w:pPr>
        <w:ind w:right="-110"/>
      </w:pPr>
      <w:r>
        <w:t>E</w:t>
      </w:r>
      <w:r w:rsidRPr="00D85A4F">
        <w:t xml:space="preserve">xercising the power to grant leaves under this section requires consultation with the </w:t>
      </w:r>
      <w:r>
        <w:t>p</w:t>
      </w:r>
      <w:r w:rsidRPr="00D85A4F">
        <w:t xml:space="preserve">rison </w:t>
      </w:r>
      <w:r>
        <w:t>d</w:t>
      </w:r>
      <w:r w:rsidRPr="00D85A4F">
        <w:t>irector for patients held under section 45 or section 46.</w:t>
      </w:r>
    </w:p>
    <w:p w14:paraId="46C89F2B" w14:textId="77777777" w:rsidR="00025FEB" w:rsidRPr="00D85A4F" w:rsidRDefault="00025FEB" w:rsidP="007A6F61">
      <w:pPr>
        <w:ind w:right="-110"/>
      </w:pPr>
    </w:p>
    <w:p w14:paraId="198F0CD0" w14:textId="77777777" w:rsidR="00025FEB" w:rsidRPr="00D85A4F" w:rsidRDefault="00025FEB" w:rsidP="007A6F61">
      <w:pPr>
        <w:ind w:right="-110"/>
      </w:pPr>
      <w:r>
        <w:t>U</w:t>
      </w:r>
      <w:r w:rsidRPr="00D85A4F">
        <w:t xml:space="preserve">nder section 52(2) of the </w:t>
      </w:r>
      <w:r>
        <w:t>Mental Health Act</w:t>
      </w:r>
      <w:r w:rsidRPr="00D85A4F">
        <w:t>, short</w:t>
      </w:r>
      <w:r>
        <w:t>-</w:t>
      </w:r>
      <w:r w:rsidRPr="00D85A4F">
        <w:t xml:space="preserve">term leave cannot be granted to any person who was immediately before </w:t>
      </w:r>
      <w:r>
        <w:t xml:space="preserve">their </w:t>
      </w:r>
      <w:r w:rsidRPr="00D85A4F">
        <w:t>admission to the hospital detained in a prison:</w:t>
      </w:r>
    </w:p>
    <w:p w14:paraId="1FEB5963" w14:textId="77777777" w:rsidR="00025FEB" w:rsidRPr="00D85A4F" w:rsidRDefault="00025FEB" w:rsidP="007A6F61">
      <w:pPr>
        <w:pStyle w:val="Bullet"/>
        <w:tabs>
          <w:tab w:val="clear" w:pos="284"/>
        </w:tabs>
        <w:ind w:right="-110"/>
      </w:pPr>
      <w:r w:rsidRPr="00D85A4F">
        <w:t>while awaiting a trial or</w:t>
      </w:r>
    </w:p>
    <w:p w14:paraId="22D0EBEE" w14:textId="77777777" w:rsidR="00025FEB" w:rsidRPr="00D85A4F" w:rsidRDefault="00025FEB" w:rsidP="007A6F61">
      <w:pPr>
        <w:pStyle w:val="Bullet"/>
        <w:tabs>
          <w:tab w:val="clear" w:pos="284"/>
        </w:tabs>
        <w:ind w:right="-110"/>
      </w:pPr>
      <w:r w:rsidRPr="00D85A4F">
        <w:t>during a trial or</w:t>
      </w:r>
    </w:p>
    <w:p w14:paraId="43F7CF72" w14:textId="77777777" w:rsidR="00025FEB" w:rsidRPr="00D85A4F" w:rsidRDefault="00025FEB" w:rsidP="007A6F61">
      <w:pPr>
        <w:pStyle w:val="Bullet"/>
        <w:tabs>
          <w:tab w:val="clear" w:pos="284"/>
        </w:tabs>
        <w:ind w:right="-110"/>
      </w:pPr>
      <w:r w:rsidRPr="00D85A4F">
        <w:t xml:space="preserve">awaiting sentencing or </w:t>
      </w:r>
    </w:p>
    <w:p w14:paraId="14DE14EB" w14:textId="77777777" w:rsidR="00025FEB" w:rsidRPr="00D85A4F" w:rsidRDefault="00025FEB" w:rsidP="007A6F61">
      <w:pPr>
        <w:pStyle w:val="Bullet"/>
        <w:tabs>
          <w:tab w:val="clear" w:pos="284"/>
        </w:tabs>
        <w:ind w:right="-110"/>
      </w:pPr>
      <w:r w:rsidRPr="00D85A4F">
        <w:t xml:space="preserve">pending the determination of any appeal against conviction or </w:t>
      </w:r>
    </w:p>
    <w:p w14:paraId="26D5404F" w14:textId="77777777" w:rsidR="00025FEB" w:rsidRPr="00D85A4F" w:rsidRDefault="00025FEB" w:rsidP="007A6F61">
      <w:pPr>
        <w:pStyle w:val="Bullet"/>
        <w:tabs>
          <w:tab w:val="clear" w:pos="284"/>
        </w:tabs>
        <w:ind w:right="-110"/>
      </w:pPr>
      <w:r w:rsidRPr="00D85A4F">
        <w:t>subject to a sentence of life imprisonment or preventive detention</w:t>
      </w:r>
      <w:r>
        <w:t>.</w:t>
      </w:r>
    </w:p>
    <w:p w14:paraId="5E10CE5F" w14:textId="77777777" w:rsidR="00025FEB" w:rsidRDefault="00025FEB" w:rsidP="007A6F61">
      <w:pPr>
        <w:ind w:right="-110"/>
      </w:pPr>
    </w:p>
    <w:p w14:paraId="45C9EAC7" w14:textId="77777777" w:rsidR="00025FEB" w:rsidRPr="00D85A4F" w:rsidRDefault="00025FEB" w:rsidP="007A6F61">
      <w:pPr>
        <w:ind w:right="-110"/>
        <w:rPr>
          <w:b/>
        </w:rPr>
      </w:pPr>
      <w:r w:rsidRPr="00D85A4F">
        <w:t>‘Escorted’ short</w:t>
      </w:r>
      <w:r>
        <w:t>-term</w:t>
      </w:r>
      <w:r w:rsidRPr="00D85A4F">
        <w:t xml:space="preserve"> leave refers to short</w:t>
      </w:r>
      <w:r>
        <w:t>-term</w:t>
      </w:r>
      <w:r w:rsidRPr="00D85A4F">
        <w:t xml:space="preserve"> leave where the Director has imposed a condition requiring the patient to be accompanied by one or more members of</w:t>
      </w:r>
      <w:r>
        <w:t xml:space="preserve"> RFMHS</w:t>
      </w:r>
      <w:r w:rsidRPr="00D85A4F">
        <w:t xml:space="preserve"> staff. Where patients present a high risk to themselves or to others, their leave should include a condition that they be accompanied by at least one health professional. Any staff member accompanying a patient should be familiar with the patient and fully briefed on the need for the escort and any </w:t>
      </w:r>
      <w:proofErr w:type="gramStart"/>
      <w:r w:rsidRPr="00D85A4F">
        <w:t>particular issues</w:t>
      </w:r>
      <w:proofErr w:type="gramEnd"/>
      <w:r w:rsidRPr="00D85A4F">
        <w:t xml:space="preserve"> or concerns regarding safety. </w:t>
      </w:r>
      <w:r>
        <w:t xml:space="preserve">As in the case of </w:t>
      </w:r>
      <w:r w:rsidRPr="00D85A4F">
        <w:t>ground access, there should be a plan in place to enable escorting staff to receive assistance in an emergency.</w:t>
      </w:r>
    </w:p>
    <w:p w14:paraId="6E40AD15" w14:textId="77777777" w:rsidR="00025FEB" w:rsidRPr="00D85A4F" w:rsidRDefault="00025FEB" w:rsidP="007A6F61">
      <w:pPr>
        <w:pStyle w:val="Heading2"/>
        <w:ind w:right="-110"/>
      </w:pPr>
      <w:bookmarkStart w:id="97" w:name="_Toc377543396"/>
      <w:bookmarkStart w:id="98" w:name="_Toc441658591"/>
      <w:bookmarkStart w:id="99" w:name="_Toc83197070"/>
      <w:bookmarkStart w:id="100" w:name="_Toc112845455"/>
      <w:bookmarkStart w:id="101" w:name="_Toc112862059"/>
      <w:bookmarkStart w:id="102" w:name="_Toc116484600"/>
      <w:r w:rsidRPr="00D85A4F">
        <w:t>Planned leave</w:t>
      </w:r>
      <w:bookmarkEnd w:id="97"/>
      <w:bookmarkEnd w:id="98"/>
      <w:bookmarkEnd w:id="99"/>
      <w:bookmarkEnd w:id="100"/>
      <w:bookmarkEnd w:id="101"/>
      <w:bookmarkEnd w:id="102"/>
    </w:p>
    <w:p w14:paraId="423CE1D6" w14:textId="77777777" w:rsidR="00025FEB" w:rsidRDefault="00025FEB" w:rsidP="007A6F61">
      <w:pPr>
        <w:ind w:right="-110"/>
      </w:pPr>
      <w:r w:rsidRPr="00D85A4F">
        <w:t xml:space="preserve">Ongoing planned leave requests should align with </w:t>
      </w:r>
      <w:r>
        <w:t>a</w:t>
      </w:r>
      <w:r w:rsidRPr="00D85A4F">
        <w:t xml:space="preserve"> patient’s leave plan and be part of an identifiable pathway set out in the documentation accompanying SPRP reports. The approval of the Director is required for each new step in the leave progression, but variations within that step may be approved by the DAMHS (</w:t>
      </w:r>
      <w:r>
        <w:t xml:space="preserve">for example, </w:t>
      </w:r>
      <w:r w:rsidRPr="00D85A4F">
        <w:t xml:space="preserve">increasing escorted leave from one to two hours does not require approval, but moving leave categories </w:t>
      </w:r>
      <w:r>
        <w:t>does</w:t>
      </w:r>
      <w:r w:rsidRPr="00D85A4F">
        <w:t>).</w:t>
      </w:r>
    </w:p>
    <w:p w14:paraId="34B0951A" w14:textId="77777777" w:rsidR="00025FEB" w:rsidRPr="00D85A4F" w:rsidRDefault="00025FEB" w:rsidP="00025FEB"/>
    <w:p w14:paraId="7554CF6C" w14:textId="1D375C64" w:rsidR="00025FEB" w:rsidRPr="006D79BD" w:rsidRDefault="00025FEB" w:rsidP="00025FEB">
      <w:pPr>
        <w:pStyle w:val="Table"/>
        <w:rPr>
          <w:szCs w:val="22"/>
        </w:rPr>
      </w:pPr>
      <w:bookmarkStart w:id="103" w:name="_Toc445803203"/>
      <w:bookmarkStart w:id="104" w:name="_Toc83191230"/>
      <w:bookmarkStart w:id="105" w:name="_Toc111810260"/>
      <w:bookmarkStart w:id="106" w:name="_Toc112861578"/>
      <w:bookmarkStart w:id="107" w:name="_Toc116484638"/>
      <w:r>
        <w:t xml:space="preserve">Table </w:t>
      </w:r>
      <w:r>
        <w:fldChar w:fldCharType="begin"/>
      </w:r>
      <w:r>
        <w:instrText>SEQ Table \* ARABIC</w:instrText>
      </w:r>
      <w:r>
        <w:fldChar w:fldCharType="separate"/>
      </w:r>
      <w:r w:rsidR="00F25175">
        <w:rPr>
          <w:noProof/>
        </w:rPr>
        <w:t>5</w:t>
      </w:r>
      <w:r>
        <w:fldChar w:fldCharType="end"/>
      </w:r>
      <w:r>
        <w:t xml:space="preserve">: </w:t>
      </w:r>
      <w:r w:rsidRPr="00D85A4F">
        <w:t>Information in support of planned leave and ground access applications</w:t>
      </w:r>
      <w:bookmarkEnd w:id="103"/>
      <w:bookmarkEnd w:id="104"/>
      <w:bookmarkEnd w:id="105"/>
      <w:bookmarkEnd w:id="106"/>
      <w:bookmarkEnd w:id="107"/>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67455ABA"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51A65F4A" w14:textId="77777777" w:rsidR="00025FEB" w:rsidRPr="00DC20BD" w:rsidRDefault="00025FEB" w:rsidP="00AD0359">
            <w:pPr>
              <w:pStyle w:val="TableText"/>
              <w:keepN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76A279DD" w14:textId="77777777" w:rsidR="00025FEB" w:rsidRPr="00D85A4F" w:rsidRDefault="00025FEB" w:rsidP="00AD0359">
            <w:pPr>
              <w:pStyle w:val="TableText"/>
            </w:pPr>
            <w:r w:rsidRPr="001A31F0">
              <w:t>A letter from the responsible clinician, including:</w:t>
            </w:r>
          </w:p>
          <w:p w14:paraId="522A0746" w14:textId="77777777" w:rsidR="00025FEB" w:rsidRPr="00D85A4F" w:rsidRDefault="00025FEB" w:rsidP="00025FEB">
            <w:pPr>
              <w:pStyle w:val="TableBullet"/>
              <w:spacing w:line="264" w:lineRule="auto"/>
            </w:pPr>
            <w:r w:rsidRPr="00D85A4F">
              <w:t>the patient’s legal status (including the parole or release date)</w:t>
            </w:r>
          </w:p>
          <w:p w14:paraId="3165E92A" w14:textId="77777777" w:rsidR="00025FEB" w:rsidRPr="00D85A4F" w:rsidRDefault="00025FEB" w:rsidP="00025FEB">
            <w:pPr>
              <w:pStyle w:val="TableBullet"/>
              <w:spacing w:line="264" w:lineRule="auto"/>
            </w:pPr>
            <w:r w:rsidRPr="00D85A4F">
              <w:t>a current mental state assessment, including compliance with treatment</w:t>
            </w:r>
          </w:p>
          <w:p w14:paraId="2DAEB6D7" w14:textId="77777777" w:rsidR="00025FEB" w:rsidRPr="00D85A4F" w:rsidRDefault="00025FEB" w:rsidP="00025FEB">
            <w:pPr>
              <w:pStyle w:val="TableBullet"/>
              <w:spacing w:line="264" w:lineRule="auto"/>
            </w:pPr>
            <w:r w:rsidRPr="00D85A4F">
              <w:t>advice of any critical incidents, including possession of weapons, drugs or other prohibited material, and the management of that incident</w:t>
            </w:r>
          </w:p>
          <w:p w14:paraId="22A933FE" w14:textId="77777777" w:rsidR="00025FEB" w:rsidRPr="00D85A4F" w:rsidRDefault="00025FEB" w:rsidP="00025FEB">
            <w:pPr>
              <w:pStyle w:val="TableBullet"/>
              <w:spacing w:line="264" w:lineRule="auto"/>
            </w:pPr>
            <w:r w:rsidRPr="00D85A4F">
              <w:t>the reason for the new leave step request, and its connection to the leave plan</w:t>
            </w:r>
          </w:p>
          <w:p w14:paraId="503C619A" w14:textId="77777777" w:rsidR="00025FEB" w:rsidRPr="00D85A4F" w:rsidRDefault="00025FEB" w:rsidP="00025FEB">
            <w:pPr>
              <w:pStyle w:val="TableBullet"/>
              <w:spacing w:line="264" w:lineRule="auto"/>
            </w:pPr>
            <w:r w:rsidRPr="00D85A4F">
              <w:t>escort/supervision details, if relevant</w:t>
            </w:r>
          </w:p>
          <w:p w14:paraId="377931FA" w14:textId="77777777" w:rsidR="00025FEB" w:rsidRPr="00D85A4F" w:rsidRDefault="00025FEB" w:rsidP="00025FEB">
            <w:pPr>
              <w:pStyle w:val="TableBullet"/>
              <w:spacing w:line="264" w:lineRule="auto"/>
            </w:pPr>
            <w:r w:rsidRPr="00D85A4F">
              <w:t>a risk assessment and management plan while the patient is on leave, including flight risk</w:t>
            </w:r>
          </w:p>
          <w:p w14:paraId="3F7F2647" w14:textId="77777777" w:rsidR="00025FEB" w:rsidRPr="00D85A4F" w:rsidRDefault="00025FEB" w:rsidP="00025FEB">
            <w:pPr>
              <w:pStyle w:val="TableBullet"/>
              <w:spacing w:line="264" w:lineRule="auto"/>
            </w:pPr>
            <w:r w:rsidRPr="00D85A4F">
              <w:t>the patient’s recovery/wellness plan</w:t>
            </w:r>
          </w:p>
          <w:p w14:paraId="0BEC3F33" w14:textId="77777777" w:rsidR="00025FEB" w:rsidRPr="00D85A4F" w:rsidRDefault="00025FEB" w:rsidP="00025FEB">
            <w:pPr>
              <w:pStyle w:val="TableBullet"/>
              <w:spacing w:line="264" w:lineRule="auto"/>
            </w:pPr>
            <w:r w:rsidRPr="00D85A4F">
              <w:t xml:space="preserve">consideration of the needs of children or other vulnerable people </w:t>
            </w:r>
            <w:r>
              <w:t xml:space="preserve">in </w:t>
            </w:r>
            <w:r w:rsidRPr="00D85A4F">
              <w:t>the household if the patient will be with family while on leave (particularly if the index offence took place within the family)</w:t>
            </w:r>
          </w:p>
          <w:p w14:paraId="01412CFF" w14:textId="77777777" w:rsidR="00025FEB" w:rsidRPr="00D85A4F" w:rsidRDefault="00025FEB" w:rsidP="00025FEB">
            <w:pPr>
              <w:pStyle w:val="TableBullet"/>
              <w:spacing w:line="264" w:lineRule="auto"/>
            </w:pPr>
            <w:r w:rsidRPr="00D85A4F">
              <w:t>the correct leave form, signed by the patient’s responsible clinician and the DAMHS</w:t>
            </w:r>
          </w:p>
          <w:p w14:paraId="3C67DF38" w14:textId="77777777" w:rsidR="00025FEB" w:rsidRPr="00D85A4F" w:rsidRDefault="00025FEB" w:rsidP="00025FEB">
            <w:pPr>
              <w:pStyle w:val="TableBullet"/>
              <w:spacing w:line="264" w:lineRule="auto"/>
            </w:pPr>
            <w:r w:rsidRPr="00D85A4F">
              <w:t>comment on matters relating to the offending (</w:t>
            </w:r>
            <w:r>
              <w:t>for example</w:t>
            </w:r>
            <w:r w:rsidRPr="00D85A4F">
              <w:t>, insight into the offending, relationship with victims)</w:t>
            </w:r>
          </w:p>
          <w:p w14:paraId="77EB441A" w14:textId="77777777" w:rsidR="00025FEB" w:rsidRPr="00D85A4F" w:rsidRDefault="00025FEB" w:rsidP="00025FEB">
            <w:pPr>
              <w:pStyle w:val="TableBullet"/>
              <w:spacing w:line="264" w:lineRule="auto"/>
            </w:pPr>
            <w:r w:rsidRPr="00D85A4F">
              <w:t>comment on matters relating to the risk presented by the patient, particularly in relation to victims of previous offending, especially when planning unescorted community leaves.</w:t>
            </w:r>
          </w:p>
          <w:p w14:paraId="17A0A02B" w14:textId="77777777" w:rsidR="00025FEB" w:rsidRPr="00D85A4F" w:rsidRDefault="00025FEB" w:rsidP="00025FEB">
            <w:pPr>
              <w:pStyle w:val="TableBullet"/>
              <w:spacing w:line="264" w:lineRule="auto"/>
            </w:pPr>
            <w:r w:rsidRPr="00D85A4F">
              <w:t xml:space="preserve">for patients under sections 45 or 46 of the </w:t>
            </w:r>
            <w:r>
              <w:t>Mental Health Act</w:t>
            </w:r>
            <w:r w:rsidRPr="00D85A4F">
              <w:t xml:space="preserve">, a copy of the most recent </w:t>
            </w:r>
            <w:r>
              <w:t>p</w:t>
            </w:r>
            <w:r w:rsidRPr="00D85A4F">
              <w:t xml:space="preserve">arole </w:t>
            </w:r>
            <w:r>
              <w:t>b</w:t>
            </w:r>
            <w:r w:rsidRPr="00D85A4F">
              <w:t>oard outcome, if available</w:t>
            </w:r>
          </w:p>
          <w:p w14:paraId="082D5BE1" w14:textId="77777777" w:rsidR="00025FEB" w:rsidRPr="00D85A4F" w:rsidRDefault="00025FEB" w:rsidP="00025FEB">
            <w:pPr>
              <w:pStyle w:val="TableBullet"/>
              <w:spacing w:line="264" w:lineRule="auto"/>
            </w:pPr>
            <w:r w:rsidRPr="00D85A4F">
              <w:t xml:space="preserve">for patients under sections 45 or 46 of the </w:t>
            </w:r>
            <w:r>
              <w:t>Mental Health Act</w:t>
            </w:r>
            <w:r w:rsidRPr="00D85A4F">
              <w:t>, advice on where the patient is in terms of their sentence</w:t>
            </w:r>
          </w:p>
          <w:p w14:paraId="4F2A7A70" w14:textId="77777777" w:rsidR="00025FEB" w:rsidRPr="00D85A4F" w:rsidRDefault="00025FEB" w:rsidP="00025FEB">
            <w:pPr>
              <w:pStyle w:val="TableBullet"/>
              <w:spacing w:line="264" w:lineRule="auto"/>
            </w:pPr>
            <w:r w:rsidRPr="00D85A4F">
              <w:t xml:space="preserve">how the leave addresses cultural requirements and whether </w:t>
            </w:r>
            <w:proofErr w:type="spellStart"/>
            <w:r w:rsidRPr="00D85A4F">
              <w:t>wh</w:t>
            </w:r>
            <w:r>
              <w:t>ā</w:t>
            </w:r>
            <w:r w:rsidRPr="00D85A4F">
              <w:t>nau</w:t>
            </w:r>
            <w:proofErr w:type="spellEnd"/>
            <w:r w:rsidRPr="00D85A4F">
              <w:t xml:space="preserve"> support is part of the management plan.</w:t>
            </w:r>
          </w:p>
          <w:p w14:paraId="2BA80144" w14:textId="77777777" w:rsidR="00025FEB" w:rsidRPr="00DC20BD" w:rsidRDefault="00025FEB" w:rsidP="00AD0359">
            <w:pPr>
              <w:pStyle w:val="TableText"/>
              <w:rPr>
                <w:rFonts w:eastAsia="Lucida Sans Unicode" w:hAnsi="Lucida Sans Unicode" w:cs="Lucida Sans Unicode"/>
              </w:rPr>
            </w:pPr>
            <w:r w:rsidRPr="00D85A4F">
              <w:t>Refer to the current SPRP report, if available.</w:t>
            </w:r>
          </w:p>
        </w:tc>
      </w:tr>
      <w:tr w:rsidR="00025FEB" w:rsidRPr="00DC20BD" w14:paraId="3FD5138F"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6AB68748" w14:textId="77777777" w:rsidR="00025FEB" w:rsidRPr="00D85A4F" w:rsidRDefault="00025FEB" w:rsidP="00AD0359">
            <w:pPr>
              <w:pStyle w:val="TableText"/>
              <w:keepNext/>
            </w:pPr>
            <w:r w:rsidRPr="00D85A4F">
              <w:t>Timeframe</w:t>
            </w:r>
          </w:p>
        </w:tc>
        <w:tc>
          <w:tcPr>
            <w:tcW w:w="6861" w:type="dxa"/>
            <w:tcBorders>
              <w:top w:val="single" w:sz="4" w:space="0" w:color="A6A6A6" w:themeColor="background1" w:themeShade="A6"/>
              <w:bottom w:val="single" w:sz="4" w:space="0" w:color="A6A6A6" w:themeColor="background1" w:themeShade="A6"/>
            </w:tcBorders>
          </w:tcPr>
          <w:p w14:paraId="7770BCB4" w14:textId="77777777" w:rsidR="00025FEB" w:rsidRPr="00D85A4F" w:rsidRDefault="00025FEB" w:rsidP="00AD0359">
            <w:pPr>
              <w:pStyle w:val="TableText"/>
            </w:pPr>
            <w:r>
              <w:t xml:space="preserve">The </w:t>
            </w:r>
            <w:r w:rsidRPr="00D85A4F">
              <w:t xml:space="preserve">DAMHS </w:t>
            </w:r>
            <w:r>
              <w:t xml:space="preserve">must </w:t>
            </w:r>
            <w:r w:rsidRPr="00D85A4F">
              <w:t xml:space="preserve">submit </w:t>
            </w:r>
            <w:r>
              <w:t xml:space="preserve">the </w:t>
            </w:r>
            <w:r w:rsidRPr="00D85A4F">
              <w:t xml:space="preserve">application to the Director at least </w:t>
            </w:r>
            <w:r>
              <w:t xml:space="preserve">five </w:t>
            </w:r>
            <w:r w:rsidRPr="00D85A4F">
              <w:t>working days prior to the planned leave.</w:t>
            </w:r>
          </w:p>
          <w:p w14:paraId="3B0446A4" w14:textId="77777777" w:rsidR="00025FEB" w:rsidRPr="00D85A4F" w:rsidRDefault="00025FEB" w:rsidP="00AD0359">
            <w:pPr>
              <w:pStyle w:val="TableText"/>
            </w:pPr>
            <w:r>
              <w:t xml:space="preserve">The </w:t>
            </w:r>
            <w:r w:rsidRPr="00D85A4F">
              <w:t xml:space="preserve">Office of the Director </w:t>
            </w:r>
            <w:r>
              <w:t xml:space="preserve">must </w:t>
            </w:r>
            <w:r w:rsidRPr="00D85A4F">
              <w:t xml:space="preserve">respond within </w:t>
            </w:r>
            <w:r>
              <w:t xml:space="preserve">three </w:t>
            </w:r>
            <w:r w:rsidRPr="00D85A4F">
              <w:t>working days. In practice</w:t>
            </w:r>
            <w:r>
              <w:t>,</w:t>
            </w:r>
            <w:r w:rsidRPr="00D85A4F">
              <w:t xml:space="preserve"> this information will be uploaded into the </w:t>
            </w:r>
            <w:r>
              <w:t>SPMS</w:t>
            </w:r>
            <w:r w:rsidRPr="00D85A4F">
              <w:t>.</w:t>
            </w:r>
          </w:p>
          <w:p w14:paraId="2E16E828" w14:textId="77777777" w:rsidR="00025FEB" w:rsidRPr="00D85A4F" w:rsidRDefault="00025FEB" w:rsidP="00AD0359">
            <w:pPr>
              <w:pStyle w:val="TableText"/>
            </w:pPr>
            <w:r w:rsidRPr="00D85A4F">
              <w:rPr>
                <w:bCs/>
              </w:rPr>
              <w:t>NB:</w:t>
            </w:r>
            <w:r w:rsidRPr="00D85A4F">
              <w:t xml:space="preserve"> Incomplete information will result in a delay in approving leave.</w:t>
            </w:r>
          </w:p>
        </w:tc>
      </w:tr>
    </w:tbl>
    <w:p w14:paraId="6C5C244C" w14:textId="1C7454EB" w:rsidR="00025FEB" w:rsidRPr="00025FEB" w:rsidRDefault="00025FEB" w:rsidP="00025FEB">
      <w:pPr>
        <w:pStyle w:val="Heading3"/>
      </w:pPr>
      <w:r w:rsidRPr="00025FEB">
        <w:t>Recall to hospital and cancelling leave</w:t>
      </w:r>
    </w:p>
    <w:p w14:paraId="25E95F2A" w14:textId="77777777" w:rsidR="00025FEB" w:rsidRPr="00D85A4F" w:rsidRDefault="00025FEB" w:rsidP="00025FEB">
      <w:r w:rsidRPr="00D85A4F">
        <w:t xml:space="preserve">The Director or the DAMHS (acting with authority delegated by the Director) may, at any time during the period of </w:t>
      </w:r>
      <w:r>
        <w:t xml:space="preserve">short-term </w:t>
      </w:r>
      <w:r w:rsidRPr="00D85A4F">
        <w:t>leave granted under section 52, cancel that period of leave. For example, leave may be cancelled because:</w:t>
      </w:r>
    </w:p>
    <w:p w14:paraId="04F482F0" w14:textId="77777777" w:rsidR="00025FEB" w:rsidRPr="00D85A4F" w:rsidRDefault="00025FEB" w:rsidP="00025FEB">
      <w:pPr>
        <w:pStyle w:val="Bullet"/>
        <w:spacing w:line="264" w:lineRule="auto"/>
      </w:pPr>
      <w:r w:rsidRPr="00D85A4F">
        <w:t>there are concerns about the patient’s mental state</w:t>
      </w:r>
    </w:p>
    <w:p w14:paraId="334FD8E7" w14:textId="77777777" w:rsidR="00025FEB" w:rsidRPr="00D85A4F" w:rsidRDefault="00025FEB" w:rsidP="00025FEB">
      <w:pPr>
        <w:pStyle w:val="Bullet"/>
        <w:spacing w:line="264" w:lineRule="auto"/>
      </w:pPr>
      <w:r w:rsidRPr="00D85A4F">
        <w:t xml:space="preserve">the patient has breached their conditions of leave </w:t>
      </w:r>
    </w:p>
    <w:p w14:paraId="1940D3BD" w14:textId="77777777" w:rsidR="00025FEB" w:rsidRPr="00D85A4F" w:rsidRDefault="00025FEB" w:rsidP="00025FEB">
      <w:pPr>
        <w:pStyle w:val="Bullet"/>
        <w:spacing w:line="264" w:lineRule="auto"/>
      </w:pPr>
      <w:r w:rsidRPr="00D85A4F">
        <w:t xml:space="preserve">there are concerns about the risk </w:t>
      </w:r>
      <w:r>
        <w:t xml:space="preserve">the patient </w:t>
      </w:r>
      <w:r w:rsidRPr="00D85A4F">
        <w:t>present</w:t>
      </w:r>
      <w:r>
        <w:t>s</w:t>
      </w:r>
      <w:r w:rsidRPr="00D85A4F">
        <w:t xml:space="preserve"> to others</w:t>
      </w:r>
    </w:p>
    <w:p w14:paraId="6707A784" w14:textId="77777777" w:rsidR="00025FEB" w:rsidRPr="00D85A4F" w:rsidRDefault="00025FEB" w:rsidP="00025FEB">
      <w:pPr>
        <w:pStyle w:val="Bullet"/>
        <w:spacing w:line="264" w:lineRule="auto"/>
      </w:pPr>
      <w:r w:rsidRPr="00D85A4F">
        <w:t>the patient has been involved in a serious incident.</w:t>
      </w:r>
    </w:p>
    <w:p w14:paraId="2BB25316" w14:textId="77777777" w:rsidR="00025FEB" w:rsidRPr="00D85A4F" w:rsidRDefault="00025FEB" w:rsidP="00025FEB"/>
    <w:p w14:paraId="732A4E8D" w14:textId="77777777" w:rsidR="00025FEB" w:rsidRPr="00D85A4F" w:rsidRDefault="00025FEB" w:rsidP="00025FEB">
      <w:r w:rsidRPr="00D85A4F">
        <w:lastRenderedPageBreak/>
        <w:t>The Director or the DAMHS (acting with authority delegated by the Director) does not have to cancel leave if situations listed above occur. However, they do need to consider whether the patient should be recalled to hospital and, if so, whether it is necessary to cancel leave.</w:t>
      </w:r>
    </w:p>
    <w:p w14:paraId="39147614" w14:textId="77777777" w:rsidR="00025FEB" w:rsidRPr="00D85A4F" w:rsidRDefault="00025FEB" w:rsidP="00025FEB"/>
    <w:p w14:paraId="6102A4AC" w14:textId="77777777" w:rsidR="00025FEB" w:rsidRPr="00D85A4F" w:rsidRDefault="00025FEB" w:rsidP="00025FEB">
      <w:r w:rsidRPr="00D85A4F">
        <w:t xml:space="preserve">If a special patient breaches conditions of leave, section 53 of the </w:t>
      </w:r>
      <w:r>
        <w:t>Mental Health Act</w:t>
      </w:r>
      <w:r w:rsidRPr="00D85A4F">
        <w:t xml:space="preserve"> allows the Director, </w:t>
      </w:r>
      <w:r>
        <w:t xml:space="preserve">the </w:t>
      </w:r>
      <w:r w:rsidRPr="00D85A4F">
        <w:t xml:space="preserve">DAMHS, </w:t>
      </w:r>
      <w:r>
        <w:t xml:space="preserve">a </w:t>
      </w:r>
      <w:r w:rsidRPr="00D85A4F">
        <w:t>DAO</w:t>
      </w:r>
      <w:r>
        <w:t>,</w:t>
      </w:r>
      <w:r w:rsidRPr="00D85A4F">
        <w:t xml:space="preserve"> </w:t>
      </w:r>
      <w:r>
        <w:t xml:space="preserve">a </w:t>
      </w:r>
      <w:proofErr w:type="gramStart"/>
      <w:r w:rsidRPr="00D85A4F">
        <w:t>constable</w:t>
      </w:r>
      <w:proofErr w:type="gramEnd"/>
      <w:r w:rsidRPr="00D85A4F">
        <w:t xml:space="preserve"> or any person to whom the patient has been entrusted during the period of leave to return the patient to hospital (</w:t>
      </w:r>
      <w:r>
        <w:t xml:space="preserve">see </w:t>
      </w:r>
      <w:r w:rsidRPr="00D85A4F">
        <w:t xml:space="preserve">section 6.3 for further information). </w:t>
      </w:r>
    </w:p>
    <w:p w14:paraId="3D74384C" w14:textId="77777777" w:rsidR="00025FEB" w:rsidRPr="00D85A4F" w:rsidRDefault="00025FEB" w:rsidP="00025FEB"/>
    <w:p w14:paraId="2EA07EF9" w14:textId="77777777" w:rsidR="00025FEB" w:rsidRPr="00D85A4F" w:rsidRDefault="00025FEB" w:rsidP="00025FEB">
      <w:r w:rsidRPr="00D85A4F">
        <w:t xml:space="preserve">If leave is cancelled, </w:t>
      </w:r>
      <w:r>
        <w:t xml:space="preserve">RFMHS </w:t>
      </w:r>
      <w:r w:rsidRPr="00D85A4F">
        <w:t>should see</w:t>
      </w:r>
      <w:r>
        <w:t xml:space="preserve"> this</w:t>
      </w:r>
      <w:r w:rsidRPr="00D85A4F">
        <w:t xml:space="preserve"> as a revocation of that step within the leave progression. The approval of the Director should be sought before recommencing leave, at a step appropriate with the condition of the patient. The reason for cancelling the leave and the safety of the individual and the public should also be considered.</w:t>
      </w:r>
    </w:p>
    <w:p w14:paraId="5E33D53F" w14:textId="77777777" w:rsidR="00025FEB" w:rsidRPr="00D85A4F" w:rsidRDefault="00025FEB" w:rsidP="00025FEB"/>
    <w:p w14:paraId="0588B3F9" w14:textId="77777777" w:rsidR="00025FEB" w:rsidRDefault="00025FEB" w:rsidP="00025FEB">
      <w:r>
        <w:t xml:space="preserve">RFMHS should inform the </w:t>
      </w:r>
      <w:r w:rsidRPr="00D85A4F">
        <w:t>Director of any decision to recall a patient from leave, the actions taken to address the issues leading to their recall and, if leave is cancelled, the reasons for leave being cancelled. Note that a serious incident resulting in cancellation of leave should trigger the reportable events process as described in part 13 of these guidelines.</w:t>
      </w:r>
    </w:p>
    <w:p w14:paraId="686D0204" w14:textId="77777777" w:rsidR="00025FEB" w:rsidRDefault="00025FEB" w:rsidP="00025FEB"/>
    <w:p w14:paraId="38F333E3" w14:textId="77777777" w:rsidR="00025FEB" w:rsidRDefault="00025FEB" w:rsidP="00025FEB">
      <w:r>
        <w:t>Where a decision is made to cancel and recall a patient from leave, the Director or DAMHS should inform the patient about the</w:t>
      </w:r>
      <w:r w:rsidRPr="0038314A">
        <w:t xml:space="preserve"> d</w:t>
      </w:r>
      <w:r>
        <w:t>ecision</w:t>
      </w:r>
      <w:r w:rsidRPr="0038314A">
        <w:t xml:space="preserve"> and </w:t>
      </w:r>
      <w:r>
        <w:t xml:space="preserve">provide the direction and </w:t>
      </w:r>
      <w:r w:rsidRPr="0038314A">
        <w:t>the reasons for the d</w:t>
      </w:r>
      <w:r>
        <w:t xml:space="preserve">irection to the patient in writing </w:t>
      </w:r>
      <w:r w:rsidRPr="0038314A">
        <w:t xml:space="preserve">as soon as practicable.  </w:t>
      </w:r>
    </w:p>
    <w:p w14:paraId="651A5C89" w14:textId="77777777" w:rsidR="00025FEB" w:rsidRPr="00D85A4F" w:rsidRDefault="00025FEB" w:rsidP="00025FEB">
      <w:pPr>
        <w:pStyle w:val="Heading2"/>
      </w:pPr>
      <w:bookmarkStart w:id="108" w:name="_Toc377543397"/>
      <w:bookmarkStart w:id="109" w:name="_Toc441658592"/>
      <w:bookmarkStart w:id="110" w:name="_Toc83197071"/>
      <w:bookmarkStart w:id="111" w:name="_Toc112845456"/>
      <w:bookmarkStart w:id="112" w:name="_Toc112862060"/>
      <w:bookmarkStart w:id="113" w:name="_Toc116484601"/>
      <w:r w:rsidRPr="00D85A4F">
        <w:t>Medical and urgent appointments</w:t>
      </w:r>
      <w:bookmarkEnd w:id="108"/>
      <w:bookmarkEnd w:id="109"/>
      <w:bookmarkEnd w:id="110"/>
      <w:bookmarkEnd w:id="111"/>
      <w:bookmarkEnd w:id="112"/>
      <w:bookmarkEnd w:id="113"/>
    </w:p>
    <w:p w14:paraId="3F5CE224" w14:textId="77777777" w:rsidR="00025FEB" w:rsidRPr="00D85A4F" w:rsidRDefault="00025FEB" w:rsidP="00025FEB">
      <w:r w:rsidRPr="00D85A4F">
        <w:t>One</w:t>
      </w:r>
      <w:r>
        <w:t>-</w:t>
      </w:r>
      <w:r w:rsidRPr="00D85A4F">
        <w:t>off short</w:t>
      </w:r>
      <w:r>
        <w:t>-term</w:t>
      </w:r>
      <w:r w:rsidRPr="00D85A4F">
        <w:t xml:space="preserve"> leave under section 52 of the </w:t>
      </w:r>
      <w:r>
        <w:t>Mental Health Act</w:t>
      </w:r>
      <w:r w:rsidRPr="00D85A4F">
        <w:t xml:space="preserve"> for medical or dental appointments, or compassionate short</w:t>
      </w:r>
      <w:r>
        <w:t>-term</w:t>
      </w:r>
      <w:r w:rsidRPr="00D85A4F">
        <w:t xml:space="preserve"> leave (</w:t>
      </w:r>
      <w:r>
        <w:t>for example</w:t>
      </w:r>
      <w:r w:rsidRPr="00D85A4F">
        <w:t>, due to bereavement or sudden family illness), may need to be approved within a shorter timeframe than that proposed for ‘rehabilitative’ short leave. The Office of the Director understands that appointments may be urgent (albeit not life-threatening), or opportunities for treatment (</w:t>
      </w:r>
      <w:r>
        <w:t>for example</w:t>
      </w:r>
      <w:r w:rsidRPr="00D85A4F">
        <w:t>, dental treatment) may arise at short notice.</w:t>
      </w:r>
    </w:p>
    <w:p w14:paraId="695C47E8" w14:textId="77777777" w:rsidR="00025FEB" w:rsidRPr="00D85A4F" w:rsidRDefault="00025FEB" w:rsidP="00025FEB"/>
    <w:p w14:paraId="143F7E67" w14:textId="77777777" w:rsidR="00025FEB" w:rsidRPr="00D85A4F" w:rsidRDefault="00025FEB" w:rsidP="00025FEB">
      <w:r w:rsidRPr="00D85A4F">
        <w:t xml:space="preserve">The Office of the Director will endeavour to respond to requests made at short notice, provided the necessary information is given in support of the request. If possible, the DAMHS should phone the Director or Deputy Director to advise of the pending request for leave and to </w:t>
      </w:r>
      <w:r>
        <w:t xml:space="preserve">discuss </w:t>
      </w:r>
      <w:r w:rsidRPr="00D85A4F">
        <w:t>any relevant issues.</w:t>
      </w:r>
    </w:p>
    <w:p w14:paraId="62E0F734" w14:textId="77777777" w:rsidR="00025FEB" w:rsidRPr="00D85A4F" w:rsidRDefault="00025FEB" w:rsidP="00025FEB"/>
    <w:p w14:paraId="6B787229" w14:textId="77777777" w:rsidR="00025FEB" w:rsidRPr="00D85A4F" w:rsidRDefault="00025FEB" w:rsidP="00025FEB">
      <w:r w:rsidRPr="00D85A4F">
        <w:t xml:space="preserve">It is particularly important to </w:t>
      </w:r>
      <w:r>
        <w:t xml:space="preserve">provide </w:t>
      </w:r>
      <w:r w:rsidRPr="00D85A4F">
        <w:t>information about the number and mix of people escorting the patient (</w:t>
      </w:r>
      <w:r>
        <w:t>for example</w:t>
      </w:r>
      <w:r w:rsidRPr="00D85A4F">
        <w:t xml:space="preserve">, </w:t>
      </w:r>
      <w:r>
        <w:t xml:space="preserve">whether they are </w:t>
      </w:r>
      <w:r w:rsidRPr="00D85A4F">
        <w:t>nursing staff or other</w:t>
      </w:r>
      <w:r>
        <w:t xml:space="preserve"> </w:t>
      </w:r>
      <w:r w:rsidRPr="00D85A4F">
        <w:t>s</w:t>
      </w:r>
      <w:r>
        <w:t>taff</w:t>
      </w:r>
      <w:r w:rsidRPr="00D85A4F">
        <w:t xml:space="preserve">, and their gender), with a view to assuring the Director that a patient who may be quite unwell, and who may present a degree of risk where leave may not usually be considered, is able to be managed safely outside the confines of hospital. If the patient would not normally be approved leave outside the hospital, but needs to attend a medical appointment, they should be accompanied by a health professional who can provide advice and support to the patient, prior to (or during) the medical procedure. If </w:t>
      </w:r>
      <w:r w:rsidRPr="00D85A4F">
        <w:lastRenderedPageBreak/>
        <w:t>the patient presents a high risk, the application needs to include clear reasons why the leave is being sought at this time and cannot be deferred.</w:t>
      </w:r>
    </w:p>
    <w:p w14:paraId="06C07ACC" w14:textId="77777777" w:rsidR="00025FEB" w:rsidRPr="00D85A4F" w:rsidRDefault="00025FEB" w:rsidP="00025FEB"/>
    <w:p w14:paraId="213386CE" w14:textId="11A5347D" w:rsidR="00025FEB" w:rsidRPr="00D85A4F" w:rsidRDefault="00025FEB" w:rsidP="00025FEB">
      <w:pPr>
        <w:pStyle w:val="Table"/>
      </w:pPr>
      <w:bookmarkStart w:id="114" w:name="_Toc445803204"/>
      <w:bookmarkStart w:id="115" w:name="_Toc83191231"/>
      <w:bookmarkStart w:id="116" w:name="_Toc111810261"/>
      <w:bookmarkStart w:id="117" w:name="_Toc112861579"/>
      <w:bookmarkStart w:id="118" w:name="_Toc116484639"/>
      <w:r>
        <w:t xml:space="preserve">Table </w:t>
      </w:r>
      <w:r>
        <w:fldChar w:fldCharType="begin"/>
      </w:r>
      <w:r>
        <w:instrText>SEQ Table \* ARABIC</w:instrText>
      </w:r>
      <w:r>
        <w:fldChar w:fldCharType="separate"/>
      </w:r>
      <w:r w:rsidR="00F25175">
        <w:rPr>
          <w:noProof/>
        </w:rPr>
        <w:t>6</w:t>
      </w:r>
      <w:r>
        <w:fldChar w:fldCharType="end"/>
      </w:r>
      <w:r>
        <w:t xml:space="preserve">: </w:t>
      </w:r>
      <w:r w:rsidRPr="00D85A4F">
        <w:t>Information in support of applications for medical and dental appointments</w:t>
      </w:r>
      <w:bookmarkEnd w:id="114"/>
      <w:bookmarkEnd w:id="115"/>
      <w:bookmarkEnd w:id="116"/>
      <w:bookmarkEnd w:id="117"/>
      <w:bookmarkEnd w:id="118"/>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69650D57"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50C74422" w14:textId="77777777" w:rsidR="00025FEB" w:rsidRPr="00DC20BD" w:rsidRDefault="00025FEB" w:rsidP="00AD0359">
            <w:pPr>
              <w:pStyle w:val="TableText"/>
              <w:keepN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078DA824" w14:textId="77777777" w:rsidR="00025FEB" w:rsidRPr="00D85A4F" w:rsidRDefault="00025FEB" w:rsidP="00AD0359">
            <w:pPr>
              <w:pStyle w:val="TableText"/>
            </w:pPr>
            <w:r w:rsidRPr="00D85A4F">
              <w:t>A letter from the responsible clinician, including:</w:t>
            </w:r>
          </w:p>
          <w:p w14:paraId="6078341C" w14:textId="77777777" w:rsidR="00025FEB" w:rsidRPr="00D85A4F" w:rsidRDefault="00025FEB" w:rsidP="00025FEB">
            <w:pPr>
              <w:pStyle w:val="TableBullet"/>
              <w:spacing w:line="264" w:lineRule="auto"/>
            </w:pPr>
            <w:r w:rsidRPr="00D85A4F">
              <w:t>the patient’s legal status</w:t>
            </w:r>
          </w:p>
          <w:p w14:paraId="7E73F780" w14:textId="77777777" w:rsidR="00025FEB" w:rsidRPr="00D85A4F" w:rsidRDefault="00025FEB" w:rsidP="00025FEB">
            <w:pPr>
              <w:pStyle w:val="TableBullet"/>
              <w:spacing w:line="264" w:lineRule="auto"/>
            </w:pPr>
            <w:r w:rsidRPr="00D85A4F">
              <w:t>a current mental state assessment / clinical summary</w:t>
            </w:r>
          </w:p>
          <w:p w14:paraId="41EAE7D4" w14:textId="77777777" w:rsidR="00025FEB" w:rsidRPr="00D85A4F" w:rsidRDefault="00025FEB" w:rsidP="00025FEB">
            <w:pPr>
              <w:pStyle w:val="TableBullet"/>
              <w:spacing w:line="264" w:lineRule="auto"/>
            </w:pPr>
            <w:r w:rsidRPr="00D85A4F">
              <w:t>the reason for the leave request, including why leave cannot be deferred</w:t>
            </w:r>
          </w:p>
          <w:p w14:paraId="6BCC9371" w14:textId="77777777" w:rsidR="00025FEB" w:rsidRPr="00D85A4F" w:rsidRDefault="00025FEB" w:rsidP="00025FEB">
            <w:pPr>
              <w:pStyle w:val="TableBullet"/>
              <w:spacing w:line="264" w:lineRule="auto"/>
            </w:pPr>
            <w:r w:rsidRPr="00D85A4F">
              <w:t>escort/supervision details</w:t>
            </w:r>
          </w:p>
          <w:p w14:paraId="224157AE" w14:textId="77777777" w:rsidR="00025FEB" w:rsidRPr="00D85A4F" w:rsidRDefault="00025FEB" w:rsidP="00025FEB">
            <w:pPr>
              <w:pStyle w:val="TableBullet"/>
              <w:spacing w:line="264" w:lineRule="auto"/>
            </w:pPr>
            <w:r w:rsidRPr="00D85A4F">
              <w:t>a risk assessment and management plan for the patient while on leave, including the potential for media interest in the case of high-profile patients</w:t>
            </w:r>
          </w:p>
          <w:p w14:paraId="3FCD6AFA" w14:textId="77777777" w:rsidR="00025FEB" w:rsidRPr="00D85A4F" w:rsidRDefault="00025FEB" w:rsidP="00025FEB">
            <w:pPr>
              <w:pStyle w:val="TableBullet"/>
              <w:spacing w:line="264" w:lineRule="auto"/>
            </w:pPr>
            <w:r w:rsidRPr="00D85A4F">
              <w:t>flight risk assessment</w:t>
            </w:r>
          </w:p>
          <w:p w14:paraId="468DDE93" w14:textId="77777777" w:rsidR="00025FEB" w:rsidRPr="00D85A4F" w:rsidRDefault="00025FEB" w:rsidP="00025FEB">
            <w:pPr>
              <w:pStyle w:val="TableBullet"/>
              <w:spacing w:line="264" w:lineRule="auto"/>
            </w:pPr>
            <w:r w:rsidRPr="00D85A4F">
              <w:t>the correct leave form, signed by the patient’s responsible clinician and the DAMHS</w:t>
            </w:r>
          </w:p>
          <w:p w14:paraId="4BA07A81" w14:textId="113B2008" w:rsidR="00025FEB" w:rsidRPr="00D85A4F" w:rsidRDefault="00025FEB" w:rsidP="00025FEB">
            <w:pPr>
              <w:pStyle w:val="TableBullet"/>
              <w:spacing w:line="264" w:lineRule="auto"/>
            </w:pPr>
            <w:r w:rsidRPr="00D85A4F">
              <w:t>comment on matters relating to the offending (</w:t>
            </w:r>
            <w:r>
              <w:t>for example</w:t>
            </w:r>
            <w:r w:rsidRPr="00D85A4F">
              <w:t xml:space="preserve"> insight into the offending, relationship with victims).</w:t>
            </w:r>
          </w:p>
          <w:p w14:paraId="66887D2E" w14:textId="77777777" w:rsidR="00025FEB" w:rsidRPr="00D85A4F" w:rsidRDefault="00025FEB" w:rsidP="00AD0359">
            <w:pPr>
              <w:pStyle w:val="TableText"/>
            </w:pPr>
            <w:r w:rsidRPr="00D85A4F">
              <w:t>Refer to the current SPRP report, if available.</w:t>
            </w:r>
          </w:p>
          <w:p w14:paraId="1D373125" w14:textId="77777777" w:rsidR="00025FEB" w:rsidRPr="00DC20BD" w:rsidRDefault="00025FEB" w:rsidP="00AD0359">
            <w:pPr>
              <w:pStyle w:val="TableText"/>
              <w:rPr>
                <w:rFonts w:eastAsia="Lucida Sans Unicode" w:hAnsi="Lucida Sans Unicode" w:cs="Lucida Sans Unicode"/>
              </w:rPr>
            </w:pPr>
            <w:r w:rsidRPr="00D85A4F">
              <w:t xml:space="preserve">A signed transport management plan </w:t>
            </w:r>
            <w:r>
              <w:t xml:space="preserve">under </w:t>
            </w:r>
            <w:r w:rsidRPr="00D85A4F">
              <w:t xml:space="preserve">the </w:t>
            </w:r>
            <w:r w:rsidRPr="00C84E6C">
              <w:rPr>
                <w:i/>
                <w:iCs/>
              </w:rPr>
              <w:t xml:space="preserve">Guidelines for the Safe Transport of Special </w:t>
            </w:r>
            <w:proofErr w:type="gramStart"/>
            <w:r w:rsidRPr="00C84E6C">
              <w:rPr>
                <w:i/>
                <w:iCs/>
              </w:rPr>
              <w:t>Patients  in</w:t>
            </w:r>
            <w:proofErr w:type="gramEnd"/>
            <w:r w:rsidRPr="00C84E6C">
              <w:rPr>
                <w:i/>
                <w:iCs/>
              </w:rPr>
              <w:t xml:space="preserve"> the Care of Regional Forensic Mental Health Services</w:t>
            </w:r>
            <w:r w:rsidRPr="00D85A4F">
              <w:t xml:space="preserve"> </w:t>
            </w:r>
            <w:r>
              <w:t xml:space="preserve">(Ministry of Health 2022) </w:t>
            </w:r>
            <w:r w:rsidRPr="00D85A4F">
              <w:t>if assistance by another agency is required.</w:t>
            </w:r>
          </w:p>
        </w:tc>
      </w:tr>
      <w:tr w:rsidR="00025FEB" w:rsidRPr="00DC20BD" w14:paraId="48F988EF"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64BDA595" w14:textId="77777777" w:rsidR="00025FEB" w:rsidRPr="00D85A4F" w:rsidRDefault="00025FEB" w:rsidP="00AD0359">
            <w:pPr>
              <w:pStyle w:val="TableText"/>
              <w:keepNext/>
            </w:pPr>
            <w:r w:rsidRPr="00D85A4F">
              <w:t>Timeframe</w:t>
            </w:r>
          </w:p>
        </w:tc>
        <w:tc>
          <w:tcPr>
            <w:tcW w:w="6861" w:type="dxa"/>
            <w:tcBorders>
              <w:top w:val="single" w:sz="4" w:space="0" w:color="A6A6A6" w:themeColor="background1" w:themeShade="A6"/>
              <w:bottom w:val="single" w:sz="4" w:space="0" w:color="A6A6A6" w:themeColor="background1" w:themeShade="A6"/>
            </w:tcBorders>
          </w:tcPr>
          <w:p w14:paraId="5A86434F" w14:textId="77777777" w:rsidR="00025FEB" w:rsidRPr="00D85A4F" w:rsidRDefault="00025FEB" w:rsidP="00AD0359">
            <w:pPr>
              <w:pStyle w:val="TableText"/>
            </w:pPr>
            <w:r>
              <w:t xml:space="preserve">The </w:t>
            </w:r>
            <w:r w:rsidRPr="00D85A4F">
              <w:t xml:space="preserve">DAMHS </w:t>
            </w:r>
            <w:r>
              <w:t xml:space="preserve">must </w:t>
            </w:r>
            <w:r w:rsidRPr="00D85A4F">
              <w:t xml:space="preserve">submit </w:t>
            </w:r>
            <w:r>
              <w:t xml:space="preserve">the </w:t>
            </w:r>
            <w:r w:rsidRPr="00D85A4F">
              <w:t xml:space="preserve">application at least </w:t>
            </w:r>
            <w:r>
              <w:t xml:space="preserve">three </w:t>
            </w:r>
            <w:r w:rsidRPr="00D85A4F">
              <w:t>working days prior to the scheduled appointment.</w:t>
            </w:r>
          </w:p>
          <w:p w14:paraId="6BD1030A" w14:textId="77777777" w:rsidR="00025FEB" w:rsidRPr="00D85A4F" w:rsidRDefault="00025FEB" w:rsidP="00AD0359">
            <w:pPr>
              <w:pStyle w:val="TableText"/>
            </w:pPr>
            <w:r>
              <w:t xml:space="preserve">The </w:t>
            </w:r>
            <w:r w:rsidRPr="00D85A4F">
              <w:t xml:space="preserve">Office of the Director </w:t>
            </w:r>
            <w:r>
              <w:t xml:space="preserve">must </w:t>
            </w:r>
            <w:r w:rsidRPr="00D85A4F">
              <w:t xml:space="preserve">respond within </w:t>
            </w:r>
            <w:r>
              <w:t xml:space="preserve">two </w:t>
            </w:r>
            <w:r w:rsidRPr="00D85A4F">
              <w:t>working days (unless urgent hospital admission is required). In practice</w:t>
            </w:r>
            <w:r>
              <w:t>,</w:t>
            </w:r>
            <w:r w:rsidRPr="00D85A4F">
              <w:t xml:space="preserve"> this information will be uploaded into the </w:t>
            </w:r>
            <w:r>
              <w:t>SPMS</w:t>
            </w:r>
            <w:r w:rsidRPr="00D85A4F">
              <w:t>.</w:t>
            </w:r>
          </w:p>
          <w:p w14:paraId="4C6E9290" w14:textId="77777777" w:rsidR="00025FEB" w:rsidRPr="00D85A4F" w:rsidRDefault="00025FEB" w:rsidP="00AD0359">
            <w:pPr>
              <w:pStyle w:val="TableText"/>
            </w:pPr>
            <w:r w:rsidRPr="00D85A4F">
              <w:rPr>
                <w:bCs/>
              </w:rPr>
              <w:t>NB:</w:t>
            </w:r>
            <w:r w:rsidRPr="00D85A4F">
              <w:t xml:space="preserve"> Incomplete information will result in a delay in approving leave.</w:t>
            </w:r>
          </w:p>
        </w:tc>
      </w:tr>
    </w:tbl>
    <w:p w14:paraId="280724DF" w14:textId="77777777" w:rsidR="00025FEB" w:rsidRDefault="00025FEB" w:rsidP="00025FEB"/>
    <w:p w14:paraId="351E5601" w14:textId="77777777" w:rsidR="00025FEB" w:rsidRDefault="00025FEB" w:rsidP="00025FEB">
      <w:r w:rsidRPr="00D85A4F">
        <w:t>If a patient is admitted to hospital and approval cannot reasonably be sought in advance (</w:t>
      </w:r>
      <w:r>
        <w:t>for example</w:t>
      </w:r>
      <w:r w:rsidRPr="00D85A4F">
        <w:t>, due to a life-threatening event or admission to hospital after hours), the DAMHS should ensure that retrospective approval for leave is sought on the next working day.</w:t>
      </w:r>
    </w:p>
    <w:p w14:paraId="20738A32" w14:textId="77777777" w:rsidR="00025FEB" w:rsidRPr="00D85A4F" w:rsidRDefault="00025FEB" w:rsidP="00025FEB"/>
    <w:p w14:paraId="0B896028" w14:textId="1886E5E8" w:rsidR="00025FEB" w:rsidRPr="00D85A4F" w:rsidRDefault="00025FEB" w:rsidP="00025FEB">
      <w:pPr>
        <w:pStyle w:val="Table"/>
      </w:pPr>
      <w:bookmarkStart w:id="119" w:name="_Toc445803205"/>
      <w:bookmarkStart w:id="120" w:name="_Toc83191232"/>
      <w:bookmarkStart w:id="121" w:name="_Toc111810262"/>
      <w:bookmarkStart w:id="122" w:name="_Toc112861580"/>
      <w:bookmarkStart w:id="123" w:name="_Toc116484640"/>
      <w:r>
        <w:t xml:space="preserve">Table </w:t>
      </w:r>
      <w:r>
        <w:fldChar w:fldCharType="begin"/>
      </w:r>
      <w:r>
        <w:instrText>SEQ Table \* ARABIC</w:instrText>
      </w:r>
      <w:r>
        <w:fldChar w:fldCharType="separate"/>
      </w:r>
      <w:r w:rsidR="00F25175">
        <w:rPr>
          <w:noProof/>
        </w:rPr>
        <w:t>7</w:t>
      </w:r>
      <w:r>
        <w:fldChar w:fldCharType="end"/>
      </w:r>
      <w:r>
        <w:t xml:space="preserve">: </w:t>
      </w:r>
      <w:r w:rsidRPr="00D85A4F">
        <w:t>Information in support of urgent admissions to hospital</w:t>
      </w:r>
      <w:bookmarkEnd w:id="119"/>
      <w:bookmarkEnd w:id="120"/>
      <w:bookmarkEnd w:id="121"/>
      <w:bookmarkEnd w:id="122"/>
      <w:bookmarkEnd w:id="123"/>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5AE0A209"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303A96A7" w14:textId="77777777" w:rsidR="00025FEB" w:rsidRPr="00DC20BD" w:rsidRDefault="00025FEB" w:rsidP="00AD0359">
            <w:pPr>
              <w:pStyle w:val="TableT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52B26061" w14:textId="77777777" w:rsidR="00025FEB" w:rsidRPr="00D85A4F" w:rsidRDefault="00025FEB" w:rsidP="00AD0359">
            <w:pPr>
              <w:pStyle w:val="TableText"/>
            </w:pPr>
            <w:r w:rsidRPr="00D85A4F">
              <w:t>A letter from the responsible clinician, including:</w:t>
            </w:r>
          </w:p>
          <w:p w14:paraId="20284FAB" w14:textId="77777777" w:rsidR="00025FEB" w:rsidRPr="00D85A4F" w:rsidRDefault="00025FEB" w:rsidP="00025FEB">
            <w:pPr>
              <w:pStyle w:val="TableBullet"/>
              <w:spacing w:line="264" w:lineRule="auto"/>
            </w:pPr>
            <w:r w:rsidRPr="00D85A4F">
              <w:t>the patient’s legal status</w:t>
            </w:r>
          </w:p>
          <w:p w14:paraId="45851236" w14:textId="77777777" w:rsidR="00025FEB" w:rsidRPr="00D85A4F" w:rsidRDefault="00025FEB" w:rsidP="00025FEB">
            <w:pPr>
              <w:pStyle w:val="TableBullet"/>
              <w:spacing w:line="264" w:lineRule="auto"/>
            </w:pPr>
            <w:r w:rsidRPr="00D85A4F">
              <w:t>a current mental state assessment, including compliance with treatment</w:t>
            </w:r>
          </w:p>
          <w:p w14:paraId="1D187936" w14:textId="77777777" w:rsidR="00025FEB" w:rsidRPr="00D85A4F" w:rsidRDefault="00025FEB" w:rsidP="00025FEB">
            <w:pPr>
              <w:pStyle w:val="TableBullet"/>
              <w:spacing w:line="264" w:lineRule="auto"/>
            </w:pPr>
            <w:r w:rsidRPr="00D85A4F">
              <w:t>the reason for the leave request</w:t>
            </w:r>
          </w:p>
          <w:p w14:paraId="4EEECD0E" w14:textId="77777777" w:rsidR="00025FEB" w:rsidRPr="00D85A4F" w:rsidRDefault="00025FEB" w:rsidP="00025FEB">
            <w:pPr>
              <w:pStyle w:val="TableBullet"/>
              <w:spacing w:line="264" w:lineRule="auto"/>
            </w:pPr>
            <w:r w:rsidRPr="00D85A4F">
              <w:t>escort/supervision details</w:t>
            </w:r>
          </w:p>
          <w:p w14:paraId="3A3D7405" w14:textId="77777777" w:rsidR="00025FEB" w:rsidRPr="00D85A4F" w:rsidRDefault="00025FEB" w:rsidP="00025FEB">
            <w:pPr>
              <w:pStyle w:val="TableBullet"/>
              <w:spacing w:line="264" w:lineRule="auto"/>
            </w:pPr>
            <w:r w:rsidRPr="00D85A4F">
              <w:t>a risk assessment, including flight risk</w:t>
            </w:r>
          </w:p>
          <w:p w14:paraId="6298A6CD" w14:textId="77777777" w:rsidR="00025FEB" w:rsidRPr="00D85A4F" w:rsidRDefault="00025FEB" w:rsidP="00025FEB">
            <w:pPr>
              <w:pStyle w:val="TableBullet"/>
              <w:spacing w:line="264" w:lineRule="auto"/>
            </w:pPr>
            <w:r w:rsidRPr="00D85A4F">
              <w:t>a risk and clinical management plan for the patient while on leave</w:t>
            </w:r>
          </w:p>
          <w:p w14:paraId="1543EF27" w14:textId="77777777" w:rsidR="00025FEB" w:rsidRPr="00D85A4F" w:rsidRDefault="00025FEB" w:rsidP="00025FEB">
            <w:pPr>
              <w:pStyle w:val="TableBullet"/>
              <w:spacing w:line="264" w:lineRule="auto"/>
            </w:pPr>
            <w:r w:rsidRPr="00D85A4F">
              <w:t>comment on matters relating to the offending (</w:t>
            </w:r>
            <w:r>
              <w:t>for example</w:t>
            </w:r>
            <w:r w:rsidRPr="00D85A4F">
              <w:t>, insight into the offending, relationship with victims).</w:t>
            </w:r>
          </w:p>
          <w:p w14:paraId="6A3A5520" w14:textId="77777777" w:rsidR="00025FEB" w:rsidRPr="00DC20BD" w:rsidRDefault="00025FEB" w:rsidP="00AD0359">
            <w:pPr>
              <w:pStyle w:val="TableText"/>
              <w:rPr>
                <w:rFonts w:eastAsia="Lucida Sans Unicode" w:hAnsi="Lucida Sans Unicode" w:cs="Lucida Sans Unicode"/>
              </w:rPr>
            </w:pPr>
            <w:r w:rsidRPr="00D85A4F">
              <w:t>Refer to the current SPRP report, if available.</w:t>
            </w:r>
          </w:p>
        </w:tc>
      </w:tr>
      <w:tr w:rsidR="00025FEB" w:rsidRPr="00DC20BD" w14:paraId="7F206CA1"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76B5254F" w14:textId="77777777" w:rsidR="00025FEB" w:rsidRPr="00D85A4F" w:rsidRDefault="00025FEB" w:rsidP="00AD0359">
            <w:pPr>
              <w:pStyle w:val="TableText"/>
            </w:pPr>
            <w:r w:rsidRPr="00D85A4F">
              <w:lastRenderedPageBreak/>
              <w:t>Timeframe</w:t>
            </w:r>
          </w:p>
        </w:tc>
        <w:tc>
          <w:tcPr>
            <w:tcW w:w="6861" w:type="dxa"/>
            <w:tcBorders>
              <w:top w:val="single" w:sz="4" w:space="0" w:color="A6A6A6" w:themeColor="background1" w:themeShade="A6"/>
              <w:bottom w:val="single" w:sz="4" w:space="0" w:color="A6A6A6" w:themeColor="background1" w:themeShade="A6"/>
            </w:tcBorders>
          </w:tcPr>
          <w:p w14:paraId="1E653313" w14:textId="77777777" w:rsidR="00025FEB" w:rsidRPr="00D85A4F" w:rsidRDefault="00025FEB" w:rsidP="00AD0359">
            <w:pPr>
              <w:pStyle w:val="TableText"/>
            </w:pPr>
            <w:r>
              <w:t xml:space="preserve">The </w:t>
            </w:r>
            <w:r w:rsidRPr="00D85A4F">
              <w:t xml:space="preserve">DAMHS </w:t>
            </w:r>
            <w:r>
              <w:t xml:space="preserve">must </w:t>
            </w:r>
            <w:r w:rsidRPr="00D85A4F">
              <w:t xml:space="preserve">submit </w:t>
            </w:r>
            <w:r>
              <w:t xml:space="preserve">the </w:t>
            </w:r>
            <w:r w:rsidRPr="00D85A4F">
              <w:t>application as soon as practicable prior to the scheduled appointment.</w:t>
            </w:r>
          </w:p>
          <w:p w14:paraId="2B651E9E" w14:textId="77777777" w:rsidR="00025FEB" w:rsidRPr="00D85A4F" w:rsidRDefault="00025FEB" w:rsidP="00AD0359">
            <w:pPr>
              <w:pStyle w:val="TableText"/>
            </w:pPr>
            <w:r>
              <w:t xml:space="preserve">The Office of the Director must </w:t>
            </w:r>
            <w:r w:rsidRPr="00D85A4F">
              <w:t xml:space="preserve">respond within </w:t>
            </w:r>
            <w:r>
              <w:t xml:space="preserve">two </w:t>
            </w:r>
            <w:r w:rsidRPr="00D85A4F">
              <w:t>working days.</w:t>
            </w:r>
          </w:p>
          <w:p w14:paraId="61546E82" w14:textId="77777777" w:rsidR="00025FEB" w:rsidRPr="00D85A4F" w:rsidRDefault="00025FEB" w:rsidP="00AD0359">
            <w:pPr>
              <w:pStyle w:val="TableText"/>
            </w:pPr>
            <w:r w:rsidRPr="00D85A4F">
              <w:t xml:space="preserve">Note: If approval from </w:t>
            </w:r>
            <w:r>
              <w:t xml:space="preserve">the Office of the Director </w:t>
            </w:r>
            <w:r w:rsidRPr="00D85A4F">
              <w:t>cannot be obtained prior to admission, the DAMHS should seek approval on the next working day. In practice</w:t>
            </w:r>
            <w:r>
              <w:t>,</w:t>
            </w:r>
            <w:r w:rsidRPr="00D85A4F">
              <w:t xml:space="preserve"> this information will be uploaded into the </w:t>
            </w:r>
            <w:r>
              <w:t>SPMS</w:t>
            </w:r>
            <w:r w:rsidRPr="00D85A4F">
              <w:t xml:space="preserve">. </w:t>
            </w:r>
          </w:p>
        </w:tc>
      </w:tr>
    </w:tbl>
    <w:p w14:paraId="19F462EA" w14:textId="6DE11F31" w:rsidR="00025FEB" w:rsidRPr="00025FEB" w:rsidRDefault="00025FEB" w:rsidP="00025FEB">
      <w:pPr>
        <w:pStyle w:val="Heading3"/>
      </w:pPr>
      <w:r w:rsidRPr="00025FEB">
        <w:t>Exceptional circumstances</w:t>
      </w:r>
    </w:p>
    <w:p w14:paraId="4F835963" w14:textId="55C9B36F" w:rsidR="00025FEB" w:rsidRDefault="00025FEB" w:rsidP="00025FEB">
      <w:r w:rsidRPr="00D85A4F">
        <w:t>In rare situations, there may be exceptional circumstances where a special patient need</w:t>
      </w:r>
      <w:r>
        <w:t>s</w:t>
      </w:r>
      <w:r w:rsidRPr="00D85A4F">
        <w:t xml:space="preserve"> to travel overseas.</w:t>
      </w:r>
    </w:p>
    <w:p w14:paraId="35F58317" w14:textId="77777777" w:rsidR="007A6F61" w:rsidRPr="00D85A4F" w:rsidRDefault="007A6F61" w:rsidP="00025FEB"/>
    <w:p w14:paraId="7D091582" w14:textId="77777777" w:rsidR="00025FEB" w:rsidRPr="00D85A4F" w:rsidRDefault="00025FEB" w:rsidP="00025FEB">
      <w:r w:rsidRPr="00D85A4F">
        <w:t xml:space="preserve">Section 52A of the </w:t>
      </w:r>
      <w:r>
        <w:t>Mental Health Act</w:t>
      </w:r>
      <w:r w:rsidRPr="00D85A4F">
        <w:t xml:space="preserve"> prevents special patients from departing, or preparing to or attempting to depart, Aotearoa New Zealand unless:</w:t>
      </w:r>
    </w:p>
    <w:p w14:paraId="608B27AB" w14:textId="77777777" w:rsidR="00025FEB" w:rsidRPr="00D85A4F" w:rsidRDefault="00025FEB" w:rsidP="00025FEB">
      <w:pPr>
        <w:pStyle w:val="Bullet"/>
        <w:spacing w:line="264" w:lineRule="auto"/>
      </w:pPr>
      <w:r>
        <w:t xml:space="preserve">they </w:t>
      </w:r>
      <w:r w:rsidRPr="00D85A4F">
        <w:t xml:space="preserve">have been granted section 52 or 50 leave </w:t>
      </w:r>
    </w:p>
    <w:p w14:paraId="557DA64F" w14:textId="77777777" w:rsidR="00025FEB" w:rsidRPr="00D85A4F" w:rsidRDefault="00025FEB" w:rsidP="00025FEB">
      <w:pPr>
        <w:pStyle w:val="Bullet"/>
        <w:spacing w:line="264" w:lineRule="auto"/>
      </w:pPr>
      <w:r>
        <w:t xml:space="preserve">they </w:t>
      </w:r>
      <w:r w:rsidRPr="00D85A4F">
        <w:t>have permission from the Minister to be absent from Aotearoa New Zealand during that period of leave and comply with terms and conditions specified by the Minister</w:t>
      </w:r>
    </w:p>
    <w:p w14:paraId="506200B6" w14:textId="77777777" w:rsidR="00025FEB" w:rsidRPr="00D85A4F" w:rsidRDefault="00025FEB" w:rsidP="00025FEB">
      <w:pPr>
        <w:pStyle w:val="Bullet"/>
        <w:spacing w:line="264" w:lineRule="auto"/>
      </w:pPr>
      <w:r w:rsidRPr="00D85A4F">
        <w:t xml:space="preserve">their departure from Aotearoa New Zealand is in accordance with those terms and conditions. </w:t>
      </w:r>
    </w:p>
    <w:p w14:paraId="5AC2220E" w14:textId="77777777" w:rsidR="00025FEB" w:rsidRPr="00D85A4F" w:rsidRDefault="00025FEB" w:rsidP="00025FEB"/>
    <w:p w14:paraId="64A1480D" w14:textId="77777777" w:rsidR="00025FEB" w:rsidRPr="00D85A4F" w:rsidRDefault="00025FEB" w:rsidP="00025FEB">
      <w:r w:rsidRPr="00D85A4F">
        <w:t>Any special patient who attempts to</w:t>
      </w:r>
      <w:r>
        <w:t xml:space="preserve"> depart</w:t>
      </w:r>
      <w:r w:rsidRPr="00D85A4F">
        <w:t>, prepares to</w:t>
      </w:r>
      <w:r>
        <w:t xml:space="preserve"> </w:t>
      </w:r>
      <w:proofErr w:type="gramStart"/>
      <w:r>
        <w:t>depart</w:t>
      </w:r>
      <w:proofErr w:type="gramEnd"/>
      <w:r w:rsidRPr="00D85A4F">
        <w:t xml:space="preserve"> or successfully departs Aotearoa New Zealand without permission from the Minister or in breach of the conditions set by the Minister must be treated as having escaped (</w:t>
      </w:r>
      <w:r>
        <w:t xml:space="preserve">see </w:t>
      </w:r>
      <w:r w:rsidRPr="00D85A4F">
        <w:t>section 6.3 below for further information).</w:t>
      </w:r>
    </w:p>
    <w:p w14:paraId="1A561A2E" w14:textId="77777777" w:rsidR="00025FEB" w:rsidRPr="00D85A4F" w:rsidRDefault="00025FEB" w:rsidP="00025FEB"/>
    <w:p w14:paraId="7437090F" w14:textId="77777777" w:rsidR="00025FEB" w:rsidRPr="00D85A4F" w:rsidRDefault="00025FEB" w:rsidP="00025FEB">
      <w:r w:rsidRPr="00D85A4F">
        <w:t xml:space="preserve">Any application for overseas travel during a period of leave must include information on </w:t>
      </w:r>
      <w:r>
        <w:t xml:space="preserve">the </w:t>
      </w:r>
      <w:r w:rsidRPr="00D85A4F">
        <w:t xml:space="preserve">details of </w:t>
      </w:r>
      <w:r>
        <w:t xml:space="preserve">the </w:t>
      </w:r>
      <w:r w:rsidRPr="00D85A4F">
        <w:t xml:space="preserve">proposed overseas travel, </w:t>
      </w:r>
      <w:r>
        <w:t xml:space="preserve">the </w:t>
      </w:r>
      <w:r w:rsidRPr="00D85A4F">
        <w:t xml:space="preserve">necessity of travel and the processes in place to ensure </w:t>
      </w:r>
      <w:r>
        <w:t xml:space="preserve">the </w:t>
      </w:r>
      <w:r w:rsidRPr="00D85A4F">
        <w:t>safety of the special patient and others whil</w:t>
      </w:r>
      <w:r>
        <w:t>e</w:t>
      </w:r>
      <w:r w:rsidRPr="00D85A4F">
        <w:t xml:space="preserve"> overseas. </w:t>
      </w:r>
      <w:r>
        <w:t xml:space="preserve">In this case, RFMHSs should </w:t>
      </w:r>
      <w:r w:rsidRPr="00D85A4F">
        <w:t>ring the Director or Deputy Director in the first instance to discuss how to proceed.</w:t>
      </w:r>
    </w:p>
    <w:p w14:paraId="7E63870C" w14:textId="77777777" w:rsidR="00025FEB" w:rsidRPr="00D85A4F" w:rsidRDefault="00025FEB" w:rsidP="00025FEB">
      <w:pPr>
        <w:pStyle w:val="Heading2"/>
      </w:pPr>
      <w:bookmarkStart w:id="124" w:name="_Toc83197072"/>
      <w:bookmarkStart w:id="125" w:name="_Toc112845457"/>
      <w:bookmarkStart w:id="126" w:name="_Toc112862061"/>
      <w:bookmarkStart w:id="127" w:name="_Toc116484602"/>
      <w:r w:rsidRPr="00D85A4F">
        <w:t>Absence without leave</w:t>
      </w:r>
      <w:bookmarkEnd w:id="124"/>
      <w:bookmarkEnd w:id="125"/>
      <w:bookmarkEnd w:id="126"/>
      <w:bookmarkEnd w:id="127"/>
    </w:p>
    <w:p w14:paraId="4B40C847" w14:textId="77777777" w:rsidR="00025FEB" w:rsidRPr="00D85A4F" w:rsidRDefault="00025FEB" w:rsidP="00025FEB">
      <w:r w:rsidRPr="00D85A4F">
        <w:t xml:space="preserve">Each RFMHS must </w:t>
      </w:r>
      <w:r>
        <w:t xml:space="preserve">implement </w:t>
      </w:r>
      <w:r w:rsidRPr="00D85A4F">
        <w:t xml:space="preserve">its own procedures in the event of a special patient who escapes, is absent without leave (AWOL) or fails to return on the expiry or cancellation of leave. </w:t>
      </w:r>
      <w:r>
        <w:t xml:space="preserve">The Ministry </w:t>
      </w:r>
      <w:r w:rsidRPr="00D85A4F">
        <w:t>intend</w:t>
      </w:r>
      <w:r>
        <w:t>s</w:t>
      </w:r>
      <w:r w:rsidRPr="00D85A4F">
        <w:t xml:space="preserve"> that the process described below will build on, rather than contradict, current processes. </w:t>
      </w:r>
      <w:r>
        <w:t>‘Useful resources’ in the appendix provides a</w:t>
      </w:r>
      <w:r w:rsidRPr="00D85A4F">
        <w:t xml:space="preserve"> flowchart of the special patient </w:t>
      </w:r>
      <w:r>
        <w:t xml:space="preserve">AWOL </w:t>
      </w:r>
      <w:r w:rsidRPr="00D85A4F">
        <w:t>process.</w:t>
      </w:r>
    </w:p>
    <w:p w14:paraId="0F501B72" w14:textId="77777777" w:rsidR="00025FEB" w:rsidRPr="00D85A4F" w:rsidRDefault="00025FEB" w:rsidP="00025FEB"/>
    <w:p w14:paraId="0F399B1D" w14:textId="77777777" w:rsidR="00025FEB" w:rsidRPr="00D85A4F" w:rsidRDefault="00025FEB" w:rsidP="00025FEB">
      <w:r w:rsidRPr="00D85A4F">
        <w:t xml:space="preserve">Section 53 of the </w:t>
      </w:r>
      <w:r>
        <w:t>Mental Health Act</w:t>
      </w:r>
      <w:r w:rsidRPr="00D85A4F">
        <w:t xml:space="preserve"> provides that:</w:t>
      </w:r>
    </w:p>
    <w:p w14:paraId="300071F1" w14:textId="77777777" w:rsidR="00025FEB" w:rsidRPr="00D85A4F" w:rsidRDefault="00025FEB" w:rsidP="00025FEB">
      <w:pPr>
        <w:pStyle w:val="Quote"/>
      </w:pPr>
      <w:r w:rsidRPr="00D85A4F">
        <w:t xml:space="preserve">Any special patient who escapes, or who breaches any condition of leave, or who fails to return on the expiry or cancellation of any period of leave may be retaken at any time by the Director, or by the Director of Area Mental Health Services, or by a duly authorised officer, or by any constable, or by any person to whom the person has been entrusted during the period of leave, and taken to the hospital </w:t>
      </w:r>
      <w:r w:rsidRPr="00D85A4F">
        <w:lastRenderedPageBreak/>
        <w:t>from which the patient escaped or was on leave or to any other hospital specified by the Director.</w:t>
      </w:r>
    </w:p>
    <w:p w14:paraId="1C1FEC31" w14:textId="77777777" w:rsidR="00025FEB" w:rsidRPr="00D85A4F" w:rsidRDefault="00025FEB" w:rsidP="00025FEB"/>
    <w:p w14:paraId="0FB4CBC7" w14:textId="77777777" w:rsidR="00025FEB" w:rsidRPr="00D85A4F" w:rsidRDefault="00025FEB" w:rsidP="00025FEB">
      <w:r w:rsidRPr="00D85A4F">
        <w:t>If a special patient has escaped or is AWOL, the DAMHS (or their delegated staff member) must immediately take the actions set out below.</w:t>
      </w:r>
    </w:p>
    <w:p w14:paraId="25FA38B5" w14:textId="77777777" w:rsidR="00025FEB" w:rsidRPr="00D85A4F" w:rsidRDefault="00025FEB" w:rsidP="00025FEB"/>
    <w:p w14:paraId="0B5E4010" w14:textId="77777777" w:rsidR="00025FEB" w:rsidRPr="00D85A4F" w:rsidRDefault="00025FEB" w:rsidP="00025FEB">
      <w:r w:rsidRPr="00D85A4F">
        <w:t>A 111 call should always be placed if the special patient has escaped</w:t>
      </w:r>
      <w:r>
        <w:t xml:space="preserve"> or has </w:t>
      </w:r>
      <w:proofErr w:type="gramStart"/>
      <w:r>
        <w:t xml:space="preserve">become </w:t>
      </w:r>
      <w:r w:rsidRPr="00D85A4F">
        <w:t xml:space="preserve"> AWOL</w:t>
      </w:r>
      <w:proofErr w:type="gramEnd"/>
      <w:r w:rsidRPr="00D85A4F">
        <w:t xml:space="preserve"> and there is an immediate concern for the safety of the patient, the public in general or particular </w:t>
      </w:r>
      <w:r>
        <w:t>people.</w:t>
      </w:r>
      <w:r w:rsidRPr="00D85A4F">
        <w:t xml:space="preserve">  This call should be made (and subsequently documented) by the staff member responsible for the special patient or anyone with authority in the RFMHS (usually the nurse in charge or the allocated nurse).</w:t>
      </w:r>
    </w:p>
    <w:p w14:paraId="39CC6427" w14:textId="77777777" w:rsidR="00025FEB" w:rsidRPr="00D85A4F" w:rsidRDefault="00025FEB" w:rsidP="00025FEB"/>
    <w:p w14:paraId="712B0ACD" w14:textId="77777777" w:rsidR="00025FEB" w:rsidRPr="00D85A4F" w:rsidRDefault="00025FEB" w:rsidP="00025FEB">
      <w:r w:rsidRPr="00D85A4F">
        <w:t xml:space="preserve">Once </w:t>
      </w:r>
      <w:r>
        <w:t>p</w:t>
      </w:r>
      <w:r w:rsidRPr="00D85A4F">
        <w:t>olice have been alerted, the DAMHS should call the Director and/or Deputy Director, and provide the details of the incident, a summary of actions taken and information on whether the special patient is a foreign national and of the potential flight risk.</w:t>
      </w:r>
    </w:p>
    <w:p w14:paraId="1B4A4420" w14:textId="77777777" w:rsidR="00025FEB" w:rsidRPr="00D85A4F" w:rsidRDefault="00025FEB" w:rsidP="00025FEB"/>
    <w:p w14:paraId="0B24379A" w14:textId="77777777" w:rsidR="00025FEB" w:rsidRPr="00D85A4F" w:rsidRDefault="00025FEB" w:rsidP="00025FEB">
      <w:r w:rsidRPr="00D85A4F">
        <w:t xml:space="preserve">The initial call to </w:t>
      </w:r>
      <w:r>
        <w:t>p</w:t>
      </w:r>
      <w:r w:rsidRPr="00D85A4F">
        <w:t>olice needs to include information on how best to approach the patient, and information about the risk posed by the patient to themself or to others. Police also need the following information to help them identify the missing patient:</w:t>
      </w:r>
    </w:p>
    <w:p w14:paraId="0775B65D" w14:textId="77777777" w:rsidR="00025FEB" w:rsidRPr="00D85A4F" w:rsidRDefault="00025FEB" w:rsidP="00025FEB">
      <w:pPr>
        <w:pStyle w:val="Bullet"/>
        <w:spacing w:line="264" w:lineRule="auto"/>
      </w:pPr>
      <w:r w:rsidRPr="00D85A4F">
        <w:t>the patient’s full name and date of birth</w:t>
      </w:r>
    </w:p>
    <w:p w14:paraId="49E1AFBA" w14:textId="77777777" w:rsidR="00025FEB" w:rsidRPr="00D85A4F" w:rsidRDefault="00025FEB" w:rsidP="00025FEB">
      <w:pPr>
        <w:pStyle w:val="Bullet"/>
        <w:spacing w:line="264" w:lineRule="auto"/>
      </w:pPr>
      <w:r w:rsidRPr="00D85A4F">
        <w:t xml:space="preserve">details of the </w:t>
      </w:r>
      <w:r>
        <w:t xml:space="preserve">RFMHS’s </w:t>
      </w:r>
      <w:r w:rsidRPr="00D85A4F">
        <w:t>last contact with the patient (in person or by phone, social media, etc)</w:t>
      </w:r>
    </w:p>
    <w:p w14:paraId="721F5745" w14:textId="77777777" w:rsidR="00025FEB" w:rsidRPr="00D85A4F" w:rsidRDefault="00025FEB" w:rsidP="00025FEB">
      <w:pPr>
        <w:pStyle w:val="Bullet"/>
        <w:spacing w:line="264" w:lineRule="auto"/>
      </w:pPr>
      <w:r w:rsidRPr="00D85A4F">
        <w:t>a full physical description of the missing patient, including clothing worn when they were last seen, any distinguishing features and a recent photograph of the patient (if available)</w:t>
      </w:r>
    </w:p>
    <w:p w14:paraId="3763F711" w14:textId="77777777" w:rsidR="00025FEB" w:rsidRPr="00D85A4F" w:rsidRDefault="00025FEB" w:rsidP="00025FEB">
      <w:pPr>
        <w:pStyle w:val="Bullet"/>
        <w:spacing w:line="264" w:lineRule="auto"/>
      </w:pPr>
      <w:r w:rsidRPr="00D85A4F">
        <w:t>actions already taken to find the patient</w:t>
      </w:r>
    </w:p>
    <w:p w14:paraId="110A0A8A" w14:textId="77777777" w:rsidR="00025FEB" w:rsidRPr="00D85A4F" w:rsidRDefault="00025FEB" w:rsidP="00025FEB">
      <w:pPr>
        <w:pStyle w:val="Bullet"/>
        <w:spacing w:line="264" w:lineRule="auto"/>
      </w:pPr>
      <w:r w:rsidRPr="00D85A4F">
        <w:t>names and contact details of family/</w:t>
      </w:r>
      <w:proofErr w:type="spellStart"/>
      <w:r w:rsidRPr="00D85A4F">
        <w:t>whānau</w:t>
      </w:r>
      <w:proofErr w:type="spellEnd"/>
      <w:r w:rsidRPr="00D85A4F">
        <w:t>, friends and associates</w:t>
      </w:r>
    </w:p>
    <w:p w14:paraId="49430EEC" w14:textId="77777777" w:rsidR="00025FEB" w:rsidRPr="00D85A4F" w:rsidRDefault="00025FEB" w:rsidP="00025FEB">
      <w:pPr>
        <w:pStyle w:val="Bullet"/>
        <w:spacing w:line="264" w:lineRule="auto"/>
      </w:pPr>
      <w:r w:rsidRPr="00D85A4F">
        <w:t>any places the patient may visit</w:t>
      </w:r>
    </w:p>
    <w:p w14:paraId="2CA055D1" w14:textId="77777777" w:rsidR="00025FEB" w:rsidRPr="00D85A4F" w:rsidRDefault="00025FEB" w:rsidP="00025FEB">
      <w:pPr>
        <w:pStyle w:val="Bullet"/>
        <w:spacing w:line="264" w:lineRule="auto"/>
      </w:pPr>
      <w:r w:rsidRPr="00D85A4F">
        <w:t>any relevant health information</w:t>
      </w:r>
      <w:r>
        <w:t>, including</w:t>
      </w:r>
      <w:r w:rsidRPr="00D85A4F">
        <w:t xml:space="preserve"> medication needed</w:t>
      </w:r>
    </w:p>
    <w:p w14:paraId="1E0903DA" w14:textId="77777777" w:rsidR="00025FEB" w:rsidRPr="00D85A4F" w:rsidRDefault="00025FEB" w:rsidP="00025FEB">
      <w:pPr>
        <w:pStyle w:val="Bullet"/>
        <w:spacing w:line="264" w:lineRule="auto"/>
      </w:pPr>
      <w:r w:rsidRPr="00D85A4F">
        <w:t>details of any people who are, or may be</w:t>
      </w:r>
      <w:r>
        <w:t>,</w:t>
      </w:r>
      <w:r w:rsidRPr="00D85A4F">
        <w:t xml:space="preserve"> in the company of the patient.</w:t>
      </w:r>
    </w:p>
    <w:p w14:paraId="5AE57C43" w14:textId="77777777" w:rsidR="00025FEB" w:rsidRPr="00D85A4F" w:rsidRDefault="00025FEB" w:rsidP="00025FEB"/>
    <w:p w14:paraId="30DD0DC7" w14:textId="77777777" w:rsidR="00025FEB" w:rsidRDefault="00025FEB" w:rsidP="00025FEB">
      <w:r w:rsidRPr="00D85A4F">
        <w:t xml:space="preserve">The </w:t>
      </w:r>
      <w:r>
        <w:t>p</w:t>
      </w:r>
      <w:r w:rsidRPr="00D85A4F">
        <w:t>olice call-taker should be asked to advise where information about the patient should be sent, and for advice on a local contact person during the patient’s absence. Police will provide the RFMHS with an event number that should be referenced in any further communication regarding the incident. Police will also need contact details for the RFMHS (cell phone and landline) and for any other person who may be affected by the absence of the patient (</w:t>
      </w:r>
      <w:r>
        <w:t>for example</w:t>
      </w:r>
      <w:r w:rsidRPr="00D85A4F">
        <w:t>, family members</w:t>
      </w:r>
      <w:r>
        <w:t xml:space="preserve"> and registered victims, if relevant (see below)).</w:t>
      </w:r>
    </w:p>
    <w:p w14:paraId="2B66534D" w14:textId="77777777" w:rsidR="00025FEB" w:rsidRDefault="00025FEB" w:rsidP="00025FEB"/>
    <w:p w14:paraId="0F9679CE" w14:textId="77777777" w:rsidR="00025FEB" w:rsidRPr="00D85A4F" w:rsidRDefault="00025FEB" w:rsidP="00025FEB">
      <w:r w:rsidRPr="00D85A4F">
        <w:t>A person authorised by section 53 of the MH (CAT) Act can retake and return a special patient to the hospital from which the patient escaped or was on leave. If the place of return is not easily reached (</w:t>
      </w:r>
      <w:r>
        <w:t>for example</w:t>
      </w:r>
      <w:r w:rsidRPr="00D85A4F">
        <w:t xml:space="preserve">, because the special patient was found in a different region from the hospital in which they are usually detained), </w:t>
      </w:r>
      <w:r>
        <w:t xml:space="preserve">the patient </w:t>
      </w:r>
      <w:r w:rsidRPr="00D85A4F">
        <w:t xml:space="preserve">should be returned to any other hospital specified by the Director, which will typically be the closest RFMHS. The DAMHS will need to negotiate this with the relevant service. Patients cannot be left in the custody of </w:t>
      </w:r>
      <w:r>
        <w:t>p</w:t>
      </w:r>
      <w:r w:rsidRPr="00D85A4F">
        <w:t xml:space="preserve">olice, as there </w:t>
      </w:r>
      <w:r>
        <w:t>may be</w:t>
      </w:r>
      <w:r w:rsidRPr="00D85A4F">
        <w:t xml:space="preserve"> no lawful ability for the </w:t>
      </w:r>
      <w:r>
        <w:lastRenderedPageBreak/>
        <w:t>p</w:t>
      </w:r>
      <w:r w:rsidRPr="00D85A4F">
        <w:t xml:space="preserve">olice to detain them. The </w:t>
      </w:r>
      <w:r>
        <w:t>p</w:t>
      </w:r>
      <w:r w:rsidRPr="00D85A4F">
        <w:t>olice only have the power to take or retake the special patient to a hospital.</w:t>
      </w:r>
    </w:p>
    <w:p w14:paraId="1ACB9C98" w14:textId="77777777" w:rsidR="00025FEB" w:rsidRPr="00D85A4F" w:rsidRDefault="00025FEB" w:rsidP="00025FEB"/>
    <w:p w14:paraId="10433502" w14:textId="77777777" w:rsidR="00025FEB" w:rsidRPr="00D85A4F" w:rsidRDefault="00025FEB" w:rsidP="00025FEB">
      <w:pPr>
        <w:keepLines/>
      </w:pPr>
      <w:r w:rsidRPr="00D85A4F">
        <w:t xml:space="preserve">If a special patient is AWOL, the RFMHS must notify the patient’s family and </w:t>
      </w:r>
      <w:proofErr w:type="spellStart"/>
      <w:r w:rsidRPr="00D85A4F">
        <w:t>whānau</w:t>
      </w:r>
      <w:proofErr w:type="spellEnd"/>
      <w:r w:rsidRPr="00D85A4F">
        <w:t xml:space="preserve"> of the event and the actions that </w:t>
      </w:r>
      <w:r>
        <w:t xml:space="preserve">it is taking </w:t>
      </w:r>
      <w:r w:rsidRPr="00D85A4F">
        <w:t xml:space="preserve">to find and return the patient. If there are concerns that family members may be at risk from the patient, the RFMHS should ensure that </w:t>
      </w:r>
      <w:r>
        <w:t>p</w:t>
      </w:r>
      <w:r w:rsidRPr="00D85A4F">
        <w:t xml:space="preserve">olice are informed. </w:t>
      </w:r>
      <w:r>
        <w:t>The Director-General of Health (in practice, the DAMHS as delegated)</w:t>
      </w:r>
      <w:r w:rsidRPr="00D85A4F">
        <w:t xml:space="preserve"> </w:t>
      </w:r>
      <w:r>
        <w:t>must notify a</w:t>
      </w:r>
      <w:r w:rsidRPr="00D85A4F">
        <w:t>ny registered victims of the escape or absence without leave in accordance with section 37 of the Victims Rights Act 2002</w:t>
      </w:r>
      <w:r>
        <w:t xml:space="preserve"> (see further discussion on the requirements of the Victims Rights Act in section 12 below)</w:t>
      </w:r>
      <w:r w:rsidRPr="00D85A4F">
        <w:t>.</w:t>
      </w:r>
    </w:p>
    <w:p w14:paraId="7D5553A2" w14:textId="527AD5F2" w:rsidR="00025FEB" w:rsidRPr="00D85A4F" w:rsidRDefault="00025FEB" w:rsidP="00025FEB">
      <w:pPr>
        <w:pStyle w:val="Heading3"/>
      </w:pPr>
      <w:r w:rsidRPr="00D85A4F">
        <w:t>Emergency border alert</w:t>
      </w:r>
    </w:p>
    <w:p w14:paraId="4D7659BF" w14:textId="77777777" w:rsidR="00025FEB" w:rsidRPr="00D85A4F" w:rsidRDefault="00025FEB" w:rsidP="00025FEB">
      <w:r w:rsidRPr="00D85A4F">
        <w:t xml:space="preserve">If a special patient is AWOL, the DAMHS </w:t>
      </w:r>
      <w:r>
        <w:t xml:space="preserve">must </w:t>
      </w:r>
      <w:r w:rsidRPr="00D85A4F">
        <w:t xml:space="preserve">request an emergency overseas border alert. To do this, the DAMHS (or a person acting on their authority) </w:t>
      </w:r>
      <w:r>
        <w:t xml:space="preserve">must </w:t>
      </w:r>
      <w:r w:rsidRPr="00D85A4F">
        <w:rPr>
          <w:color w:val="000000"/>
        </w:rPr>
        <w:t xml:space="preserve">call </w:t>
      </w:r>
      <w:r w:rsidRPr="00D85A4F">
        <w:t xml:space="preserve">Customs’ Integrated Targeting and Operations Centre (ITOC) on 0508 ITOC OPS (0508 4862 677). The ITOC will require identifying information about the patient, including their full name, date and place of birth, any </w:t>
      </w:r>
      <w:proofErr w:type="gramStart"/>
      <w:r w:rsidRPr="00D85A4F">
        <w:t>aliases</w:t>
      </w:r>
      <w:proofErr w:type="gramEnd"/>
      <w:r w:rsidRPr="00D85A4F">
        <w:t xml:space="preserve"> and a photograph where available.</w:t>
      </w:r>
    </w:p>
    <w:p w14:paraId="505DE3CE" w14:textId="77777777" w:rsidR="00025FEB" w:rsidRPr="00D85A4F" w:rsidRDefault="00025FEB" w:rsidP="00025FEB"/>
    <w:p w14:paraId="3CF9337F" w14:textId="77777777" w:rsidR="00025FEB" w:rsidRPr="00D85A4F" w:rsidRDefault="00025FEB" w:rsidP="00025FEB">
      <w:pPr>
        <w:rPr>
          <w:spacing w:val="-13"/>
          <w:w w:val="105"/>
        </w:rPr>
      </w:pPr>
      <w:r>
        <w:rPr>
          <w:w w:val="105"/>
        </w:rPr>
        <w:t>‘Useful resources’ in the appendix, sets out t</w:t>
      </w:r>
      <w:r w:rsidRPr="00D85A4F">
        <w:rPr>
          <w:w w:val="105"/>
        </w:rPr>
        <w:t>he information required to place an emergency overseas border alert. P</w:t>
      </w:r>
      <w:r w:rsidRPr="00D85A4F">
        <w:rPr>
          <w:color w:val="010101"/>
          <w:spacing w:val="-11"/>
          <w:w w:val="105"/>
        </w:rPr>
        <w:t>l</w:t>
      </w:r>
      <w:r w:rsidRPr="00D85A4F">
        <w:rPr>
          <w:w w:val="105"/>
        </w:rPr>
        <w:t>ease</w:t>
      </w:r>
      <w:r w:rsidRPr="00D85A4F">
        <w:rPr>
          <w:spacing w:val="-3"/>
          <w:w w:val="105"/>
        </w:rPr>
        <w:t xml:space="preserve"> </w:t>
      </w:r>
      <w:r w:rsidRPr="00D85A4F">
        <w:rPr>
          <w:color w:val="242B28"/>
          <w:w w:val="105"/>
        </w:rPr>
        <w:t>prov</w:t>
      </w:r>
      <w:r w:rsidRPr="00D85A4F">
        <w:rPr>
          <w:color w:val="242B28"/>
          <w:spacing w:val="-7"/>
          <w:w w:val="105"/>
        </w:rPr>
        <w:t>i</w:t>
      </w:r>
      <w:r w:rsidRPr="00D85A4F">
        <w:rPr>
          <w:color w:val="242B28"/>
          <w:w w:val="105"/>
        </w:rPr>
        <w:t>de</w:t>
      </w:r>
      <w:r w:rsidRPr="00D85A4F">
        <w:rPr>
          <w:color w:val="242B28"/>
          <w:spacing w:val="-6"/>
          <w:w w:val="105"/>
        </w:rPr>
        <w:t xml:space="preserve"> </w:t>
      </w:r>
      <w:r w:rsidRPr="00D85A4F">
        <w:rPr>
          <w:w w:val="105"/>
        </w:rPr>
        <w:t>as</w:t>
      </w:r>
      <w:r w:rsidRPr="00D85A4F">
        <w:rPr>
          <w:spacing w:val="-6"/>
          <w:w w:val="105"/>
        </w:rPr>
        <w:t xml:space="preserve"> </w:t>
      </w:r>
      <w:r w:rsidRPr="00D85A4F">
        <w:rPr>
          <w:w w:val="105"/>
        </w:rPr>
        <w:t>much</w:t>
      </w:r>
      <w:r w:rsidRPr="00D85A4F">
        <w:rPr>
          <w:spacing w:val="-4"/>
          <w:w w:val="105"/>
        </w:rPr>
        <w:t xml:space="preserve"> </w:t>
      </w:r>
      <w:r w:rsidRPr="00D85A4F">
        <w:rPr>
          <w:w w:val="105"/>
        </w:rPr>
        <w:t>of</w:t>
      </w:r>
      <w:r w:rsidRPr="00D85A4F">
        <w:rPr>
          <w:spacing w:val="-11"/>
          <w:w w:val="105"/>
        </w:rPr>
        <w:t xml:space="preserve"> </w:t>
      </w:r>
      <w:r w:rsidRPr="00D85A4F">
        <w:rPr>
          <w:spacing w:val="19"/>
          <w:w w:val="105"/>
        </w:rPr>
        <w:t>t</w:t>
      </w:r>
      <w:r w:rsidRPr="00D85A4F">
        <w:rPr>
          <w:color w:val="010101"/>
          <w:spacing w:val="-8"/>
          <w:w w:val="105"/>
        </w:rPr>
        <w:t>h</w:t>
      </w:r>
      <w:r w:rsidRPr="00D85A4F">
        <w:rPr>
          <w:spacing w:val="-20"/>
          <w:w w:val="105"/>
        </w:rPr>
        <w:t>i</w:t>
      </w:r>
      <w:r w:rsidRPr="00D85A4F">
        <w:rPr>
          <w:w w:val="105"/>
        </w:rPr>
        <w:t>s</w:t>
      </w:r>
      <w:r w:rsidRPr="00D85A4F">
        <w:rPr>
          <w:w w:val="109"/>
        </w:rPr>
        <w:t xml:space="preserve"> </w:t>
      </w:r>
      <w:r w:rsidRPr="00D85A4F">
        <w:rPr>
          <w:spacing w:val="-1"/>
          <w:w w:val="105"/>
        </w:rPr>
        <w:t>information</w:t>
      </w:r>
      <w:r w:rsidRPr="00D85A4F">
        <w:rPr>
          <w:spacing w:val="-13"/>
          <w:w w:val="105"/>
        </w:rPr>
        <w:t xml:space="preserve"> </w:t>
      </w:r>
      <w:r w:rsidRPr="00D85A4F">
        <w:rPr>
          <w:w w:val="105"/>
        </w:rPr>
        <w:t>as</w:t>
      </w:r>
      <w:r w:rsidRPr="00D85A4F">
        <w:rPr>
          <w:spacing w:val="-13"/>
          <w:w w:val="105"/>
        </w:rPr>
        <w:t xml:space="preserve"> possible.</w:t>
      </w:r>
    </w:p>
    <w:p w14:paraId="3F396AED" w14:textId="77777777" w:rsidR="00025FEB" w:rsidRPr="00D85A4F" w:rsidRDefault="00025FEB" w:rsidP="00025FEB">
      <w:pPr>
        <w:rPr>
          <w:spacing w:val="-13"/>
          <w:w w:val="105"/>
        </w:rPr>
      </w:pPr>
    </w:p>
    <w:p w14:paraId="18C7CD22" w14:textId="77777777" w:rsidR="00025FEB" w:rsidRPr="00D85A4F" w:rsidRDefault="00025FEB" w:rsidP="00025FEB">
      <w:r w:rsidRPr="00D85A4F">
        <w:t xml:space="preserve">Once </w:t>
      </w:r>
      <w:r>
        <w:t>p</w:t>
      </w:r>
      <w:r w:rsidRPr="00D85A4F">
        <w:t>olice have been notified of the absence of a special patient, the DAMHS or person acting on the authority of the DAMHS should phone the Director (or the Deputy Director)</w:t>
      </w:r>
      <w:r>
        <w:t xml:space="preserve"> to give the following information, which </w:t>
      </w:r>
      <w:r w:rsidRPr="00D85A4F">
        <w:t xml:space="preserve">should be the same information as </w:t>
      </w:r>
      <w:r>
        <w:t xml:space="preserve">that </w:t>
      </w:r>
      <w:r w:rsidRPr="00D85A4F">
        <w:t xml:space="preserve">provided to </w:t>
      </w:r>
      <w:r>
        <w:t>p</w:t>
      </w:r>
      <w:r w:rsidRPr="00D85A4F">
        <w:t>olice:</w:t>
      </w:r>
    </w:p>
    <w:p w14:paraId="44154C52" w14:textId="77777777" w:rsidR="00025FEB" w:rsidRPr="00D85A4F" w:rsidRDefault="00025FEB" w:rsidP="00025FEB">
      <w:pPr>
        <w:pStyle w:val="Bullet"/>
        <w:spacing w:line="264" w:lineRule="auto"/>
      </w:pPr>
      <w:r w:rsidRPr="00D85A4F">
        <w:t xml:space="preserve">the </w:t>
      </w:r>
      <w:r>
        <w:t>p</w:t>
      </w:r>
      <w:r w:rsidRPr="00D85A4F">
        <w:t>olice event number</w:t>
      </w:r>
    </w:p>
    <w:p w14:paraId="001DBDC2" w14:textId="77777777" w:rsidR="00025FEB" w:rsidRPr="00D85A4F" w:rsidRDefault="00025FEB" w:rsidP="00025FEB">
      <w:pPr>
        <w:pStyle w:val="Bullet"/>
        <w:spacing w:line="264" w:lineRule="auto"/>
      </w:pPr>
      <w:r w:rsidRPr="00D85A4F">
        <w:t xml:space="preserve">confirmation that any registered victims have been notified </w:t>
      </w:r>
      <w:r>
        <w:t>(and their details first checked with police)</w:t>
      </w:r>
    </w:p>
    <w:p w14:paraId="10057866" w14:textId="77777777" w:rsidR="00025FEB" w:rsidRPr="00D85A4F" w:rsidRDefault="00025FEB" w:rsidP="00025FEB">
      <w:pPr>
        <w:pStyle w:val="Bullet"/>
        <w:spacing w:line="264" w:lineRule="auto"/>
      </w:pPr>
      <w:r w:rsidRPr="00D85A4F">
        <w:t>advice on whether the patient has an up-to-date passport and an assessment of their current level of flight risk.</w:t>
      </w:r>
    </w:p>
    <w:p w14:paraId="3CE88805" w14:textId="77777777" w:rsidR="00025FEB" w:rsidRPr="00D85A4F" w:rsidRDefault="00025FEB" w:rsidP="00025FEB"/>
    <w:p w14:paraId="3FB6FB0B" w14:textId="77777777" w:rsidR="00025FEB" w:rsidRPr="00D85A4F" w:rsidRDefault="00025FEB" w:rsidP="00025FEB">
      <w:r>
        <w:t xml:space="preserve">They should follow up this call with an email giving the same information, and thereafter </w:t>
      </w:r>
      <w:r w:rsidRPr="00D85A4F">
        <w:t>keep the Director up to date (usually by a daily phone call or email), until the patient is retaken or is returned.</w:t>
      </w:r>
    </w:p>
    <w:p w14:paraId="69C9AF22" w14:textId="77777777" w:rsidR="00025FEB" w:rsidRPr="00D85A4F" w:rsidRDefault="00025FEB" w:rsidP="00025FEB"/>
    <w:p w14:paraId="795098E5" w14:textId="77777777" w:rsidR="00025FEB" w:rsidRPr="00D85A4F" w:rsidRDefault="00025FEB" w:rsidP="00025FEB">
      <w:r w:rsidRPr="00D85A4F">
        <w:t xml:space="preserve">The Director or Deputy Director will acknowledge all emails from the DAMHS and </w:t>
      </w:r>
      <w:r>
        <w:t xml:space="preserve">inform </w:t>
      </w:r>
      <w:r w:rsidRPr="00D85A4F">
        <w:t xml:space="preserve">the DAMHS of any actions </w:t>
      </w:r>
      <w:r>
        <w:t xml:space="preserve">they </w:t>
      </w:r>
      <w:r w:rsidRPr="00D85A4F">
        <w:t xml:space="preserve">take as a result. </w:t>
      </w:r>
      <w:r>
        <w:t xml:space="preserve">Such </w:t>
      </w:r>
      <w:r w:rsidRPr="00D85A4F">
        <w:t>actions may include:</w:t>
      </w:r>
    </w:p>
    <w:p w14:paraId="24067876" w14:textId="77777777" w:rsidR="00025FEB" w:rsidRPr="00D85A4F" w:rsidRDefault="00025FEB" w:rsidP="00025FEB">
      <w:pPr>
        <w:pStyle w:val="Bullet"/>
        <w:spacing w:line="264" w:lineRule="auto"/>
      </w:pPr>
      <w:r w:rsidRPr="00D85A4F">
        <w:t xml:space="preserve">checking registered victims’ details with </w:t>
      </w:r>
      <w:r>
        <w:t>p</w:t>
      </w:r>
      <w:r w:rsidRPr="00D85A4F">
        <w:t>olice</w:t>
      </w:r>
    </w:p>
    <w:p w14:paraId="274816AB" w14:textId="77777777" w:rsidR="00025FEB" w:rsidRPr="00D85A4F" w:rsidRDefault="00025FEB" w:rsidP="00025FEB">
      <w:pPr>
        <w:pStyle w:val="Bullet"/>
        <w:spacing w:line="264" w:lineRule="auto"/>
      </w:pPr>
      <w:r w:rsidRPr="00D85A4F">
        <w:t>informing the Director-General and/or the Minister’s office</w:t>
      </w:r>
    </w:p>
    <w:p w14:paraId="139A62C2" w14:textId="77777777" w:rsidR="00025FEB" w:rsidRPr="00D85A4F" w:rsidRDefault="00025FEB" w:rsidP="00025FEB">
      <w:pPr>
        <w:pStyle w:val="Bullet"/>
        <w:spacing w:line="264" w:lineRule="auto"/>
      </w:pPr>
      <w:r w:rsidRPr="00D85A4F">
        <w:t xml:space="preserve">checking that the </w:t>
      </w:r>
      <w:r>
        <w:t>RFMHS</w:t>
      </w:r>
      <w:r w:rsidRPr="00D85A4F">
        <w:t xml:space="preserve"> has a media strategy in place</w:t>
      </w:r>
    </w:p>
    <w:p w14:paraId="24CB6EA4" w14:textId="77777777" w:rsidR="00025FEB" w:rsidRPr="00D85A4F" w:rsidRDefault="00025FEB" w:rsidP="00025FEB">
      <w:pPr>
        <w:pStyle w:val="Bullet"/>
        <w:spacing w:line="264" w:lineRule="auto"/>
      </w:pPr>
      <w:r w:rsidRPr="00D85A4F">
        <w:t>advising the Ministry of Health’s media team</w:t>
      </w:r>
    </w:p>
    <w:p w14:paraId="2B604BF7" w14:textId="77777777" w:rsidR="00025FEB" w:rsidRPr="00D85A4F" w:rsidRDefault="00025FEB" w:rsidP="00025FEB">
      <w:pPr>
        <w:pStyle w:val="Bullet"/>
        <w:spacing w:line="264" w:lineRule="auto"/>
      </w:pPr>
      <w:r w:rsidRPr="00D85A4F">
        <w:t>assisting with the emergency overseas border alert if required</w:t>
      </w:r>
    </w:p>
    <w:p w14:paraId="284F1A06" w14:textId="77777777" w:rsidR="00025FEB" w:rsidRPr="00D85A4F" w:rsidRDefault="00025FEB" w:rsidP="00025FEB">
      <w:pPr>
        <w:pStyle w:val="Bullet"/>
        <w:spacing w:line="264" w:lineRule="auto"/>
      </w:pPr>
      <w:r w:rsidRPr="00D85A4F">
        <w:lastRenderedPageBreak/>
        <w:t xml:space="preserve">requesting that the </w:t>
      </w:r>
      <w:r w:rsidRPr="004205D3">
        <w:t>Department of Internal Affairs</w:t>
      </w:r>
      <w:r w:rsidRPr="00D85A4F">
        <w:t xml:space="preserve"> invalidate any passport held for </w:t>
      </w:r>
      <w:r>
        <w:t>the</w:t>
      </w:r>
      <w:r w:rsidRPr="00D85A4F">
        <w:t xml:space="preserve"> special patient and asking that the Office of the Director be informed if an application is received from that special patient.</w:t>
      </w:r>
    </w:p>
    <w:p w14:paraId="7DA6231B" w14:textId="77777777" w:rsidR="00025FEB" w:rsidRPr="00D85A4F" w:rsidRDefault="00025FEB" w:rsidP="00025FEB"/>
    <w:p w14:paraId="699DB539" w14:textId="77777777" w:rsidR="00025FEB" w:rsidRPr="00D85A4F" w:rsidRDefault="00025FEB" w:rsidP="00025FEB">
      <w:r w:rsidRPr="00D85A4F">
        <w:t>The Director may also arrange for further emergency measures if the special patient is a foreign national by informing the New Zealand Ministry of Foreign Affairs and Trade (MFAT) and/or the</w:t>
      </w:r>
      <w:r>
        <w:t xml:space="preserve"> New Zealand</w:t>
      </w:r>
      <w:r w:rsidRPr="00D85A4F">
        <w:t xml:space="preserve"> Police</w:t>
      </w:r>
      <w:r>
        <w:t xml:space="preserve"> Diplomatic</w:t>
      </w:r>
      <w:r w:rsidRPr="00D85A4F">
        <w:t xml:space="preserve"> Protection Services Wellington </w:t>
      </w:r>
      <w:r>
        <w:t>d</w:t>
      </w:r>
      <w:r w:rsidRPr="00D85A4F">
        <w:t xml:space="preserve">uty </w:t>
      </w:r>
      <w:r>
        <w:t>o</w:t>
      </w:r>
      <w:r w:rsidRPr="00D85A4F">
        <w:t>fficer and an embassy/consulate.</w:t>
      </w:r>
    </w:p>
    <w:p w14:paraId="623E33A1" w14:textId="77777777" w:rsidR="00025FEB" w:rsidRPr="00D85A4F" w:rsidRDefault="00025FEB" w:rsidP="00025FEB">
      <w:pPr>
        <w:pStyle w:val="Heading2"/>
      </w:pPr>
      <w:bookmarkStart w:id="128" w:name="_Toc83197073"/>
      <w:bookmarkStart w:id="129" w:name="_Toc112845458"/>
      <w:bookmarkStart w:id="130" w:name="_Toc112862062"/>
      <w:bookmarkStart w:id="131" w:name="_Toc116484603"/>
      <w:r w:rsidRPr="00D85A4F">
        <w:t>Return of special patient</w:t>
      </w:r>
      <w:bookmarkEnd w:id="128"/>
      <w:bookmarkEnd w:id="129"/>
      <w:bookmarkEnd w:id="130"/>
      <w:bookmarkEnd w:id="131"/>
    </w:p>
    <w:p w14:paraId="074FA539" w14:textId="77777777" w:rsidR="00025FEB" w:rsidRPr="00D85A4F" w:rsidRDefault="00025FEB" w:rsidP="00025FEB">
      <w:r>
        <w:t>When a special patient returns, i</w:t>
      </w:r>
      <w:r w:rsidRPr="00D85A4F">
        <w:t xml:space="preserve">rrespective of the circumstances, the </w:t>
      </w:r>
      <w:r>
        <w:t xml:space="preserve">DAMHS or a delegated staff member needs to take the </w:t>
      </w:r>
      <w:r w:rsidRPr="00D85A4F">
        <w:t xml:space="preserve">following actions so that the </w:t>
      </w:r>
      <w:r>
        <w:t>p</w:t>
      </w:r>
      <w:r w:rsidRPr="00D85A4F">
        <w:t xml:space="preserve">olice can be stood down and the overseas border alert removed. The DAMHS or their delegated staff member should call the main </w:t>
      </w:r>
      <w:r>
        <w:t>p</w:t>
      </w:r>
      <w:r w:rsidRPr="00D85A4F">
        <w:t>olice liaison point and provide the following information:</w:t>
      </w:r>
    </w:p>
    <w:p w14:paraId="1582273E" w14:textId="77777777" w:rsidR="00025FEB" w:rsidRPr="00D85A4F" w:rsidRDefault="00025FEB" w:rsidP="00025FEB">
      <w:pPr>
        <w:pStyle w:val="Bullet"/>
        <w:spacing w:line="264" w:lineRule="auto"/>
      </w:pPr>
      <w:r w:rsidRPr="00D85A4F">
        <w:t xml:space="preserve">the </w:t>
      </w:r>
      <w:r>
        <w:t>p</w:t>
      </w:r>
      <w:r w:rsidRPr="00D85A4F">
        <w:t>olice event number</w:t>
      </w:r>
    </w:p>
    <w:p w14:paraId="3D283D75" w14:textId="77777777" w:rsidR="00025FEB" w:rsidRPr="00D85A4F" w:rsidRDefault="00025FEB" w:rsidP="00025FEB">
      <w:pPr>
        <w:pStyle w:val="Bullet"/>
        <w:spacing w:line="264" w:lineRule="auto"/>
      </w:pPr>
      <w:r>
        <w:t xml:space="preserve">the </w:t>
      </w:r>
      <w:r w:rsidRPr="00D85A4F">
        <w:t>special patient’s full name and date of birth</w:t>
      </w:r>
    </w:p>
    <w:p w14:paraId="4BCA735E" w14:textId="77777777" w:rsidR="00025FEB" w:rsidRPr="00D85A4F" w:rsidRDefault="00025FEB" w:rsidP="00025FEB">
      <w:pPr>
        <w:pStyle w:val="Bullet"/>
        <w:spacing w:line="264" w:lineRule="auto"/>
      </w:pPr>
      <w:r w:rsidRPr="00D85A4F">
        <w:t>details of where and when the missing special patient was located</w:t>
      </w:r>
    </w:p>
    <w:p w14:paraId="30B8AA07" w14:textId="77777777" w:rsidR="00025FEB" w:rsidRPr="00D85A4F" w:rsidRDefault="00025FEB" w:rsidP="00025FEB">
      <w:pPr>
        <w:pStyle w:val="Bullet"/>
        <w:spacing w:line="264" w:lineRule="auto"/>
      </w:pPr>
      <w:r w:rsidRPr="00D85A4F">
        <w:t>details of the patient’s return</w:t>
      </w:r>
    </w:p>
    <w:p w14:paraId="375F8FF5" w14:textId="77777777" w:rsidR="00025FEB" w:rsidRPr="00D85A4F" w:rsidRDefault="00025FEB" w:rsidP="00025FEB">
      <w:pPr>
        <w:pStyle w:val="Bullet"/>
        <w:spacing w:line="264" w:lineRule="auto"/>
      </w:pPr>
      <w:r w:rsidRPr="00D85A4F">
        <w:t>information that may be useful in case there is a future event.</w:t>
      </w:r>
    </w:p>
    <w:p w14:paraId="6822736E" w14:textId="77777777" w:rsidR="00025FEB" w:rsidRPr="00D85A4F" w:rsidRDefault="00025FEB" w:rsidP="00025FEB"/>
    <w:p w14:paraId="0CB34377" w14:textId="77777777" w:rsidR="00025FEB" w:rsidRPr="00D85A4F" w:rsidRDefault="00025FEB" w:rsidP="00025FEB">
      <w:r w:rsidRPr="00D85A4F">
        <w:t xml:space="preserve">The DAMHS should also inform any registered victims and the patient’s family and </w:t>
      </w:r>
      <w:proofErr w:type="spellStart"/>
      <w:r w:rsidRPr="00D85A4F">
        <w:t>whānau</w:t>
      </w:r>
      <w:proofErr w:type="spellEnd"/>
      <w:r w:rsidRPr="00D85A4F">
        <w:t xml:space="preserve"> that the patient has returned to the </w:t>
      </w:r>
      <w:proofErr w:type="gramStart"/>
      <w:r w:rsidRPr="00D85A4F">
        <w:t>facility</w:t>
      </w:r>
      <w:r>
        <w:t>, and</w:t>
      </w:r>
      <w:proofErr w:type="gramEnd"/>
      <w:r>
        <w:t xml:space="preserve"> take steps to remove t</w:t>
      </w:r>
      <w:r w:rsidRPr="00D85A4F">
        <w:t>he emergency overseas border alert</w:t>
      </w:r>
      <w:r>
        <w:t xml:space="preserve"> by contacting the </w:t>
      </w:r>
      <w:r w:rsidRPr="00D409D4">
        <w:t>Customs’ Integrated Targeting and Operations Centre (ITOC) on 0508 ITOC OPS (0508 4862 677)</w:t>
      </w:r>
      <w:r w:rsidRPr="00D85A4F">
        <w:t>.</w:t>
      </w:r>
    </w:p>
    <w:p w14:paraId="542FF369" w14:textId="77777777" w:rsidR="00025FEB" w:rsidRPr="00D85A4F" w:rsidRDefault="00025FEB" w:rsidP="00025FEB"/>
    <w:p w14:paraId="4E99F26A" w14:textId="77777777" w:rsidR="00025FEB" w:rsidRPr="00D85A4F" w:rsidRDefault="00025FEB" w:rsidP="00025FEB">
      <w:r w:rsidRPr="00D85A4F">
        <w:t>The Director will ensure that the Director-General and the Minister’s office are advised of the patient’s return and remove any emergency passport measures. The Director will also inform the Ministry’s media team and MFAT. If a standard overseas border alert is needed to replace an emergency alert,</w:t>
      </w:r>
      <w:r>
        <w:t xml:space="preserve"> the Office of the Director</w:t>
      </w:r>
      <w:r w:rsidRPr="00D85A4F">
        <w:t xml:space="preserve"> will place</w:t>
      </w:r>
      <w:r>
        <w:t xml:space="preserve"> it</w:t>
      </w:r>
      <w:r w:rsidRPr="00D85A4F">
        <w:t>.</w:t>
      </w:r>
    </w:p>
    <w:p w14:paraId="02F59C3C" w14:textId="77777777" w:rsidR="00025FEB" w:rsidRPr="00D85A4F" w:rsidRDefault="00025FEB" w:rsidP="00025FEB"/>
    <w:p w14:paraId="23776777" w14:textId="77777777" w:rsidR="00025FEB" w:rsidRPr="00D85A4F" w:rsidRDefault="00025FEB" w:rsidP="00025FEB">
      <w:r w:rsidRPr="00D85A4F">
        <w:t xml:space="preserve">Following the immediate response, the DAMHS should provide the Director with </w:t>
      </w:r>
      <w:proofErr w:type="gramStart"/>
      <w:r w:rsidRPr="00D85A4F">
        <w:t>a reportable events</w:t>
      </w:r>
      <w:proofErr w:type="gramEnd"/>
      <w:r w:rsidRPr="00D85A4F">
        <w:t xml:space="preserve"> form and, in due course, with the findings of </w:t>
      </w:r>
      <w:r>
        <w:t xml:space="preserve">any </w:t>
      </w:r>
      <w:r w:rsidRPr="00D85A4F">
        <w:t xml:space="preserve">internal </w:t>
      </w:r>
      <w:r>
        <w:t xml:space="preserve">or external </w:t>
      </w:r>
      <w:r w:rsidRPr="00D85A4F">
        <w:t>review</w:t>
      </w:r>
      <w:r>
        <w:t>.</w:t>
      </w:r>
      <w:r w:rsidRPr="00D85A4F">
        <w:t xml:space="preserve"> </w:t>
      </w:r>
    </w:p>
    <w:p w14:paraId="36C90684" w14:textId="77777777" w:rsidR="00025FEB" w:rsidRDefault="00025FEB" w:rsidP="00025FEB">
      <w:pPr>
        <w:sectPr w:rsidR="00025FEB" w:rsidSect="00856460">
          <w:pgSz w:w="11907" w:h="16834" w:code="9"/>
          <w:pgMar w:top="1418" w:right="1701" w:bottom="1134" w:left="1843" w:header="284" w:footer="425" w:gutter="284"/>
          <w:cols w:space="720"/>
        </w:sectPr>
      </w:pPr>
    </w:p>
    <w:p w14:paraId="590BCEF7" w14:textId="77777777" w:rsidR="00025FEB" w:rsidRPr="00D85A4F" w:rsidRDefault="00025FEB" w:rsidP="00025FEB">
      <w:pPr>
        <w:pStyle w:val="Heading1"/>
        <w:rPr>
          <w:rFonts w:eastAsia="Calibri"/>
        </w:rPr>
      </w:pPr>
      <w:bookmarkStart w:id="132" w:name="_Toc112862063"/>
      <w:bookmarkStart w:id="133" w:name="_Toc116484604"/>
      <w:r w:rsidRPr="00D85A4F">
        <w:rPr>
          <w:rFonts w:eastAsia="Calibri"/>
        </w:rPr>
        <w:lastRenderedPageBreak/>
        <w:t xml:space="preserve">Leave under section 50 of the </w:t>
      </w:r>
      <w:r>
        <w:rPr>
          <w:rFonts w:eastAsia="Calibri"/>
        </w:rPr>
        <w:t>Mental Health Act</w:t>
      </w:r>
      <w:r w:rsidRPr="00D85A4F">
        <w:rPr>
          <w:rFonts w:eastAsia="Calibri"/>
        </w:rPr>
        <w:t>: ‘ministerial long leave’</w:t>
      </w:r>
      <w:bookmarkEnd w:id="132"/>
      <w:bookmarkEnd w:id="133"/>
    </w:p>
    <w:p w14:paraId="350FD1D7" w14:textId="77777777" w:rsidR="00025FEB" w:rsidRPr="00D85A4F" w:rsidRDefault="00025FEB" w:rsidP="00025FEB">
      <w:r w:rsidRPr="00D85A4F">
        <w:t xml:space="preserve">Section 50 of the </w:t>
      </w:r>
      <w:r>
        <w:t>Mental Health Act</w:t>
      </w:r>
      <w:r w:rsidRPr="00D85A4F">
        <w:t xml:space="preserve"> enables the Minister to grant specific periods of ‘long leave’ to persons detained in a hospital as a special patient:</w:t>
      </w:r>
    </w:p>
    <w:p w14:paraId="3AF20577" w14:textId="77777777" w:rsidR="00025FEB" w:rsidRPr="00D85A4F" w:rsidRDefault="00025FEB" w:rsidP="00025FEB">
      <w:pPr>
        <w:pStyle w:val="Bullet"/>
        <w:spacing w:line="264" w:lineRule="auto"/>
      </w:pPr>
      <w:r w:rsidRPr="00D85A4F">
        <w:t>acquitted on account of insanity</w:t>
      </w:r>
    </w:p>
    <w:p w14:paraId="71C87055" w14:textId="77777777" w:rsidR="00025FEB" w:rsidRPr="00D85A4F" w:rsidRDefault="00025FEB" w:rsidP="00025FEB">
      <w:pPr>
        <w:pStyle w:val="Bullet"/>
        <w:spacing w:line="264" w:lineRule="auto"/>
      </w:pPr>
      <w:r w:rsidRPr="00D85A4F">
        <w:t>pursuant to section 34(1)(a)(</w:t>
      </w:r>
      <w:proofErr w:type="spellStart"/>
      <w:r w:rsidRPr="00D85A4F">
        <w:t>i</w:t>
      </w:r>
      <w:proofErr w:type="spellEnd"/>
      <w:r w:rsidRPr="00D85A4F">
        <w:t xml:space="preserve">) of the CP(MIP) Act </w:t>
      </w:r>
    </w:p>
    <w:p w14:paraId="318A5F5F" w14:textId="77777777" w:rsidR="00025FEB" w:rsidRPr="00D85A4F" w:rsidRDefault="00025FEB" w:rsidP="00025FEB">
      <w:pPr>
        <w:pStyle w:val="Bullet"/>
        <w:spacing w:line="264" w:lineRule="auto"/>
      </w:pPr>
      <w:r w:rsidRPr="00D85A4F">
        <w:t>pursuant to an order made under section 45</w:t>
      </w:r>
      <w:r>
        <w:t xml:space="preserve"> of the Mental Health Act</w:t>
      </w:r>
    </w:p>
    <w:p w14:paraId="247987F8" w14:textId="77777777" w:rsidR="00025FEB" w:rsidRPr="00D85A4F" w:rsidRDefault="00025FEB" w:rsidP="00025FEB">
      <w:pPr>
        <w:pStyle w:val="Bullet"/>
        <w:spacing w:line="264" w:lineRule="auto"/>
      </w:pPr>
      <w:r w:rsidRPr="00D85A4F">
        <w:t xml:space="preserve">pursuant to section 46 of the </w:t>
      </w:r>
      <w:r>
        <w:t>Mental Health Act.</w:t>
      </w:r>
    </w:p>
    <w:p w14:paraId="6562015E" w14:textId="77777777" w:rsidR="00025FEB" w:rsidRPr="00D85A4F" w:rsidRDefault="00025FEB" w:rsidP="00025FEB"/>
    <w:p w14:paraId="7BDB6FE7" w14:textId="77777777" w:rsidR="00025FEB" w:rsidRPr="00D85A4F" w:rsidRDefault="00025FEB" w:rsidP="00025FEB">
      <w:r w:rsidRPr="00D85A4F">
        <w:t xml:space="preserve">Some special patients pursuant to section 45 or 46 will not be eligible for ministerial long leave under section 50(2) of the </w:t>
      </w:r>
      <w:r>
        <w:t>Mental Health Act</w:t>
      </w:r>
      <w:r w:rsidRPr="00D85A4F">
        <w:t>. The power to grant leave under this section shall not be exercised in respect of any person who</w:t>
      </w:r>
      <w:r>
        <w:t>:</w:t>
      </w:r>
    </w:p>
    <w:p w14:paraId="2C60DB51" w14:textId="77777777" w:rsidR="00025FEB" w:rsidRPr="00D85A4F" w:rsidRDefault="00025FEB" w:rsidP="00025FEB">
      <w:pPr>
        <w:pStyle w:val="Bullet"/>
        <w:spacing w:line="264" w:lineRule="auto"/>
      </w:pPr>
      <w:r w:rsidRPr="00D85A4F">
        <w:t>was</w:t>
      </w:r>
      <w:r>
        <w:t>,</w:t>
      </w:r>
      <w:r w:rsidRPr="00D85A4F">
        <w:t xml:space="preserve"> immediately before </w:t>
      </w:r>
      <w:r>
        <w:t xml:space="preserve">their </w:t>
      </w:r>
      <w:r w:rsidRPr="00D85A4F">
        <w:t xml:space="preserve">admission to the hospital, detained in a prison while awaiting or </w:t>
      </w:r>
      <w:proofErr w:type="gramStart"/>
      <w:r w:rsidRPr="00D85A4F">
        <w:t>during the course of</w:t>
      </w:r>
      <w:proofErr w:type="gramEnd"/>
      <w:r w:rsidRPr="00D85A4F">
        <w:t xml:space="preserve"> a trial or hearing before any court or while awaiting sentence by any court or pending the determination of any appeal to any court against conviction</w:t>
      </w:r>
    </w:p>
    <w:p w14:paraId="1ACA8992" w14:textId="77777777" w:rsidR="00025FEB" w:rsidRPr="00D85A4F" w:rsidRDefault="00025FEB" w:rsidP="00025FEB">
      <w:pPr>
        <w:pStyle w:val="Bullet"/>
        <w:spacing w:line="264" w:lineRule="auto"/>
      </w:pPr>
      <w:r w:rsidRPr="00D85A4F">
        <w:t xml:space="preserve">is subject to a sentence of imprisonment for life or to a sentence of preventive detention. </w:t>
      </w:r>
    </w:p>
    <w:p w14:paraId="670C6307" w14:textId="77777777" w:rsidR="00025FEB" w:rsidRPr="00D85A4F" w:rsidRDefault="00025FEB" w:rsidP="00025FEB">
      <w:pPr>
        <w:pStyle w:val="Bullet"/>
        <w:numPr>
          <w:ilvl w:val="0"/>
          <w:numId w:val="0"/>
        </w:numPr>
        <w:ind w:left="284"/>
      </w:pPr>
    </w:p>
    <w:p w14:paraId="613FFE33" w14:textId="77777777" w:rsidR="00025FEB" w:rsidRPr="00D85A4F" w:rsidRDefault="00025FEB" w:rsidP="00025FEB">
      <w:r w:rsidRPr="00D85A4F">
        <w:t xml:space="preserve">The Minister may only grant long leave if two medical practitioners have certified that the special patient is fit to be allowed to be absent from the hospital. </w:t>
      </w:r>
    </w:p>
    <w:p w14:paraId="6F07D1A0" w14:textId="77777777" w:rsidR="00025FEB" w:rsidRPr="00D85A4F" w:rsidRDefault="00025FEB" w:rsidP="00025FEB"/>
    <w:p w14:paraId="1A01E4EF" w14:textId="77777777" w:rsidR="00025FEB" w:rsidRPr="00D85A4F" w:rsidRDefault="00025FEB" w:rsidP="00025FEB">
      <w:r w:rsidRPr="00D85A4F">
        <w:t xml:space="preserve">The </w:t>
      </w:r>
      <w:r>
        <w:t xml:space="preserve">most recent SPRP report should identify the </w:t>
      </w:r>
      <w:r w:rsidRPr="00D85A4F">
        <w:t xml:space="preserve">patient’s suitability for long leave. </w:t>
      </w:r>
    </w:p>
    <w:p w14:paraId="55B85766" w14:textId="77777777" w:rsidR="00025FEB" w:rsidRPr="00D85A4F" w:rsidRDefault="00025FEB" w:rsidP="00025FEB"/>
    <w:p w14:paraId="1BFDD533" w14:textId="77777777" w:rsidR="00025FEB" w:rsidRPr="00D85A4F" w:rsidRDefault="00025FEB" w:rsidP="00025FEB">
      <w:r w:rsidRPr="00D85A4F">
        <w:t xml:space="preserve">The Minister may grant long leave on such conditions as the </w:t>
      </w:r>
      <w:r>
        <w:t xml:space="preserve">they </w:t>
      </w:r>
      <w:r w:rsidRPr="00D85A4F">
        <w:t>think fit, including (at the Minister's discretion) a condition that the person will return to the hospital on such a date or within such period as the Minister may specify.</w:t>
      </w:r>
    </w:p>
    <w:p w14:paraId="73E8C3A4" w14:textId="77777777" w:rsidR="00025FEB" w:rsidRPr="00D85A4F" w:rsidRDefault="00025FEB" w:rsidP="00025FEB">
      <w:pPr>
        <w:rPr>
          <w:color w:val="000000"/>
          <w:sz w:val="25"/>
          <w:szCs w:val="25"/>
          <w:shd w:val="clear" w:color="auto" w:fill="FFFFFF"/>
        </w:rPr>
      </w:pPr>
    </w:p>
    <w:p w14:paraId="43A65AAC" w14:textId="77777777" w:rsidR="00025FEB" w:rsidRPr="00D85A4F" w:rsidRDefault="00025FEB" w:rsidP="00025FEB">
      <w:r w:rsidRPr="00D85A4F">
        <w:t xml:space="preserve">Special patients on remand are not eligible for long leave (section 50(2) </w:t>
      </w:r>
      <w:r>
        <w:t>of the Mental Health Act</w:t>
      </w:r>
      <w:r w:rsidRPr="00D85A4F">
        <w:t>).</w:t>
      </w:r>
    </w:p>
    <w:p w14:paraId="5FF14822" w14:textId="77777777" w:rsidR="00025FEB" w:rsidRPr="00D85A4F" w:rsidRDefault="00025FEB" w:rsidP="00025FEB"/>
    <w:p w14:paraId="46691D6A" w14:textId="77777777" w:rsidR="00025FEB" w:rsidRPr="00D85A4F" w:rsidRDefault="00025FEB" w:rsidP="00025FEB">
      <w:r w:rsidRPr="00D85A4F">
        <w:lastRenderedPageBreak/>
        <w:t>The conditions imposed by the Minister on special patients granted ministerial long leave have tended to be somewhat generic. In seeking ministerial long leave</w:t>
      </w:r>
      <w:r>
        <w:t>,</w:t>
      </w:r>
      <w:r w:rsidRPr="00D85A4F">
        <w:t xml:space="preserve"> it may be of value to the patient and their responsible clinician </w:t>
      </w:r>
      <w:r>
        <w:t xml:space="preserve">if the application for leave </w:t>
      </w:r>
      <w:proofErr w:type="gramStart"/>
      <w:r>
        <w:t xml:space="preserve">gives </w:t>
      </w:r>
      <w:r w:rsidRPr="00D85A4F">
        <w:t>consideration to</w:t>
      </w:r>
      <w:proofErr w:type="gramEnd"/>
      <w:r w:rsidRPr="00D85A4F">
        <w:t xml:space="preserve"> including </w:t>
      </w:r>
      <w:r>
        <w:t xml:space="preserve">specific </w:t>
      </w:r>
      <w:r w:rsidRPr="00D85A4F">
        <w:t>conditions that are relevant to the individual patient (</w:t>
      </w:r>
      <w:r>
        <w:t>for example</w:t>
      </w:r>
      <w:r w:rsidRPr="00D85A4F">
        <w:t>, contact with victims).</w:t>
      </w:r>
      <w:r>
        <w:t xml:space="preserve"> The responsible clinician should inform the patient about the conditions prior to beginning their leave (ideally in writing).  </w:t>
      </w:r>
    </w:p>
    <w:p w14:paraId="499A35E9" w14:textId="77777777" w:rsidR="00025FEB" w:rsidRPr="00D85A4F" w:rsidRDefault="00025FEB" w:rsidP="00025FEB"/>
    <w:p w14:paraId="3C1313A5" w14:textId="669AD9E5" w:rsidR="00025FEB" w:rsidRPr="00D85A4F" w:rsidRDefault="00025FEB" w:rsidP="00025FEB">
      <w:pPr>
        <w:pStyle w:val="Table"/>
      </w:pPr>
      <w:bookmarkStart w:id="134" w:name="_Toc445803206"/>
      <w:bookmarkStart w:id="135" w:name="_Toc83191233"/>
      <w:bookmarkStart w:id="136" w:name="_Toc111810263"/>
      <w:bookmarkStart w:id="137" w:name="_Toc112861581"/>
      <w:bookmarkStart w:id="138" w:name="_Toc116484641"/>
      <w:r>
        <w:t xml:space="preserve">Table </w:t>
      </w:r>
      <w:r>
        <w:fldChar w:fldCharType="begin"/>
      </w:r>
      <w:r>
        <w:instrText>SEQ Table \* ARABIC</w:instrText>
      </w:r>
      <w:r>
        <w:fldChar w:fldCharType="separate"/>
      </w:r>
      <w:r w:rsidR="00F25175">
        <w:rPr>
          <w:noProof/>
        </w:rPr>
        <w:t>8</w:t>
      </w:r>
      <w:r>
        <w:fldChar w:fldCharType="end"/>
      </w:r>
      <w:r>
        <w:t xml:space="preserve">: </w:t>
      </w:r>
      <w:r w:rsidRPr="00D85A4F">
        <w:t>Information in support of applications for ministerial long leave</w:t>
      </w:r>
      <w:bookmarkEnd w:id="134"/>
      <w:bookmarkEnd w:id="135"/>
      <w:bookmarkEnd w:id="136"/>
      <w:bookmarkEnd w:id="137"/>
      <w:bookmarkEnd w:id="138"/>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139F3A71"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42E57F47" w14:textId="77777777" w:rsidR="00025FEB" w:rsidRPr="00DC20BD" w:rsidRDefault="00025FEB" w:rsidP="00AD0359">
            <w:pPr>
              <w:pStyle w:val="TableT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79509491" w14:textId="77777777" w:rsidR="00025FEB" w:rsidRPr="00D85A4F" w:rsidRDefault="00025FEB" w:rsidP="00AD0359">
            <w:pPr>
              <w:pStyle w:val="TableText"/>
            </w:pPr>
            <w:r w:rsidRPr="00D85A4F">
              <w:t>A letter from the responsible clinician, including:</w:t>
            </w:r>
          </w:p>
          <w:p w14:paraId="23606D59" w14:textId="77777777" w:rsidR="00025FEB" w:rsidRPr="00D85A4F" w:rsidRDefault="00025FEB" w:rsidP="00025FEB">
            <w:pPr>
              <w:pStyle w:val="TableBullet"/>
              <w:spacing w:line="264" w:lineRule="auto"/>
            </w:pPr>
            <w:r w:rsidRPr="00D85A4F">
              <w:t>the patient’s legal status</w:t>
            </w:r>
          </w:p>
          <w:p w14:paraId="454FADBF" w14:textId="77777777" w:rsidR="00025FEB" w:rsidRPr="00D85A4F" w:rsidRDefault="00025FEB" w:rsidP="00025FEB">
            <w:pPr>
              <w:pStyle w:val="TableBullet"/>
              <w:spacing w:line="264" w:lineRule="auto"/>
            </w:pPr>
            <w:r w:rsidRPr="00D85A4F">
              <w:t>a current mental state assessment, including compliance with treatment</w:t>
            </w:r>
          </w:p>
          <w:p w14:paraId="1CC95DFE" w14:textId="77777777" w:rsidR="00025FEB" w:rsidRPr="00D85A4F" w:rsidRDefault="00025FEB" w:rsidP="00025FEB">
            <w:pPr>
              <w:pStyle w:val="TableBullet"/>
              <w:spacing w:line="264" w:lineRule="auto"/>
            </w:pPr>
            <w:r w:rsidRPr="00D85A4F">
              <w:t>justification of the leave request</w:t>
            </w:r>
          </w:p>
          <w:p w14:paraId="7427986F" w14:textId="77777777" w:rsidR="00025FEB" w:rsidRPr="00D85A4F" w:rsidRDefault="00025FEB" w:rsidP="00025FEB">
            <w:pPr>
              <w:pStyle w:val="TableBullet"/>
              <w:spacing w:line="264" w:lineRule="auto"/>
            </w:pPr>
            <w:r w:rsidRPr="00D85A4F">
              <w:t>a risk assessment and management plan for the patient while on leave, including flight risk</w:t>
            </w:r>
          </w:p>
          <w:p w14:paraId="2E0FDF40" w14:textId="77777777" w:rsidR="00025FEB" w:rsidRPr="00D85A4F" w:rsidRDefault="00025FEB" w:rsidP="00025FEB">
            <w:pPr>
              <w:pStyle w:val="TableBullet"/>
              <w:spacing w:line="264" w:lineRule="auto"/>
            </w:pPr>
            <w:r w:rsidRPr="00D85A4F">
              <w:t xml:space="preserve">an overview of the patient’s recovery plan </w:t>
            </w:r>
          </w:p>
          <w:p w14:paraId="31F456B8" w14:textId="77777777" w:rsidR="00025FEB" w:rsidRPr="00D85A4F" w:rsidRDefault="00025FEB" w:rsidP="00025FEB">
            <w:pPr>
              <w:pStyle w:val="TableBullet"/>
              <w:spacing w:line="264" w:lineRule="auto"/>
            </w:pPr>
            <w:r w:rsidRPr="00D85A4F">
              <w:t>advice of any critical incidents, including possession of weapons, drugs or other prohibited material, and the management of that incident</w:t>
            </w:r>
          </w:p>
          <w:p w14:paraId="05AF9ABA" w14:textId="77777777" w:rsidR="00025FEB" w:rsidRPr="00D85A4F" w:rsidRDefault="00025FEB" w:rsidP="00025FEB">
            <w:pPr>
              <w:pStyle w:val="TableBullet"/>
              <w:spacing w:line="264" w:lineRule="auto"/>
            </w:pPr>
            <w:r w:rsidRPr="00D85A4F">
              <w:t>advice on whether the patient has used or is likely to use psychoactive substances</w:t>
            </w:r>
          </w:p>
          <w:p w14:paraId="3CCF88CB" w14:textId="77777777" w:rsidR="00025FEB" w:rsidRPr="00D85A4F" w:rsidRDefault="00025FEB" w:rsidP="00025FEB">
            <w:pPr>
              <w:pStyle w:val="TableBullet"/>
              <w:spacing w:line="264" w:lineRule="auto"/>
            </w:pPr>
            <w:r w:rsidRPr="00D85A4F">
              <w:t>the proposed conditions of leave</w:t>
            </w:r>
          </w:p>
          <w:p w14:paraId="00BFA892" w14:textId="77777777" w:rsidR="00025FEB" w:rsidRPr="00D85A4F" w:rsidRDefault="00025FEB" w:rsidP="00025FEB">
            <w:pPr>
              <w:pStyle w:val="TableBullet"/>
              <w:spacing w:line="264" w:lineRule="auto"/>
            </w:pPr>
            <w:r w:rsidRPr="00D85A4F">
              <w:t xml:space="preserve">a certificate, signed by two medical practitioners, stating that the patient is fit to be allowed to be absent from hospital (section 50(1) </w:t>
            </w:r>
            <w:r>
              <w:t>of the Mental Health Act</w:t>
            </w:r>
            <w:r w:rsidRPr="00D85A4F">
              <w:t>)</w:t>
            </w:r>
          </w:p>
          <w:p w14:paraId="53B28DD4" w14:textId="77777777" w:rsidR="00025FEB" w:rsidRPr="00D85A4F" w:rsidRDefault="00025FEB" w:rsidP="00025FEB">
            <w:pPr>
              <w:pStyle w:val="TableBullet"/>
              <w:spacing w:line="264" w:lineRule="auto"/>
            </w:pPr>
            <w:r w:rsidRPr="00D85A4F">
              <w:t xml:space="preserve">a second opinion (or a recent SPRP report) supporting the leave </w:t>
            </w:r>
          </w:p>
          <w:p w14:paraId="03F7DEFA" w14:textId="77777777" w:rsidR="00025FEB" w:rsidRPr="00D85A4F" w:rsidRDefault="00025FEB" w:rsidP="00025FEB">
            <w:pPr>
              <w:pStyle w:val="TableBullet"/>
              <w:spacing w:line="264" w:lineRule="auto"/>
            </w:pPr>
            <w:r w:rsidRPr="00D85A4F">
              <w:t>an indication of support from the DAMHS for the proposed leave</w:t>
            </w:r>
          </w:p>
          <w:p w14:paraId="5731DD68" w14:textId="77777777" w:rsidR="00025FEB" w:rsidRPr="00D85A4F" w:rsidRDefault="00025FEB" w:rsidP="00025FEB">
            <w:pPr>
              <w:pStyle w:val="TableBullet"/>
              <w:spacing w:line="264" w:lineRule="auto"/>
            </w:pPr>
            <w:r w:rsidRPr="00D85A4F">
              <w:t>comment on matters concerning the offending (</w:t>
            </w:r>
            <w:r>
              <w:t>for example</w:t>
            </w:r>
            <w:r w:rsidRPr="00D85A4F">
              <w:t>, insight into the offending, relationship with victims)</w:t>
            </w:r>
          </w:p>
          <w:p w14:paraId="2F07CEA7" w14:textId="77777777" w:rsidR="00025FEB" w:rsidRPr="00D85A4F" w:rsidRDefault="00025FEB" w:rsidP="00025FEB">
            <w:pPr>
              <w:pStyle w:val="TableBullet"/>
              <w:spacing w:line="264" w:lineRule="auto"/>
            </w:pPr>
            <w:r w:rsidRPr="00D85A4F">
              <w:t>comment on matters relating to the risk presented by the patient, particularly in relation to victims of previous offending</w:t>
            </w:r>
          </w:p>
          <w:p w14:paraId="598F9769" w14:textId="77777777" w:rsidR="00025FEB" w:rsidRPr="00D85A4F" w:rsidRDefault="00025FEB" w:rsidP="00025FEB">
            <w:pPr>
              <w:pStyle w:val="TableBullet"/>
              <w:spacing w:line="264" w:lineRule="auto"/>
            </w:pPr>
            <w:r w:rsidRPr="00D85A4F">
              <w:t xml:space="preserve">what </w:t>
            </w:r>
            <w:proofErr w:type="spellStart"/>
            <w:r w:rsidRPr="00D85A4F">
              <w:t>wh</w:t>
            </w:r>
            <w:r w:rsidRPr="00D85A4F">
              <w:rPr>
                <w:rFonts w:cs="Arial"/>
              </w:rPr>
              <w:t>ā</w:t>
            </w:r>
            <w:r w:rsidRPr="00D85A4F">
              <w:t>nau</w:t>
            </w:r>
            <w:proofErr w:type="spellEnd"/>
            <w:r w:rsidRPr="00D85A4F">
              <w:t xml:space="preserve"> support is available</w:t>
            </w:r>
          </w:p>
          <w:p w14:paraId="74B08091" w14:textId="77777777" w:rsidR="00025FEB" w:rsidRPr="00D85A4F" w:rsidRDefault="00025FEB" w:rsidP="00025FEB">
            <w:pPr>
              <w:pStyle w:val="TableBullet"/>
              <w:spacing w:line="264" w:lineRule="auto"/>
            </w:pPr>
            <w:r w:rsidRPr="00D85A4F">
              <w:t>consideration of the needs of children or other vulnerable people in the household if the patient will be with family while on leave (particularly if the index offence took place within the family).</w:t>
            </w:r>
          </w:p>
          <w:p w14:paraId="32412A52" w14:textId="77777777" w:rsidR="00025FEB" w:rsidRDefault="00025FEB" w:rsidP="00AD0359">
            <w:pPr>
              <w:pStyle w:val="TableText"/>
            </w:pPr>
            <w:r w:rsidRPr="00D85A4F">
              <w:t>In practice</w:t>
            </w:r>
            <w:r>
              <w:t>,</w:t>
            </w:r>
            <w:r w:rsidRPr="00D85A4F">
              <w:t xml:space="preserve"> this information will be uploaded into the </w:t>
            </w:r>
            <w:r>
              <w:t>SPMS.</w:t>
            </w:r>
          </w:p>
          <w:p w14:paraId="09015825" w14:textId="77777777" w:rsidR="00025FEB" w:rsidRPr="00DC20BD" w:rsidRDefault="00025FEB" w:rsidP="00AD0359">
            <w:pPr>
              <w:pStyle w:val="TableText"/>
              <w:rPr>
                <w:rFonts w:eastAsia="Lucida Sans Unicode" w:hAnsi="Lucida Sans Unicode" w:cs="Lucida Sans Unicode"/>
              </w:rPr>
            </w:pPr>
            <w:r w:rsidRPr="006454DE">
              <w:rPr>
                <w:rFonts w:eastAsia="Lucida Sans Unicode" w:hAnsi="Lucida Sans Unicode" w:cs="Lucida Sans Unicode"/>
              </w:rPr>
              <w:t>NB: Incomplete information will result in delay in providing a report to the Minister.</w:t>
            </w:r>
          </w:p>
        </w:tc>
      </w:tr>
    </w:tbl>
    <w:p w14:paraId="5E91C0F7" w14:textId="77777777" w:rsidR="00025FEB" w:rsidRDefault="00025FEB" w:rsidP="00025FEB"/>
    <w:p w14:paraId="18A49B40" w14:textId="77777777" w:rsidR="00025FEB" w:rsidRPr="00D85A4F" w:rsidRDefault="00025FEB" w:rsidP="00025FEB">
      <w:r w:rsidRPr="00D85A4F">
        <w:t>The DAMHS should inform the Office of the Director of issues arising throughout the period of ministerial long leave, particularly where those issues concern compliance with leave conditions, or the safety of the patient or others.</w:t>
      </w:r>
    </w:p>
    <w:p w14:paraId="7DE49FB7" w14:textId="77777777" w:rsidR="00025FEB" w:rsidRPr="00D85A4F" w:rsidRDefault="00025FEB" w:rsidP="00025FEB"/>
    <w:p w14:paraId="46D03BE5" w14:textId="77777777" w:rsidR="00025FEB" w:rsidRPr="00D85A4F" w:rsidRDefault="00025FEB" w:rsidP="00025FEB">
      <w:pPr>
        <w:pStyle w:val="Heading2"/>
      </w:pPr>
      <w:bookmarkStart w:id="139" w:name="_Toc377543398"/>
      <w:bookmarkStart w:id="140" w:name="_Toc441658594"/>
      <w:bookmarkStart w:id="141" w:name="_Toc83197075"/>
      <w:bookmarkStart w:id="142" w:name="_Toc112845460"/>
      <w:bookmarkStart w:id="143" w:name="_Toc112862064"/>
      <w:bookmarkStart w:id="144" w:name="_Toc116484605"/>
      <w:r w:rsidRPr="00D85A4F">
        <w:lastRenderedPageBreak/>
        <w:t>Extension of leave (re-application)</w:t>
      </w:r>
      <w:bookmarkEnd w:id="139"/>
      <w:bookmarkEnd w:id="140"/>
      <w:bookmarkEnd w:id="141"/>
      <w:bookmarkEnd w:id="142"/>
      <w:bookmarkEnd w:id="143"/>
      <w:bookmarkEnd w:id="144"/>
    </w:p>
    <w:p w14:paraId="3D96A951" w14:textId="77777777" w:rsidR="00025FEB" w:rsidRDefault="00025FEB" w:rsidP="00025FEB">
      <w:pPr>
        <w:keepNext/>
      </w:pPr>
      <w:r w:rsidRPr="00D85A4F">
        <w:t>The first period of ministerial long leave is usually six months</w:t>
      </w:r>
      <w:r>
        <w:t>;</w:t>
      </w:r>
      <w:r w:rsidRPr="00D85A4F">
        <w:t xml:space="preserve"> subsequent </w:t>
      </w:r>
      <w:r>
        <w:t xml:space="preserve">extension periods are for </w:t>
      </w:r>
      <w:r w:rsidRPr="00D85A4F">
        <w:t>six or 12</w:t>
      </w:r>
      <w:r>
        <w:t> </w:t>
      </w:r>
      <w:r w:rsidRPr="00D85A4F">
        <w:t>month</w:t>
      </w:r>
      <w:r>
        <w:t>s</w:t>
      </w:r>
      <w:r w:rsidRPr="00D85A4F">
        <w:t xml:space="preserve">. Special patients may be granted several consecutive periods of ministerial long leave. </w:t>
      </w:r>
      <w:r>
        <w:t xml:space="preserve">The </w:t>
      </w:r>
      <w:r w:rsidRPr="00D85A4F">
        <w:t>DAMHS should make an application to the Ministry at least six weeks before the current period of leave expires.</w:t>
      </w:r>
    </w:p>
    <w:p w14:paraId="57EA5C32" w14:textId="77777777" w:rsidR="00025FEB" w:rsidRPr="00D85A4F" w:rsidRDefault="00025FEB" w:rsidP="00025FEB">
      <w:pPr>
        <w:keepNext/>
      </w:pPr>
    </w:p>
    <w:p w14:paraId="54DFC6D9" w14:textId="34ED7219" w:rsidR="00025FEB" w:rsidRPr="00D85A4F" w:rsidRDefault="00025FEB" w:rsidP="00025FEB">
      <w:pPr>
        <w:pStyle w:val="Table"/>
      </w:pPr>
      <w:bookmarkStart w:id="145" w:name="_Toc112861582"/>
      <w:bookmarkStart w:id="146" w:name="_Toc116484642"/>
      <w:r>
        <w:t xml:space="preserve">Table </w:t>
      </w:r>
      <w:r>
        <w:fldChar w:fldCharType="begin"/>
      </w:r>
      <w:r>
        <w:instrText>SEQ Table \* ARABIC</w:instrText>
      </w:r>
      <w:r>
        <w:fldChar w:fldCharType="separate"/>
      </w:r>
      <w:r w:rsidR="00F25175">
        <w:rPr>
          <w:noProof/>
        </w:rPr>
        <w:t>9</w:t>
      </w:r>
      <w:r>
        <w:fldChar w:fldCharType="end"/>
      </w:r>
      <w:r>
        <w:t xml:space="preserve">: </w:t>
      </w:r>
      <w:r w:rsidRPr="006454DE">
        <w:t>Information in support of extension of leave</w:t>
      </w:r>
      <w:bookmarkEnd w:id="145"/>
      <w:bookmarkEnd w:id="146"/>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7455AB53"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27DC671F" w14:textId="77777777" w:rsidR="00025FEB" w:rsidRPr="00DC20BD" w:rsidRDefault="00025FEB" w:rsidP="00AD0359">
            <w:pPr>
              <w:pStyle w:val="TableT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4D6CE681" w14:textId="77777777" w:rsidR="00025FEB" w:rsidRPr="00D85A4F" w:rsidRDefault="00025FEB" w:rsidP="00AD0359">
            <w:pPr>
              <w:pStyle w:val="TableText"/>
            </w:pPr>
            <w:r w:rsidRPr="00D85A4F">
              <w:t>A letter from the responsible clinician, including:</w:t>
            </w:r>
          </w:p>
          <w:p w14:paraId="65D3BF53" w14:textId="77777777" w:rsidR="00025FEB" w:rsidRPr="00D85A4F" w:rsidRDefault="00025FEB" w:rsidP="00025FEB">
            <w:pPr>
              <w:pStyle w:val="TableBullet"/>
              <w:spacing w:line="264" w:lineRule="auto"/>
            </w:pPr>
            <w:r w:rsidRPr="00D85A4F">
              <w:t>a current mental state assessment, including compliance with treatment</w:t>
            </w:r>
          </w:p>
          <w:p w14:paraId="075FB28A" w14:textId="77777777" w:rsidR="00025FEB" w:rsidRPr="00D85A4F" w:rsidRDefault="00025FEB" w:rsidP="00025FEB">
            <w:pPr>
              <w:pStyle w:val="TableBullet"/>
              <w:spacing w:line="264" w:lineRule="auto"/>
            </w:pPr>
            <w:r w:rsidRPr="00D85A4F">
              <w:t>the justification for extending the leave</w:t>
            </w:r>
          </w:p>
          <w:p w14:paraId="7D51145F" w14:textId="77777777" w:rsidR="00025FEB" w:rsidRPr="00D85A4F" w:rsidRDefault="00025FEB" w:rsidP="00025FEB">
            <w:pPr>
              <w:pStyle w:val="TableBullet"/>
              <w:spacing w:line="264" w:lineRule="auto"/>
            </w:pPr>
            <w:r w:rsidRPr="00D85A4F">
              <w:t>a summary of progress while on leave, including any concerns that have arisen during leave (</w:t>
            </w:r>
            <w:r>
              <w:t>for example</w:t>
            </w:r>
            <w:r w:rsidRPr="00D85A4F">
              <w:t>, compliance with medication) and how these have been managed</w:t>
            </w:r>
          </w:p>
          <w:p w14:paraId="2A878237" w14:textId="77777777" w:rsidR="00025FEB" w:rsidRPr="00D85A4F" w:rsidRDefault="00025FEB" w:rsidP="00025FEB">
            <w:pPr>
              <w:pStyle w:val="TableBullet"/>
              <w:spacing w:line="264" w:lineRule="auto"/>
            </w:pPr>
            <w:r w:rsidRPr="00D85A4F">
              <w:t>a risk assessment and management plan for the patient while on leave, including flight risk</w:t>
            </w:r>
          </w:p>
          <w:p w14:paraId="2B9B3BA4" w14:textId="77777777" w:rsidR="00025FEB" w:rsidRPr="00D85A4F" w:rsidRDefault="00025FEB" w:rsidP="00025FEB">
            <w:pPr>
              <w:pStyle w:val="TableBullet"/>
              <w:spacing w:line="264" w:lineRule="auto"/>
            </w:pPr>
            <w:r w:rsidRPr="00D85A4F">
              <w:t>an overview of the patient’s recovery plan</w:t>
            </w:r>
          </w:p>
          <w:p w14:paraId="7D4BDD3D" w14:textId="77777777" w:rsidR="00025FEB" w:rsidRPr="00D85A4F" w:rsidRDefault="00025FEB" w:rsidP="00025FEB">
            <w:pPr>
              <w:pStyle w:val="TableBullet"/>
              <w:spacing w:line="264" w:lineRule="auto"/>
            </w:pPr>
            <w:r w:rsidRPr="00D85A4F">
              <w:t>advice on whether the patient has used or is likely to use psychoactive substances</w:t>
            </w:r>
          </w:p>
          <w:p w14:paraId="6273651E" w14:textId="77777777" w:rsidR="00025FEB" w:rsidRPr="00D85A4F" w:rsidRDefault="00025FEB" w:rsidP="00025FEB">
            <w:pPr>
              <w:pStyle w:val="TableBullet"/>
              <w:spacing w:line="264" w:lineRule="auto"/>
            </w:pPr>
            <w:r w:rsidRPr="00D85A4F">
              <w:t>advice of any critical incidents, including possession of weapons, drugs or other prohibited material, and the management of that incident</w:t>
            </w:r>
          </w:p>
          <w:p w14:paraId="7FFB28C1" w14:textId="77777777" w:rsidR="00025FEB" w:rsidRPr="00D85A4F" w:rsidRDefault="00025FEB" w:rsidP="00025FEB">
            <w:pPr>
              <w:pStyle w:val="TableBullet"/>
              <w:spacing w:line="264" w:lineRule="auto"/>
            </w:pPr>
            <w:r w:rsidRPr="00D85A4F">
              <w:t>any proposed changes to the conditions of leave</w:t>
            </w:r>
          </w:p>
          <w:p w14:paraId="615773CA" w14:textId="77777777" w:rsidR="00025FEB" w:rsidRPr="00D85A4F" w:rsidRDefault="00025FEB" w:rsidP="00025FEB">
            <w:pPr>
              <w:pStyle w:val="TableBullet"/>
              <w:spacing w:line="264" w:lineRule="auto"/>
            </w:pPr>
            <w:r w:rsidRPr="00D85A4F">
              <w:t xml:space="preserve">a certificate, signed by two medical practitioners, stating that the patient is fit to be allowed to be absent from hospital (section 50(1) </w:t>
            </w:r>
            <w:r>
              <w:t>of the Mental Health Act</w:t>
            </w:r>
            <w:r w:rsidRPr="00D85A4F">
              <w:t>)</w:t>
            </w:r>
          </w:p>
          <w:p w14:paraId="7301FA00" w14:textId="77777777" w:rsidR="00025FEB" w:rsidRPr="00D85A4F" w:rsidRDefault="00025FEB" w:rsidP="00025FEB">
            <w:pPr>
              <w:pStyle w:val="TableBullet"/>
              <w:spacing w:line="264" w:lineRule="auto"/>
            </w:pPr>
            <w:r w:rsidRPr="00D85A4F">
              <w:t xml:space="preserve">a second opinion (or a recent SPRP report) supporting the leave </w:t>
            </w:r>
          </w:p>
          <w:p w14:paraId="2DE0C83D" w14:textId="77777777" w:rsidR="00025FEB" w:rsidRPr="00D85A4F" w:rsidRDefault="00025FEB" w:rsidP="00025FEB">
            <w:pPr>
              <w:pStyle w:val="TableBullet"/>
              <w:spacing w:line="264" w:lineRule="auto"/>
            </w:pPr>
            <w:r w:rsidRPr="00D85A4F">
              <w:t>an indication of support from the DAMHS for the proposed leave</w:t>
            </w:r>
          </w:p>
          <w:p w14:paraId="236E97EA" w14:textId="77777777" w:rsidR="00025FEB" w:rsidRPr="00D85A4F" w:rsidRDefault="00025FEB" w:rsidP="00025FEB">
            <w:pPr>
              <w:pStyle w:val="TableBullet"/>
              <w:spacing w:line="264" w:lineRule="auto"/>
            </w:pPr>
            <w:r w:rsidRPr="00D85A4F">
              <w:t>comment on matters concerning the offending (</w:t>
            </w:r>
            <w:r>
              <w:t>for example</w:t>
            </w:r>
            <w:r w:rsidRPr="00D85A4F">
              <w:t>, insight into the offending, relationship with victims)</w:t>
            </w:r>
          </w:p>
          <w:p w14:paraId="64C6B7FC" w14:textId="77777777" w:rsidR="00025FEB" w:rsidRPr="00D85A4F" w:rsidRDefault="00025FEB" w:rsidP="00025FEB">
            <w:pPr>
              <w:pStyle w:val="TableBullet"/>
              <w:spacing w:line="264" w:lineRule="auto"/>
            </w:pPr>
            <w:r w:rsidRPr="00D85A4F">
              <w:t>comment on matters relating to the risk presented by the patient, particularly in relation to victims of previous offending</w:t>
            </w:r>
          </w:p>
          <w:p w14:paraId="368D1F6E" w14:textId="77777777" w:rsidR="00025FEB" w:rsidRPr="00D85A4F" w:rsidRDefault="00025FEB" w:rsidP="00025FEB">
            <w:pPr>
              <w:pStyle w:val="TableBullet"/>
              <w:spacing w:line="264" w:lineRule="auto"/>
            </w:pPr>
            <w:r w:rsidRPr="00D85A4F">
              <w:t xml:space="preserve">what </w:t>
            </w:r>
            <w:proofErr w:type="spellStart"/>
            <w:r w:rsidRPr="00D85A4F">
              <w:t>whānau</w:t>
            </w:r>
            <w:proofErr w:type="spellEnd"/>
            <w:r w:rsidRPr="00D85A4F">
              <w:t xml:space="preserve"> support is available</w:t>
            </w:r>
          </w:p>
          <w:p w14:paraId="5EFB937A" w14:textId="77777777" w:rsidR="00025FEB" w:rsidRPr="006454DE" w:rsidRDefault="00025FEB" w:rsidP="00025FEB">
            <w:pPr>
              <w:pStyle w:val="TableBullet"/>
              <w:spacing w:line="264" w:lineRule="auto"/>
            </w:pPr>
            <w:r w:rsidRPr="00D85A4F">
              <w:t>consideration of the needs of children or other vulnerable people in the household if the patient will be with family while on leave (particularly if the index offence took place within the family).</w:t>
            </w:r>
          </w:p>
        </w:tc>
      </w:tr>
      <w:tr w:rsidR="00025FEB" w:rsidRPr="00DC20BD" w14:paraId="41053C37"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159A8099" w14:textId="77777777" w:rsidR="00025FEB" w:rsidRPr="00D85A4F" w:rsidRDefault="00025FEB" w:rsidP="00AD0359">
            <w:pPr>
              <w:pStyle w:val="TableText"/>
            </w:pPr>
            <w:r w:rsidRPr="00D85A4F">
              <w:t>Timeframe</w:t>
            </w:r>
          </w:p>
        </w:tc>
        <w:tc>
          <w:tcPr>
            <w:tcW w:w="6861" w:type="dxa"/>
            <w:tcBorders>
              <w:top w:val="single" w:sz="4" w:space="0" w:color="A6A6A6" w:themeColor="background1" w:themeShade="A6"/>
              <w:bottom w:val="single" w:sz="4" w:space="0" w:color="A6A6A6" w:themeColor="background1" w:themeShade="A6"/>
            </w:tcBorders>
          </w:tcPr>
          <w:p w14:paraId="6344215B" w14:textId="77777777" w:rsidR="00025FEB" w:rsidRPr="00D85A4F" w:rsidRDefault="00025FEB" w:rsidP="00AD0359">
            <w:pPr>
              <w:pStyle w:val="TableText"/>
            </w:pPr>
            <w:r>
              <w:t xml:space="preserve">The </w:t>
            </w:r>
            <w:r w:rsidRPr="00D85A4F">
              <w:t xml:space="preserve">DAMHS </w:t>
            </w:r>
            <w:r>
              <w:t xml:space="preserve">must </w:t>
            </w:r>
            <w:r w:rsidRPr="00D85A4F">
              <w:t xml:space="preserve">request an extension of ministerial long leave at least </w:t>
            </w:r>
            <w:r>
              <w:t xml:space="preserve">six </w:t>
            </w:r>
            <w:r w:rsidRPr="00D85A4F">
              <w:t>weeks prior to the expiry date.</w:t>
            </w:r>
          </w:p>
          <w:p w14:paraId="47C08D9B" w14:textId="77777777" w:rsidR="00025FEB" w:rsidRPr="00D85A4F" w:rsidRDefault="00025FEB" w:rsidP="00AD0359">
            <w:pPr>
              <w:pStyle w:val="TableText"/>
            </w:pPr>
            <w:r w:rsidRPr="00D85A4F">
              <w:rPr>
                <w:bCs/>
              </w:rPr>
              <w:t>NB:</w:t>
            </w:r>
            <w:r w:rsidRPr="00D85A4F">
              <w:t xml:space="preserve"> In practice</w:t>
            </w:r>
            <w:r>
              <w:t>,</w:t>
            </w:r>
            <w:r w:rsidRPr="00D85A4F">
              <w:t xml:space="preserve"> this information will be uploaded into the </w:t>
            </w:r>
            <w:r>
              <w:t>SPMS</w:t>
            </w:r>
            <w:r w:rsidRPr="00D85A4F">
              <w:t>. Incomplete information will result in delay in providing a report to the Minister and may lead to the patient’s section 50 leave expiring.</w:t>
            </w:r>
          </w:p>
        </w:tc>
      </w:tr>
    </w:tbl>
    <w:p w14:paraId="00E3D9B5" w14:textId="77777777" w:rsidR="00025FEB" w:rsidRDefault="00025FEB" w:rsidP="00025FEB"/>
    <w:p w14:paraId="4023B26C" w14:textId="77777777" w:rsidR="00025FEB" w:rsidRPr="00D85A4F" w:rsidRDefault="00025FEB" w:rsidP="00025FEB">
      <w:pPr>
        <w:pStyle w:val="Heading2"/>
      </w:pPr>
      <w:bookmarkStart w:id="147" w:name="_Toc377543399"/>
      <w:bookmarkStart w:id="148" w:name="_Toc441658595"/>
      <w:bookmarkStart w:id="149" w:name="_Toc83197076"/>
      <w:bookmarkStart w:id="150" w:name="_Toc112845461"/>
      <w:bookmarkStart w:id="151" w:name="_Toc112862065"/>
      <w:bookmarkStart w:id="152" w:name="_Toc116484606"/>
      <w:r w:rsidRPr="00D85A4F">
        <w:lastRenderedPageBreak/>
        <w:t>Recall to hospital and cancelling ministerial long leave</w:t>
      </w:r>
      <w:bookmarkEnd w:id="147"/>
      <w:bookmarkEnd w:id="148"/>
      <w:bookmarkEnd w:id="149"/>
      <w:bookmarkEnd w:id="150"/>
      <w:bookmarkEnd w:id="151"/>
      <w:bookmarkEnd w:id="152"/>
    </w:p>
    <w:p w14:paraId="34809F85" w14:textId="77777777" w:rsidR="00025FEB" w:rsidRPr="00D85A4F" w:rsidRDefault="00025FEB" w:rsidP="00025FEB">
      <w:pPr>
        <w:keepNext/>
      </w:pPr>
      <w:r w:rsidRPr="00D85A4F">
        <w:t xml:space="preserve">Section 51 permits </w:t>
      </w:r>
      <w:r>
        <w:t>a</w:t>
      </w:r>
      <w:r w:rsidRPr="00D85A4F">
        <w:t xml:space="preserve"> DAMHS to direct in writing that a patient on ministerial long leave be admitted or readmitted to hospital if the DAMHS is satisfied that it is necessary ‘in the interests of the safety of that patient or the public’. Where such a direction is given, the DAMHS should record in writing the reasons for the direction and </w:t>
      </w:r>
      <w:r>
        <w:t xml:space="preserve">give </w:t>
      </w:r>
      <w:r w:rsidRPr="00D85A4F">
        <w:t xml:space="preserve">both a copy of the direction and a copy of the reasons for the direction to the patient as soon as practicable. </w:t>
      </w:r>
    </w:p>
    <w:p w14:paraId="45747ECB" w14:textId="77777777" w:rsidR="00025FEB" w:rsidRPr="00D85A4F" w:rsidRDefault="00025FEB" w:rsidP="00025FEB">
      <w:pPr>
        <w:keepNext/>
      </w:pPr>
    </w:p>
    <w:p w14:paraId="2131048B" w14:textId="77777777" w:rsidR="00025FEB" w:rsidRPr="00D85A4F" w:rsidRDefault="00025FEB" w:rsidP="00025FEB">
      <w:pPr>
        <w:keepNext/>
      </w:pPr>
      <w:r w:rsidRPr="00D85A4F">
        <w:t xml:space="preserve">Where a direction is ordered by the DAMHS under section 51, the patient may be taken to the specified hospital by the Director, </w:t>
      </w:r>
      <w:r>
        <w:t xml:space="preserve">the </w:t>
      </w:r>
      <w:r w:rsidRPr="00D85A4F">
        <w:t xml:space="preserve">DAMHS, a DAO, any </w:t>
      </w:r>
      <w:proofErr w:type="gramStart"/>
      <w:r w:rsidRPr="00D85A4F">
        <w:t>constable</w:t>
      </w:r>
      <w:proofErr w:type="gramEnd"/>
      <w:r w:rsidRPr="00D85A4F">
        <w:t xml:space="preserve"> or any person to whom the charge of the patient has been entrusted during the period of leave. </w:t>
      </w:r>
    </w:p>
    <w:p w14:paraId="70881751" w14:textId="77777777" w:rsidR="00025FEB" w:rsidRPr="00D85A4F" w:rsidRDefault="00025FEB" w:rsidP="00025FEB">
      <w:pPr>
        <w:keepNext/>
      </w:pPr>
    </w:p>
    <w:p w14:paraId="2FF381ED" w14:textId="77777777" w:rsidR="00025FEB" w:rsidRPr="00D85A4F" w:rsidRDefault="00025FEB" w:rsidP="00025FEB">
      <w:pPr>
        <w:keepNext/>
      </w:pPr>
      <w:r w:rsidRPr="00D85A4F">
        <w:t>Such an admission can only be for 72 hours, during which time the Minister may be asked to cancel the patient’s leave. If leave is not cancelled by the Minister before the expiration of the 72 hours, the patient must be released on leave subject to any conditions imposed by the Minister.</w:t>
      </w:r>
    </w:p>
    <w:p w14:paraId="2BCC328C" w14:textId="77777777" w:rsidR="00025FEB" w:rsidRPr="00D85A4F" w:rsidRDefault="00025FEB" w:rsidP="00025FEB">
      <w:pPr>
        <w:keepNext/>
      </w:pPr>
    </w:p>
    <w:p w14:paraId="53BBE958" w14:textId="77777777" w:rsidR="00025FEB" w:rsidRPr="00D85A4F" w:rsidRDefault="00025FEB" w:rsidP="00025FEB">
      <w:pPr>
        <w:keepNext/>
      </w:pPr>
      <w:r w:rsidRPr="00D85A4F">
        <w:t>If the patient’s leave needs to be cancelled, the Director must prepare a report to the Minister seeking cancellation of leave. This report will need to be prepared at short notice, and sometimes without immediate access to patient records held by the Ministry</w:t>
      </w:r>
      <w:r>
        <w:t>. T</w:t>
      </w:r>
      <w:r w:rsidRPr="00D85A4F">
        <w:t>herefore</w:t>
      </w:r>
      <w:r>
        <w:t>,</w:t>
      </w:r>
      <w:r w:rsidRPr="00D85A4F">
        <w:t xml:space="preserve"> the following information must be provided.</w:t>
      </w:r>
    </w:p>
    <w:p w14:paraId="6AF3AF8E" w14:textId="77777777" w:rsidR="00025FEB" w:rsidRDefault="00025FEB" w:rsidP="00025FEB"/>
    <w:p w14:paraId="21A2CB94" w14:textId="22F9AD75" w:rsidR="00025FEB" w:rsidRPr="00D85A4F" w:rsidRDefault="00025FEB" w:rsidP="00025FEB">
      <w:pPr>
        <w:pStyle w:val="Table"/>
      </w:pPr>
      <w:bookmarkStart w:id="153" w:name="_Toc112861583"/>
      <w:bookmarkStart w:id="154" w:name="_Toc116484643"/>
      <w:r>
        <w:t xml:space="preserve">Table </w:t>
      </w:r>
      <w:r>
        <w:fldChar w:fldCharType="begin"/>
      </w:r>
      <w:r>
        <w:instrText>SEQ Table \* ARABIC</w:instrText>
      </w:r>
      <w:r>
        <w:fldChar w:fldCharType="separate"/>
      </w:r>
      <w:r w:rsidR="00F25175">
        <w:rPr>
          <w:noProof/>
        </w:rPr>
        <w:t>10</w:t>
      </w:r>
      <w:r>
        <w:fldChar w:fldCharType="end"/>
      </w:r>
      <w:r>
        <w:t xml:space="preserve">: </w:t>
      </w:r>
      <w:r w:rsidRPr="006454DE">
        <w:t>Information to support cancellation of ministerial long leave</w:t>
      </w:r>
      <w:bookmarkEnd w:id="153"/>
      <w:bookmarkEnd w:id="154"/>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436D1A51"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7D68C34E" w14:textId="77777777" w:rsidR="00025FEB" w:rsidRPr="00DC20BD" w:rsidRDefault="00025FEB" w:rsidP="00AD0359">
            <w:pPr>
              <w:pStyle w:val="TableT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37197FAC" w14:textId="77777777" w:rsidR="00025FEB" w:rsidRPr="00D85A4F" w:rsidRDefault="00025FEB" w:rsidP="00AD0359">
            <w:pPr>
              <w:pStyle w:val="TableText"/>
            </w:pPr>
            <w:r w:rsidRPr="00D85A4F">
              <w:t>A letter from the responsible clinician, including:</w:t>
            </w:r>
          </w:p>
          <w:p w14:paraId="6843B888" w14:textId="77777777" w:rsidR="00025FEB" w:rsidRPr="00D85A4F" w:rsidRDefault="00025FEB" w:rsidP="00025FEB">
            <w:pPr>
              <w:pStyle w:val="TableBullet"/>
              <w:spacing w:line="264" w:lineRule="auto"/>
            </w:pPr>
            <w:r w:rsidRPr="00D85A4F">
              <w:t>a current mental state assessment</w:t>
            </w:r>
          </w:p>
          <w:p w14:paraId="090B2B73" w14:textId="77777777" w:rsidR="00025FEB" w:rsidRPr="00D85A4F" w:rsidRDefault="00025FEB" w:rsidP="00025FEB">
            <w:pPr>
              <w:pStyle w:val="TableBullet"/>
              <w:spacing w:line="264" w:lineRule="auto"/>
            </w:pPr>
            <w:r w:rsidRPr="00D85A4F">
              <w:t>the reason for cancelling the ministerial long leave</w:t>
            </w:r>
          </w:p>
          <w:p w14:paraId="0C8E9FCA" w14:textId="77777777" w:rsidR="00025FEB" w:rsidRPr="00D85A4F" w:rsidRDefault="00025FEB" w:rsidP="00025FEB">
            <w:pPr>
              <w:pStyle w:val="TableBullet"/>
              <w:spacing w:line="264" w:lineRule="auto"/>
            </w:pPr>
            <w:r w:rsidRPr="00D85A4F">
              <w:t>current risk assessment and management (including flight risk)</w:t>
            </w:r>
          </w:p>
          <w:p w14:paraId="5694C706" w14:textId="77777777" w:rsidR="00025FEB" w:rsidRPr="00D85A4F" w:rsidRDefault="00025FEB" w:rsidP="00025FEB">
            <w:pPr>
              <w:pStyle w:val="TableBullet"/>
              <w:spacing w:line="264" w:lineRule="auto"/>
            </w:pPr>
            <w:r w:rsidRPr="00D85A4F">
              <w:t>if the patient’s recall from leave has occurred in the context of a serious incident, advice on the steps that are being taken to review the incident</w:t>
            </w:r>
          </w:p>
          <w:p w14:paraId="24A40553" w14:textId="77777777" w:rsidR="00025FEB" w:rsidRPr="006454DE" w:rsidRDefault="00025FEB" w:rsidP="00025FEB">
            <w:pPr>
              <w:pStyle w:val="TableBullet"/>
              <w:spacing w:line="264" w:lineRule="auto"/>
            </w:pPr>
            <w:r w:rsidRPr="00D85A4F">
              <w:t>comment on matters relating to the offending (</w:t>
            </w:r>
            <w:r>
              <w:t>for example</w:t>
            </w:r>
            <w:r w:rsidRPr="00D85A4F">
              <w:t>, insight into the offending, relationship with victims), particularly if the victim of the index offence has been affected by the decision to cancel leave.</w:t>
            </w:r>
          </w:p>
        </w:tc>
      </w:tr>
      <w:tr w:rsidR="00025FEB" w:rsidRPr="00DC20BD" w14:paraId="01AA0968"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4B97751C" w14:textId="77777777" w:rsidR="00025FEB" w:rsidRPr="00D85A4F" w:rsidRDefault="00025FEB" w:rsidP="00AD0359">
            <w:pPr>
              <w:pStyle w:val="TableText"/>
            </w:pPr>
            <w:r w:rsidRPr="00D85A4F">
              <w:t>Timeframe</w:t>
            </w:r>
          </w:p>
        </w:tc>
        <w:tc>
          <w:tcPr>
            <w:tcW w:w="6861" w:type="dxa"/>
            <w:tcBorders>
              <w:top w:val="single" w:sz="4" w:space="0" w:color="A6A6A6" w:themeColor="background1" w:themeShade="A6"/>
              <w:bottom w:val="single" w:sz="4" w:space="0" w:color="A6A6A6" w:themeColor="background1" w:themeShade="A6"/>
            </w:tcBorders>
          </w:tcPr>
          <w:p w14:paraId="0C748B4B" w14:textId="77777777" w:rsidR="00025FEB" w:rsidRPr="00D85A4F" w:rsidRDefault="00025FEB" w:rsidP="00AD0359">
            <w:pPr>
              <w:pStyle w:val="TableText"/>
            </w:pPr>
            <w:r>
              <w:t xml:space="preserve">The </w:t>
            </w:r>
            <w:r w:rsidRPr="00D85A4F">
              <w:t xml:space="preserve">DAMHS </w:t>
            </w:r>
            <w:r>
              <w:t xml:space="preserve">must </w:t>
            </w:r>
            <w:r w:rsidRPr="00D85A4F">
              <w:t xml:space="preserve">advise the </w:t>
            </w:r>
            <w:r>
              <w:t xml:space="preserve">Office of the Director </w:t>
            </w:r>
            <w:r w:rsidRPr="00D85A4F">
              <w:t xml:space="preserve">as soon as the patient is recalled to hospital and provide a report to </w:t>
            </w:r>
            <w:r>
              <w:t xml:space="preserve">that </w:t>
            </w:r>
            <w:r w:rsidRPr="00D85A4F">
              <w:t>Office within 12 hours.</w:t>
            </w:r>
          </w:p>
          <w:p w14:paraId="6E1060BC" w14:textId="77777777" w:rsidR="00025FEB" w:rsidRPr="00D85A4F" w:rsidRDefault="00025FEB" w:rsidP="00AD0359">
            <w:pPr>
              <w:pStyle w:val="TableText"/>
            </w:pPr>
            <w:r>
              <w:t xml:space="preserve">The </w:t>
            </w:r>
            <w:r w:rsidRPr="00D85A4F">
              <w:t xml:space="preserve">Office of the Director </w:t>
            </w:r>
            <w:r>
              <w:t xml:space="preserve">must </w:t>
            </w:r>
            <w:r w:rsidRPr="00D85A4F">
              <w:t xml:space="preserve">report to the Minister of Health within 24 hours, </w:t>
            </w:r>
            <w:r>
              <w:t xml:space="preserve">and the </w:t>
            </w:r>
            <w:r w:rsidRPr="00D85A4F">
              <w:t xml:space="preserve">Minister </w:t>
            </w:r>
            <w:proofErr w:type="gramStart"/>
            <w:r>
              <w:t xml:space="preserve">make a </w:t>
            </w:r>
            <w:r w:rsidRPr="00D85A4F">
              <w:t>decision</w:t>
            </w:r>
            <w:proofErr w:type="gramEnd"/>
            <w:r w:rsidRPr="00D85A4F">
              <w:t xml:space="preserve"> within 72 hours.</w:t>
            </w:r>
          </w:p>
          <w:p w14:paraId="055BF7BF" w14:textId="77777777" w:rsidR="00025FEB" w:rsidRPr="00D85A4F" w:rsidRDefault="00025FEB" w:rsidP="00AD0359">
            <w:pPr>
              <w:pStyle w:val="TableText"/>
            </w:pPr>
            <w:r>
              <w:t xml:space="preserve">The </w:t>
            </w:r>
            <w:r w:rsidRPr="00D85A4F">
              <w:t xml:space="preserve">Office of the Director </w:t>
            </w:r>
            <w:r>
              <w:t xml:space="preserve">must </w:t>
            </w:r>
            <w:r w:rsidRPr="00D85A4F">
              <w:t xml:space="preserve">send </w:t>
            </w:r>
            <w:r>
              <w:t xml:space="preserve">a </w:t>
            </w:r>
            <w:r w:rsidRPr="00D85A4F">
              <w:t xml:space="preserve">letter confirming </w:t>
            </w:r>
            <w:r>
              <w:t xml:space="preserve">the </w:t>
            </w:r>
            <w:r w:rsidRPr="00D85A4F">
              <w:t>Minister’s decision within 24 hours.</w:t>
            </w:r>
          </w:p>
          <w:p w14:paraId="343C2025" w14:textId="77777777" w:rsidR="00025FEB" w:rsidRPr="00D85A4F" w:rsidRDefault="00025FEB" w:rsidP="00AD0359">
            <w:pPr>
              <w:pStyle w:val="TableText"/>
            </w:pPr>
            <w:r w:rsidRPr="00D85A4F">
              <w:t xml:space="preserve">NB: If ministerial long leave is cancelled during a weekend or holiday period, </w:t>
            </w:r>
            <w:r>
              <w:t xml:space="preserve">the DAMHS must </w:t>
            </w:r>
            <w:r w:rsidRPr="00D85A4F">
              <w:t>notify the Director by phone.</w:t>
            </w:r>
          </w:p>
        </w:tc>
      </w:tr>
    </w:tbl>
    <w:p w14:paraId="733785B6" w14:textId="77777777" w:rsidR="00025FEB" w:rsidRDefault="00025FEB" w:rsidP="00025FEB"/>
    <w:p w14:paraId="34119A65" w14:textId="77777777" w:rsidR="00025FEB" w:rsidRDefault="00025FEB" w:rsidP="00025FEB"/>
    <w:p w14:paraId="225CDCB3" w14:textId="77777777" w:rsidR="00025FEB" w:rsidRPr="00D85A4F" w:rsidRDefault="00025FEB" w:rsidP="00025FEB">
      <w:r w:rsidRPr="00D85A4F">
        <w:t xml:space="preserve">There may be situations </w:t>
      </w:r>
      <w:r>
        <w:t xml:space="preserve">in which </w:t>
      </w:r>
      <w:r w:rsidRPr="00D85A4F">
        <w:t xml:space="preserve">a special patient who is on ministerial long leave decompensates in their mental state and behaviours, is assessed by their responsible clinician, and agrees to return to hospital for a voluntary admission. Where this occurs, it is important that the patient has the capacity to make that decision. The voluntary admission could be longer than 72 hours to investigate the circumstances leading to the deterioration of their mental state. </w:t>
      </w:r>
    </w:p>
    <w:p w14:paraId="5F8B87DB" w14:textId="77777777" w:rsidR="00025FEB" w:rsidRPr="00D85A4F" w:rsidRDefault="00025FEB" w:rsidP="00025FEB"/>
    <w:p w14:paraId="06E7CBAE" w14:textId="77777777" w:rsidR="00025FEB" w:rsidRPr="00D85A4F" w:rsidRDefault="00025FEB" w:rsidP="00025FEB">
      <w:r w:rsidRPr="00D85A4F">
        <w:t>If cancellation is deemed necessary after investigations into the circumstances and subsequent inpatient admission, a new application for ministerial long leave must be completed identify</w:t>
      </w:r>
      <w:r>
        <w:t>ing</w:t>
      </w:r>
      <w:r w:rsidRPr="00D85A4F">
        <w:t xml:space="preserve"> the factors leading to the cancellation of leave and indicat</w:t>
      </w:r>
      <w:r>
        <w:t>ing</w:t>
      </w:r>
      <w:r w:rsidRPr="00D85A4F">
        <w:t xml:space="preserve"> how these have been addressed. </w:t>
      </w:r>
      <w:r>
        <w:t>S</w:t>
      </w:r>
      <w:r w:rsidRPr="00D85A4F">
        <w:t>ee section 7.4 for more detail.</w:t>
      </w:r>
    </w:p>
    <w:p w14:paraId="057D9400" w14:textId="77777777" w:rsidR="00025FEB" w:rsidRPr="00025FEB" w:rsidRDefault="00025FEB" w:rsidP="00025FEB">
      <w:pPr>
        <w:pStyle w:val="Heading2"/>
        <w:rPr>
          <w:rStyle w:val="Heading2Char"/>
          <w:b/>
        </w:rPr>
      </w:pPr>
      <w:bookmarkStart w:id="155" w:name="_Toc377543400"/>
      <w:bookmarkStart w:id="156" w:name="_Toc441658596"/>
      <w:bookmarkStart w:id="157" w:name="_Toc83197077"/>
      <w:bookmarkStart w:id="158" w:name="_Toc112845462"/>
      <w:bookmarkStart w:id="159" w:name="_Toc112862066"/>
      <w:bookmarkStart w:id="160" w:name="_Toc116484607"/>
      <w:r w:rsidRPr="00025FEB">
        <w:rPr>
          <w:rStyle w:val="Heading2Char"/>
          <w:b/>
        </w:rPr>
        <w:t>Recommencing short-term</w:t>
      </w:r>
      <w:r w:rsidRPr="00025FEB">
        <w:t xml:space="preserve"> </w:t>
      </w:r>
      <w:r w:rsidRPr="00025FEB">
        <w:rPr>
          <w:rStyle w:val="Heading2Char"/>
          <w:b/>
        </w:rPr>
        <w:t xml:space="preserve">leave following </w:t>
      </w:r>
      <w:bookmarkEnd w:id="155"/>
      <w:bookmarkEnd w:id="156"/>
      <w:r w:rsidRPr="00025FEB">
        <w:rPr>
          <w:rStyle w:val="Heading2Char"/>
          <w:b/>
        </w:rPr>
        <w:t>cancellation</w:t>
      </w:r>
      <w:bookmarkEnd w:id="157"/>
      <w:bookmarkEnd w:id="158"/>
      <w:bookmarkEnd w:id="159"/>
      <w:bookmarkEnd w:id="160"/>
    </w:p>
    <w:p w14:paraId="3DA389E9" w14:textId="77777777" w:rsidR="00025FEB" w:rsidRPr="00D85A4F" w:rsidRDefault="00025FEB" w:rsidP="00025FEB">
      <w:r w:rsidRPr="00D85A4F">
        <w:t>Cancellation of ministerial long leave is not undertaken lightly</w:t>
      </w:r>
      <w:r>
        <w:t>,</w:t>
      </w:r>
      <w:r w:rsidRPr="00D85A4F">
        <w:t xml:space="preserve"> and inevitably involves the readmission of the patient to an inpatient ward. If a special patient on ministerial long leave has that leave cancelled, all prior leave approvals should be considered to have been cancelled. The Director’s approval must be sought for any leave following cancellation of ministerial long leave.</w:t>
      </w:r>
    </w:p>
    <w:p w14:paraId="45EE752E" w14:textId="77777777" w:rsidR="00025FEB" w:rsidRPr="00025FEB" w:rsidRDefault="00025FEB" w:rsidP="00025FEB">
      <w:pPr>
        <w:pStyle w:val="Heading2"/>
      </w:pPr>
      <w:bookmarkStart w:id="161" w:name="_Toc377543401"/>
      <w:bookmarkStart w:id="162" w:name="_Toc441658597"/>
      <w:bookmarkStart w:id="163" w:name="_Toc83197078"/>
      <w:bookmarkStart w:id="164" w:name="_Toc112845463"/>
      <w:bookmarkStart w:id="165" w:name="_Toc112862067"/>
      <w:bookmarkStart w:id="166" w:name="_Toc116484608"/>
      <w:r w:rsidRPr="00025FEB">
        <w:t xml:space="preserve">Applying for ministerial long leave following </w:t>
      </w:r>
      <w:bookmarkEnd w:id="161"/>
      <w:bookmarkEnd w:id="162"/>
      <w:r w:rsidRPr="00025FEB">
        <w:t>cancellation</w:t>
      </w:r>
      <w:bookmarkEnd w:id="163"/>
      <w:bookmarkEnd w:id="164"/>
      <w:bookmarkEnd w:id="165"/>
      <w:bookmarkEnd w:id="166"/>
    </w:p>
    <w:p w14:paraId="68122EC4" w14:textId="77777777" w:rsidR="00025FEB" w:rsidRPr="00D85A4F" w:rsidRDefault="00025FEB" w:rsidP="00025FEB">
      <w:pPr>
        <w:keepNext/>
      </w:pPr>
      <w:r w:rsidRPr="00D85A4F">
        <w:t>A new application for ministerial long leave following cancellation and subsequent inpatient admission must identify the factors leading to the cancellation of leave and indicate how these have been addressed.</w:t>
      </w:r>
    </w:p>
    <w:p w14:paraId="1C98F2DE" w14:textId="77777777" w:rsidR="00025FEB" w:rsidRDefault="00025FEB" w:rsidP="00025FEB"/>
    <w:p w14:paraId="32A9E413" w14:textId="67FD0D88" w:rsidR="00025FEB" w:rsidRPr="00D85A4F" w:rsidRDefault="00025FEB" w:rsidP="00025FEB">
      <w:pPr>
        <w:pStyle w:val="Table"/>
      </w:pPr>
      <w:bookmarkStart w:id="167" w:name="_Toc112861584"/>
      <w:bookmarkStart w:id="168" w:name="_Toc116484644"/>
      <w:r>
        <w:lastRenderedPageBreak/>
        <w:t xml:space="preserve">Table </w:t>
      </w:r>
      <w:r>
        <w:fldChar w:fldCharType="begin"/>
      </w:r>
      <w:r>
        <w:instrText>SEQ Table \* ARABIC</w:instrText>
      </w:r>
      <w:r>
        <w:fldChar w:fldCharType="separate"/>
      </w:r>
      <w:r w:rsidR="00F25175">
        <w:rPr>
          <w:noProof/>
        </w:rPr>
        <w:t>11</w:t>
      </w:r>
      <w:r>
        <w:fldChar w:fldCharType="end"/>
      </w:r>
      <w:r>
        <w:t xml:space="preserve">: </w:t>
      </w:r>
      <w:r w:rsidRPr="008F4064">
        <w:t>Information in support of a re-application for ministerial long leave following cancellation</w:t>
      </w:r>
      <w:bookmarkEnd w:id="167"/>
      <w:bookmarkEnd w:id="168"/>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67E58A2A"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3A9F73EF" w14:textId="77777777" w:rsidR="00025FEB" w:rsidRPr="00DC20BD" w:rsidRDefault="00025FEB" w:rsidP="00AD0359">
            <w:pPr>
              <w:pStyle w:val="TableT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122F7929" w14:textId="77777777" w:rsidR="00025FEB" w:rsidRPr="00D85A4F" w:rsidRDefault="00025FEB" w:rsidP="00AD0359">
            <w:pPr>
              <w:pStyle w:val="TableText"/>
              <w:keepNext/>
            </w:pPr>
            <w:r w:rsidRPr="00D85A4F">
              <w:t>A letter from the responsible clinician, including:</w:t>
            </w:r>
          </w:p>
          <w:p w14:paraId="4247CB7F" w14:textId="77777777" w:rsidR="00025FEB" w:rsidRPr="00D85A4F" w:rsidRDefault="00025FEB" w:rsidP="00025FEB">
            <w:pPr>
              <w:pStyle w:val="TableBullet"/>
              <w:keepNext/>
              <w:spacing w:line="264" w:lineRule="auto"/>
            </w:pPr>
            <w:r w:rsidRPr="00D85A4F">
              <w:t>a current mental state assessment, including compliance with treatment</w:t>
            </w:r>
          </w:p>
          <w:p w14:paraId="5756AA6A" w14:textId="77777777" w:rsidR="00025FEB" w:rsidRPr="00D85A4F" w:rsidRDefault="00025FEB" w:rsidP="00025FEB">
            <w:pPr>
              <w:pStyle w:val="TableBullet"/>
              <w:keepNext/>
              <w:spacing w:line="264" w:lineRule="auto"/>
            </w:pPr>
            <w:r w:rsidRPr="00D85A4F">
              <w:t>how the factors resulting in cancellation have been addressed</w:t>
            </w:r>
          </w:p>
          <w:p w14:paraId="32D49833" w14:textId="77777777" w:rsidR="00025FEB" w:rsidRPr="00D85A4F" w:rsidRDefault="00025FEB" w:rsidP="00025FEB">
            <w:pPr>
              <w:pStyle w:val="TableBullet"/>
              <w:keepNext/>
              <w:spacing w:line="264" w:lineRule="auto"/>
            </w:pPr>
            <w:r w:rsidRPr="00D85A4F">
              <w:t>a risk assessment and management plan for the patient while on leave, and any concerns held about risk</w:t>
            </w:r>
          </w:p>
          <w:p w14:paraId="20DFA164" w14:textId="77777777" w:rsidR="00025FEB" w:rsidRPr="00D85A4F" w:rsidRDefault="00025FEB" w:rsidP="00025FEB">
            <w:pPr>
              <w:pStyle w:val="TableBullet"/>
              <w:spacing w:line="264" w:lineRule="auto"/>
            </w:pPr>
            <w:r w:rsidRPr="00D85A4F">
              <w:t>an overview of the patient’s recovery plan</w:t>
            </w:r>
          </w:p>
          <w:p w14:paraId="3E3F2A08" w14:textId="77777777" w:rsidR="00025FEB" w:rsidRPr="00D85A4F" w:rsidRDefault="00025FEB" w:rsidP="00025FEB">
            <w:pPr>
              <w:pStyle w:val="TableBullet"/>
              <w:keepNext/>
              <w:spacing w:line="264" w:lineRule="auto"/>
            </w:pPr>
            <w:r w:rsidRPr="00D85A4F">
              <w:t>advice on whether the patient has used or is likely to use psychoactive substances and the steps in place to manage the risk of future use</w:t>
            </w:r>
          </w:p>
          <w:p w14:paraId="183C514C" w14:textId="77777777" w:rsidR="00025FEB" w:rsidRPr="00D85A4F" w:rsidRDefault="00025FEB" w:rsidP="00025FEB">
            <w:pPr>
              <w:pStyle w:val="TableBullet"/>
              <w:keepNext/>
              <w:spacing w:line="264" w:lineRule="auto"/>
            </w:pPr>
            <w:r w:rsidRPr="00D85A4F">
              <w:t>advice of any critical incidents during the patient’s time in hospital, including possession of weapons, drugs or other prohibited material, and the management of that incident</w:t>
            </w:r>
          </w:p>
          <w:p w14:paraId="5D0782A9" w14:textId="77777777" w:rsidR="00025FEB" w:rsidRPr="00D85A4F" w:rsidRDefault="00025FEB" w:rsidP="00025FEB">
            <w:pPr>
              <w:pStyle w:val="TableBullet"/>
              <w:keepNext/>
              <w:spacing w:line="264" w:lineRule="auto"/>
            </w:pPr>
            <w:r w:rsidRPr="00D85A4F">
              <w:t>the proposed conditions of leave</w:t>
            </w:r>
          </w:p>
          <w:p w14:paraId="042C7420" w14:textId="77777777" w:rsidR="00025FEB" w:rsidRPr="00D85A4F" w:rsidRDefault="00025FEB" w:rsidP="00025FEB">
            <w:pPr>
              <w:pStyle w:val="TableBullet"/>
              <w:keepNext/>
              <w:spacing w:line="264" w:lineRule="auto"/>
            </w:pPr>
            <w:r w:rsidRPr="00D85A4F">
              <w:t xml:space="preserve">a certificate, signed by two medical practitioners, stating that the patient is fit to be allowed to be absent from hospital (section 50(1) </w:t>
            </w:r>
            <w:r>
              <w:t>of the Mental Health Act</w:t>
            </w:r>
            <w:r w:rsidRPr="00D85A4F">
              <w:t>)</w:t>
            </w:r>
          </w:p>
          <w:p w14:paraId="386FA43A" w14:textId="77777777" w:rsidR="00025FEB" w:rsidRPr="00D85A4F" w:rsidRDefault="00025FEB" w:rsidP="00025FEB">
            <w:pPr>
              <w:pStyle w:val="TableBullet"/>
              <w:spacing w:line="264" w:lineRule="auto"/>
            </w:pPr>
            <w:r w:rsidRPr="00D85A4F">
              <w:t xml:space="preserve">a second opinion (or a recent SPRP report) supporting the leave </w:t>
            </w:r>
          </w:p>
          <w:p w14:paraId="2DFC0C2E" w14:textId="77777777" w:rsidR="00025FEB" w:rsidRPr="00D85A4F" w:rsidRDefault="00025FEB" w:rsidP="00025FEB">
            <w:pPr>
              <w:pStyle w:val="TableBullet"/>
              <w:keepNext/>
              <w:spacing w:line="264" w:lineRule="auto"/>
            </w:pPr>
            <w:r w:rsidRPr="00D85A4F">
              <w:t>an indication of support from the DAMHS for the proposed leave</w:t>
            </w:r>
          </w:p>
          <w:p w14:paraId="396C02A6" w14:textId="77777777" w:rsidR="00025FEB" w:rsidRPr="00D85A4F" w:rsidRDefault="00025FEB" w:rsidP="00025FEB">
            <w:pPr>
              <w:pStyle w:val="TableBullet"/>
              <w:keepNext/>
              <w:spacing w:line="264" w:lineRule="auto"/>
            </w:pPr>
            <w:r w:rsidRPr="00D85A4F">
              <w:t>comment on matters concerning the offending (</w:t>
            </w:r>
            <w:r>
              <w:t>for example</w:t>
            </w:r>
            <w:r w:rsidRPr="00D85A4F">
              <w:t>, insight into the offending, relationship with victims)</w:t>
            </w:r>
          </w:p>
          <w:p w14:paraId="7FAE6E25" w14:textId="77777777" w:rsidR="00025FEB" w:rsidRPr="00D85A4F" w:rsidRDefault="00025FEB" w:rsidP="00025FEB">
            <w:pPr>
              <w:pStyle w:val="TableBullet"/>
              <w:keepNext/>
              <w:spacing w:line="264" w:lineRule="auto"/>
            </w:pPr>
            <w:r w:rsidRPr="00D85A4F">
              <w:t>comment on matters relating to the risk presented by the patient, particularly in relation to victims of previous offending</w:t>
            </w:r>
          </w:p>
          <w:p w14:paraId="61C48B75" w14:textId="77777777" w:rsidR="00025FEB" w:rsidRPr="00D85A4F" w:rsidRDefault="00025FEB" w:rsidP="00025FEB">
            <w:pPr>
              <w:pStyle w:val="TableBullet"/>
              <w:spacing w:line="264" w:lineRule="auto"/>
            </w:pPr>
            <w:r w:rsidRPr="00D85A4F">
              <w:t xml:space="preserve">what </w:t>
            </w:r>
            <w:proofErr w:type="spellStart"/>
            <w:r w:rsidRPr="00D85A4F">
              <w:t>whānau</w:t>
            </w:r>
            <w:proofErr w:type="spellEnd"/>
            <w:r w:rsidRPr="00D85A4F">
              <w:t xml:space="preserve"> support is available</w:t>
            </w:r>
          </w:p>
          <w:p w14:paraId="4C26F7D2" w14:textId="77777777" w:rsidR="00025FEB" w:rsidRPr="00D85A4F" w:rsidRDefault="00025FEB" w:rsidP="00025FEB">
            <w:pPr>
              <w:pStyle w:val="TableBullet"/>
              <w:keepNext/>
              <w:spacing w:line="264" w:lineRule="auto"/>
            </w:pPr>
            <w:r w:rsidRPr="00D85A4F">
              <w:t>consideration of the needs of children or other vulnerable people in the household if the patient will be with family while on leave (particularly if the index offence took place within the family).</w:t>
            </w:r>
          </w:p>
          <w:p w14:paraId="0DFE17D9" w14:textId="77777777" w:rsidR="00025FEB" w:rsidRPr="006454DE" w:rsidRDefault="00025FEB" w:rsidP="00025FEB">
            <w:pPr>
              <w:pStyle w:val="TableBullet"/>
              <w:spacing w:line="264" w:lineRule="auto"/>
            </w:pPr>
          </w:p>
        </w:tc>
      </w:tr>
      <w:tr w:rsidR="00025FEB" w:rsidRPr="00DC20BD" w14:paraId="21C2980D"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6BF25F25" w14:textId="77777777" w:rsidR="00025FEB" w:rsidRPr="00D85A4F" w:rsidRDefault="00025FEB" w:rsidP="00AD0359">
            <w:pPr>
              <w:pStyle w:val="TableText"/>
            </w:pPr>
            <w:r w:rsidRPr="00D85A4F">
              <w:t>Timeframe</w:t>
            </w:r>
          </w:p>
        </w:tc>
        <w:tc>
          <w:tcPr>
            <w:tcW w:w="6861" w:type="dxa"/>
            <w:tcBorders>
              <w:top w:val="single" w:sz="4" w:space="0" w:color="A6A6A6" w:themeColor="background1" w:themeShade="A6"/>
              <w:bottom w:val="single" w:sz="4" w:space="0" w:color="A6A6A6" w:themeColor="background1" w:themeShade="A6"/>
            </w:tcBorders>
          </w:tcPr>
          <w:p w14:paraId="4C39123D" w14:textId="77777777" w:rsidR="00025FEB" w:rsidRPr="00D85A4F" w:rsidRDefault="00025FEB" w:rsidP="00AD0359">
            <w:pPr>
              <w:pStyle w:val="TableText"/>
            </w:pPr>
            <w:r>
              <w:t xml:space="preserve">The </w:t>
            </w:r>
            <w:r w:rsidRPr="00D85A4F">
              <w:t xml:space="preserve">DAMHS </w:t>
            </w:r>
            <w:r>
              <w:t xml:space="preserve">must </w:t>
            </w:r>
            <w:r w:rsidRPr="00D85A4F">
              <w:t>request ministerial long leave as appropriate following cancellation.</w:t>
            </w:r>
          </w:p>
          <w:p w14:paraId="447D9B7B" w14:textId="77777777" w:rsidR="00025FEB" w:rsidRPr="00D85A4F" w:rsidRDefault="00025FEB" w:rsidP="00AD0359">
            <w:pPr>
              <w:pStyle w:val="TableText"/>
            </w:pPr>
            <w:r w:rsidRPr="00D85A4F">
              <w:rPr>
                <w:bCs/>
              </w:rPr>
              <w:t>NB: In practice</w:t>
            </w:r>
            <w:r>
              <w:rPr>
                <w:bCs/>
              </w:rPr>
              <w:t>,</w:t>
            </w:r>
            <w:r w:rsidRPr="00D85A4F">
              <w:rPr>
                <w:bCs/>
              </w:rPr>
              <w:t xml:space="preserve"> this information will be uploaded into the </w:t>
            </w:r>
            <w:r>
              <w:rPr>
                <w:bCs/>
              </w:rPr>
              <w:t>SPMS</w:t>
            </w:r>
            <w:r w:rsidRPr="00D85A4F">
              <w:rPr>
                <w:bCs/>
              </w:rPr>
              <w:t>.</w:t>
            </w:r>
            <w:r w:rsidRPr="00D85A4F">
              <w:t xml:space="preserve"> Incomplete information will result in delay in providing a report to the Minister.</w:t>
            </w:r>
          </w:p>
        </w:tc>
      </w:tr>
    </w:tbl>
    <w:p w14:paraId="414FE072" w14:textId="77777777" w:rsidR="00025FEB" w:rsidRPr="00025FEB" w:rsidRDefault="00025FEB" w:rsidP="00025FEB">
      <w:pPr>
        <w:pStyle w:val="Heading2"/>
      </w:pPr>
      <w:bookmarkStart w:id="169" w:name="_Toc377543402"/>
      <w:bookmarkStart w:id="170" w:name="_Toc441658598"/>
      <w:bookmarkStart w:id="171" w:name="_Toc83197079"/>
      <w:bookmarkStart w:id="172" w:name="_Toc112845464"/>
      <w:bookmarkStart w:id="173" w:name="_Toc112862068"/>
      <w:bookmarkStart w:id="174" w:name="_Toc116484609"/>
      <w:r w:rsidRPr="00025FEB">
        <w:t>Voluntary admission to hospital during ministerial long leave</w:t>
      </w:r>
      <w:bookmarkEnd w:id="169"/>
      <w:bookmarkEnd w:id="170"/>
      <w:bookmarkEnd w:id="171"/>
      <w:bookmarkEnd w:id="172"/>
      <w:bookmarkEnd w:id="173"/>
      <w:bookmarkEnd w:id="174"/>
    </w:p>
    <w:p w14:paraId="30625852" w14:textId="77777777" w:rsidR="00025FEB" w:rsidRPr="00D85A4F" w:rsidRDefault="00025FEB" w:rsidP="00025FEB">
      <w:r w:rsidRPr="00D85A4F">
        <w:t xml:space="preserve">The </w:t>
      </w:r>
      <w:r>
        <w:t>Mental Health Act</w:t>
      </w:r>
      <w:r w:rsidRPr="00D85A4F">
        <w:t xml:space="preserve"> is silent on whether special patients can be readmitted on a voluntary basis during a period of ministerial long leave. However, it is reasonable to assume that some </w:t>
      </w:r>
      <w:r>
        <w:t>people</w:t>
      </w:r>
      <w:r w:rsidRPr="00D85A4F">
        <w:t xml:space="preserve"> may seek or agree to a brief period of inpatient care. If a voluntary admission is considered, the following factors should form part of that consideration</w:t>
      </w:r>
      <w:r>
        <w:t>.</w:t>
      </w:r>
    </w:p>
    <w:p w14:paraId="47E312A3" w14:textId="77777777" w:rsidR="00025FEB" w:rsidRPr="00D85A4F" w:rsidRDefault="00025FEB" w:rsidP="00025FEB">
      <w:pPr>
        <w:pStyle w:val="Bullet"/>
        <w:spacing w:line="264" w:lineRule="auto"/>
      </w:pPr>
      <w:r w:rsidRPr="00D85A4F">
        <w:lastRenderedPageBreak/>
        <w:t>Consent must be documented and reviewed at regular intervals during the admission</w:t>
      </w:r>
      <w:r w:rsidRPr="00D85A4F">
        <w:rPr>
          <w:rStyle w:val="FootnoteReference"/>
        </w:rPr>
        <w:footnoteReference w:id="8"/>
      </w:r>
      <w:r w:rsidRPr="00D85A4F">
        <w:t xml:space="preserve"> including a clinical assessment </w:t>
      </w:r>
      <w:r>
        <w:t xml:space="preserve">of </w:t>
      </w:r>
      <w:r w:rsidRPr="00D85A4F">
        <w:t>capacity to consent</w:t>
      </w:r>
      <w:r>
        <w:t>.</w:t>
      </w:r>
      <w:r w:rsidRPr="00D85A4F">
        <w:t xml:space="preserve"> (see consent</w:t>
      </w:r>
      <w:r w:rsidRPr="00B32170">
        <w:t xml:space="preserve"> to voluntary admission and treatment while subject to leave under section 50, of the Mental </w:t>
      </w:r>
      <w:proofErr w:type="gramStart"/>
      <w:r w:rsidRPr="00B32170">
        <w:t>Health  Act</w:t>
      </w:r>
      <w:proofErr w:type="gramEnd"/>
      <w:r w:rsidRPr="00B32170">
        <w:t xml:space="preserve">  (‘ministerial long leave’)</w:t>
      </w:r>
      <w:r w:rsidRPr="00D85A4F">
        <w:t xml:space="preserve"> form</w:t>
      </w:r>
      <w:r>
        <w:t xml:space="preserve"> in useful resources in the appendix</w:t>
      </w:r>
      <w:r w:rsidRPr="00D85A4F">
        <w:t>)</w:t>
      </w:r>
      <w:r>
        <w:t>.</w:t>
      </w:r>
      <w:r w:rsidRPr="00D85A4F">
        <w:t xml:space="preserve"> </w:t>
      </w:r>
    </w:p>
    <w:p w14:paraId="6D4ED0AD" w14:textId="77777777" w:rsidR="00025FEB" w:rsidRPr="00D85A4F" w:rsidRDefault="00025FEB" w:rsidP="00025FEB">
      <w:pPr>
        <w:pStyle w:val="Bullet"/>
        <w:spacing w:line="264" w:lineRule="auto"/>
      </w:pPr>
      <w:r w:rsidRPr="00D85A4F">
        <w:t xml:space="preserve">Accommodation must be in the least restrictive environment, although </w:t>
      </w:r>
      <w:r>
        <w:t xml:space="preserve">the Ministry </w:t>
      </w:r>
      <w:r w:rsidRPr="00D85A4F">
        <w:t>acknowledge</w:t>
      </w:r>
      <w:r>
        <w:t>s</w:t>
      </w:r>
      <w:r w:rsidRPr="00D85A4F">
        <w:t xml:space="preserve"> that because of the nature of RFMHS this may be a locked ward. For this reason, consent processes must be rigorous and transparent</w:t>
      </w:r>
      <w:r>
        <w:t>.</w:t>
      </w:r>
    </w:p>
    <w:p w14:paraId="03A87869" w14:textId="77777777" w:rsidR="00025FEB" w:rsidRPr="00D85A4F" w:rsidRDefault="00025FEB" w:rsidP="00025FEB">
      <w:pPr>
        <w:pStyle w:val="Bullet"/>
        <w:spacing w:line="264" w:lineRule="auto"/>
      </w:pPr>
      <w:r w:rsidRPr="00D85A4F">
        <w:t>Voluntary inpatient admissions should generally be for no longer than 14 days</w:t>
      </w:r>
      <w:r>
        <w:t>.</w:t>
      </w:r>
    </w:p>
    <w:p w14:paraId="711FF57C" w14:textId="77777777" w:rsidR="00025FEB" w:rsidRPr="00D85A4F" w:rsidRDefault="00025FEB" w:rsidP="00025FEB">
      <w:pPr>
        <w:pStyle w:val="Bullet"/>
        <w:spacing w:line="264" w:lineRule="auto"/>
      </w:pPr>
      <w:r w:rsidRPr="00D85A4F">
        <w:t xml:space="preserve">The </w:t>
      </w:r>
      <w:r>
        <w:t xml:space="preserve">DAMHS must inform the </w:t>
      </w:r>
      <w:r w:rsidRPr="00D85A4F">
        <w:t>District Inspector and the Director</w:t>
      </w:r>
      <w:r>
        <w:t>.</w:t>
      </w:r>
    </w:p>
    <w:p w14:paraId="72198FBA" w14:textId="77777777" w:rsidR="00025FEB" w:rsidRDefault="00025FEB" w:rsidP="00025FEB"/>
    <w:p w14:paraId="59ABD22C" w14:textId="77777777" w:rsidR="00025FEB" w:rsidRDefault="00025FEB" w:rsidP="00025FEB">
      <w:r w:rsidRPr="00D85A4F">
        <w:t xml:space="preserve">The patient’s responsible clinician should consider whether the circumstances surrounding the admission meet the standard of ‘the interests of the safety of that patient or the public’ specified in section 51 of the </w:t>
      </w:r>
      <w:r>
        <w:t>Mental Health Act</w:t>
      </w:r>
      <w:r w:rsidRPr="00D85A4F">
        <w:t xml:space="preserve">. If so, the responsible clinician </w:t>
      </w:r>
      <w:r>
        <w:t>may</w:t>
      </w:r>
      <w:r w:rsidRPr="00D85A4F">
        <w:t xml:space="preserve"> recommend to the DAMHS that they direct the patient to temporarily return to the RFMHS under section 51</w:t>
      </w:r>
      <w:r>
        <w:t>Mental Health Act</w:t>
      </w:r>
      <w:r w:rsidRPr="00D85A4F">
        <w:t>.</w:t>
      </w:r>
    </w:p>
    <w:p w14:paraId="2FAAC8B6" w14:textId="77777777" w:rsidR="00025FEB" w:rsidRDefault="00025FEB" w:rsidP="00025FEB">
      <w:pPr>
        <w:sectPr w:rsidR="00025FEB" w:rsidSect="00856460">
          <w:pgSz w:w="11907" w:h="16834" w:code="9"/>
          <w:pgMar w:top="1418" w:right="1701" w:bottom="1134" w:left="1843" w:header="284" w:footer="425" w:gutter="284"/>
          <w:cols w:space="720"/>
        </w:sectPr>
      </w:pPr>
    </w:p>
    <w:p w14:paraId="45E2C915" w14:textId="77777777" w:rsidR="00025FEB" w:rsidRPr="00D85A4F" w:rsidRDefault="00025FEB" w:rsidP="00025FEB">
      <w:pPr>
        <w:pStyle w:val="Heading1"/>
      </w:pPr>
      <w:bookmarkStart w:id="175" w:name="_Toc377543403"/>
      <w:bookmarkStart w:id="176" w:name="_Toc441658599"/>
      <w:bookmarkStart w:id="177" w:name="_Toc83197080"/>
      <w:bookmarkStart w:id="178" w:name="_Toc112845465"/>
      <w:bookmarkStart w:id="179" w:name="_Toc112862069"/>
      <w:bookmarkStart w:id="180" w:name="_Toc116484610"/>
      <w:r w:rsidRPr="00D85A4F">
        <w:lastRenderedPageBreak/>
        <w:t>Change of legal status</w:t>
      </w:r>
      <w:bookmarkEnd w:id="175"/>
      <w:bookmarkEnd w:id="176"/>
      <w:bookmarkEnd w:id="177"/>
      <w:bookmarkEnd w:id="178"/>
      <w:bookmarkEnd w:id="179"/>
      <w:bookmarkEnd w:id="180"/>
    </w:p>
    <w:p w14:paraId="2848F1BD" w14:textId="77777777" w:rsidR="00025FEB" w:rsidRPr="00D85A4F" w:rsidRDefault="00025FEB" w:rsidP="00025FEB">
      <w:pPr>
        <w:pStyle w:val="Heading2"/>
      </w:pPr>
      <w:bookmarkStart w:id="181" w:name="_Toc377543404"/>
      <w:bookmarkStart w:id="182" w:name="_Toc441658600"/>
      <w:bookmarkStart w:id="183" w:name="_Toc83197081"/>
      <w:bookmarkStart w:id="184" w:name="_Toc112845466"/>
      <w:bookmarkStart w:id="185" w:name="_Toc112862070"/>
      <w:bookmarkStart w:id="186" w:name="_Toc116484611"/>
      <w:r w:rsidRPr="00D85A4F">
        <w:t>Patients acquitted on the grounds of insanity</w:t>
      </w:r>
      <w:bookmarkEnd w:id="181"/>
      <w:bookmarkEnd w:id="182"/>
      <w:bookmarkEnd w:id="183"/>
      <w:bookmarkEnd w:id="184"/>
      <w:bookmarkEnd w:id="185"/>
      <w:bookmarkEnd w:id="186"/>
    </w:p>
    <w:p w14:paraId="116EA19A" w14:textId="77777777" w:rsidR="00025FEB" w:rsidRPr="00D85A4F" w:rsidRDefault="00025FEB" w:rsidP="00025FEB">
      <w:pPr>
        <w:rPr>
          <w:spacing w:val="-2"/>
        </w:rPr>
      </w:pPr>
      <w:r w:rsidRPr="00D85A4F">
        <w:rPr>
          <w:spacing w:val="-2"/>
        </w:rPr>
        <w:t xml:space="preserve">Special patients acquitted on </w:t>
      </w:r>
      <w:r>
        <w:rPr>
          <w:spacing w:val="-2"/>
        </w:rPr>
        <w:t>account</w:t>
      </w:r>
      <w:r w:rsidRPr="00D85A4F">
        <w:rPr>
          <w:spacing w:val="-2"/>
        </w:rPr>
        <w:t xml:space="preserve"> of insanity may have their legal status changed by the Minister and become subject to a compulsory treatment order under the </w:t>
      </w:r>
      <w:r>
        <w:rPr>
          <w:spacing w:val="-2"/>
        </w:rPr>
        <w:t>Mental Health Act</w:t>
      </w:r>
      <w:r w:rsidRPr="00D85A4F">
        <w:rPr>
          <w:spacing w:val="-2"/>
        </w:rPr>
        <w:t>.</w:t>
      </w:r>
    </w:p>
    <w:p w14:paraId="5C3A3E6D" w14:textId="77777777" w:rsidR="00025FEB" w:rsidRPr="00D85A4F" w:rsidRDefault="00025FEB" w:rsidP="00025FEB"/>
    <w:p w14:paraId="4179BF41" w14:textId="77777777" w:rsidR="00025FEB" w:rsidRPr="00D85A4F" w:rsidRDefault="00025FEB" w:rsidP="00025FEB">
      <w:r w:rsidRPr="00D85A4F">
        <w:t>If a certificate is given</w:t>
      </w:r>
      <w:r>
        <w:t xml:space="preserve"> by the responsible clinician</w:t>
      </w:r>
      <w:r w:rsidRPr="00D85A4F">
        <w:t xml:space="preserve"> under the </w:t>
      </w:r>
      <w:hyperlink r:id="rId25" w:history="1">
        <w:r>
          <w:t>Mental Health Act</w:t>
        </w:r>
      </w:hyperlink>
      <w:r w:rsidRPr="00D85A4F">
        <w:t xml:space="preserve"> to the effect that the patient</w:t>
      </w:r>
      <w:r>
        <w:t>’</w:t>
      </w:r>
      <w:r w:rsidRPr="00D85A4F">
        <w:t>s detention is no longer necessary to safeguard the patient</w:t>
      </w:r>
      <w:r>
        <w:t>’</w:t>
      </w:r>
      <w:r w:rsidRPr="00D85A4F">
        <w:t>s own interest and the safety of the public or the safety of a person or class of person, the Minister must:</w:t>
      </w:r>
    </w:p>
    <w:p w14:paraId="76AAEA6A" w14:textId="77777777" w:rsidR="00025FEB" w:rsidRPr="00D85A4F" w:rsidRDefault="00025FEB" w:rsidP="00025FEB">
      <w:pPr>
        <w:pStyle w:val="Bullet"/>
        <w:spacing w:line="264" w:lineRule="auto"/>
      </w:pPr>
      <w:r w:rsidRPr="00D85A4F">
        <w:t>consider whether, in the Minister</w:t>
      </w:r>
      <w:r>
        <w:t>’</w:t>
      </w:r>
      <w:r w:rsidRPr="00D85A4F">
        <w:t>s opinion, the patient</w:t>
      </w:r>
      <w:r>
        <w:t>’</w:t>
      </w:r>
      <w:r w:rsidRPr="00D85A4F">
        <w:t>s continued detention is no longer necessary to safeguard the patient</w:t>
      </w:r>
      <w:r>
        <w:t>’</w:t>
      </w:r>
      <w:r w:rsidRPr="00D85A4F">
        <w:t>s own interest and the safety of the public or the safety of a person or class of person; and</w:t>
      </w:r>
    </w:p>
    <w:p w14:paraId="15EFE17E" w14:textId="77777777" w:rsidR="00025FEB" w:rsidRPr="00D85A4F" w:rsidRDefault="00025FEB" w:rsidP="00025FEB">
      <w:pPr>
        <w:pStyle w:val="Bullet"/>
        <w:spacing w:line="264" w:lineRule="auto"/>
      </w:pPr>
      <w:r w:rsidRPr="00D85A4F">
        <w:t>if, in the Minister</w:t>
      </w:r>
      <w:r>
        <w:t>’</w:t>
      </w:r>
      <w:r w:rsidRPr="00D85A4F">
        <w:t xml:space="preserve">s opinion, detention is no longer necessary to safeguard those interests, direct that the patient be held as a patient (section 33(3) </w:t>
      </w:r>
      <w:r>
        <w:t xml:space="preserve">of the </w:t>
      </w:r>
      <w:r w:rsidRPr="00D85A4F">
        <w:t>CP(MIP) Act).</w:t>
      </w:r>
    </w:p>
    <w:p w14:paraId="2EAA515A" w14:textId="77777777" w:rsidR="00025FEB" w:rsidRPr="00D85A4F" w:rsidRDefault="00025FEB" w:rsidP="00025FEB"/>
    <w:p w14:paraId="56FFB479" w14:textId="77777777" w:rsidR="00025FEB" w:rsidRPr="00D85A4F" w:rsidRDefault="00025FEB" w:rsidP="00025FEB">
      <w:r w:rsidRPr="00D85A4F">
        <w:t xml:space="preserve">The information accompanying a certificate of clinical review recommending a change of legal status should address the factors leading to the index offence, how these have been addressed and the measures put in place to reduce the chance of those factors arising in future. </w:t>
      </w:r>
      <w:r>
        <w:t>It should specifically reference a</w:t>
      </w:r>
      <w:r w:rsidRPr="00D85A4F">
        <w:t xml:space="preserve">lcohol and drug use, particularly if </w:t>
      </w:r>
      <w:r>
        <w:t xml:space="preserve">the responsible clinician </w:t>
      </w:r>
      <w:r w:rsidRPr="00D85A4F">
        <w:t xml:space="preserve">considered </w:t>
      </w:r>
      <w:r>
        <w:t xml:space="preserve">alcohol and drug use </w:t>
      </w:r>
      <w:r w:rsidRPr="00D85A4F">
        <w:t>to have had an impact on the index offence.</w:t>
      </w:r>
    </w:p>
    <w:p w14:paraId="2ABB6A70" w14:textId="77777777" w:rsidR="00025FEB" w:rsidRPr="00D85A4F" w:rsidRDefault="00025FEB" w:rsidP="00025FEB"/>
    <w:p w14:paraId="72EF146A" w14:textId="77777777" w:rsidR="00025FEB" w:rsidRDefault="00025FEB" w:rsidP="00025FEB">
      <w:r w:rsidRPr="00D85A4F">
        <w:t>Information should also be provided about plans for the patient’s ongoing management by mental health services once they are no longer subject to special patient status. Issues of ongoing management are particularly important if there are doubts that the patient will continue to meet the criteria for compulsory treatment.</w:t>
      </w:r>
    </w:p>
    <w:p w14:paraId="58EF1C85" w14:textId="77777777" w:rsidR="00025FEB" w:rsidRPr="00D85A4F" w:rsidRDefault="00025FEB" w:rsidP="00025FEB"/>
    <w:p w14:paraId="6825F773" w14:textId="0795D848" w:rsidR="00025FEB" w:rsidRPr="00D85A4F" w:rsidRDefault="00025FEB" w:rsidP="00025FEB">
      <w:pPr>
        <w:pStyle w:val="Table"/>
      </w:pPr>
      <w:bookmarkStart w:id="187" w:name="_Toc112861585"/>
      <w:bookmarkStart w:id="188" w:name="_Toc116484645"/>
      <w:r>
        <w:lastRenderedPageBreak/>
        <w:t xml:space="preserve">Table </w:t>
      </w:r>
      <w:r>
        <w:fldChar w:fldCharType="begin"/>
      </w:r>
      <w:r>
        <w:instrText>SEQ Table \* ARABIC</w:instrText>
      </w:r>
      <w:r>
        <w:fldChar w:fldCharType="separate"/>
      </w:r>
      <w:r w:rsidR="00F25175">
        <w:rPr>
          <w:noProof/>
        </w:rPr>
        <w:t>12</w:t>
      </w:r>
      <w:r>
        <w:fldChar w:fldCharType="end"/>
      </w:r>
      <w:r>
        <w:t xml:space="preserve">: </w:t>
      </w:r>
      <w:r w:rsidRPr="00DF0810">
        <w:t>Information to support a request for change of legal status (acquitted on account of insanity)</w:t>
      </w:r>
      <w:bookmarkEnd w:id="187"/>
      <w:bookmarkEnd w:id="188"/>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5406E4E3"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1392EE84" w14:textId="77777777" w:rsidR="00025FEB" w:rsidRPr="00DC20BD" w:rsidRDefault="00025FEB" w:rsidP="00AD0359">
            <w:pPr>
              <w:pStyle w:val="TableT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06D4FB79" w14:textId="77777777" w:rsidR="00025FEB" w:rsidRPr="00D85A4F" w:rsidRDefault="00025FEB" w:rsidP="00AD0359">
            <w:pPr>
              <w:pStyle w:val="TableText"/>
              <w:keepNext/>
            </w:pPr>
            <w:r w:rsidRPr="00D85A4F">
              <w:t>A letter from the responsible clinician, including:</w:t>
            </w:r>
          </w:p>
          <w:p w14:paraId="33C0094E" w14:textId="77777777" w:rsidR="00025FEB" w:rsidRPr="00D85A4F" w:rsidRDefault="00025FEB" w:rsidP="00025FEB">
            <w:pPr>
              <w:pStyle w:val="TableBullet"/>
              <w:keepNext/>
              <w:spacing w:line="264" w:lineRule="auto"/>
            </w:pPr>
            <w:r w:rsidRPr="00D85A4F">
              <w:t>a current mental state assessment, including compliance with treatment</w:t>
            </w:r>
          </w:p>
          <w:p w14:paraId="6931BF96" w14:textId="77777777" w:rsidR="00025FEB" w:rsidRPr="00D85A4F" w:rsidRDefault="00025FEB" w:rsidP="00025FEB">
            <w:pPr>
              <w:pStyle w:val="TableBullet"/>
              <w:keepNext/>
              <w:spacing w:line="264" w:lineRule="auto"/>
            </w:pPr>
            <w:r w:rsidRPr="00D85A4F">
              <w:t>a section 77 certificate of clinical review</w:t>
            </w:r>
          </w:p>
          <w:p w14:paraId="348FDDEC" w14:textId="77777777" w:rsidR="00025FEB" w:rsidRPr="00D85A4F" w:rsidRDefault="00025FEB" w:rsidP="00025FEB">
            <w:pPr>
              <w:pStyle w:val="TableBullet"/>
              <w:keepNext/>
              <w:spacing w:line="264" w:lineRule="auto"/>
            </w:pPr>
            <w:r w:rsidRPr="00D85A4F">
              <w:t>a risk assessment and management plan, including flight risk.</w:t>
            </w:r>
          </w:p>
          <w:p w14:paraId="0E4166F4" w14:textId="77777777" w:rsidR="00025FEB" w:rsidRPr="00D85A4F" w:rsidRDefault="00025FEB" w:rsidP="00AD0359">
            <w:pPr>
              <w:pStyle w:val="TableText"/>
              <w:keepNext/>
            </w:pPr>
            <w:r w:rsidRPr="00D85A4F">
              <w:t>If not provided in the SPRP report, the following information should be specifically addressed:</w:t>
            </w:r>
          </w:p>
          <w:p w14:paraId="7E17454D" w14:textId="77777777" w:rsidR="00025FEB" w:rsidRPr="00D85A4F" w:rsidRDefault="00025FEB" w:rsidP="00025FEB">
            <w:pPr>
              <w:pStyle w:val="TableBullet"/>
              <w:keepNext/>
              <w:spacing w:line="264" w:lineRule="auto"/>
            </w:pPr>
            <w:r w:rsidRPr="00D85A4F">
              <w:t>how the factors leading to the index offence have been addressed and the measures taken to reduce the chance of future offending</w:t>
            </w:r>
          </w:p>
          <w:p w14:paraId="5DCA90AF" w14:textId="77777777" w:rsidR="00025FEB" w:rsidRPr="00D85A4F" w:rsidRDefault="00025FEB" w:rsidP="00025FEB">
            <w:pPr>
              <w:pStyle w:val="TableBullet"/>
              <w:keepNext/>
              <w:spacing w:line="264" w:lineRule="auto"/>
            </w:pPr>
            <w:r w:rsidRPr="00D85A4F">
              <w:t>comment on matters concerning the offending (</w:t>
            </w:r>
            <w:r>
              <w:t>for example</w:t>
            </w:r>
            <w:r w:rsidRPr="00D85A4F">
              <w:t>, insight into the offending, relationship with victims)</w:t>
            </w:r>
          </w:p>
          <w:p w14:paraId="3F1D7133" w14:textId="77777777" w:rsidR="00025FEB" w:rsidRPr="00D85A4F" w:rsidRDefault="00025FEB" w:rsidP="00025FEB">
            <w:pPr>
              <w:pStyle w:val="TableBullet"/>
              <w:keepNext/>
              <w:spacing w:line="264" w:lineRule="auto"/>
            </w:pPr>
            <w:r w:rsidRPr="00D85A4F">
              <w:t>comment on matters relating to the risk presented by the patient, particularly in relation to victims of previous offending</w:t>
            </w:r>
          </w:p>
          <w:p w14:paraId="678C9362" w14:textId="77777777" w:rsidR="00025FEB" w:rsidRPr="00D85A4F" w:rsidRDefault="00025FEB" w:rsidP="00025FEB">
            <w:pPr>
              <w:pStyle w:val="TableBullet"/>
              <w:keepNext/>
              <w:spacing w:line="264" w:lineRule="auto"/>
            </w:pPr>
            <w:r w:rsidRPr="00D85A4F">
              <w:t>specific comment on alcohol and drug use (including the use of psychoactive substances)</w:t>
            </w:r>
          </w:p>
          <w:p w14:paraId="16FEF8FC" w14:textId="77777777" w:rsidR="00025FEB" w:rsidRPr="00D85A4F" w:rsidRDefault="00025FEB" w:rsidP="00025FEB">
            <w:pPr>
              <w:pStyle w:val="TableBullet"/>
              <w:keepNext/>
              <w:spacing w:line="264" w:lineRule="auto"/>
            </w:pPr>
            <w:r w:rsidRPr="00D85A4F">
              <w:t>advice of any critical incidents, including possession of weapons, drugs or other prohibited material, and the management of that incident</w:t>
            </w:r>
          </w:p>
          <w:p w14:paraId="4EA2A1FB" w14:textId="77777777" w:rsidR="00025FEB" w:rsidRPr="00D85A4F" w:rsidRDefault="00025FEB" w:rsidP="00025FEB">
            <w:pPr>
              <w:pStyle w:val="TableBullet"/>
              <w:keepNext/>
              <w:spacing w:line="264" w:lineRule="auto"/>
            </w:pPr>
            <w:r w:rsidRPr="00D85A4F">
              <w:t xml:space="preserve">what </w:t>
            </w:r>
            <w:proofErr w:type="spellStart"/>
            <w:r w:rsidRPr="00D85A4F">
              <w:t>wh</w:t>
            </w:r>
            <w:r w:rsidRPr="00D85A4F">
              <w:rPr>
                <w:rFonts w:cs="Arial"/>
              </w:rPr>
              <w:t>ā</w:t>
            </w:r>
            <w:r w:rsidRPr="00D85A4F">
              <w:t>nau</w:t>
            </w:r>
            <w:proofErr w:type="spellEnd"/>
            <w:r w:rsidRPr="00D85A4F">
              <w:t xml:space="preserve"> support is available</w:t>
            </w:r>
          </w:p>
          <w:p w14:paraId="502CEA22" w14:textId="77777777" w:rsidR="00025FEB" w:rsidRPr="00D85A4F" w:rsidRDefault="00025FEB" w:rsidP="00025FEB">
            <w:pPr>
              <w:pStyle w:val="TableBullet"/>
              <w:keepNext/>
              <w:spacing w:line="264" w:lineRule="auto"/>
            </w:pPr>
            <w:r w:rsidRPr="00D85A4F">
              <w:t>consideration of the needs of any children of the patient, particularly if the index offence took place within the family</w:t>
            </w:r>
          </w:p>
          <w:p w14:paraId="661EECEC" w14:textId="77777777" w:rsidR="00025FEB" w:rsidRPr="00D85A4F" w:rsidRDefault="00025FEB" w:rsidP="00025FEB">
            <w:pPr>
              <w:pStyle w:val="TableBullet"/>
              <w:keepNext/>
              <w:spacing w:line="264" w:lineRule="auto"/>
            </w:pPr>
            <w:r w:rsidRPr="00D85A4F">
              <w:t>advice on the ways in which the patient meets the criteria of section 33(4) of the CP(MIP) Act</w:t>
            </w:r>
          </w:p>
          <w:p w14:paraId="4B73FA04" w14:textId="77777777" w:rsidR="00025FEB" w:rsidRPr="00D85A4F" w:rsidRDefault="00025FEB" w:rsidP="00025FEB">
            <w:pPr>
              <w:pStyle w:val="TableBullet"/>
              <w:keepNext/>
              <w:spacing w:line="264" w:lineRule="auto"/>
            </w:pPr>
            <w:r w:rsidRPr="00D85A4F">
              <w:t>plans for the patient’s ongoing management by mental health services once they are no longer subject to special patient status, particularly if the patient may not continue to meet the criteria for compulsory treatment.</w:t>
            </w:r>
          </w:p>
          <w:p w14:paraId="3B4B54F4" w14:textId="77777777" w:rsidR="00025FEB" w:rsidRPr="006454DE" w:rsidRDefault="00025FEB" w:rsidP="00AD0359">
            <w:pPr>
              <w:pStyle w:val="TableText"/>
            </w:pPr>
            <w:r w:rsidRPr="00D85A4F">
              <w:t>A recent SPRP report must be provided with the application. In practice</w:t>
            </w:r>
            <w:r>
              <w:t>,</w:t>
            </w:r>
            <w:r w:rsidRPr="00D85A4F">
              <w:t xml:space="preserve"> this information will be uploaded into the </w:t>
            </w:r>
            <w:r>
              <w:t>SPMS</w:t>
            </w:r>
            <w:r w:rsidRPr="00D85A4F">
              <w:t>.</w:t>
            </w:r>
          </w:p>
        </w:tc>
      </w:tr>
      <w:tr w:rsidR="00025FEB" w:rsidRPr="00DC20BD" w14:paraId="11D8E20D"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2787C6E9" w14:textId="77777777" w:rsidR="00025FEB" w:rsidRPr="00D85A4F" w:rsidRDefault="00025FEB" w:rsidP="00AD0359">
            <w:pPr>
              <w:pStyle w:val="TableText"/>
            </w:pPr>
            <w:r w:rsidRPr="00D85A4F">
              <w:t>Timeframe</w:t>
            </w:r>
          </w:p>
        </w:tc>
        <w:tc>
          <w:tcPr>
            <w:tcW w:w="6861" w:type="dxa"/>
            <w:tcBorders>
              <w:top w:val="single" w:sz="4" w:space="0" w:color="A6A6A6" w:themeColor="background1" w:themeShade="A6"/>
              <w:bottom w:val="single" w:sz="4" w:space="0" w:color="A6A6A6" w:themeColor="background1" w:themeShade="A6"/>
            </w:tcBorders>
          </w:tcPr>
          <w:p w14:paraId="1EE6A872" w14:textId="77777777" w:rsidR="00025FEB" w:rsidRPr="00D85A4F" w:rsidRDefault="00025FEB" w:rsidP="00AD0359">
            <w:pPr>
              <w:pStyle w:val="TableText"/>
            </w:pPr>
            <w:r>
              <w:t xml:space="preserve">The </w:t>
            </w:r>
            <w:r w:rsidRPr="00D85A4F">
              <w:t xml:space="preserve">Office of the Director </w:t>
            </w:r>
            <w:r>
              <w:t xml:space="preserve">must </w:t>
            </w:r>
            <w:r w:rsidRPr="00D85A4F">
              <w:t xml:space="preserve">inform the forensic service of the Minister’s decision within </w:t>
            </w:r>
            <w:r>
              <w:t xml:space="preserve">three </w:t>
            </w:r>
            <w:r w:rsidRPr="00D85A4F">
              <w:t>working days.</w:t>
            </w:r>
          </w:p>
        </w:tc>
      </w:tr>
    </w:tbl>
    <w:p w14:paraId="4864CEE2" w14:textId="77777777" w:rsidR="00025FEB" w:rsidRPr="00D85A4F" w:rsidRDefault="00025FEB" w:rsidP="00025FEB">
      <w:pPr>
        <w:pStyle w:val="Heading2"/>
      </w:pPr>
      <w:bookmarkStart w:id="189" w:name="_Toc377543405"/>
      <w:bookmarkStart w:id="190" w:name="_Toc441658601"/>
      <w:bookmarkStart w:id="191" w:name="_Toc83197082"/>
      <w:bookmarkStart w:id="192" w:name="_Toc112845467"/>
      <w:bookmarkStart w:id="193" w:name="_Toc112862071"/>
      <w:bookmarkStart w:id="194" w:name="_Toc116484612"/>
      <w:r w:rsidRPr="00D85A4F">
        <w:t xml:space="preserve">Unfit to stand trial: </w:t>
      </w:r>
      <w:r>
        <w:t xml:space="preserve">where a </w:t>
      </w:r>
      <w:r w:rsidRPr="00D85A4F">
        <w:t>patient is now considered fit to stand trial</w:t>
      </w:r>
      <w:bookmarkEnd w:id="189"/>
      <w:bookmarkEnd w:id="190"/>
      <w:bookmarkEnd w:id="191"/>
      <w:bookmarkEnd w:id="192"/>
      <w:bookmarkEnd w:id="193"/>
      <w:bookmarkEnd w:id="194"/>
    </w:p>
    <w:p w14:paraId="5E619CDA" w14:textId="77777777" w:rsidR="00025FEB" w:rsidRPr="00D85A4F" w:rsidRDefault="00025FEB" w:rsidP="00025FEB">
      <w:r w:rsidRPr="00D85A4F">
        <w:t xml:space="preserve">Decisions on special patients who were initially considered unfit to stand trial but are subsequently considered fit to stand trial are made by the Attorney-General </w:t>
      </w:r>
      <w:proofErr w:type="gramStart"/>
      <w:r w:rsidRPr="00D85A4F">
        <w:t>on the basis of</w:t>
      </w:r>
      <w:proofErr w:type="gramEnd"/>
      <w:r w:rsidRPr="00D85A4F">
        <w:t xml:space="preserve"> advice from the Crown Law Office. In formulating that advice, the Crown Law Office is provided with information from the Director.</w:t>
      </w:r>
    </w:p>
    <w:p w14:paraId="61CB2E7C" w14:textId="77777777" w:rsidR="00025FEB" w:rsidRPr="00D85A4F" w:rsidRDefault="00025FEB" w:rsidP="00025FEB"/>
    <w:p w14:paraId="4AC33C57" w14:textId="77777777" w:rsidR="00025FEB" w:rsidRPr="00D85A4F" w:rsidRDefault="00025FEB" w:rsidP="00025FEB">
      <w:r w:rsidRPr="00D85A4F">
        <w:t>Under section 30 of the CP(MIP) Act, the maximum period of detention for which a defendant who has been found unfit to stand trial can be detained under section 24 as a special patient is:</w:t>
      </w:r>
    </w:p>
    <w:p w14:paraId="3EEEA1A8" w14:textId="77777777" w:rsidR="00025FEB" w:rsidRPr="00D85A4F" w:rsidRDefault="00025FEB" w:rsidP="00025FEB"/>
    <w:p w14:paraId="63BC91E1" w14:textId="77777777" w:rsidR="00025FEB" w:rsidRPr="00D85A4F" w:rsidRDefault="00025FEB" w:rsidP="00025FEB">
      <w:pPr>
        <w:pStyle w:val="Bullet"/>
        <w:tabs>
          <w:tab w:val="clear" w:pos="284"/>
        </w:tabs>
      </w:pPr>
      <w:r>
        <w:lastRenderedPageBreak/>
        <w:t xml:space="preserve">if </w:t>
      </w:r>
      <w:r w:rsidRPr="00D85A4F">
        <w:t>the defendant was charged with an offence that was punishable by imprisonment for life</w:t>
      </w:r>
      <w:r>
        <w:t>,</w:t>
      </w:r>
      <w:r w:rsidRPr="00D85A4F">
        <w:t xml:space="preserve"> 10 years from the date of the making of the order under section 24 </w:t>
      </w:r>
    </w:p>
    <w:p w14:paraId="54355B80" w14:textId="77777777" w:rsidR="00025FEB" w:rsidRPr="00D85A4F" w:rsidRDefault="00025FEB" w:rsidP="00025FEB">
      <w:pPr>
        <w:pStyle w:val="Bullet"/>
        <w:tabs>
          <w:tab w:val="clear" w:pos="284"/>
        </w:tabs>
      </w:pPr>
      <w:r>
        <w:t>otherwise</w:t>
      </w:r>
      <w:r w:rsidRPr="00D85A4F">
        <w:t>, a period from the date of the order under section 24 equal to half the maximum term of imprisonment to which the defendant would have been liable if they had been convicted of the offence charged.</w:t>
      </w:r>
    </w:p>
    <w:p w14:paraId="1E041385" w14:textId="77777777" w:rsidR="00025FEB" w:rsidRDefault="00025FEB" w:rsidP="00025FEB"/>
    <w:p w14:paraId="1D6D9CE0" w14:textId="77777777" w:rsidR="00025FEB" w:rsidRPr="00D85A4F" w:rsidRDefault="00025FEB" w:rsidP="00025FEB">
      <w:r w:rsidRPr="00D85A4F">
        <w:t>If, before or on the expiry of the maximum period of detention, a certificate is given under the</w:t>
      </w:r>
      <w:r>
        <w:t xml:space="preserve"> Mental Health Act </w:t>
      </w:r>
      <w:r w:rsidRPr="005C3852">
        <w:t xml:space="preserve">to </w:t>
      </w:r>
      <w:r w:rsidRPr="00D85A4F">
        <w:t>the effect that the defendant is no longer unfit to stand trial, the Attorney-General must either:</w:t>
      </w:r>
    </w:p>
    <w:p w14:paraId="112802C3" w14:textId="77777777" w:rsidR="00025FEB" w:rsidRPr="00D85A4F" w:rsidRDefault="00025FEB" w:rsidP="00025FEB">
      <w:pPr>
        <w:pStyle w:val="Bullet"/>
        <w:tabs>
          <w:tab w:val="clear" w:pos="284"/>
        </w:tabs>
      </w:pPr>
      <w:r w:rsidRPr="00D85A4F">
        <w:t>direct that the defendant be brought before the appropriate court; or</w:t>
      </w:r>
    </w:p>
    <w:p w14:paraId="46FEADF5" w14:textId="77777777" w:rsidR="00025FEB" w:rsidRPr="00D85A4F" w:rsidRDefault="00025FEB" w:rsidP="00025FEB">
      <w:pPr>
        <w:pStyle w:val="Bullet"/>
        <w:tabs>
          <w:tab w:val="clear" w:pos="284"/>
        </w:tabs>
      </w:pPr>
      <w:r w:rsidRPr="00D85A4F">
        <w:t xml:space="preserve">direct that the defendant be held as a patient (section 31(2) </w:t>
      </w:r>
      <w:r>
        <w:t xml:space="preserve">of the </w:t>
      </w:r>
      <w:r w:rsidRPr="00D85A4F">
        <w:t>CP(MIP) Act).</w:t>
      </w:r>
    </w:p>
    <w:p w14:paraId="336475E8" w14:textId="77777777" w:rsidR="00025FEB" w:rsidRDefault="00025FEB" w:rsidP="00025FEB"/>
    <w:p w14:paraId="300C2052" w14:textId="77777777" w:rsidR="00025FEB" w:rsidRPr="00D85A4F" w:rsidRDefault="00025FEB" w:rsidP="00025FEB">
      <w:r>
        <w:t>D</w:t>
      </w:r>
      <w:r w:rsidRPr="00807F87">
        <w:t>espite section 31</w:t>
      </w:r>
      <w:r w:rsidRPr="00D85A4F">
        <w:t xml:space="preserve"> of the CP(MIP) Act, on receiving a copy of the certificate of clinical review under section 77(3)</w:t>
      </w:r>
      <w:r>
        <w:t>(c)</w:t>
      </w:r>
      <w:r w:rsidRPr="00D85A4F">
        <w:t xml:space="preserve">, the Attorney-General may, instead of exercising and performing the powers and duties under that section, apply to the </w:t>
      </w:r>
      <w:r>
        <w:t>r</w:t>
      </w:r>
      <w:r w:rsidRPr="00D85A4F">
        <w:t xml:space="preserve">eview </w:t>
      </w:r>
      <w:r>
        <w:t>t</w:t>
      </w:r>
      <w:r w:rsidRPr="00D85A4F">
        <w:t xml:space="preserve">ribunal for a review of the patient’s condition, before making a direction. </w:t>
      </w:r>
    </w:p>
    <w:p w14:paraId="5C40B7DD" w14:textId="77777777" w:rsidR="00025FEB" w:rsidRPr="00D85A4F" w:rsidRDefault="00025FEB" w:rsidP="00025FEB"/>
    <w:p w14:paraId="39DA7D77" w14:textId="77777777" w:rsidR="00025FEB" w:rsidRPr="00D85A4F" w:rsidRDefault="00025FEB" w:rsidP="00025FEB">
      <w:r w:rsidRPr="00D85A4F">
        <w:t>The Attorney-General must direct that the defendant be held as a patient if:</w:t>
      </w:r>
    </w:p>
    <w:p w14:paraId="0E0C1274" w14:textId="77777777" w:rsidR="00025FEB" w:rsidRPr="00D85A4F" w:rsidRDefault="00025FEB" w:rsidP="00025FEB">
      <w:pPr>
        <w:pStyle w:val="Bullet"/>
        <w:tabs>
          <w:tab w:val="clear" w:pos="284"/>
        </w:tabs>
      </w:pPr>
      <w:r w:rsidRPr="00D85A4F">
        <w:t>the defendant is still detained as a special patient when the maximum period of detention expires</w:t>
      </w:r>
    </w:p>
    <w:p w14:paraId="002CA5EA" w14:textId="77777777" w:rsidR="00025FEB" w:rsidRPr="00D85A4F" w:rsidRDefault="00025FEB" w:rsidP="00025FEB">
      <w:pPr>
        <w:pStyle w:val="Bullet"/>
        <w:tabs>
          <w:tab w:val="clear" w:pos="284"/>
        </w:tabs>
      </w:pPr>
      <w:r w:rsidRPr="00D85A4F">
        <w:t>the Attorney-General has not given a direction in respect of the defendant under sections 31(2) or (3); or</w:t>
      </w:r>
    </w:p>
    <w:p w14:paraId="4BE5B735" w14:textId="77777777" w:rsidR="00025FEB" w:rsidRPr="00D85A4F" w:rsidRDefault="00025FEB" w:rsidP="00025FEB">
      <w:pPr>
        <w:pStyle w:val="Bullet"/>
        <w:tabs>
          <w:tab w:val="clear" w:pos="284"/>
        </w:tabs>
      </w:pPr>
      <w:r w:rsidRPr="00D85A4F">
        <w:t xml:space="preserve">no certificate under the </w:t>
      </w:r>
      <w:hyperlink r:id="rId26" w:history="1">
        <w:r w:rsidRPr="00D85A4F">
          <w:t>MH(CAT)</w:t>
        </w:r>
      </w:hyperlink>
      <w:r w:rsidRPr="00D85A4F">
        <w:t xml:space="preserve"> Act or the </w:t>
      </w:r>
      <w:hyperlink r:id="rId27" w:history="1">
        <w:r w:rsidRPr="00D85A4F">
          <w:t>Intellectual Disability (Compulsory Care and Rehabilitation) Act 2003</w:t>
        </w:r>
      </w:hyperlink>
      <w:r w:rsidRPr="00D85A4F">
        <w:t xml:space="preserve"> has been given in respect of the defendant (section 31(4)</w:t>
      </w:r>
      <w:r>
        <w:t xml:space="preserve"> of the</w:t>
      </w:r>
      <w:r w:rsidRPr="00D85A4F">
        <w:t xml:space="preserve"> CP(MIP) Act).</w:t>
      </w:r>
    </w:p>
    <w:p w14:paraId="46B244BF" w14:textId="77777777" w:rsidR="00025FEB" w:rsidRDefault="00025FEB" w:rsidP="00025FEB"/>
    <w:p w14:paraId="4004291B" w14:textId="77777777" w:rsidR="00025FEB" w:rsidRPr="00D85A4F" w:rsidRDefault="00025FEB" w:rsidP="00025FEB">
      <w:r w:rsidRPr="00D85A4F">
        <w:t>The decision about whether the patient should be returned to court may take several months, as New Zealand Police also need to make recommendations to the Crown Law Office. This process may involve finding witnesses and re-examining prosecution files that are several years old.</w:t>
      </w:r>
    </w:p>
    <w:p w14:paraId="7AA9C2DA" w14:textId="77777777" w:rsidR="00025FEB" w:rsidRPr="00D85A4F" w:rsidRDefault="00025FEB" w:rsidP="00025FEB"/>
    <w:p w14:paraId="5DA5216D" w14:textId="77777777" w:rsidR="00025FEB" w:rsidRPr="00D85A4F" w:rsidRDefault="00025FEB" w:rsidP="00025FEB">
      <w:r w:rsidRPr="00D85A4F">
        <w:t xml:space="preserve">Note that where a responsible clinician believes that the patient is no longer unfit to stand trial, and/or that the patient no longer needs to be subject to the order of detention as a special patient, their report must be sent directly to </w:t>
      </w:r>
      <w:proofErr w:type="gramStart"/>
      <w:r w:rsidRPr="00D85A4F">
        <w:t>all of</w:t>
      </w:r>
      <w:proofErr w:type="gramEnd"/>
      <w:r w:rsidRPr="00D85A4F">
        <w:t xml:space="preserve"> the following people:</w:t>
      </w:r>
    </w:p>
    <w:p w14:paraId="230032BC" w14:textId="77777777" w:rsidR="00025FEB" w:rsidRPr="00D85A4F" w:rsidRDefault="00025FEB" w:rsidP="00025FEB">
      <w:pPr>
        <w:pStyle w:val="Bullet"/>
        <w:tabs>
          <w:tab w:val="clear" w:pos="284"/>
        </w:tabs>
      </w:pPr>
      <w:r>
        <w:t xml:space="preserve">the </w:t>
      </w:r>
      <w:r w:rsidRPr="00D85A4F">
        <w:t xml:space="preserve">Attorney-General </w:t>
      </w:r>
    </w:p>
    <w:p w14:paraId="59A70B7F" w14:textId="77777777" w:rsidR="00025FEB" w:rsidRPr="00D85A4F" w:rsidRDefault="00025FEB" w:rsidP="00025FEB">
      <w:pPr>
        <w:pStyle w:val="Bullet"/>
        <w:tabs>
          <w:tab w:val="clear" w:pos="284"/>
        </w:tabs>
      </w:pPr>
      <w:r w:rsidRPr="00D85A4F">
        <w:t>the Director of Mental Health</w:t>
      </w:r>
    </w:p>
    <w:p w14:paraId="7870DFA0" w14:textId="77777777" w:rsidR="00025FEB" w:rsidRPr="00D85A4F" w:rsidRDefault="00025FEB" w:rsidP="00025FEB">
      <w:pPr>
        <w:pStyle w:val="Bullet"/>
        <w:tabs>
          <w:tab w:val="clear" w:pos="284"/>
        </w:tabs>
      </w:pPr>
      <w:r w:rsidRPr="00D85A4F">
        <w:t xml:space="preserve">each of the persons specified in section 76(7)(b) of the </w:t>
      </w:r>
      <w:r>
        <w:t>Mental Health Act</w:t>
      </w:r>
      <w:r w:rsidRPr="00D85A4F">
        <w:t xml:space="preserve"> (section 78 </w:t>
      </w:r>
      <w:r>
        <w:t xml:space="preserve">of </w:t>
      </w:r>
      <w:r w:rsidRPr="00D85A4F">
        <w:t xml:space="preserve">the </w:t>
      </w:r>
      <w:r>
        <w:t>Mental Health Act</w:t>
      </w:r>
      <w:r w:rsidRPr="00D85A4F">
        <w:t xml:space="preserve">).  </w:t>
      </w:r>
    </w:p>
    <w:p w14:paraId="1D3FEAD3" w14:textId="77777777" w:rsidR="00025FEB" w:rsidRDefault="00025FEB" w:rsidP="00025FEB"/>
    <w:p w14:paraId="38205122" w14:textId="77777777" w:rsidR="00025FEB" w:rsidRDefault="00025FEB" w:rsidP="00025FEB">
      <w:r w:rsidRPr="00D85A4F">
        <w:t>The report therefore needs to reflect the key issues about the patient’s progress and management rather than being a detailed clinical summary.</w:t>
      </w:r>
    </w:p>
    <w:p w14:paraId="4AD54CD5" w14:textId="77777777" w:rsidR="00025FEB" w:rsidRDefault="00025FEB" w:rsidP="00025FEB"/>
    <w:p w14:paraId="73F16C28" w14:textId="6F430117" w:rsidR="00025FEB" w:rsidRPr="00D85A4F" w:rsidRDefault="00025FEB" w:rsidP="00025FEB">
      <w:pPr>
        <w:pStyle w:val="Table"/>
      </w:pPr>
      <w:bookmarkStart w:id="195" w:name="_Toc112861586"/>
      <w:bookmarkStart w:id="196" w:name="_Toc116484646"/>
      <w:r>
        <w:lastRenderedPageBreak/>
        <w:t xml:space="preserve">Table </w:t>
      </w:r>
      <w:r>
        <w:fldChar w:fldCharType="begin"/>
      </w:r>
      <w:r>
        <w:instrText>SEQ Table \* ARABIC</w:instrText>
      </w:r>
      <w:r>
        <w:fldChar w:fldCharType="separate"/>
      </w:r>
      <w:r w:rsidR="00F25175">
        <w:rPr>
          <w:noProof/>
        </w:rPr>
        <w:t>13</w:t>
      </w:r>
      <w:r>
        <w:fldChar w:fldCharType="end"/>
      </w:r>
      <w:r>
        <w:t xml:space="preserve">: </w:t>
      </w:r>
      <w:r w:rsidRPr="00DF0810">
        <w:t>Information to support a request for change of status for a special patient now fit to stand trial</w:t>
      </w:r>
      <w:bookmarkEnd w:id="195"/>
      <w:bookmarkEnd w:id="196"/>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6F3C6117"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0FCF2023" w14:textId="77777777" w:rsidR="00025FEB" w:rsidRPr="00DC20BD" w:rsidRDefault="00025FEB" w:rsidP="00AD0359">
            <w:pPr>
              <w:pStyle w:val="TableT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18109DE2" w14:textId="77777777" w:rsidR="00025FEB" w:rsidRPr="00D85A4F" w:rsidRDefault="00025FEB" w:rsidP="00AD0359">
            <w:pPr>
              <w:pStyle w:val="TableText"/>
            </w:pPr>
            <w:r w:rsidRPr="00D85A4F">
              <w:t>A report from the responsible clinician, including:</w:t>
            </w:r>
          </w:p>
          <w:p w14:paraId="50859F4C" w14:textId="77777777" w:rsidR="00025FEB" w:rsidRPr="00D85A4F" w:rsidRDefault="00025FEB" w:rsidP="00025FEB">
            <w:pPr>
              <w:pStyle w:val="TableBullet"/>
              <w:spacing w:line="264" w:lineRule="auto"/>
            </w:pPr>
            <w:r w:rsidRPr="00D85A4F">
              <w:t>a current mental state assessment, including compliance with treatment</w:t>
            </w:r>
          </w:p>
          <w:p w14:paraId="313D094B" w14:textId="77777777" w:rsidR="00025FEB" w:rsidRPr="00D85A4F" w:rsidRDefault="00025FEB" w:rsidP="00025FEB">
            <w:pPr>
              <w:pStyle w:val="TableBullet"/>
              <w:spacing w:line="264" w:lineRule="auto"/>
            </w:pPr>
            <w:r w:rsidRPr="00D85A4F">
              <w:t>a section 77 certificate of clinical review.</w:t>
            </w:r>
          </w:p>
          <w:p w14:paraId="0D9A3E31" w14:textId="77777777" w:rsidR="00025FEB" w:rsidRPr="00D85A4F" w:rsidRDefault="00025FEB" w:rsidP="00AD0359">
            <w:pPr>
              <w:pStyle w:val="TableText"/>
            </w:pPr>
            <w:r w:rsidRPr="00D85A4F">
              <w:t>If not provided in the SPRP report, the following information should be specifically addressed:</w:t>
            </w:r>
          </w:p>
          <w:p w14:paraId="71509D43" w14:textId="77777777" w:rsidR="00025FEB" w:rsidRPr="00D85A4F" w:rsidRDefault="00025FEB" w:rsidP="00025FEB">
            <w:pPr>
              <w:pStyle w:val="TableBullet"/>
              <w:spacing w:line="264" w:lineRule="auto"/>
            </w:pPr>
            <w:r w:rsidRPr="00D85A4F">
              <w:t>comment specifically addressing the patient’s fitness to stand trial</w:t>
            </w:r>
          </w:p>
          <w:p w14:paraId="3CAE0DC6" w14:textId="77777777" w:rsidR="00025FEB" w:rsidRPr="00D85A4F" w:rsidRDefault="00025FEB" w:rsidP="00025FEB">
            <w:pPr>
              <w:pStyle w:val="TableBullet"/>
              <w:spacing w:line="264" w:lineRule="auto"/>
            </w:pPr>
            <w:r w:rsidRPr="00D85A4F">
              <w:t>how the factors leading to the index offence have been addressed and the measures taken to reduce the chance of future offending</w:t>
            </w:r>
          </w:p>
          <w:p w14:paraId="7C533746" w14:textId="77777777" w:rsidR="00025FEB" w:rsidRPr="00D85A4F" w:rsidRDefault="00025FEB" w:rsidP="00025FEB">
            <w:pPr>
              <w:pStyle w:val="TableBullet"/>
              <w:spacing w:line="264" w:lineRule="auto"/>
            </w:pPr>
            <w:r w:rsidRPr="00D85A4F">
              <w:t>specific comment on alcohol and drug use</w:t>
            </w:r>
          </w:p>
          <w:p w14:paraId="1F7C6A2C" w14:textId="77777777" w:rsidR="00025FEB" w:rsidRPr="00D85A4F" w:rsidRDefault="00025FEB" w:rsidP="00025FEB">
            <w:pPr>
              <w:pStyle w:val="TableBullet"/>
              <w:spacing w:line="264" w:lineRule="auto"/>
            </w:pPr>
            <w:r w:rsidRPr="00D85A4F">
              <w:t>plans for the patient’s ongoing management by mental health services if a decision is reached that they should be detained subject to compulsory treatment status – this is particularly important if the patient may not continue to meet the criteria for compulsory treatment</w:t>
            </w:r>
          </w:p>
          <w:p w14:paraId="0301E9A3" w14:textId="77777777" w:rsidR="00025FEB" w:rsidRPr="00D85A4F" w:rsidRDefault="00025FEB" w:rsidP="00025FEB">
            <w:pPr>
              <w:pStyle w:val="TableBullet"/>
              <w:spacing w:line="264" w:lineRule="auto"/>
            </w:pPr>
            <w:r w:rsidRPr="00D85A4F">
              <w:t>flight risk assessment and management</w:t>
            </w:r>
          </w:p>
          <w:p w14:paraId="7B6CC8E9" w14:textId="77777777" w:rsidR="00025FEB" w:rsidRPr="00D85A4F" w:rsidRDefault="00025FEB" w:rsidP="00025FEB">
            <w:pPr>
              <w:pStyle w:val="TableBullet"/>
              <w:spacing w:line="264" w:lineRule="auto"/>
            </w:pPr>
            <w:r w:rsidRPr="00D85A4F">
              <w:t>consideration of the needs of any children of the patient, particularly if the index offence took place within the family.</w:t>
            </w:r>
          </w:p>
          <w:p w14:paraId="1764836B" w14:textId="77777777" w:rsidR="00025FEB" w:rsidRPr="00D85A4F" w:rsidRDefault="00025FEB" w:rsidP="00025FEB">
            <w:pPr>
              <w:pStyle w:val="TableBullet"/>
              <w:spacing w:line="264" w:lineRule="auto"/>
            </w:pPr>
            <w:r w:rsidRPr="00D85A4F">
              <w:t>comment on matters relating to the offending (</w:t>
            </w:r>
            <w:r>
              <w:t>for example</w:t>
            </w:r>
            <w:r w:rsidRPr="00D85A4F">
              <w:t>, insight into the offending, relationship with victims)</w:t>
            </w:r>
          </w:p>
          <w:p w14:paraId="06125227" w14:textId="77777777" w:rsidR="00025FEB" w:rsidRPr="00D85A4F" w:rsidRDefault="00025FEB" w:rsidP="00025FEB">
            <w:pPr>
              <w:pStyle w:val="TableBullet"/>
              <w:spacing w:line="264" w:lineRule="auto"/>
            </w:pPr>
            <w:r w:rsidRPr="00D85A4F">
              <w:t>comment on matters relating to the risk presented by the patient, particularly in relation to victims of previous offending</w:t>
            </w:r>
          </w:p>
          <w:p w14:paraId="07E65114" w14:textId="77777777" w:rsidR="00025FEB" w:rsidRPr="00D85A4F" w:rsidRDefault="00025FEB" w:rsidP="00025FEB">
            <w:pPr>
              <w:pStyle w:val="TableBullet"/>
              <w:spacing w:line="264" w:lineRule="auto"/>
            </w:pPr>
            <w:r w:rsidRPr="00D85A4F">
              <w:t xml:space="preserve">if relevant, advice on whether the patient meets the criteria for an insanity plea. </w:t>
            </w:r>
          </w:p>
          <w:p w14:paraId="29C11481" w14:textId="77777777" w:rsidR="00025FEB" w:rsidRPr="006454DE" w:rsidRDefault="00025FEB" w:rsidP="00AD0359">
            <w:pPr>
              <w:pStyle w:val="TableText"/>
            </w:pPr>
            <w:r w:rsidRPr="00D85A4F">
              <w:t>A recent SPRP report must be provided with the application. In practice</w:t>
            </w:r>
            <w:r>
              <w:t>,</w:t>
            </w:r>
            <w:r w:rsidRPr="00D85A4F">
              <w:t xml:space="preserve"> this information will be uploaded into the </w:t>
            </w:r>
            <w:r>
              <w:t>SPMS</w:t>
            </w:r>
            <w:r w:rsidRPr="00D85A4F">
              <w:t>.</w:t>
            </w:r>
          </w:p>
        </w:tc>
      </w:tr>
      <w:tr w:rsidR="00025FEB" w:rsidRPr="00DC20BD" w14:paraId="6299A4B9"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7A65B373" w14:textId="77777777" w:rsidR="00025FEB" w:rsidRPr="00D85A4F" w:rsidRDefault="00025FEB" w:rsidP="00AD0359">
            <w:pPr>
              <w:pStyle w:val="TableText"/>
            </w:pPr>
            <w:r w:rsidRPr="00D85A4F">
              <w:t>Timeframe</w:t>
            </w:r>
          </w:p>
        </w:tc>
        <w:tc>
          <w:tcPr>
            <w:tcW w:w="6861" w:type="dxa"/>
            <w:tcBorders>
              <w:top w:val="single" w:sz="4" w:space="0" w:color="A6A6A6" w:themeColor="background1" w:themeShade="A6"/>
              <w:bottom w:val="single" w:sz="4" w:space="0" w:color="A6A6A6" w:themeColor="background1" w:themeShade="A6"/>
            </w:tcBorders>
          </w:tcPr>
          <w:p w14:paraId="2AA24BF9" w14:textId="77777777" w:rsidR="00025FEB" w:rsidRPr="00D85A4F" w:rsidRDefault="00025FEB" w:rsidP="00AD0359">
            <w:pPr>
              <w:pStyle w:val="TableText"/>
            </w:pPr>
            <w:r>
              <w:t xml:space="preserve">The </w:t>
            </w:r>
            <w:r w:rsidRPr="00D85A4F">
              <w:t xml:space="preserve">Office of the Director </w:t>
            </w:r>
            <w:r>
              <w:t xml:space="preserve">must </w:t>
            </w:r>
            <w:r w:rsidRPr="00D85A4F">
              <w:t xml:space="preserve">send </w:t>
            </w:r>
            <w:r>
              <w:t xml:space="preserve">the </w:t>
            </w:r>
            <w:r w:rsidRPr="00D85A4F">
              <w:t xml:space="preserve">covering letter and associated material to </w:t>
            </w:r>
            <w:r>
              <w:t xml:space="preserve">the </w:t>
            </w:r>
            <w:r w:rsidRPr="00D85A4F">
              <w:t>Crown Law office within 10 working days of receipt.</w:t>
            </w:r>
          </w:p>
          <w:p w14:paraId="2F49596A" w14:textId="77777777" w:rsidR="00025FEB" w:rsidRPr="00D85A4F" w:rsidRDefault="00025FEB" w:rsidP="00AD0359">
            <w:pPr>
              <w:pStyle w:val="TableText"/>
            </w:pPr>
            <w:r w:rsidRPr="00D85A4F">
              <w:t xml:space="preserve">Note: because of the need to access information from the </w:t>
            </w:r>
            <w:r>
              <w:t>p</w:t>
            </w:r>
            <w:r w:rsidRPr="00D85A4F">
              <w:t>olice, decisions from the Attorney-General can take up to several months.</w:t>
            </w:r>
          </w:p>
          <w:p w14:paraId="2BF7F5B3" w14:textId="77777777" w:rsidR="00025FEB" w:rsidRPr="00D85A4F" w:rsidRDefault="00025FEB" w:rsidP="00AD0359">
            <w:pPr>
              <w:pStyle w:val="TableText"/>
            </w:pPr>
            <w:r w:rsidRPr="00D85A4F">
              <w:rPr>
                <w:bCs/>
              </w:rPr>
              <w:t>NB:</w:t>
            </w:r>
            <w:r w:rsidRPr="00D85A4F">
              <w:t xml:space="preserve"> Incomplete information will result in delays in providing a report to the Crown Law Office.</w:t>
            </w:r>
          </w:p>
        </w:tc>
      </w:tr>
    </w:tbl>
    <w:p w14:paraId="3B513F19" w14:textId="77777777" w:rsidR="00025FEB" w:rsidRPr="00D85A4F" w:rsidRDefault="00025FEB" w:rsidP="00025FEB"/>
    <w:p w14:paraId="36EE7F85" w14:textId="77777777" w:rsidR="00025FEB" w:rsidRPr="00D85A4F" w:rsidRDefault="00025FEB" w:rsidP="00025FEB">
      <w:r>
        <w:t xml:space="preserve">A </w:t>
      </w:r>
      <w:r w:rsidRPr="00D85A4F">
        <w:t xml:space="preserve">patient who is directed to return to </w:t>
      </w:r>
      <w:r>
        <w:t>c</w:t>
      </w:r>
      <w:r w:rsidRPr="00D85A4F">
        <w:t xml:space="preserve">ourt should continue to be treated as a special patient until the </w:t>
      </w:r>
      <w:r>
        <w:t>c</w:t>
      </w:r>
      <w:r w:rsidRPr="00D85A4F">
        <w:t xml:space="preserve">ourt has </w:t>
      </w:r>
      <w:proofErr w:type="gramStart"/>
      <w:r w:rsidRPr="00D85A4F">
        <w:t>made a decision</w:t>
      </w:r>
      <w:proofErr w:type="gramEnd"/>
      <w:r w:rsidRPr="00D85A4F">
        <w:t xml:space="preserve"> about the patient’s future status.</w:t>
      </w:r>
    </w:p>
    <w:p w14:paraId="769ED832" w14:textId="77777777" w:rsidR="00025FEB" w:rsidRPr="00D85A4F" w:rsidRDefault="00025FEB" w:rsidP="00025FEB"/>
    <w:p w14:paraId="46D8EFEC" w14:textId="77777777" w:rsidR="00025FEB" w:rsidRPr="00D85A4F" w:rsidRDefault="00025FEB" w:rsidP="00025FEB">
      <w:r w:rsidRPr="00D85A4F">
        <w:t xml:space="preserve">The </w:t>
      </w:r>
      <w:r>
        <w:t>c</w:t>
      </w:r>
      <w:r w:rsidRPr="00D85A4F">
        <w:t xml:space="preserve">ourt may order that a person be detained in a hospital or secure facility for the purpose of an assessment under </w:t>
      </w:r>
      <w:r w:rsidRPr="00E1307D">
        <w:t>section 38 of the CP(MIP)</w:t>
      </w:r>
      <w:r w:rsidRPr="00D85A4F">
        <w:t xml:space="preserve"> Act, in which case they continue to be a special patient.</w:t>
      </w:r>
    </w:p>
    <w:p w14:paraId="0B791105" w14:textId="77777777" w:rsidR="00025FEB" w:rsidRPr="00D85A4F" w:rsidRDefault="00025FEB" w:rsidP="00025FEB"/>
    <w:p w14:paraId="3E8EAFF4" w14:textId="77777777" w:rsidR="00025FEB" w:rsidRPr="00D85A4F" w:rsidRDefault="00025FEB" w:rsidP="00025FEB">
      <w:r w:rsidRPr="00D85A4F">
        <w:t xml:space="preserve">If, on returning to </w:t>
      </w:r>
      <w:r>
        <w:t>c</w:t>
      </w:r>
      <w:r w:rsidRPr="00D85A4F">
        <w:t xml:space="preserve">ourt, the patient is remanded on bail, the DAMHS in consultation with the patient’s responsible clinician should consider whether it is appropriate for an application to be made under the </w:t>
      </w:r>
      <w:r>
        <w:t>Mental Health Act</w:t>
      </w:r>
      <w:r w:rsidRPr="00D85A4F">
        <w:t xml:space="preserve"> to ensure ongoing treatment until such time as the </w:t>
      </w:r>
      <w:r>
        <w:t>c</w:t>
      </w:r>
      <w:r w:rsidRPr="00D85A4F">
        <w:t>ourt determines the appropriate disposition for the patient.</w:t>
      </w:r>
    </w:p>
    <w:p w14:paraId="0300F3E5" w14:textId="77777777" w:rsidR="00025FEB" w:rsidRPr="00D85A4F" w:rsidRDefault="00025FEB" w:rsidP="00025FEB"/>
    <w:p w14:paraId="569939E8" w14:textId="77777777" w:rsidR="00025FEB" w:rsidRPr="00D85A4F" w:rsidRDefault="00025FEB" w:rsidP="00025FEB">
      <w:pPr>
        <w:pStyle w:val="Heading2"/>
      </w:pPr>
      <w:bookmarkStart w:id="197" w:name="_Toc377543406"/>
      <w:bookmarkStart w:id="198" w:name="_Toc441658602"/>
      <w:bookmarkStart w:id="199" w:name="_Toc83197083"/>
      <w:bookmarkStart w:id="200" w:name="_Toc112845468"/>
      <w:bookmarkStart w:id="201" w:name="_Toc112862072"/>
      <w:bookmarkStart w:id="202" w:name="_Toc116484613"/>
      <w:r w:rsidRPr="00D85A4F">
        <w:lastRenderedPageBreak/>
        <w:t>Unfit to stand trial: end of maximum period of detention</w:t>
      </w:r>
      <w:bookmarkEnd w:id="197"/>
      <w:bookmarkEnd w:id="198"/>
      <w:bookmarkEnd w:id="199"/>
      <w:bookmarkEnd w:id="200"/>
      <w:bookmarkEnd w:id="201"/>
      <w:bookmarkEnd w:id="202"/>
    </w:p>
    <w:p w14:paraId="4F4F6F72" w14:textId="77777777" w:rsidR="00025FEB" w:rsidRPr="00D85A4F" w:rsidRDefault="00025FEB" w:rsidP="00025FEB">
      <w:pPr>
        <w:keepLines/>
      </w:pPr>
      <w:r w:rsidRPr="00D85A4F">
        <w:t xml:space="preserve">Special patients found unfit to stand trial remain subject to special patient status for the maximum period of detention (see section 8.2 above). Although the patient’s legal status automatically </w:t>
      </w:r>
      <w:r w:rsidRPr="00A163D1">
        <w:t xml:space="preserve">changes from </w:t>
      </w:r>
      <w:r>
        <w:t>‘</w:t>
      </w:r>
      <w:r w:rsidRPr="00A163D1">
        <w:t>special patient</w:t>
      </w:r>
      <w:r>
        <w:t>’</w:t>
      </w:r>
      <w:r w:rsidRPr="00A163D1">
        <w:t xml:space="preserve"> to </w:t>
      </w:r>
      <w:r>
        <w:t>‘</w:t>
      </w:r>
      <w:r w:rsidRPr="00A163D1">
        <w:t>patient</w:t>
      </w:r>
      <w:r>
        <w:t>’</w:t>
      </w:r>
      <w:r w:rsidRPr="00A163D1">
        <w:t xml:space="preserve"> at the end of the maximum period of detention, the</w:t>
      </w:r>
      <w:r w:rsidRPr="00D85A4F">
        <w:t xml:space="preserve"> Attorney-General is still required to provide a direction in relation to the change of status (section 31(4) </w:t>
      </w:r>
      <w:r>
        <w:t xml:space="preserve">of </w:t>
      </w:r>
      <w:r w:rsidRPr="00D85A4F">
        <w:t>the CP(MIP) Act). In effect, this means that that the Office of the Director will send a covering letter and accompanying material to the Crown Law Office.</w:t>
      </w:r>
    </w:p>
    <w:p w14:paraId="3573440D" w14:textId="77777777" w:rsidR="00025FEB" w:rsidRDefault="00025FEB" w:rsidP="00025FEB"/>
    <w:p w14:paraId="2206862F" w14:textId="4C39ADFE" w:rsidR="00025FEB" w:rsidRPr="00D85A4F" w:rsidRDefault="00025FEB" w:rsidP="00025FEB">
      <w:pPr>
        <w:pStyle w:val="Table"/>
      </w:pPr>
      <w:bookmarkStart w:id="203" w:name="_Toc112861587"/>
      <w:bookmarkStart w:id="204" w:name="_Toc116484647"/>
      <w:r>
        <w:t xml:space="preserve">Table </w:t>
      </w:r>
      <w:r>
        <w:fldChar w:fldCharType="begin"/>
      </w:r>
      <w:r>
        <w:instrText>SEQ Table \* ARABIC</w:instrText>
      </w:r>
      <w:r>
        <w:fldChar w:fldCharType="separate"/>
      </w:r>
      <w:r w:rsidR="00F25175">
        <w:rPr>
          <w:noProof/>
        </w:rPr>
        <w:t>14</w:t>
      </w:r>
      <w:r>
        <w:fldChar w:fldCharType="end"/>
      </w:r>
      <w:r>
        <w:t xml:space="preserve">: </w:t>
      </w:r>
      <w:r w:rsidRPr="00DF0810">
        <w:t>Information to support a change of status for a special patient at the end of the maximum period of detention</w:t>
      </w:r>
      <w:bookmarkEnd w:id="203"/>
      <w:bookmarkEnd w:id="204"/>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36981B67"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6F567C48" w14:textId="77777777" w:rsidR="00025FEB" w:rsidRPr="00DC20BD" w:rsidRDefault="00025FEB" w:rsidP="00AD0359">
            <w:pPr>
              <w:pStyle w:val="TableT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63EAD3BC" w14:textId="77777777" w:rsidR="00025FEB" w:rsidRPr="00D85A4F" w:rsidRDefault="00025FEB" w:rsidP="00AD0359">
            <w:pPr>
              <w:pStyle w:val="TableText"/>
            </w:pPr>
            <w:r w:rsidRPr="00D85A4F">
              <w:t>A letter from the responsible clinician, including:</w:t>
            </w:r>
          </w:p>
          <w:p w14:paraId="42C9BD9F" w14:textId="77777777" w:rsidR="00025FEB" w:rsidRPr="00D85A4F" w:rsidRDefault="00025FEB" w:rsidP="00025FEB">
            <w:pPr>
              <w:pStyle w:val="TableBullet"/>
              <w:spacing w:line="264" w:lineRule="auto"/>
            </w:pPr>
            <w:r w:rsidRPr="00D85A4F">
              <w:t>a current mental state assessment, including compliance with treatment</w:t>
            </w:r>
          </w:p>
          <w:p w14:paraId="507C4CEF" w14:textId="77777777" w:rsidR="00025FEB" w:rsidRPr="00D85A4F" w:rsidRDefault="00025FEB" w:rsidP="00025FEB">
            <w:pPr>
              <w:pStyle w:val="TableBullet"/>
              <w:spacing w:line="264" w:lineRule="auto"/>
            </w:pPr>
            <w:r w:rsidRPr="00D85A4F">
              <w:t>a section 77 certificate of clinical review.</w:t>
            </w:r>
          </w:p>
          <w:p w14:paraId="4BA0544D" w14:textId="77777777" w:rsidR="00025FEB" w:rsidRPr="00D85A4F" w:rsidRDefault="00025FEB" w:rsidP="00AD0359">
            <w:pPr>
              <w:pStyle w:val="TableText"/>
            </w:pPr>
            <w:r w:rsidRPr="00D85A4F">
              <w:t>If not provided in a current SPRP report, the following information should be specifically addressed:</w:t>
            </w:r>
          </w:p>
          <w:p w14:paraId="60CEE1E4" w14:textId="77777777" w:rsidR="00025FEB" w:rsidRPr="00D85A4F" w:rsidRDefault="00025FEB" w:rsidP="00025FEB">
            <w:pPr>
              <w:pStyle w:val="TableBullet"/>
              <w:spacing w:line="264" w:lineRule="auto"/>
            </w:pPr>
            <w:r w:rsidRPr="00D85A4F">
              <w:t>how the factors leading to the index offence have been addressed and the measure taken to reduce the chance of future offending</w:t>
            </w:r>
          </w:p>
          <w:p w14:paraId="7BBCD273" w14:textId="77777777" w:rsidR="00025FEB" w:rsidRPr="00D85A4F" w:rsidRDefault="00025FEB" w:rsidP="00025FEB">
            <w:pPr>
              <w:pStyle w:val="TableBullet"/>
              <w:spacing w:line="264" w:lineRule="auto"/>
            </w:pPr>
            <w:r w:rsidRPr="00D85A4F">
              <w:t>specific comment on alcohol and drug use</w:t>
            </w:r>
          </w:p>
          <w:p w14:paraId="15E271D4" w14:textId="77777777" w:rsidR="00025FEB" w:rsidRPr="00D85A4F" w:rsidRDefault="00025FEB" w:rsidP="00025FEB">
            <w:pPr>
              <w:pStyle w:val="TableBullet"/>
              <w:spacing w:line="264" w:lineRule="auto"/>
            </w:pPr>
            <w:r w:rsidRPr="00D85A4F">
              <w:t>plans for the patient’s ongoing management by mental health services if a decision is reached that they should be detained subject to compulsory treatment status – this is particularly important if the patient may not continue to meet the criteria for compulsory treatment</w:t>
            </w:r>
          </w:p>
          <w:p w14:paraId="2B3582CC" w14:textId="77777777" w:rsidR="00025FEB" w:rsidRPr="00D85A4F" w:rsidRDefault="00025FEB" w:rsidP="00025FEB">
            <w:pPr>
              <w:pStyle w:val="TableBullet"/>
              <w:spacing w:line="264" w:lineRule="auto"/>
            </w:pPr>
            <w:r w:rsidRPr="00D85A4F">
              <w:t>flight risk assessment and management</w:t>
            </w:r>
          </w:p>
          <w:p w14:paraId="3EE7891A" w14:textId="77777777" w:rsidR="00025FEB" w:rsidRPr="00D85A4F" w:rsidRDefault="00025FEB" w:rsidP="00025FEB">
            <w:pPr>
              <w:pStyle w:val="TableBullet"/>
              <w:spacing w:line="264" w:lineRule="auto"/>
            </w:pPr>
            <w:r w:rsidRPr="00D85A4F">
              <w:t xml:space="preserve">what </w:t>
            </w:r>
            <w:proofErr w:type="spellStart"/>
            <w:r w:rsidRPr="00D85A4F">
              <w:t>wh</w:t>
            </w:r>
            <w:r w:rsidRPr="00D85A4F">
              <w:rPr>
                <w:rFonts w:cs="Arial"/>
              </w:rPr>
              <w:t>ā</w:t>
            </w:r>
            <w:r w:rsidRPr="00D85A4F">
              <w:t>nau</w:t>
            </w:r>
            <w:proofErr w:type="spellEnd"/>
            <w:r w:rsidRPr="00D85A4F">
              <w:t xml:space="preserve"> support is available</w:t>
            </w:r>
          </w:p>
          <w:p w14:paraId="53837EBD" w14:textId="77777777" w:rsidR="00025FEB" w:rsidRPr="00D85A4F" w:rsidRDefault="00025FEB" w:rsidP="00025FEB">
            <w:pPr>
              <w:pStyle w:val="TableBullet"/>
              <w:spacing w:line="264" w:lineRule="auto"/>
            </w:pPr>
            <w:r w:rsidRPr="00D85A4F">
              <w:t>consideration of the needs of any children of the patient, particularly if the index offence took place within the family</w:t>
            </w:r>
          </w:p>
          <w:p w14:paraId="76A1FFC2" w14:textId="77777777" w:rsidR="00025FEB" w:rsidRPr="00D85A4F" w:rsidRDefault="00025FEB" w:rsidP="00025FEB">
            <w:pPr>
              <w:pStyle w:val="TableBullet"/>
              <w:spacing w:line="264" w:lineRule="auto"/>
            </w:pPr>
            <w:r w:rsidRPr="00D85A4F">
              <w:t>comment on matters relating to the offending (</w:t>
            </w:r>
            <w:r>
              <w:t>for example</w:t>
            </w:r>
            <w:r w:rsidRPr="00D85A4F">
              <w:t>, insight into the offending, relationship with victims).</w:t>
            </w:r>
          </w:p>
          <w:p w14:paraId="3FDDB348" w14:textId="77777777" w:rsidR="00025FEB" w:rsidRPr="00D85A4F" w:rsidRDefault="00025FEB" w:rsidP="00025FEB">
            <w:pPr>
              <w:pStyle w:val="TableBullet"/>
              <w:spacing w:line="264" w:lineRule="auto"/>
            </w:pPr>
            <w:r w:rsidRPr="00D85A4F">
              <w:t>comment on matters relating to the risk presented by the patient, particularly in relation to victims of previous offending</w:t>
            </w:r>
          </w:p>
          <w:p w14:paraId="3733AA19" w14:textId="77777777" w:rsidR="00025FEB" w:rsidRPr="00D85A4F" w:rsidRDefault="00025FEB" w:rsidP="00AD0359">
            <w:pPr>
              <w:pStyle w:val="TableText"/>
            </w:pPr>
            <w:r w:rsidRPr="00D85A4F">
              <w:t>A recent SPRP report must be provided with the application. In practice</w:t>
            </w:r>
            <w:r>
              <w:t>,</w:t>
            </w:r>
            <w:r w:rsidRPr="00D85A4F">
              <w:t xml:space="preserve"> this information will be uploaded into the </w:t>
            </w:r>
            <w:r>
              <w:t>SPMS</w:t>
            </w:r>
            <w:r w:rsidRPr="00D85A4F">
              <w:t>.</w:t>
            </w:r>
          </w:p>
          <w:p w14:paraId="54114BDC" w14:textId="77777777" w:rsidR="00025FEB" w:rsidRPr="006454DE" w:rsidRDefault="00025FEB" w:rsidP="00AD0359">
            <w:pPr>
              <w:pStyle w:val="TableText"/>
            </w:pPr>
            <w:r w:rsidRPr="00D85A4F">
              <w:t xml:space="preserve">NB: A new certificate of clinical review is not required when the patient reaches the end of </w:t>
            </w:r>
            <w:r>
              <w:t xml:space="preserve">their </w:t>
            </w:r>
            <w:r w:rsidRPr="00D85A4F">
              <w:t>maximum period of detention.</w:t>
            </w:r>
          </w:p>
        </w:tc>
      </w:tr>
      <w:tr w:rsidR="00025FEB" w:rsidRPr="00DC20BD" w14:paraId="49AC64E0"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04600827" w14:textId="77777777" w:rsidR="00025FEB" w:rsidRPr="00D85A4F" w:rsidRDefault="00025FEB" w:rsidP="00AD0359">
            <w:pPr>
              <w:pStyle w:val="TableText"/>
            </w:pPr>
            <w:r w:rsidRPr="00D85A4F">
              <w:t>Timeframe</w:t>
            </w:r>
          </w:p>
        </w:tc>
        <w:tc>
          <w:tcPr>
            <w:tcW w:w="6861" w:type="dxa"/>
            <w:tcBorders>
              <w:top w:val="single" w:sz="4" w:space="0" w:color="A6A6A6" w:themeColor="background1" w:themeShade="A6"/>
              <w:bottom w:val="single" w:sz="4" w:space="0" w:color="A6A6A6" w:themeColor="background1" w:themeShade="A6"/>
            </w:tcBorders>
          </w:tcPr>
          <w:p w14:paraId="73256973" w14:textId="77777777" w:rsidR="00025FEB" w:rsidRPr="00D85A4F" w:rsidRDefault="00025FEB" w:rsidP="00AD0359">
            <w:pPr>
              <w:pStyle w:val="TableText"/>
            </w:pPr>
            <w:r>
              <w:t xml:space="preserve">The Office of the Director must </w:t>
            </w:r>
            <w:r w:rsidRPr="00D85A4F">
              <w:t xml:space="preserve">notify </w:t>
            </w:r>
            <w:r>
              <w:t xml:space="preserve">the </w:t>
            </w:r>
            <w:r w:rsidRPr="00D85A4F">
              <w:t>service that the period of detention is due to expire six weeks prior to the expiry date.</w:t>
            </w:r>
          </w:p>
          <w:p w14:paraId="7D4B6433" w14:textId="77777777" w:rsidR="00025FEB" w:rsidRPr="00D85A4F" w:rsidRDefault="00025FEB" w:rsidP="00AD0359">
            <w:pPr>
              <w:pStyle w:val="TableText"/>
            </w:pPr>
            <w:r>
              <w:t xml:space="preserve">The Office of the Director must </w:t>
            </w:r>
            <w:r w:rsidRPr="00D85A4F">
              <w:t xml:space="preserve">send </w:t>
            </w:r>
            <w:r>
              <w:t xml:space="preserve">a </w:t>
            </w:r>
            <w:r w:rsidRPr="00D85A4F">
              <w:t>covering letter and associated material to the Crown Law office within 10 working days and advise the service by email.</w:t>
            </w:r>
          </w:p>
          <w:p w14:paraId="504FE972" w14:textId="77777777" w:rsidR="00025FEB" w:rsidRPr="00D85A4F" w:rsidRDefault="00025FEB" w:rsidP="00AD0359">
            <w:pPr>
              <w:pStyle w:val="TableText"/>
            </w:pPr>
            <w:r>
              <w:t xml:space="preserve">The Office of the Director will </w:t>
            </w:r>
            <w:r w:rsidRPr="00D85A4F">
              <w:t>receive a signed warrant from the Attorney-General, usually 3–5 working days after the expiry of the maximum period of detention.</w:t>
            </w:r>
          </w:p>
          <w:p w14:paraId="24BB8A11" w14:textId="77777777" w:rsidR="00025FEB" w:rsidRPr="00D85A4F" w:rsidRDefault="00025FEB" w:rsidP="00AD0359">
            <w:pPr>
              <w:pStyle w:val="TableText"/>
            </w:pPr>
            <w:r>
              <w:t xml:space="preserve">The Office of the Director must the </w:t>
            </w:r>
            <w:r w:rsidRPr="00D85A4F">
              <w:t>send warrant to the DAMHS upon receipt.</w:t>
            </w:r>
          </w:p>
        </w:tc>
      </w:tr>
    </w:tbl>
    <w:p w14:paraId="75A6AFC7" w14:textId="77777777" w:rsidR="00025FEB" w:rsidRDefault="00025FEB" w:rsidP="00025FEB"/>
    <w:p w14:paraId="16B24D4C" w14:textId="77777777" w:rsidR="00025FEB" w:rsidRPr="00621805" w:rsidRDefault="00025FEB" w:rsidP="00025FEB">
      <w:pPr>
        <w:rPr>
          <w:szCs w:val="22"/>
        </w:rPr>
      </w:pPr>
      <w:r w:rsidRPr="00621805">
        <w:rPr>
          <w:szCs w:val="22"/>
        </w:rPr>
        <w:lastRenderedPageBreak/>
        <w:t>The status of a special patient following the maximum period of detention, but before receipt of the Attorney-General's direction, is unclear. The Ministry recommends that the patient continue to be regarded as a special patient until the DAMHS has received the Attorney-General's direction.</w:t>
      </w:r>
    </w:p>
    <w:p w14:paraId="514C1495" w14:textId="77777777" w:rsidR="00025FEB" w:rsidRDefault="00025FEB" w:rsidP="00025FEB"/>
    <w:p w14:paraId="6EBE65E7" w14:textId="6CBD30C9" w:rsidR="00025FEB" w:rsidRPr="00D85A4F" w:rsidRDefault="00025FEB" w:rsidP="00025FEB">
      <w:pPr>
        <w:pStyle w:val="Table"/>
      </w:pPr>
      <w:bookmarkStart w:id="205" w:name="_Toc112861588"/>
      <w:bookmarkStart w:id="206" w:name="_Toc116484648"/>
      <w:r>
        <w:t xml:space="preserve">Table </w:t>
      </w:r>
      <w:r>
        <w:fldChar w:fldCharType="begin"/>
      </w:r>
      <w:r>
        <w:instrText>SEQ Table \* ARABIC</w:instrText>
      </w:r>
      <w:r>
        <w:fldChar w:fldCharType="separate"/>
      </w:r>
      <w:r w:rsidR="00F25175">
        <w:rPr>
          <w:noProof/>
        </w:rPr>
        <w:t>15</w:t>
      </w:r>
      <w:r>
        <w:fldChar w:fldCharType="end"/>
      </w:r>
      <w:r>
        <w:t xml:space="preserve">: </w:t>
      </w:r>
      <w:r w:rsidRPr="00DF0810">
        <w:t>Protocol for special patients and special care recipients approaching maximum detention dates</w:t>
      </w:r>
      <w:bookmarkEnd w:id="205"/>
      <w:bookmarkEnd w:id="206"/>
    </w:p>
    <w:tbl>
      <w:tblPr>
        <w:tblStyle w:val="TableGrid"/>
        <w:tblW w:w="8023"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69"/>
        <w:gridCol w:w="4252"/>
        <w:gridCol w:w="1843"/>
        <w:gridCol w:w="1559"/>
      </w:tblGrid>
      <w:tr w:rsidR="00025FEB" w:rsidRPr="00DC20BD" w14:paraId="28E9D3DE" w14:textId="77777777" w:rsidTr="00AD0359">
        <w:trPr>
          <w:cantSplit/>
        </w:trPr>
        <w:tc>
          <w:tcPr>
            <w:tcW w:w="369"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19583D97" w14:textId="77777777" w:rsidR="00025FEB" w:rsidRPr="00D85A4F" w:rsidRDefault="00025FEB" w:rsidP="00AD0359">
            <w:pPr>
              <w:pStyle w:val="TableText"/>
            </w:pPr>
          </w:p>
        </w:tc>
        <w:tc>
          <w:tcPr>
            <w:tcW w:w="4252"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693F8845" w14:textId="77777777" w:rsidR="00025FEB" w:rsidRPr="00D85A4F" w:rsidRDefault="00025FEB" w:rsidP="00AD0359">
            <w:pPr>
              <w:pStyle w:val="TableText"/>
              <w:ind w:left="57"/>
            </w:pPr>
            <w:r w:rsidRPr="00621805">
              <w:rPr>
                <w:rFonts w:cs="Times"/>
                <w:b/>
                <w:bCs/>
                <w:szCs w:val="22"/>
              </w:rPr>
              <w:t>Task</w:t>
            </w:r>
          </w:p>
        </w:tc>
        <w:tc>
          <w:tcPr>
            <w:tcW w:w="1843"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455BA4AB" w14:textId="77777777" w:rsidR="00025FEB" w:rsidRPr="00D85A4F" w:rsidRDefault="00025FEB" w:rsidP="00AD0359">
            <w:pPr>
              <w:pStyle w:val="TableText"/>
              <w:ind w:left="57"/>
            </w:pPr>
            <w:r w:rsidRPr="00621805">
              <w:rPr>
                <w:rFonts w:cs="Times"/>
                <w:b/>
                <w:bCs/>
                <w:szCs w:val="22"/>
              </w:rPr>
              <w:t>Timeframe</w:t>
            </w:r>
          </w:p>
        </w:tc>
        <w:tc>
          <w:tcPr>
            <w:tcW w:w="1559"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67C919A6" w14:textId="77777777" w:rsidR="00025FEB" w:rsidRPr="00D85A4F" w:rsidRDefault="00025FEB" w:rsidP="00AD0359">
            <w:pPr>
              <w:pStyle w:val="TableText"/>
              <w:ind w:left="57"/>
            </w:pPr>
            <w:r w:rsidRPr="00621805">
              <w:rPr>
                <w:rFonts w:cs="Times"/>
                <w:b/>
                <w:bCs/>
                <w:szCs w:val="22"/>
              </w:rPr>
              <w:t>Agency</w:t>
            </w:r>
          </w:p>
        </w:tc>
      </w:tr>
      <w:tr w:rsidR="00025FEB" w:rsidRPr="00DC20BD" w14:paraId="73433D3B" w14:textId="77777777" w:rsidTr="00AD0359">
        <w:trPr>
          <w:cantSplit/>
        </w:trPr>
        <w:tc>
          <w:tcPr>
            <w:tcW w:w="369" w:type="dxa"/>
            <w:tcBorders>
              <w:top w:val="single" w:sz="4" w:space="0" w:color="A6A6A6" w:themeColor="background1" w:themeShade="A6"/>
              <w:bottom w:val="single" w:sz="4" w:space="0" w:color="A6A6A6" w:themeColor="background1" w:themeShade="A6"/>
            </w:tcBorders>
          </w:tcPr>
          <w:p w14:paraId="2D71A7F8" w14:textId="77777777" w:rsidR="00025FEB" w:rsidRPr="00DF0810" w:rsidRDefault="00025FEB" w:rsidP="00AD0359">
            <w:pPr>
              <w:pStyle w:val="TableText"/>
            </w:pPr>
            <w:r w:rsidRPr="00DF0810">
              <w:t>1.</w:t>
            </w:r>
          </w:p>
        </w:tc>
        <w:tc>
          <w:tcPr>
            <w:tcW w:w="4252" w:type="dxa"/>
            <w:tcBorders>
              <w:top w:val="single" w:sz="4" w:space="0" w:color="A6A6A6" w:themeColor="background1" w:themeShade="A6"/>
              <w:bottom w:val="single" w:sz="4" w:space="0" w:color="A6A6A6" w:themeColor="background1" w:themeShade="A6"/>
            </w:tcBorders>
          </w:tcPr>
          <w:p w14:paraId="7C459108" w14:textId="77777777" w:rsidR="00025FEB" w:rsidRPr="00DC20BD" w:rsidRDefault="00025FEB" w:rsidP="00AD0359">
            <w:pPr>
              <w:pStyle w:val="TableText"/>
              <w:ind w:left="57"/>
            </w:pPr>
            <w:r w:rsidRPr="00621805">
              <w:rPr>
                <w:rFonts w:cs="Times"/>
                <w:szCs w:val="22"/>
              </w:rPr>
              <w:t>Detaining authority to conduct clinical review under s 77(3) of the MHCAT Act or s 77 of the Intellectual Disability (Compulsory Care and Rehabilitation) Act 2003 and provision of certificate of review to the Ministry of Health</w:t>
            </w:r>
          </w:p>
        </w:tc>
        <w:tc>
          <w:tcPr>
            <w:tcW w:w="1843" w:type="dxa"/>
            <w:tcBorders>
              <w:top w:val="single" w:sz="4" w:space="0" w:color="A6A6A6" w:themeColor="background1" w:themeShade="A6"/>
              <w:bottom w:val="single" w:sz="4" w:space="0" w:color="A6A6A6" w:themeColor="background1" w:themeShade="A6"/>
            </w:tcBorders>
          </w:tcPr>
          <w:p w14:paraId="13D9EC1A" w14:textId="77777777" w:rsidR="00025FEB" w:rsidRPr="00DC20BD" w:rsidRDefault="00025FEB" w:rsidP="00AD0359">
            <w:pPr>
              <w:pStyle w:val="TableText"/>
              <w:ind w:left="57"/>
            </w:pPr>
            <w:r w:rsidRPr="00621805">
              <w:rPr>
                <w:rFonts w:cs="Times"/>
                <w:szCs w:val="22"/>
              </w:rPr>
              <w:t>Eight to ten weeks prior to maximum detention date</w:t>
            </w:r>
          </w:p>
        </w:tc>
        <w:tc>
          <w:tcPr>
            <w:tcW w:w="1559" w:type="dxa"/>
            <w:tcBorders>
              <w:top w:val="single" w:sz="4" w:space="0" w:color="A6A6A6" w:themeColor="background1" w:themeShade="A6"/>
              <w:bottom w:val="single" w:sz="4" w:space="0" w:color="A6A6A6" w:themeColor="background1" w:themeShade="A6"/>
            </w:tcBorders>
          </w:tcPr>
          <w:p w14:paraId="2A434F3A" w14:textId="77777777" w:rsidR="00025FEB" w:rsidRPr="006454DE" w:rsidRDefault="00025FEB" w:rsidP="00AD0359">
            <w:pPr>
              <w:pStyle w:val="TableText"/>
              <w:ind w:left="57"/>
            </w:pPr>
            <w:r w:rsidRPr="00621805">
              <w:rPr>
                <w:rFonts w:cs="Times"/>
                <w:szCs w:val="22"/>
              </w:rPr>
              <w:t>RFMHS, forensic coordination services</w:t>
            </w:r>
          </w:p>
        </w:tc>
      </w:tr>
      <w:tr w:rsidR="00025FEB" w:rsidRPr="00DC20BD" w14:paraId="176BC1A6" w14:textId="77777777" w:rsidTr="00AD0359">
        <w:trPr>
          <w:cantSplit/>
        </w:trPr>
        <w:tc>
          <w:tcPr>
            <w:tcW w:w="369" w:type="dxa"/>
            <w:tcBorders>
              <w:top w:val="single" w:sz="4" w:space="0" w:color="A6A6A6" w:themeColor="background1" w:themeShade="A6"/>
              <w:bottom w:val="single" w:sz="4" w:space="0" w:color="A6A6A6" w:themeColor="background1" w:themeShade="A6"/>
            </w:tcBorders>
          </w:tcPr>
          <w:p w14:paraId="7591067A" w14:textId="77777777" w:rsidR="00025FEB" w:rsidRPr="00DF0810" w:rsidRDefault="00025FEB" w:rsidP="00AD0359">
            <w:pPr>
              <w:pStyle w:val="TableText"/>
            </w:pPr>
            <w:r w:rsidRPr="00DF0810">
              <w:t>2.</w:t>
            </w:r>
          </w:p>
        </w:tc>
        <w:tc>
          <w:tcPr>
            <w:tcW w:w="4252" w:type="dxa"/>
            <w:tcBorders>
              <w:top w:val="single" w:sz="4" w:space="0" w:color="A6A6A6" w:themeColor="background1" w:themeShade="A6"/>
              <w:bottom w:val="single" w:sz="4" w:space="0" w:color="A6A6A6" w:themeColor="background1" w:themeShade="A6"/>
            </w:tcBorders>
          </w:tcPr>
          <w:p w14:paraId="57B274E0" w14:textId="77777777" w:rsidR="00025FEB" w:rsidRPr="00D85A4F" w:rsidRDefault="00025FEB" w:rsidP="00AD0359">
            <w:pPr>
              <w:pStyle w:val="TableText"/>
              <w:ind w:left="57"/>
            </w:pPr>
            <w:r w:rsidRPr="00621805">
              <w:rPr>
                <w:rFonts w:cs="Times"/>
                <w:szCs w:val="22"/>
              </w:rPr>
              <w:t xml:space="preserve">Provision of certificate of review, special </w:t>
            </w:r>
            <w:proofErr w:type="gramStart"/>
            <w:r w:rsidRPr="00621805">
              <w:rPr>
                <w:rFonts w:cs="Times"/>
                <w:szCs w:val="22"/>
              </w:rPr>
              <w:t>patient</w:t>
            </w:r>
            <w:proofErr w:type="gramEnd"/>
            <w:r w:rsidRPr="00621805">
              <w:rPr>
                <w:rFonts w:cs="Times"/>
                <w:szCs w:val="22"/>
              </w:rPr>
              <w:t xml:space="preserve"> or special care recipient court order, accompanying report(s) and covering letter to Crown Law</w:t>
            </w:r>
          </w:p>
        </w:tc>
        <w:tc>
          <w:tcPr>
            <w:tcW w:w="1843" w:type="dxa"/>
            <w:tcBorders>
              <w:top w:val="single" w:sz="4" w:space="0" w:color="A6A6A6" w:themeColor="background1" w:themeShade="A6"/>
              <w:bottom w:val="single" w:sz="4" w:space="0" w:color="A6A6A6" w:themeColor="background1" w:themeShade="A6"/>
            </w:tcBorders>
          </w:tcPr>
          <w:p w14:paraId="743A8745" w14:textId="77777777" w:rsidR="00025FEB" w:rsidRPr="00D85A4F" w:rsidRDefault="00025FEB" w:rsidP="00AD0359">
            <w:pPr>
              <w:pStyle w:val="TableText"/>
              <w:ind w:left="57"/>
            </w:pPr>
            <w:r w:rsidRPr="00621805">
              <w:rPr>
                <w:rFonts w:cs="Times"/>
                <w:szCs w:val="22"/>
              </w:rPr>
              <w:t>Seven weeks prior to maximum detention date</w:t>
            </w:r>
          </w:p>
        </w:tc>
        <w:tc>
          <w:tcPr>
            <w:tcW w:w="1559" w:type="dxa"/>
            <w:tcBorders>
              <w:top w:val="single" w:sz="4" w:space="0" w:color="A6A6A6" w:themeColor="background1" w:themeShade="A6"/>
              <w:bottom w:val="single" w:sz="4" w:space="0" w:color="A6A6A6" w:themeColor="background1" w:themeShade="A6"/>
            </w:tcBorders>
          </w:tcPr>
          <w:p w14:paraId="0464505D" w14:textId="77777777" w:rsidR="00025FEB" w:rsidRPr="00D85A4F" w:rsidRDefault="00025FEB" w:rsidP="00AD0359">
            <w:pPr>
              <w:pStyle w:val="TableText"/>
              <w:ind w:left="57"/>
            </w:pPr>
            <w:r w:rsidRPr="00621805">
              <w:rPr>
                <w:rFonts w:cs="Times"/>
                <w:szCs w:val="22"/>
              </w:rPr>
              <w:t>Ministry of Health</w:t>
            </w:r>
          </w:p>
        </w:tc>
      </w:tr>
      <w:tr w:rsidR="00025FEB" w:rsidRPr="00DC20BD" w14:paraId="4AF24C11" w14:textId="77777777" w:rsidTr="00AD0359">
        <w:trPr>
          <w:cantSplit/>
        </w:trPr>
        <w:tc>
          <w:tcPr>
            <w:tcW w:w="369" w:type="dxa"/>
            <w:tcBorders>
              <w:top w:val="single" w:sz="4" w:space="0" w:color="A6A6A6" w:themeColor="background1" w:themeShade="A6"/>
              <w:bottom w:val="single" w:sz="4" w:space="0" w:color="A6A6A6" w:themeColor="background1" w:themeShade="A6"/>
            </w:tcBorders>
          </w:tcPr>
          <w:p w14:paraId="1BF0CA2F" w14:textId="77777777" w:rsidR="00025FEB" w:rsidRPr="00DF0810" w:rsidRDefault="00025FEB" w:rsidP="00AD0359">
            <w:pPr>
              <w:pStyle w:val="TableText"/>
            </w:pPr>
            <w:r w:rsidRPr="00DF0810">
              <w:t>3.</w:t>
            </w:r>
          </w:p>
        </w:tc>
        <w:tc>
          <w:tcPr>
            <w:tcW w:w="4252" w:type="dxa"/>
            <w:tcBorders>
              <w:top w:val="single" w:sz="4" w:space="0" w:color="A6A6A6" w:themeColor="background1" w:themeShade="A6"/>
              <w:bottom w:val="single" w:sz="4" w:space="0" w:color="A6A6A6" w:themeColor="background1" w:themeShade="A6"/>
            </w:tcBorders>
          </w:tcPr>
          <w:p w14:paraId="7F892E7C" w14:textId="77777777" w:rsidR="00025FEB" w:rsidRPr="00D85A4F" w:rsidRDefault="00025FEB" w:rsidP="00AD0359">
            <w:pPr>
              <w:pStyle w:val="TableText"/>
              <w:ind w:left="57"/>
            </w:pPr>
            <w:r w:rsidRPr="00621805">
              <w:rPr>
                <w:rFonts w:cs="Times"/>
                <w:szCs w:val="22"/>
              </w:rPr>
              <w:t>Processing of clinical review and associated documentation from Ministry of Health to Crown Law</w:t>
            </w:r>
          </w:p>
        </w:tc>
        <w:tc>
          <w:tcPr>
            <w:tcW w:w="1843" w:type="dxa"/>
            <w:tcBorders>
              <w:top w:val="single" w:sz="4" w:space="0" w:color="A6A6A6" w:themeColor="background1" w:themeShade="A6"/>
              <w:bottom w:val="single" w:sz="4" w:space="0" w:color="A6A6A6" w:themeColor="background1" w:themeShade="A6"/>
            </w:tcBorders>
          </w:tcPr>
          <w:p w14:paraId="4CC93AD7" w14:textId="77777777" w:rsidR="00025FEB" w:rsidRPr="00D85A4F" w:rsidRDefault="00025FEB" w:rsidP="00AD0359">
            <w:pPr>
              <w:pStyle w:val="TableText"/>
              <w:ind w:left="57"/>
            </w:pPr>
            <w:r w:rsidRPr="00621805">
              <w:rPr>
                <w:rFonts w:cs="Times"/>
                <w:szCs w:val="22"/>
              </w:rPr>
              <w:t>Six weeks prior to maximum detention date</w:t>
            </w:r>
          </w:p>
        </w:tc>
        <w:tc>
          <w:tcPr>
            <w:tcW w:w="1559" w:type="dxa"/>
            <w:tcBorders>
              <w:top w:val="single" w:sz="4" w:space="0" w:color="A6A6A6" w:themeColor="background1" w:themeShade="A6"/>
              <w:bottom w:val="single" w:sz="4" w:space="0" w:color="A6A6A6" w:themeColor="background1" w:themeShade="A6"/>
            </w:tcBorders>
          </w:tcPr>
          <w:p w14:paraId="5EE3243E" w14:textId="77777777" w:rsidR="00025FEB" w:rsidRPr="00D85A4F" w:rsidRDefault="00025FEB" w:rsidP="00AD0359">
            <w:pPr>
              <w:pStyle w:val="TableText"/>
              <w:ind w:left="57"/>
            </w:pPr>
            <w:r w:rsidRPr="00621805">
              <w:rPr>
                <w:rFonts w:cs="Times"/>
                <w:szCs w:val="22"/>
              </w:rPr>
              <w:t>Crown Law</w:t>
            </w:r>
          </w:p>
        </w:tc>
      </w:tr>
      <w:tr w:rsidR="00025FEB" w:rsidRPr="00DC20BD" w14:paraId="6E432B7E" w14:textId="77777777" w:rsidTr="00AD0359">
        <w:trPr>
          <w:cantSplit/>
        </w:trPr>
        <w:tc>
          <w:tcPr>
            <w:tcW w:w="369" w:type="dxa"/>
            <w:tcBorders>
              <w:top w:val="single" w:sz="4" w:space="0" w:color="A6A6A6" w:themeColor="background1" w:themeShade="A6"/>
              <w:bottom w:val="single" w:sz="4" w:space="0" w:color="A6A6A6" w:themeColor="background1" w:themeShade="A6"/>
            </w:tcBorders>
          </w:tcPr>
          <w:p w14:paraId="4C5D1772" w14:textId="77777777" w:rsidR="00025FEB" w:rsidRPr="00DF0810" w:rsidRDefault="00025FEB" w:rsidP="00AD0359">
            <w:pPr>
              <w:pStyle w:val="TableText"/>
            </w:pPr>
            <w:r w:rsidRPr="00DF0810">
              <w:t>4.</w:t>
            </w:r>
          </w:p>
        </w:tc>
        <w:tc>
          <w:tcPr>
            <w:tcW w:w="4252" w:type="dxa"/>
            <w:tcBorders>
              <w:top w:val="single" w:sz="4" w:space="0" w:color="A6A6A6" w:themeColor="background1" w:themeShade="A6"/>
              <w:bottom w:val="single" w:sz="4" w:space="0" w:color="A6A6A6" w:themeColor="background1" w:themeShade="A6"/>
            </w:tcBorders>
          </w:tcPr>
          <w:p w14:paraId="2A594024" w14:textId="77777777" w:rsidR="00025FEB" w:rsidRPr="00D85A4F" w:rsidRDefault="00025FEB" w:rsidP="00AD0359">
            <w:pPr>
              <w:pStyle w:val="TableText"/>
              <w:ind w:left="57"/>
            </w:pPr>
            <w:r w:rsidRPr="00621805">
              <w:rPr>
                <w:rFonts w:cs="Times"/>
                <w:szCs w:val="22"/>
              </w:rPr>
              <w:t>‘Conditional’ direction of Attorney-General made under s 31(4) of the CPMIP Act</w:t>
            </w:r>
          </w:p>
        </w:tc>
        <w:tc>
          <w:tcPr>
            <w:tcW w:w="1843" w:type="dxa"/>
            <w:tcBorders>
              <w:top w:val="single" w:sz="4" w:space="0" w:color="A6A6A6" w:themeColor="background1" w:themeShade="A6"/>
              <w:bottom w:val="single" w:sz="4" w:space="0" w:color="A6A6A6" w:themeColor="background1" w:themeShade="A6"/>
            </w:tcBorders>
          </w:tcPr>
          <w:p w14:paraId="3CFE62BF" w14:textId="77777777" w:rsidR="00025FEB" w:rsidRPr="00D85A4F" w:rsidRDefault="00025FEB" w:rsidP="00AD0359">
            <w:pPr>
              <w:pStyle w:val="TableText"/>
              <w:ind w:left="57"/>
            </w:pPr>
            <w:r w:rsidRPr="00621805">
              <w:rPr>
                <w:rFonts w:cs="Times"/>
                <w:szCs w:val="22"/>
              </w:rPr>
              <w:t>Four weeks prior to maximum detention date</w:t>
            </w:r>
          </w:p>
        </w:tc>
        <w:tc>
          <w:tcPr>
            <w:tcW w:w="1559" w:type="dxa"/>
            <w:tcBorders>
              <w:top w:val="single" w:sz="4" w:space="0" w:color="A6A6A6" w:themeColor="background1" w:themeShade="A6"/>
              <w:bottom w:val="single" w:sz="4" w:space="0" w:color="A6A6A6" w:themeColor="background1" w:themeShade="A6"/>
            </w:tcBorders>
          </w:tcPr>
          <w:p w14:paraId="061EFFAC" w14:textId="77777777" w:rsidR="00025FEB" w:rsidRPr="00D85A4F" w:rsidRDefault="00025FEB" w:rsidP="00AD0359">
            <w:pPr>
              <w:pStyle w:val="TableText"/>
              <w:ind w:left="57"/>
            </w:pPr>
            <w:r w:rsidRPr="00621805">
              <w:rPr>
                <w:rFonts w:cs="Times"/>
                <w:szCs w:val="22"/>
              </w:rPr>
              <w:t>Crown Law</w:t>
            </w:r>
          </w:p>
        </w:tc>
      </w:tr>
      <w:tr w:rsidR="00025FEB" w:rsidRPr="00DC20BD" w14:paraId="3D7AE057" w14:textId="77777777" w:rsidTr="00AD0359">
        <w:trPr>
          <w:cantSplit/>
        </w:trPr>
        <w:tc>
          <w:tcPr>
            <w:tcW w:w="369" w:type="dxa"/>
            <w:tcBorders>
              <w:top w:val="single" w:sz="4" w:space="0" w:color="A6A6A6" w:themeColor="background1" w:themeShade="A6"/>
              <w:bottom w:val="single" w:sz="4" w:space="0" w:color="A6A6A6" w:themeColor="background1" w:themeShade="A6"/>
            </w:tcBorders>
          </w:tcPr>
          <w:p w14:paraId="21E881F4" w14:textId="77777777" w:rsidR="00025FEB" w:rsidRPr="00DF0810" w:rsidRDefault="00025FEB" w:rsidP="00AD0359">
            <w:pPr>
              <w:pStyle w:val="TableText"/>
            </w:pPr>
            <w:r w:rsidRPr="00DF0810">
              <w:t>5.</w:t>
            </w:r>
          </w:p>
        </w:tc>
        <w:tc>
          <w:tcPr>
            <w:tcW w:w="4252" w:type="dxa"/>
            <w:tcBorders>
              <w:top w:val="single" w:sz="4" w:space="0" w:color="A6A6A6" w:themeColor="background1" w:themeShade="A6"/>
              <w:bottom w:val="single" w:sz="4" w:space="0" w:color="A6A6A6" w:themeColor="background1" w:themeShade="A6"/>
            </w:tcBorders>
          </w:tcPr>
          <w:p w14:paraId="6FCE26CF" w14:textId="77777777" w:rsidR="00025FEB" w:rsidRPr="00D85A4F" w:rsidRDefault="00025FEB" w:rsidP="00AD0359">
            <w:pPr>
              <w:pStyle w:val="TableText"/>
              <w:ind w:left="57"/>
            </w:pPr>
            <w:r w:rsidRPr="00621805">
              <w:rPr>
                <w:rFonts w:cs="Times"/>
                <w:szCs w:val="22"/>
              </w:rPr>
              <w:t>Transmission of ‘conditional’ direction from Crown Law to Ministry of Health and detaining authority</w:t>
            </w:r>
          </w:p>
        </w:tc>
        <w:tc>
          <w:tcPr>
            <w:tcW w:w="1843" w:type="dxa"/>
            <w:tcBorders>
              <w:top w:val="single" w:sz="4" w:space="0" w:color="A6A6A6" w:themeColor="background1" w:themeShade="A6"/>
              <w:bottom w:val="single" w:sz="4" w:space="0" w:color="A6A6A6" w:themeColor="background1" w:themeShade="A6"/>
            </w:tcBorders>
          </w:tcPr>
          <w:p w14:paraId="52B3C3BE" w14:textId="77777777" w:rsidR="00025FEB" w:rsidRPr="00D85A4F" w:rsidRDefault="00025FEB" w:rsidP="00AD0359">
            <w:pPr>
              <w:pStyle w:val="TableText"/>
              <w:ind w:left="57"/>
            </w:pPr>
            <w:r w:rsidRPr="00621805">
              <w:rPr>
                <w:rFonts w:cs="Times"/>
                <w:szCs w:val="22"/>
              </w:rPr>
              <w:t>Four weeks prior to maximum detention date</w:t>
            </w:r>
          </w:p>
        </w:tc>
        <w:tc>
          <w:tcPr>
            <w:tcW w:w="1559" w:type="dxa"/>
            <w:tcBorders>
              <w:top w:val="single" w:sz="4" w:space="0" w:color="A6A6A6" w:themeColor="background1" w:themeShade="A6"/>
              <w:bottom w:val="single" w:sz="4" w:space="0" w:color="A6A6A6" w:themeColor="background1" w:themeShade="A6"/>
            </w:tcBorders>
          </w:tcPr>
          <w:p w14:paraId="55692345" w14:textId="77777777" w:rsidR="00025FEB" w:rsidRPr="00D85A4F" w:rsidRDefault="00025FEB" w:rsidP="00AD0359">
            <w:pPr>
              <w:pStyle w:val="TableText"/>
              <w:ind w:left="57"/>
            </w:pPr>
            <w:r w:rsidRPr="00621805">
              <w:rPr>
                <w:rFonts w:cs="Times"/>
                <w:szCs w:val="22"/>
              </w:rPr>
              <w:t>Crown Law</w:t>
            </w:r>
          </w:p>
        </w:tc>
      </w:tr>
      <w:tr w:rsidR="00025FEB" w:rsidRPr="00DC20BD" w14:paraId="01CAA13D" w14:textId="77777777" w:rsidTr="00AD0359">
        <w:trPr>
          <w:cantSplit/>
        </w:trPr>
        <w:tc>
          <w:tcPr>
            <w:tcW w:w="369" w:type="dxa"/>
            <w:tcBorders>
              <w:top w:val="single" w:sz="4" w:space="0" w:color="A6A6A6" w:themeColor="background1" w:themeShade="A6"/>
              <w:bottom w:val="single" w:sz="4" w:space="0" w:color="A6A6A6" w:themeColor="background1" w:themeShade="A6"/>
            </w:tcBorders>
          </w:tcPr>
          <w:p w14:paraId="2DFD2E04" w14:textId="77777777" w:rsidR="00025FEB" w:rsidRPr="00DF0810" w:rsidRDefault="00025FEB" w:rsidP="00AD0359">
            <w:pPr>
              <w:pStyle w:val="TableText"/>
            </w:pPr>
            <w:r w:rsidRPr="00DF0810">
              <w:t>6.</w:t>
            </w:r>
          </w:p>
        </w:tc>
        <w:tc>
          <w:tcPr>
            <w:tcW w:w="4252" w:type="dxa"/>
            <w:tcBorders>
              <w:top w:val="single" w:sz="4" w:space="0" w:color="A6A6A6" w:themeColor="background1" w:themeShade="A6"/>
              <w:bottom w:val="single" w:sz="4" w:space="0" w:color="A6A6A6" w:themeColor="background1" w:themeShade="A6"/>
            </w:tcBorders>
          </w:tcPr>
          <w:p w14:paraId="64DB2312" w14:textId="77777777" w:rsidR="00025FEB" w:rsidRPr="00D85A4F" w:rsidRDefault="00025FEB" w:rsidP="00AD0359">
            <w:pPr>
              <w:pStyle w:val="TableText"/>
              <w:ind w:left="57"/>
            </w:pPr>
            <w:r w:rsidRPr="00621805">
              <w:rPr>
                <w:rFonts w:cs="Times"/>
                <w:szCs w:val="22"/>
              </w:rPr>
              <w:t>Communication of change of circumstances to Ministry of Health and Crown Law</w:t>
            </w:r>
          </w:p>
        </w:tc>
        <w:tc>
          <w:tcPr>
            <w:tcW w:w="1843" w:type="dxa"/>
            <w:tcBorders>
              <w:top w:val="single" w:sz="4" w:space="0" w:color="A6A6A6" w:themeColor="background1" w:themeShade="A6"/>
              <w:bottom w:val="single" w:sz="4" w:space="0" w:color="A6A6A6" w:themeColor="background1" w:themeShade="A6"/>
            </w:tcBorders>
          </w:tcPr>
          <w:p w14:paraId="45DD5EA7" w14:textId="77777777" w:rsidR="00025FEB" w:rsidRPr="00D85A4F" w:rsidRDefault="00025FEB" w:rsidP="00AD0359">
            <w:pPr>
              <w:pStyle w:val="TableText"/>
              <w:ind w:left="57"/>
            </w:pPr>
            <w:r w:rsidRPr="00621805">
              <w:rPr>
                <w:rFonts w:cs="Times"/>
                <w:szCs w:val="22"/>
              </w:rPr>
              <w:t>Any time prior to maximum detention date, without delay</w:t>
            </w:r>
          </w:p>
        </w:tc>
        <w:tc>
          <w:tcPr>
            <w:tcW w:w="1559" w:type="dxa"/>
            <w:tcBorders>
              <w:top w:val="single" w:sz="4" w:space="0" w:color="A6A6A6" w:themeColor="background1" w:themeShade="A6"/>
              <w:bottom w:val="single" w:sz="4" w:space="0" w:color="A6A6A6" w:themeColor="background1" w:themeShade="A6"/>
            </w:tcBorders>
          </w:tcPr>
          <w:p w14:paraId="588502D6" w14:textId="77777777" w:rsidR="00025FEB" w:rsidRPr="00D85A4F" w:rsidRDefault="00025FEB" w:rsidP="00AD0359">
            <w:pPr>
              <w:pStyle w:val="TableText"/>
              <w:ind w:left="57"/>
            </w:pPr>
            <w:r w:rsidRPr="00621805">
              <w:rPr>
                <w:rFonts w:cs="Times"/>
                <w:szCs w:val="22"/>
              </w:rPr>
              <w:t>RFMHS, forensic coordination services</w:t>
            </w:r>
          </w:p>
        </w:tc>
      </w:tr>
    </w:tbl>
    <w:p w14:paraId="55985E4D" w14:textId="77777777" w:rsidR="00025FEB" w:rsidRDefault="00025FEB" w:rsidP="00025FEB"/>
    <w:p w14:paraId="51669235" w14:textId="77777777" w:rsidR="00025FEB" w:rsidRPr="00621805" w:rsidRDefault="00025FEB" w:rsidP="00025FEB">
      <w:r w:rsidRPr="00621805">
        <w:t xml:space="preserve">Note: A ‘conditional’ direction will come into force at the end of the maximum period of detention so long as there is no change of circumstances which might affect that direction. A change of circumstances includes a fresh certificate of clinical review which indicates a person has become fit to stand trial. </w:t>
      </w:r>
    </w:p>
    <w:p w14:paraId="6703CAC0" w14:textId="77777777" w:rsidR="00025FEB" w:rsidRPr="00621805" w:rsidRDefault="00025FEB" w:rsidP="00025FEB"/>
    <w:p w14:paraId="17861D3E" w14:textId="77777777" w:rsidR="00025FEB" w:rsidRPr="00D85A4F" w:rsidRDefault="00025FEB" w:rsidP="00025FEB">
      <w:r w:rsidRPr="00621805">
        <w:t>If a detaining authority has any doubt as to whether there has been a change of circumstances that might impact upon a conditional direction, it is best practice to raise that issue with Crown Law and the Ministry of Health.</w:t>
      </w:r>
    </w:p>
    <w:p w14:paraId="0F1C7FCF" w14:textId="77777777" w:rsidR="00025FEB" w:rsidRDefault="00025FEB" w:rsidP="00025FEB"/>
    <w:p w14:paraId="535FE916" w14:textId="77777777" w:rsidR="00025FEB" w:rsidRPr="00D85A4F" w:rsidRDefault="00025FEB" w:rsidP="00025FEB">
      <w:pPr>
        <w:pStyle w:val="Heading2"/>
      </w:pPr>
      <w:bookmarkStart w:id="207" w:name="_Toc377543407"/>
      <w:bookmarkStart w:id="208" w:name="_Toc441658603"/>
      <w:bookmarkStart w:id="209" w:name="_Toc83197084"/>
      <w:bookmarkStart w:id="210" w:name="_Toc112845469"/>
      <w:bookmarkStart w:id="211" w:name="_Toc112862073"/>
      <w:bookmarkStart w:id="212" w:name="_Toc116484614"/>
      <w:r>
        <w:lastRenderedPageBreak/>
        <w:t>U</w:t>
      </w:r>
      <w:r w:rsidRPr="00D85A4F">
        <w:t>nfit to stand trial</w:t>
      </w:r>
      <w:r>
        <w:t>: where the patient</w:t>
      </w:r>
      <w:r w:rsidRPr="00D85A4F">
        <w:t xml:space="preserve"> no longer needs to be detained as a special </w:t>
      </w:r>
      <w:bookmarkEnd w:id="207"/>
      <w:bookmarkEnd w:id="208"/>
      <w:r w:rsidRPr="00D85A4F">
        <w:t>patient</w:t>
      </w:r>
      <w:bookmarkEnd w:id="209"/>
      <w:bookmarkEnd w:id="210"/>
      <w:bookmarkEnd w:id="211"/>
      <w:bookmarkEnd w:id="212"/>
    </w:p>
    <w:p w14:paraId="217DD65F" w14:textId="77777777" w:rsidR="00025FEB" w:rsidRPr="00D85A4F" w:rsidRDefault="00025FEB" w:rsidP="00025FEB">
      <w:pPr>
        <w:keepLines/>
      </w:pPr>
      <w:r w:rsidRPr="00D85A4F">
        <w:t xml:space="preserve">Less commonly, a special patient’s responsible clinician may consider that, although a patient remains unfit to stand trial, their continued detention is no longer necessary (section </w:t>
      </w:r>
      <w:r w:rsidRPr="00AB4198">
        <w:t xml:space="preserve">31 </w:t>
      </w:r>
      <w:r>
        <w:t xml:space="preserve">of the </w:t>
      </w:r>
      <w:r w:rsidRPr="00AB4198">
        <w:t>CP(MIP</w:t>
      </w:r>
      <w:r w:rsidRPr="00D85A4F">
        <w:t xml:space="preserve">) Act). In such cases, </w:t>
      </w:r>
      <w:r>
        <w:t xml:space="preserve">the Minister makes </w:t>
      </w:r>
      <w:r w:rsidRPr="00D85A4F">
        <w:t xml:space="preserve">the decision about a change of legal status with the concurrence of the Attorney-General. Orders made pursuant to section </w:t>
      </w:r>
      <w:r w:rsidRPr="00AB4198">
        <w:t>24(2)(a) o</w:t>
      </w:r>
      <w:r w:rsidRPr="00D85A4F">
        <w:t>f the CP(MIP) Act for the detention of a defendant as a special patient remain unless the Attorney-General (where the defendant is unfit to stand trial) or the Minister (where the defendant is unfit to stand trial but detention as a special patient is no longer necessary) direct</w:t>
      </w:r>
      <w:r>
        <w:t>s</w:t>
      </w:r>
      <w:r w:rsidRPr="00D85A4F">
        <w:t xml:space="preserve"> a change of legal status under section </w:t>
      </w:r>
      <w:r w:rsidRPr="00AB4198">
        <w:t>31 of the CP(MI</w:t>
      </w:r>
      <w:r w:rsidRPr="00D85A4F">
        <w:t xml:space="preserve">P) Act. </w:t>
      </w:r>
    </w:p>
    <w:p w14:paraId="7395CB22" w14:textId="77777777" w:rsidR="00025FEB" w:rsidRDefault="00025FEB" w:rsidP="00025FEB"/>
    <w:p w14:paraId="549EC246" w14:textId="36E11D7C" w:rsidR="00025FEB" w:rsidRPr="00D85A4F" w:rsidRDefault="00025FEB" w:rsidP="00025FEB">
      <w:pPr>
        <w:pStyle w:val="Table"/>
      </w:pPr>
      <w:bookmarkStart w:id="213" w:name="_Toc112861589"/>
      <w:bookmarkStart w:id="214" w:name="_Toc116484649"/>
      <w:r>
        <w:t xml:space="preserve">Table </w:t>
      </w:r>
      <w:r>
        <w:fldChar w:fldCharType="begin"/>
      </w:r>
      <w:r>
        <w:instrText>SEQ Table \* ARABIC</w:instrText>
      </w:r>
      <w:r>
        <w:fldChar w:fldCharType="separate"/>
      </w:r>
      <w:r w:rsidR="00F25175">
        <w:rPr>
          <w:noProof/>
        </w:rPr>
        <w:t>16</w:t>
      </w:r>
      <w:r>
        <w:fldChar w:fldCharType="end"/>
      </w:r>
      <w:r>
        <w:t xml:space="preserve">: </w:t>
      </w:r>
      <w:r w:rsidRPr="00AF6402">
        <w:t>Information to support a request for change of status for a patient who is unfit to stand trial but who no longer needs to be detained as a special patient</w:t>
      </w:r>
      <w:bookmarkEnd w:id="213"/>
      <w:bookmarkEnd w:id="214"/>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0BF49A9A"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698FD90F" w14:textId="77777777" w:rsidR="00025FEB" w:rsidRPr="00DC20BD" w:rsidRDefault="00025FEB" w:rsidP="00AD0359">
            <w:pPr>
              <w:pStyle w:val="TableT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4E87084A" w14:textId="77777777" w:rsidR="00025FEB" w:rsidRPr="00D85A4F" w:rsidRDefault="00025FEB" w:rsidP="00AD0359">
            <w:pPr>
              <w:pStyle w:val="TableText"/>
            </w:pPr>
            <w:r w:rsidRPr="00D85A4F">
              <w:t>A letter from the responsible clinician, including:</w:t>
            </w:r>
          </w:p>
          <w:p w14:paraId="2D55D1AE" w14:textId="77777777" w:rsidR="00025FEB" w:rsidRPr="00D85A4F" w:rsidRDefault="00025FEB" w:rsidP="00025FEB">
            <w:pPr>
              <w:pStyle w:val="TableBullet"/>
              <w:spacing w:line="264" w:lineRule="auto"/>
            </w:pPr>
            <w:r w:rsidRPr="00D85A4F">
              <w:t>a current mental state assessment</w:t>
            </w:r>
          </w:p>
          <w:p w14:paraId="5059CF09" w14:textId="77777777" w:rsidR="00025FEB" w:rsidRPr="00D85A4F" w:rsidRDefault="00025FEB" w:rsidP="00025FEB">
            <w:pPr>
              <w:pStyle w:val="TableBullet"/>
              <w:spacing w:line="264" w:lineRule="auto"/>
            </w:pPr>
            <w:r w:rsidRPr="00D85A4F">
              <w:t>a certificate of clinical review.</w:t>
            </w:r>
          </w:p>
          <w:p w14:paraId="20686968" w14:textId="77777777" w:rsidR="00025FEB" w:rsidRPr="00D85A4F" w:rsidRDefault="00025FEB" w:rsidP="00AD0359">
            <w:pPr>
              <w:pStyle w:val="TableText"/>
            </w:pPr>
            <w:r w:rsidRPr="00D85A4F">
              <w:t>If not provided in the SPRP report, the following information should be specifically addressed:</w:t>
            </w:r>
          </w:p>
          <w:p w14:paraId="60A08C27" w14:textId="77777777" w:rsidR="00025FEB" w:rsidRPr="00D85A4F" w:rsidRDefault="00025FEB" w:rsidP="00025FEB">
            <w:pPr>
              <w:pStyle w:val="TableBullet"/>
              <w:spacing w:line="264" w:lineRule="auto"/>
            </w:pPr>
            <w:r w:rsidRPr="00D85A4F">
              <w:t>how the factors leading to the index offence have been addressed</w:t>
            </w:r>
            <w:r>
              <w:t>,</w:t>
            </w:r>
            <w:r w:rsidRPr="00D85A4F">
              <w:t xml:space="preserve"> and the measures taken to reduce the chance of future offending (including compliance with treatment)</w:t>
            </w:r>
          </w:p>
          <w:p w14:paraId="0A2D980D" w14:textId="77777777" w:rsidR="00025FEB" w:rsidRPr="00D85A4F" w:rsidRDefault="00025FEB" w:rsidP="00025FEB">
            <w:pPr>
              <w:pStyle w:val="TableBullet"/>
              <w:spacing w:line="264" w:lineRule="auto"/>
            </w:pPr>
            <w:r w:rsidRPr="00D85A4F">
              <w:t>specific comment on alcohol and drug use</w:t>
            </w:r>
          </w:p>
          <w:p w14:paraId="122EE312" w14:textId="77777777" w:rsidR="00025FEB" w:rsidRPr="00D85A4F" w:rsidRDefault="00025FEB" w:rsidP="00025FEB">
            <w:pPr>
              <w:pStyle w:val="TableBullet"/>
              <w:spacing w:line="264" w:lineRule="auto"/>
            </w:pPr>
            <w:r w:rsidRPr="00D85A4F">
              <w:t>advice of any critical incidents, including possession of weapons, drugs or other prohibited material, and the management of that incident</w:t>
            </w:r>
          </w:p>
          <w:p w14:paraId="2BC9F3CB" w14:textId="77777777" w:rsidR="00025FEB" w:rsidRPr="00D85A4F" w:rsidRDefault="00025FEB" w:rsidP="00025FEB">
            <w:pPr>
              <w:pStyle w:val="TableBullet"/>
              <w:spacing w:line="264" w:lineRule="auto"/>
            </w:pPr>
            <w:r w:rsidRPr="00D85A4F">
              <w:t>plans for the patient’s ongoing management by mental health services if a decision is reached that they should be detained subject to compulsory treatment status – this is particularly important if the patient may not continue to meet the criteria for compulsory treatment</w:t>
            </w:r>
          </w:p>
          <w:p w14:paraId="7D9A8CCE" w14:textId="77777777" w:rsidR="00025FEB" w:rsidRPr="00D85A4F" w:rsidRDefault="00025FEB" w:rsidP="00025FEB">
            <w:pPr>
              <w:pStyle w:val="TableBullet"/>
              <w:spacing w:line="264" w:lineRule="auto"/>
            </w:pPr>
            <w:r w:rsidRPr="00D85A4F">
              <w:t>flight risk assessment and proposed management</w:t>
            </w:r>
          </w:p>
          <w:p w14:paraId="2D18C7C7" w14:textId="77777777" w:rsidR="00025FEB" w:rsidRPr="00D85A4F" w:rsidRDefault="00025FEB" w:rsidP="00025FEB">
            <w:pPr>
              <w:pStyle w:val="TableBullet"/>
              <w:spacing w:line="264" w:lineRule="auto"/>
            </w:pPr>
            <w:r w:rsidRPr="00D85A4F">
              <w:t>consideration of the needs of any children of the patient, particularly if the index offence took place within the family</w:t>
            </w:r>
          </w:p>
          <w:p w14:paraId="2AB4EA65" w14:textId="77777777" w:rsidR="00025FEB" w:rsidRPr="00D85A4F" w:rsidRDefault="00025FEB" w:rsidP="00025FEB">
            <w:pPr>
              <w:pStyle w:val="TableBullet"/>
              <w:spacing w:line="264" w:lineRule="auto"/>
            </w:pPr>
            <w:r w:rsidRPr="00D85A4F">
              <w:t>comment on matters relating to the offending (</w:t>
            </w:r>
            <w:proofErr w:type="spellStart"/>
            <w:r w:rsidRPr="00D85A4F">
              <w:t>eg</w:t>
            </w:r>
            <w:proofErr w:type="spellEnd"/>
            <w:r w:rsidRPr="00D85A4F">
              <w:t>, insight into the offending, relationship with victims)</w:t>
            </w:r>
          </w:p>
          <w:p w14:paraId="7990FB01" w14:textId="77777777" w:rsidR="00025FEB" w:rsidRPr="00D85A4F" w:rsidRDefault="00025FEB" w:rsidP="00025FEB">
            <w:pPr>
              <w:pStyle w:val="TableBullet"/>
              <w:spacing w:line="264" w:lineRule="auto"/>
            </w:pPr>
            <w:r w:rsidRPr="00D85A4F">
              <w:t>comment on matters relating to the risk presented by the patient, particularly in relation to victims of previous offending</w:t>
            </w:r>
          </w:p>
          <w:p w14:paraId="49FA5F28" w14:textId="77777777" w:rsidR="00025FEB" w:rsidRPr="00D85A4F" w:rsidRDefault="00025FEB" w:rsidP="00025FEB">
            <w:pPr>
              <w:pStyle w:val="TableBullet"/>
              <w:spacing w:line="264" w:lineRule="auto"/>
            </w:pPr>
            <w:r w:rsidRPr="00D85A4F">
              <w:t>comment specifically addressing the patient’s continued lack of fitness to stand trial.</w:t>
            </w:r>
          </w:p>
          <w:p w14:paraId="25215CDF" w14:textId="77777777" w:rsidR="00025FEB" w:rsidRPr="006454DE" w:rsidRDefault="00025FEB" w:rsidP="00AD0359">
            <w:pPr>
              <w:pStyle w:val="TableText"/>
            </w:pPr>
            <w:r w:rsidRPr="00D85A4F">
              <w:t>A recent SPRP report must be provided with the application. In practice</w:t>
            </w:r>
            <w:r>
              <w:t>,</w:t>
            </w:r>
            <w:r w:rsidRPr="00D85A4F">
              <w:t xml:space="preserve"> this information will be uploaded into the </w:t>
            </w:r>
            <w:r>
              <w:t>SPMS</w:t>
            </w:r>
            <w:r w:rsidRPr="00D85A4F">
              <w:t>.</w:t>
            </w:r>
          </w:p>
        </w:tc>
      </w:tr>
      <w:tr w:rsidR="00025FEB" w:rsidRPr="00DC20BD" w14:paraId="74987FA8"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41DBB347" w14:textId="77777777" w:rsidR="00025FEB" w:rsidRPr="00D85A4F" w:rsidRDefault="00025FEB" w:rsidP="00AD0359">
            <w:pPr>
              <w:pStyle w:val="TableText"/>
            </w:pPr>
            <w:r w:rsidRPr="00D85A4F">
              <w:lastRenderedPageBreak/>
              <w:t>Timeframe</w:t>
            </w:r>
          </w:p>
        </w:tc>
        <w:tc>
          <w:tcPr>
            <w:tcW w:w="6861" w:type="dxa"/>
            <w:tcBorders>
              <w:top w:val="single" w:sz="4" w:space="0" w:color="A6A6A6" w:themeColor="background1" w:themeShade="A6"/>
              <w:bottom w:val="single" w:sz="4" w:space="0" w:color="A6A6A6" w:themeColor="background1" w:themeShade="A6"/>
            </w:tcBorders>
          </w:tcPr>
          <w:p w14:paraId="24798083" w14:textId="77777777" w:rsidR="00025FEB" w:rsidRPr="00D85A4F" w:rsidRDefault="00025FEB" w:rsidP="00AD0359">
            <w:pPr>
              <w:pStyle w:val="TableText"/>
            </w:pPr>
            <w:r>
              <w:t xml:space="preserve">The </w:t>
            </w:r>
            <w:r w:rsidRPr="00D85A4F">
              <w:t xml:space="preserve">DAMHS </w:t>
            </w:r>
            <w:r>
              <w:t xml:space="preserve">must </w:t>
            </w:r>
            <w:r w:rsidRPr="00D85A4F">
              <w:t xml:space="preserve">send </w:t>
            </w:r>
            <w:r>
              <w:t xml:space="preserve">the </w:t>
            </w:r>
            <w:r w:rsidRPr="00D85A4F">
              <w:t>report within six weeks of the SPRP</w:t>
            </w:r>
            <w:r>
              <w:t xml:space="preserve"> meeting</w:t>
            </w:r>
            <w:r w:rsidRPr="00D85A4F">
              <w:t>.</w:t>
            </w:r>
          </w:p>
          <w:p w14:paraId="6443F3A2" w14:textId="77777777" w:rsidR="00025FEB" w:rsidRPr="00D85A4F" w:rsidRDefault="00025FEB" w:rsidP="00AD0359">
            <w:pPr>
              <w:pStyle w:val="TableText"/>
            </w:pPr>
            <w:r>
              <w:t xml:space="preserve">The Office of the Director must </w:t>
            </w:r>
            <w:r w:rsidRPr="00D85A4F">
              <w:t xml:space="preserve">send </w:t>
            </w:r>
            <w:r>
              <w:t xml:space="preserve">the </w:t>
            </w:r>
            <w:r w:rsidRPr="00D85A4F">
              <w:t>covering letter and associated material to the Crown Law office within 10 working days and advise the service by email.</w:t>
            </w:r>
          </w:p>
          <w:p w14:paraId="1DE68A16" w14:textId="77777777" w:rsidR="00025FEB" w:rsidRPr="00D85A4F" w:rsidRDefault="00025FEB" w:rsidP="00AD0359">
            <w:pPr>
              <w:pStyle w:val="TableText"/>
            </w:pPr>
            <w:r w:rsidRPr="00D85A4F">
              <w:t xml:space="preserve">Because of the need to access information from the </w:t>
            </w:r>
            <w:r>
              <w:t>p</w:t>
            </w:r>
            <w:r w:rsidRPr="00D85A4F">
              <w:t>olice, decisions from the Attorney-General can take several months.</w:t>
            </w:r>
          </w:p>
          <w:p w14:paraId="304C279D" w14:textId="77777777" w:rsidR="00025FEB" w:rsidRPr="00D85A4F" w:rsidRDefault="00025FEB" w:rsidP="00AD0359">
            <w:pPr>
              <w:pStyle w:val="TableText"/>
            </w:pPr>
            <w:r w:rsidRPr="00D85A4F">
              <w:rPr>
                <w:bCs/>
              </w:rPr>
              <w:t>NB:</w:t>
            </w:r>
            <w:r w:rsidRPr="00D85A4F">
              <w:t xml:space="preserve"> Incomplete information will result in a delay in providing a report to the Minister.</w:t>
            </w:r>
          </w:p>
        </w:tc>
      </w:tr>
    </w:tbl>
    <w:p w14:paraId="19665721" w14:textId="77777777" w:rsidR="00025FEB" w:rsidRPr="00D85A4F" w:rsidRDefault="00025FEB" w:rsidP="00025FEB">
      <w:pPr>
        <w:pStyle w:val="Heading2"/>
      </w:pPr>
      <w:bookmarkStart w:id="215" w:name="_Toc112845470"/>
      <w:bookmarkStart w:id="216" w:name="_Toc112862074"/>
      <w:bookmarkStart w:id="217" w:name="_Toc116484615"/>
      <w:r>
        <w:t>Withdrawal of c</w:t>
      </w:r>
      <w:r w:rsidRPr="00D85A4F">
        <w:t>harges</w:t>
      </w:r>
      <w:bookmarkStart w:id="218" w:name="_Toc83197085"/>
      <w:bookmarkEnd w:id="215"/>
      <w:bookmarkEnd w:id="216"/>
      <w:bookmarkEnd w:id="217"/>
      <w:r w:rsidRPr="00D85A4F">
        <w:t xml:space="preserve"> </w:t>
      </w:r>
      <w:bookmarkEnd w:id="218"/>
    </w:p>
    <w:p w14:paraId="062953A6" w14:textId="77777777" w:rsidR="00025FEB" w:rsidRPr="00DD179B" w:rsidRDefault="00025FEB" w:rsidP="00025FEB">
      <w:r w:rsidRPr="00AB4198">
        <w:t xml:space="preserve">Section 30(5) of the CP(MIP) Act provides that an order under section 24 for the defendant to be detained as a special patient is to be treated as cancelled if every charge brought against the defendant in the proceedings in which the order was made is withdrawn or dismissed. The person could then be transferred out of medium secure or forensic rehabilitation settings to general mental health services if they are still considered to be mentally disordered or </w:t>
      </w:r>
      <w:r>
        <w:t xml:space="preserve">mentally </w:t>
      </w:r>
      <w:r w:rsidRPr="00AB4198">
        <w:t>unwell</w:t>
      </w:r>
      <w:r>
        <w:t xml:space="preserve"> requiring hospitalisation</w:t>
      </w:r>
      <w:r w:rsidRPr="00DD179B">
        <w:t>.</w:t>
      </w:r>
    </w:p>
    <w:p w14:paraId="7A7AC5CB" w14:textId="77777777" w:rsidR="00025FEB" w:rsidRPr="00DD179B" w:rsidRDefault="00025FEB" w:rsidP="00025FEB"/>
    <w:p w14:paraId="5302E951" w14:textId="77777777" w:rsidR="00025FEB" w:rsidRDefault="00025FEB" w:rsidP="00025FEB">
      <w:r w:rsidRPr="00DD179B">
        <w:t xml:space="preserve">Note that in this situation, if the person is not already subject to the provisions </w:t>
      </w:r>
      <w:r>
        <w:t>of</w:t>
      </w:r>
      <w:r w:rsidRPr="00DD179B">
        <w:t xml:space="preserve"> the </w:t>
      </w:r>
      <w:r>
        <w:t>Mental Health Act</w:t>
      </w:r>
      <w:r w:rsidRPr="00DD179B">
        <w:t xml:space="preserve"> the service will need to commence the assessment process required by the </w:t>
      </w:r>
      <w:r>
        <w:t>Mental Health Act</w:t>
      </w:r>
      <w:r w:rsidRPr="00DD179B">
        <w:t>.</w:t>
      </w:r>
    </w:p>
    <w:p w14:paraId="31BDA9E9" w14:textId="77777777" w:rsidR="00025FEB" w:rsidRDefault="00025FEB" w:rsidP="00025FEB">
      <w:pPr>
        <w:sectPr w:rsidR="00025FEB" w:rsidSect="00856460">
          <w:pgSz w:w="11907" w:h="16834" w:code="9"/>
          <w:pgMar w:top="1418" w:right="1701" w:bottom="1134" w:left="1843" w:header="284" w:footer="425" w:gutter="284"/>
          <w:cols w:space="720"/>
        </w:sectPr>
      </w:pPr>
    </w:p>
    <w:p w14:paraId="542C0F2F" w14:textId="77777777" w:rsidR="00025FEB" w:rsidRPr="00D85A4F" w:rsidRDefault="00025FEB" w:rsidP="00025FEB">
      <w:pPr>
        <w:pStyle w:val="Heading1"/>
        <w:rPr>
          <w:szCs w:val="24"/>
          <w:lang w:eastAsia="en-US"/>
        </w:rPr>
      </w:pPr>
      <w:bookmarkStart w:id="219" w:name="_Toc112862075"/>
      <w:bookmarkStart w:id="220" w:name="_Toc116484616"/>
      <w:r w:rsidRPr="00D85A4F">
        <w:lastRenderedPageBreak/>
        <w:t>Application for restricted patient status</w:t>
      </w:r>
      <w:bookmarkEnd w:id="219"/>
      <w:bookmarkEnd w:id="220"/>
    </w:p>
    <w:p w14:paraId="394F591D" w14:textId="77777777" w:rsidR="00025FEB" w:rsidRPr="00D85A4F" w:rsidRDefault="00025FEB" w:rsidP="00025FEB">
      <w:r w:rsidRPr="00D85A4F">
        <w:t xml:space="preserve">Section 54 of the </w:t>
      </w:r>
      <w:r>
        <w:t>Mental Health Act</w:t>
      </w:r>
      <w:r w:rsidRPr="00D85A4F">
        <w:t xml:space="preserve"> enables the Director to apply to the </w:t>
      </w:r>
      <w:r>
        <w:t>c</w:t>
      </w:r>
      <w:r w:rsidRPr="00D85A4F">
        <w:t>ourt for an order under section 55 declaring the patient to be a restricted patient (restricted patient order). For a restricted patient order to be made under section 55</w:t>
      </w:r>
      <w:r>
        <w:t>Mental Health Act</w:t>
      </w:r>
      <w:r w:rsidRPr="00D85A4F">
        <w:t xml:space="preserve">, the </w:t>
      </w:r>
      <w:r>
        <w:t>c</w:t>
      </w:r>
      <w:r w:rsidRPr="00D85A4F">
        <w:t>ourt must be satisfied that the patient presents special difficulties because of the danger they pose to others (section 55(</w:t>
      </w:r>
      <w:proofErr w:type="gramStart"/>
      <w:r w:rsidRPr="00D85A4F">
        <w:t>3)</w:t>
      </w:r>
      <w:r>
        <w:t>Mental</w:t>
      </w:r>
      <w:proofErr w:type="gramEnd"/>
      <w:r>
        <w:t xml:space="preserve"> Health Act</w:t>
      </w:r>
      <w:r w:rsidRPr="00D85A4F">
        <w:t>).</w:t>
      </w:r>
    </w:p>
    <w:p w14:paraId="341A7B9D" w14:textId="77777777" w:rsidR="00025FEB" w:rsidRPr="00D85A4F" w:rsidRDefault="00025FEB" w:rsidP="00025FEB"/>
    <w:p w14:paraId="7704F3D9" w14:textId="77777777" w:rsidR="00025FEB" w:rsidRPr="00D85A4F" w:rsidRDefault="00025FEB" w:rsidP="00025FEB">
      <w:r w:rsidRPr="00D85A4F">
        <w:t xml:space="preserve">The DAMHS may also refer a case to the Director for consideration if they consider that any patient who is subject to an inpatient order presents special difficulties because of the danger they pose to others and, for that reason, it may be appropriate that an order be made under section 55 declaring the patient to be a restricted patient. </w:t>
      </w:r>
    </w:p>
    <w:p w14:paraId="140BC66B" w14:textId="77777777" w:rsidR="00025FEB" w:rsidRPr="00D85A4F" w:rsidRDefault="00025FEB" w:rsidP="00025FEB"/>
    <w:p w14:paraId="22C7B0A5" w14:textId="77777777" w:rsidR="00025FEB" w:rsidRPr="00D85A4F" w:rsidRDefault="00025FEB" w:rsidP="00025FEB">
      <w:r w:rsidRPr="00D85A4F">
        <w:t xml:space="preserve">Restricted patient status significantly limits an individual’s liberty. Correspondingly, restricted patient orders are rare, and few </w:t>
      </w:r>
      <w:r>
        <w:t xml:space="preserve">people </w:t>
      </w:r>
      <w:r w:rsidRPr="00D85A4F">
        <w:t xml:space="preserve">have been detained in this way since the </w:t>
      </w:r>
      <w:r>
        <w:t>Mental Health Act</w:t>
      </w:r>
      <w:r w:rsidRPr="00D85A4F">
        <w:t xml:space="preserve"> came into force.</w:t>
      </w:r>
    </w:p>
    <w:p w14:paraId="61D05F24" w14:textId="77777777" w:rsidR="00025FEB" w:rsidRPr="00D85A4F" w:rsidRDefault="00025FEB" w:rsidP="00025FEB">
      <w:pPr>
        <w:pStyle w:val="Heading2"/>
      </w:pPr>
      <w:bookmarkStart w:id="221" w:name="_Toc83197087"/>
      <w:bookmarkStart w:id="222" w:name="_Toc112845472"/>
      <w:bookmarkStart w:id="223" w:name="_Toc112862076"/>
      <w:bookmarkStart w:id="224" w:name="_Toc116484617"/>
      <w:r w:rsidRPr="00D85A4F">
        <w:t>Key features of restricted patient status</w:t>
      </w:r>
      <w:bookmarkEnd w:id="221"/>
      <w:bookmarkEnd w:id="222"/>
      <w:bookmarkEnd w:id="223"/>
      <w:bookmarkEnd w:id="224"/>
    </w:p>
    <w:p w14:paraId="11DEC092" w14:textId="77777777" w:rsidR="00025FEB" w:rsidRPr="00D85A4F" w:rsidRDefault="00025FEB" w:rsidP="00025FEB">
      <w:r>
        <w:t xml:space="preserve">Where a court is considering declaring a person to be a restricted patient, it </w:t>
      </w:r>
      <w:r w:rsidRPr="00D85A4F">
        <w:t>must be satisfied that the patient presents special difficulties because of the danger they pose to others.</w:t>
      </w:r>
    </w:p>
    <w:p w14:paraId="298E685F" w14:textId="0F362ECF" w:rsidR="00025FEB" w:rsidRPr="00D85A4F" w:rsidRDefault="00025FEB" w:rsidP="00025FEB">
      <w:pPr>
        <w:pStyle w:val="Heading3"/>
      </w:pPr>
      <w:r w:rsidRPr="00D85A4F">
        <w:t>Danger</w:t>
      </w:r>
    </w:p>
    <w:p w14:paraId="5746DB5A" w14:textId="77777777" w:rsidR="00025FEB" w:rsidRPr="00D85A4F" w:rsidRDefault="00025FEB" w:rsidP="00025FEB">
      <w:r>
        <w:t>The Mental Health Act does not define d</w:t>
      </w:r>
      <w:r w:rsidRPr="00D85A4F">
        <w:t xml:space="preserve">anger. In </w:t>
      </w:r>
      <w:r w:rsidRPr="00D85A4F">
        <w:rPr>
          <w:i/>
          <w:iCs/>
        </w:rPr>
        <w:t>Re SKN</w:t>
      </w:r>
      <w:r w:rsidRPr="00D85A4F">
        <w:t xml:space="preserve"> (1998) 16 FRNZ 559, the </w:t>
      </w:r>
      <w:r>
        <w:t>c</w:t>
      </w:r>
      <w:r w:rsidRPr="00D85A4F">
        <w:t xml:space="preserve">ourt analysed the danger requirement of section 55 of </w:t>
      </w:r>
      <w:proofErr w:type="gramStart"/>
      <w:r w:rsidRPr="00D85A4F">
        <w:t>the ,</w:t>
      </w:r>
      <w:proofErr w:type="gramEnd"/>
      <w:r w:rsidRPr="00D85A4F">
        <w:t xml:space="preserve"> based on earlier restricted patient applications (</w:t>
      </w:r>
      <w:r w:rsidRPr="00D85A4F">
        <w:rPr>
          <w:i/>
          <w:iCs/>
        </w:rPr>
        <w:t xml:space="preserve">Re </w:t>
      </w:r>
      <w:proofErr w:type="spellStart"/>
      <w:r>
        <w:rPr>
          <w:i/>
          <w:iCs/>
        </w:rPr>
        <w:t>Tahere</w:t>
      </w:r>
      <w:proofErr w:type="spellEnd"/>
      <w:r>
        <w:rPr>
          <w:i/>
          <w:iCs/>
        </w:rPr>
        <w:t xml:space="preserve"> </w:t>
      </w:r>
      <w:r w:rsidRPr="00D85A4F">
        <w:t xml:space="preserve">[1995] DCR 545; </w:t>
      </w:r>
      <w:r w:rsidRPr="00D85A4F">
        <w:rPr>
          <w:i/>
          <w:iCs/>
        </w:rPr>
        <w:t xml:space="preserve">Re TAV </w:t>
      </w:r>
      <w:r w:rsidRPr="00C84E6C">
        <w:t>[</w:t>
      </w:r>
      <w:r w:rsidRPr="00D85A4F">
        <w:t xml:space="preserve">1997] NZFLR 846; </w:t>
      </w:r>
      <w:r w:rsidRPr="00D85A4F">
        <w:rPr>
          <w:i/>
          <w:iCs/>
        </w:rPr>
        <w:t>Re RWD</w:t>
      </w:r>
      <w:r w:rsidRPr="00D85A4F">
        <w:t xml:space="preserve"> (1994) 12 FRNZ </w:t>
      </w:r>
      <w:r>
        <w:t>3</w:t>
      </w:r>
      <w:r w:rsidRPr="00D85A4F">
        <w:t>87)</w:t>
      </w:r>
      <w:r>
        <w:t>,</w:t>
      </w:r>
      <w:r w:rsidRPr="00D85A4F">
        <w:t xml:space="preserve"> Walsh J found that:</w:t>
      </w:r>
    </w:p>
    <w:p w14:paraId="5459F98A" w14:textId="77777777" w:rsidR="00025FEB" w:rsidRPr="00D85A4F" w:rsidRDefault="00025FEB" w:rsidP="00025FEB">
      <w:pPr>
        <w:pStyle w:val="Quote"/>
        <w:rPr>
          <w:i/>
          <w:iCs/>
        </w:rPr>
      </w:pPr>
      <w:r w:rsidRPr="00D85A4F">
        <w:rPr>
          <w:i/>
          <w:iCs/>
        </w:rPr>
        <w:t xml:space="preserve">The words </w:t>
      </w:r>
      <w:r>
        <w:rPr>
          <w:i/>
          <w:iCs/>
        </w:rPr>
        <w:t>‘</w:t>
      </w:r>
      <w:r w:rsidRPr="00D85A4F">
        <w:rPr>
          <w:i/>
          <w:iCs/>
        </w:rPr>
        <w:t>the danger he or she poses to others</w:t>
      </w:r>
      <w:r>
        <w:rPr>
          <w:i/>
          <w:iCs/>
        </w:rPr>
        <w:t>’</w:t>
      </w:r>
      <w:r w:rsidRPr="00D85A4F">
        <w:rPr>
          <w:i/>
          <w:iCs/>
        </w:rPr>
        <w:t xml:space="preserve"> relate to the second limb of the definition of </w:t>
      </w:r>
      <w:r>
        <w:rPr>
          <w:i/>
          <w:iCs/>
        </w:rPr>
        <w:t>‘</w:t>
      </w:r>
      <w:r w:rsidRPr="00D85A4F">
        <w:rPr>
          <w:i/>
          <w:iCs/>
        </w:rPr>
        <w:t>mental disorder</w:t>
      </w:r>
      <w:r>
        <w:rPr>
          <w:i/>
          <w:iCs/>
        </w:rPr>
        <w:t>’</w:t>
      </w:r>
      <w:r w:rsidRPr="00D85A4F">
        <w:rPr>
          <w:i/>
          <w:iCs/>
        </w:rPr>
        <w:t xml:space="preserve"> which requires the Court, before making a Compulsory Treatment Order, to be satisfied that the specified clinical symptoms of abnormal state of mind exist to such a degree that it </w:t>
      </w:r>
      <w:r>
        <w:rPr>
          <w:i/>
          <w:iCs/>
        </w:rPr>
        <w:t>‘</w:t>
      </w:r>
      <w:r w:rsidRPr="00D85A4F">
        <w:rPr>
          <w:i/>
          <w:iCs/>
        </w:rPr>
        <w:t xml:space="preserve">poses a serious danger to the health and safety of </w:t>
      </w:r>
      <w:proofErr w:type="gramStart"/>
      <w:r w:rsidRPr="00D85A4F">
        <w:rPr>
          <w:i/>
          <w:iCs/>
        </w:rPr>
        <w:t>others</w:t>
      </w:r>
      <w:r>
        <w:rPr>
          <w:i/>
          <w:iCs/>
        </w:rPr>
        <w:t>’</w:t>
      </w:r>
      <w:proofErr w:type="gramEnd"/>
      <w:r w:rsidRPr="00D85A4F">
        <w:rPr>
          <w:i/>
          <w:iCs/>
        </w:rPr>
        <w:t>.</w:t>
      </w:r>
    </w:p>
    <w:p w14:paraId="1AC707EA" w14:textId="77777777" w:rsidR="00025FEB" w:rsidRPr="00D85A4F" w:rsidRDefault="00025FEB" w:rsidP="00025FEB"/>
    <w:p w14:paraId="60875B3F" w14:textId="261EF7FC" w:rsidR="00025FEB" w:rsidRPr="00D85A4F" w:rsidRDefault="00025FEB" w:rsidP="00025FEB">
      <w:r w:rsidRPr="00D85A4F">
        <w:lastRenderedPageBreak/>
        <w:t xml:space="preserve">Walsh J applied a </w:t>
      </w:r>
      <w:proofErr w:type="spellStart"/>
      <w:r w:rsidR="007A6F61" w:rsidRPr="00D85A4F">
        <w:t>commonsense</w:t>
      </w:r>
      <w:proofErr w:type="spellEnd"/>
      <w:r w:rsidRPr="00D85A4F">
        <w:t xml:space="preserve"> approach to interpreting and applying the danger requirement. He also stated that the danger ‘does not have to be imminent or likely to occur immediately because of the effect of current medication on the patient’.</w:t>
      </w:r>
    </w:p>
    <w:p w14:paraId="43C4656A" w14:textId="77777777" w:rsidR="00025FEB" w:rsidRPr="00D85A4F" w:rsidRDefault="00025FEB" w:rsidP="00025FEB">
      <w:pPr>
        <w:pStyle w:val="Quote"/>
        <w:rPr>
          <w:i/>
          <w:iCs/>
        </w:rPr>
      </w:pPr>
      <w:r w:rsidRPr="00D85A4F">
        <w:rPr>
          <w:i/>
          <w:iCs/>
        </w:rPr>
        <w:t xml:space="preserve">There can be consideration of the nature of past danger to others </w:t>
      </w:r>
      <w:proofErr w:type="gramStart"/>
      <w:r w:rsidRPr="00D85A4F">
        <w:rPr>
          <w:i/>
          <w:iCs/>
        </w:rPr>
        <w:t>in order to</w:t>
      </w:r>
      <w:proofErr w:type="gramEnd"/>
      <w:r w:rsidRPr="00D85A4F">
        <w:rPr>
          <w:i/>
          <w:iCs/>
        </w:rPr>
        <w:t xml:space="preserve"> look ahead to assess present and future dangerousness. In that context an examination of the ability of a patient to control his or her dangerousness, the degree of insight possessed and the degree of risk of serious harm are relevant considerations.</w:t>
      </w:r>
    </w:p>
    <w:p w14:paraId="60737211" w14:textId="77777777" w:rsidR="00025FEB" w:rsidRPr="00D85A4F" w:rsidRDefault="00025FEB" w:rsidP="00025FEB"/>
    <w:p w14:paraId="47EBD8DB" w14:textId="77777777" w:rsidR="00025FEB" w:rsidRPr="00D85A4F" w:rsidRDefault="00025FEB" w:rsidP="00025FEB">
      <w:r>
        <w:t xml:space="preserve">In another case, </w:t>
      </w:r>
      <w:hyperlink r:id="rId28" w:tgtFrame="_blank" w:history="1">
        <w:r w:rsidRPr="005A65D5">
          <w:rPr>
            <w:i/>
            <w:iCs/>
            <w:szCs w:val="18"/>
          </w:rPr>
          <w:t>Applicant 11/040</w:t>
        </w:r>
      </w:hyperlink>
      <w:r w:rsidRPr="005A65D5">
        <w:rPr>
          <w:szCs w:val="18"/>
        </w:rPr>
        <w:t> [2011] NZMHRT 40</w:t>
      </w:r>
      <w:r>
        <w:rPr>
          <w:szCs w:val="18"/>
        </w:rPr>
        <w:t>,</w:t>
      </w:r>
      <w:r w:rsidRPr="005A65D5" w:rsidDel="005A65D5">
        <w:rPr>
          <w:szCs w:val="18"/>
        </w:rPr>
        <w:t xml:space="preserve"> </w:t>
      </w:r>
      <w:r w:rsidRPr="00D85A4F">
        <w:t>the Mental Health Review Tribunal said</w:t>
      </w:r>
      <w:r>
        <w:t xml:space="preserve"> regarding the definition of ‘serious dangerousness’:</w:t>
      </w:r>
      <w:r w:rsidRPr="00D85A4F">
        <w:t xml:space="preserve"> </w:t>
      </w:r>
    </w:p>
    <w:p w14:paraId="3DEB2BDD" w14:textId="77777777" w:rsidR="00025FEB" w:rsidRPr="00D85A4F" w:rsidRDefault="00025FEB" w:rsidP="00025FEB"/>
    <w:p w14:paraId="01FEA31E" w14:textId="77777777" w:rsidR="00025FEB" w:rsidRPr="00D85A4F" w:rsidRDefault="00025FEB" w:rsidP="00025FEB">
      <w:pPr>
        <w:ind w:left="360"/>
        <w:rPr>
          <w:i/>
          <w:iCs/>
        </w:rPr>
      </w:pPr>
      <w:r w:rsidRPr="00D85A4F">
        <w:rPr>
          <w:i/>
          <w:iCs/>
        </w:rPr>
        <w:t xml:space="preserve">The determination of serious dangerousness in terms of the mental disorder definition is ultimately a matter of judgement having regard to a multiplicity of considerations and the unique circumstances of each case. A helpful analysis is to have regard to the following considerations: </w:t>
      </w:r>
    </w:p>
    <w:p w14:paraId="20C4639B" w14:textId="77777777" w:rsidR="00025FEB" w:rsidRPr="00D85A4F" w:rsidRDefault="00025FEB" w:rsidP="00025FEB">
      <w:pPr>
        <w:rPr>
          <w:i/>
          <w:iCs/>
        </w:rPr>
      </w:pPr>
    </w:p>
    <w:p w14:paraId="292E0382" w14:textId="77777777" w:rsidR="00025FEB" w:rsidRPr="00E61D15" w:rsidRDefault="00025FEB" w:rsidP="00025FEB">
      <w:pPr>
        <w:pStyle w:val="ListParagraph"/>
        <w:numPr>
          <w:ilvl w:val="0"/>
          <w:numId w:val="20"/>
        </w:numPr>
        <w:spacing w:after="200" w:line="276" w:lineRule="auto"/>
        <w:ind w:left="1276" w:hanging="709"/>
        <w:rPr>
          <w:rFonts w:cs="Segoe UI"/>
          <w:i/>
          <w:iCs/>
          <w:szCs w:val="21"/>
        </w:rPr>
      </w:pPr>
      <w:r w:rsidRPr="00E61D15">
        <w:rPr>
          <w:rFonts w:cs="Segoe UI"/>
          <w:i/>
          <w:iCs/>
          <w:szCs w:val="21"/>
        </w:rPr>
        <w:t xml:space="preserve">What is the magnitude or gravity of the behaviour concerned? </w:t>
      </w:r>
    </w:p>
    <w:p w14:paraId="654966AB" w14:textId="77777777" w:rsidR="00025FEB" w:rsidRPr="00E61D15" w:rsidRDefault="00025FEB" w:rsidP="00025FEB">
      <w:pPr>
        <w:pStyle w:val="ListParagraph"/>
        <w:numPr>
          <w:ilvl w:val="0"/>
          <w:numId w:val="20"/>
        </w:numPr>
        <w:spacing w:after="200" w:line="276" w:lineRule="auto"/>
        <w:ind w:left="1276" w:hanging="709"/>
        <w:rPr>
          <w:rFonts w:cs="Segoe UI"/>
          <w:i/>
          <w:iCs/>
          <w:szCs w:val="21"/>
        </w:rPr>
      </w:pPr>
      <w:r w:rsidRPr="00E61D15">
        <w:rPr>
          <w:rFonts w:cs="Segoe UI"/>
          <w:i/>
          <w:iCs/>
          <w:szCs w:val="21"/>
        </w:rPr>
        <w:t xml:space="preserve">What is the likelihood of the behaviour occurring? </w:t>
      </w:r>
    </w:p>
    <w:p w14:paraId="4BF4A329" w14:textId="77777777" w:rsidR="00025FEB" w:rsidRPr="00E61D15" w:rsidRDefault="00025FEB" w:rsidP="00025FEB">
      <w:pPr>
        <w:pStyle w:val="ListParagraph"/>
        <w:numPr>
          <w:ilvl w:val="0"/>
          <w:numId w:val="20"/>
        </w:numPr>
        <w:spacing w:after="200" w:line="276" w:lineRule="auto"/>
        <w:ind w:left="1276" w:hanging="709"/>
        <w:rPr>
          <w:rFonts w:cs="Segoe UI"/>
          <w:i/>
          <w:iCs/>
          <w:szCs w:val="21"/>
        </w:rPr>
      </w:pPr>
      <w:r w:rsidRPr="00E61D15">
        <w:rPr>
          <w:rFonts w:cs="Segoe UI"/>
          <w:i/>
          <w:iCs/>
          <w:szCs w:val="21"/>
        </w:rPr>
        <w:t xml:space="preserve">What is the proximity or imminence of the behaviour, in other words, how soon or quickly might it occur? </w:t>
      </w:r>
    </w:p>
    <w:p w14:paraId="03242B19" w14:textId="77777777" w:rsidR="00025FEB" w:rsidRPr="00E61D15" w:rsidRDefault="00025FEB" w:rsidP="00025FEB">
      <w:pPr>
        <w:pStyle w:val="ListParagraph"/>
        <w:numPr>
          <w:ilvl w:val="0"/>
          <w:numId w:val="20"/>
        </w:numPr>
        <w:spacing w:after="200" w:line="276" w:lineRule="auto"/>
        <w:ind w:left="1276" w:hanging="709"/>
        <w:rPr>
          <w:rFonts w:cs="Segoe UI"/>
          <w:i/>
          <w:iCs/>
          <w:szCs w:val="21"/>
        </w:rPr>
      </w:pPr>
      <w:r w:rsidRPr="00E61D15">
        <w:rPr>
          <w:rFonts w:cs="Segoe UI"/>
          <w:i/>
          <w:iCs/>
          <w:szCs w:val="21"/>
        </w:rPr>
        <w:t xml:space="preserve">What is the frequency of the behaviour, </w:t>
      </w:r>
      <w:proofErr w:type="gramStart"/>
      <w:r w:rsidRPr="00E61D15">
        <w:rPr>
          <w:rFonts w:cs="Segoe UI"/>
          <w:i/>
          <w:iCs/>
          <w:szCs w:val="21"/>
        </w:rPr>
        <w:t>that is to say how</w:t>
      </w:r>
      <w:proofErr w:type="gramEnd"/>
      <w:r w:rsidRPr="00E61D15">
        <w:rPr>
          <w:rFonts w:cs="Segoe UI"/>
          <w:i/>
          <w:iCs/>
          <w:szCs w:val="21"/>
        </w:rPr>
        <w:t xml:space="preserve"> often might it occur? </w:t>
      </w:r>
    </w:p>
    <w:p w14:paraId="1D961156" w14:textId="77777777" w:rsidR="00025FEB" w:rsidRPr="00D85A4F" w:rsidRDefault="00025FEB" w:rsidP="00025FEB">
      <w:pPr>
        <w:ind w:left="567"/>
      </w:pPr>
      <w:r w:rsidRPr="00D85A4F">
        <w:rPr>
          <w:i/>
          <w:iCs/>
        </w:rPr>
        <w:t xml:space="preserve">These four considerations are not isolated one from the other but need to be considered collectively. The weighting given to one may reduce the significance of another. For example, if the gravity of a behaviour is particularly high, less weight need be placed on the issues of likelihood, </w:t>
      </w:r>
      <w:proofErr w:type="gramStart"/>
      <w:r w:rsidRPr="00D85A4F">
        <w:rPr>
          <w:i/>
          <w:iCs/>
        </w:rPr>
        <w:t>proximity</w:t>
      </w:r>
      <w:proofErr w:type="gramEnd"/>
      <w:r w:rsidRPr="00D85A4F">
        <w:rPr>
          <w:i/>
          <w:iCs/>
        </w:rPr>
        <w:t xml:space="preserve"> or frequency in order that a finding of serious danger is made. Thus, a risk of say homicide, is likely to constitute </w:t>
      </w:r>
      <w:proofErr w:type="gramStart"/>
      <w:r w:rsidRPr="00D85A4F">
        <w:rPr>
          <w:i/>
          <w:iCs/>
        </w:rPr>
        <w:t>serious danger</w:t>
      </w:r>
      <w:proofErr w:type="gramEnd"/>
      <w:r w:rsidRPr="00D85A4F">
        <w:rPr>
          <w:i/>
          <w:iCs/>
        </w:rPr>
        <w:t xml:space="preserve"> to others in the mental disorder definition despite the likelihood, proximity and frequency being relatively low. On the other hand, low level assaultive behaviour may also be deemed to constitute </w:t>
      </w:r>
      <w:proofErr w:type="gramStart"/>
      <w:r w:rsidRPr="00D85A4F">
        <w:rPr>
          <w:i/>
          <w:iCs/>
        </w:rPr>
        <w:t>serious danger</w:t>
      </w:r>
      <w:proofErr w:type="gramEnd"/>
      <w:r w:rsidRPr="00D85A4F">
        <w:rPr>
          <w:i/>
          <w:iCs/>
        </w:rPr>
        <w:t xml:space="preserve"> to others if its likelihood, proximity and frequency are high. By contrast, the same level of assaultive behaviour may be deemed to not constitute </w:t>
      </w:r>
      <w:proofErr w:type="gramStart"/>
      <w:r w:rsidRPr="00D85A4F">
        <w:rPr>
          <w:i/>
          <w:iCs/>
        </w:rPr>
        <w:t>serious danger</w:t>
      </w:r>
      <w:proofErr w:type="gramEnd"/>
      <w:r w:rsidRPr="00D85A4F">
        <w:rPr>
          <w:i/>
          <w:iCs/>
        </w:rPr>
        <w:t xml:space="preserve"> to others if its likelihood, proximity or frequency are relatively low.</w:t>
      </w:r>
    </w:p>
    <w:p w14:paraId="2123CD03" w14:textId="77777777" w:rsidR="00025FEB" w:rsidRPr="00D85A4F" w:rsidRDefault="00025FEB" w:rsidP="00025FEB">
      <w:pPr>
        <w:ind w:left="567"/>
      </w:pPr>
    </w:p>
    <w:p w14:paraId="757CC27B" w14:textId="77777777" w:rsidR="00025FEB" w:rsidRPr="00D85A4F" w:rsidRDefault="00025FEB" w:rsidP="00025FEB">
      <w:r w:rsidRPr="00D85A4F">
        <w:t xml:space="preserve">In relation to the risk of </w:t>
      </w:r>
      <w:proofErr w:type="gramStart"/>
      <w:r w:rsidRPr="00D85A4F">
        <w:t>serious danger</w:t>
      </w:r>
      <w:proofErr w:type="gramEnd"/>
      <w:r w:rsidRPr="00D85A4F">
        <w:t xml:space="preserve"> to others posed by a patient relapsing, the Mental Health Review Tribunal suggested that the following factors may be relevant considerations:</w:t>
      </w:r>
    </w:p>
    <w:p w14:paraId="4E3DD315" w14:textId="77777777" w:rsidR="00025FEB" w:rsidRPr="00D85A4F" w:rsidRDefault="00025FEB" w:rsidP="00025FEB">
      <w:pPr>
        <w:pStyle w:val="Bullet"/>
        <w:tabs>
          <w:tab w:val="clear" w:pos="284"/>
        </w:tabs>
      </w:pPr>
      <w:r w:rsidRPr="00D85A4F">
        <w:t>the degree of causal connection between relapse and dangerousness</w:t>
      </w:r>
    </w:p>
    <w:p w14:paraId="34D7A3C6" w14:textId="77777777" w:rsidR="00025FEB" w:rsidRPr="00D85A4F" w:rsidRDefault="00025FEB" w:rsidP="00025FEB">
      <w:pPr>
        <w:pStyle w:val="Bullet"/>
        <w:tabs>
          <w:tab w:val="clear" w:pos="284"/>
        </w:tabs>
      </w:pPr>
      <w:r w:rsidRPr="00D85A4F">
        <w:t>the expected time lapse between release from compulsory status and cessation of treatment</w:t>
      </w:r>
    </w:p>
    <w:p w14:paraId="4FB29FEC" w14:textId="77777777" w:rsidR="00025FEB" w:rsidRPr="00D85A4F" w:rsidRDefault="00025FEB" w:rsidP="00025FEB">
      <w:pPr>
        <w:pStyle w:val="Bullet"/>
        <w:tabs>
          <w:tab w:val="clear" w:pos="284"/>
        </w:tabs>
      </w:pPr>
      <w:r w:rsidRPr="00D85A4F">
        <w:t>the estimated time lapse between non-compliance with treatment and relapse</w:t>
      </w:r>
    </w:p>
    <w:p w14:paraId="12ADF508" w14:textId="77777777" w:rsidR="00025FEB" w:rsidRPr="00D85A4F" w:rsidRDefault="00025FEB" w:rsidP="00025FEB">
      <w:pPr>
        <w:pStyle w:val="Bullet"/>
        <w:tabs>
          <w:tab w:val="clear" w:pos="284"/>
        </w:tabs>
      </w:pPr>
      <w:r w:rsidRPr="00D85A4F">
        <w:t>whether interventions by clinicians or family or friends or others can prevent or lessen a relapse which is in its early stages</w:t>
      </w:r>
    </w:p>
    <w:p w14:paraId="369DF4A5" w14:textId="77777777" w:rsidR="00025FEB" w:rsidRPr="00D85A4F" w:rsidRDefault="00025FEB" w:rsidP="00025FEB">
      <w:pPr>
        <w:pStyle w:val="Bullet"/>
        <w:tabs>
          <w:tab w:val="clear" w:pos="284"/>
        </w:tabs>
      </w:pPr>
      <w:r w:rsidRPr="00D85A4F">
        <w:t xml:space="preserve">the ability of clinicians to re-initiate the compulsory assessment and treatment provisions of the </w:t>
      </w:r>
      <w:r>
        <w:t>Mental Health Act</w:t>
      </w:r>
      <w:r w:rsidRPr="00D85A4F">
        <w:t>.</w:t>
      </w:r>
    </w:p>
    <w:p w14:paraId="64BF3561" w14:textId="77777777" w:rsidR="00025FEB" w:rsidRPr="00D85A4F" w:rsidRDefault="00025FEB" w:rsidP="00025FEB"/>
    <w:p w14:paraId="166FC978" w14:textId="6011F148" w:rsidR="00025FEB" w:rsidRPr="00D85A4F" w:rsidRDefault="00025FEB" w:rsidP="00025FEB">
      <w:pPr>
        <w:pStyle w:val="Heading3"/>
      </w:pPr>
      <w:r w:rsidRPr="00D85A4F">
        <w:lastRenderedPageBreak/>
        <w:t>Special difficulties</w:t>
      </w:r>
    </w:p>
    <w:p w14:paraId="5990C467" w14:textId="77777777" w:rsidR="00025FEB" w:rsidRPr="00D85A4F" w:rsidRDefault="00025FEB" w:rsidP="00025FEB">
      <w:pPr>
        <w:keepNext/>
      </w:pPr>
      <w:r>
        <w:t>The Mental Health Act does not define ‘s</w:t>
      </w:r>
      <w:r w:rsidRPr="00D85A4F">
        <w:t>pecial difficulties</w:t>
      </w:r>
      <w:r>
        <w:t>’</w:t>
      </w:r>
      <w:r w:rsidRPr="00D85A4F">
        <w:t xml:space="preserve"> </w:t>
      </w:r>
      <w:r>
        <w:t xml:space="preserve">Mental Health </w:t>
      </w:r>
      <w:proofErr w:type="spellStart"/>
      <w:r>
        <w:t>Act</w:t>
      </w:r>
      <w:r w:rsidRPr="00D85A4F">
        <w:t>but</w:t>
      </w:r>
      <w:proofErr w:type="spellEnd"/>
      <w:r w:rsidRPr="00D85A4F">
        <w:t xml:space="preserve"> </w:t>
      </w:r>
      <w:r>
        <w:t xml:space="preserve">the courts </w:t>
      </w:r>
      <w:r w:rsidRPr="00D85A4F">
        <w:t xml:space="preserve">have interpreted </w:t>
      </w:r>
      <w:r>
        <w:t xml:space="preserve">‘special’ </w:t>
      </w:r>
      <w:r w:rsidRPr="00D85A4F">
        <w:t>to mean ‘peculiar, or exceptional in amount, degree or intensity’ (</w:t>
      </w:r>
      <w:r w:rsidRPr="00D85A4F">
        <w:rPr>
          <w:i/>
          <w:iCs/>
        </w:rPr>
        <w:t xml:space="preserve">Re </w:t>
      </w:r>
      <w:proofErr w:type="spellStart"/>
      <w:r w:rsidRPr="00D85A4F">
        <w:rPr>
          <w:i/>
          <w:iCs/>
        </w:rPr>
        <w:t>T</w:t>
      </w:r>
      <w:r>
        <w:rPr>
          <w:i/>
          <w:iCs/>
        </w:rPr>
        <w:t>ahere</w:t>
      </w:r>
      <w:proofErr w:type="spellEnd"/>
      <w:r w:rsidRPr="00D85A4F">
        <w:t xml:space="preserve">). In </w:t>
      </w:r>
      <w:r w:rsidRPr="00D85A4F">
        <w:rPr>
          <w:i/>
          <w:iCs/>
        </w:rPr>
        <w:t>Re STN</w:t>
      </w:r>
      <w:r w:rsidRPr="00D85A4F">
        <w:t xml:space="preserve"> 6/4/00, NRT766/00</w:t>
      </w:r>
      <w:r>
        <w:t>,</w:t>
      </w:r>
      <w:r w:rsidRPr="00D85A4F">
        <w:t xml:space="preserve"> the Tribunal expressed the following </w:t>
      </w:r>
      <w:proofErr w:type="gramStart"/>
      <w:r w:rsidRPr="00D85A4F">
        <w:t>in regard to</w:t>
      </w:r>
      <w:proofErr w:type="gramEnd"/>
      <w:r w:rsidRPr="00D85A4F">
        <w:t xml:space="preserve"> what constituted special difficulties:</w:t>
      </w:r>
    </w:p>
    <w:p w14:paraId="21CB8C05" w14:textId="77777777" w:rsidR="00025FEB" w:rsidRPr="00D85A4F" w:rsidRDefault="00025FEB" w:rsidP="00025FEB">
      <w:pPr>
        <w:pStyle w:val="Quote"/>
        <w:keepNext/>
        <w:rPr>
          <w:i/>
          <w:iCs/>
        </w:rPr>
      </w:pPr>
      <w:r w:rsidRPr="00D85A4F">
        <w:rPr>
          <w:i/>
          <w:iCs/>
        </w:rPr>
        <w:t xml:space="preserve">The applicant possesses unusual features out of the ordinary run but not extraordinary or unique. It is the duration, </w:t>
      </w:r>
      <w:proofErr w:type="gramStart"/>
      <w:r w:rsidRPr="00D85A4F">
        <w:rPr>
          <w:i/>
          <w:iCs/>
        </w:rPr>
        <w:t>intensity</w:t>
      </w:r>
      <w:proofErr w:type="gramEnd"/>
      <w:r w:rsidRPr="00D85A4F">
        <w:rPr>
          <w:i/>
          <w:iCs/>
        </w:rPr>
        <w:t xml:space="preserve"> and magnitude of the applicant’s antisocial behaviour, which makes his difficulties special.</w:t>
      </w:r>
    </w:p>
    <w:p w14:paraId="18C7652D" w14:textId="77777777" w:rsidR="00025FEB" w:rsidRPr="00D85A4F" w:rsidRDefault="00025FEB" w:rsidP="00025FEB"/>
    <w:p w14:paraId="34811C28" w14:textId="77777777" w:rsidR="00025FEB" w:rsidRPr="00D85A4F" w:rsidRDefault="00025FEB" w:rsidP="00025FEB">
      <w:r w:rsidRPr="00D85A4F">
        <w:t xml:space="preserve">In </w:t>
      </w:r>
      <w:r w:rsidRPr="00D85A4F">
        <w:rPr>
          <w:i/>
        </w:rPr>
        <w:t xml:space="preserve">Re </w:t>
      </w:r>
      <w:proofErr w:type="spellStart"/>
      <w:r w:rsidRPr="00D85A4F">
        <w:rPr>
          <w:i/>
        </w:rPr>
        <w:t>T</w:t>
      </w:r>
      <w:r>
        <w:rPr>
          <w:i/>
        </w:rPr>
        <w:t>ahere</w:t>
      </w:r>
      <w:proofErr w:type="spellEnd"/>
      <w:r w:rsidRPr="00D85A4F">
        <w:t xml:space="preserve">, Kendall FCJ held that </w:t>
      </w:r>
      <w:r w:rsidRPr="00D85A4F">
        <w:rPr>
          <w:i/>
        </w:rPr>
        <w:t>‘</w:t>
      </w:r>
      <w:r w:rsidRPr="00D85A4F">
        <w:rPr>
          <w:iCs/>
        </w:rPr>
        <w:t>What must be looked at is that “special difficulties” must relate to the degree of danger to others, the nature of it, its causes, and its likely manifestations’</w:t>
      </w:r>
      <w:r w:rsidRPr="00D85A4F">
        <w:t xml:space="preserve">. Thus, there must be a causal link between the </w:t>
      </w:r>
      <w:r>
        <w:t>‘</w:t>
      </w:r>
      <w:r w:rsidRPr="00D85A4F">
        <w:t>danger</w:t>
      </w:r>
      <w:r>
        <w:t>’</w:t>
      </w:r>
      <w:r w:rsidRPr="00D85A4F">
        <w:t xml:space="preserve"> and the </w:t>
      </w:r>
      <w:r>
        <w:t>‘</w:t>
      </w:r>
      <w:r w:rsidRPr="00D85A4F">
        <w:t xml:space="preserve">special </w:t>
      </w:r>
      <w:proofErr w:type="gramStart"/>
      <w:r w:rsidRPr="00D85A4F">
        <w:t>difficulties</w:t>
      </w:r>
      <w:r>
        <w:t>’</w:t>
      </w:r>
      <w:proofErr w:type="gramEnd"/>
      <w:r w:rsidRPr="00D85A4F">
        <w:t>.</w:t>
      </w:r>
    </w:p>
    <w:p w14:paraId="5821F5D5" w14:textId="77777777" w:rsidR="00025FEB" w:rsidRPr="00D85A4F" w:rsidRDefault="00025FEB" w:rsidP="00025FEB">
      <w:pPr>
        <w:pStyle w:val="Heading2"/>
      </w:pPr>
      <w:bookmarkStart w:id="225" w:name="_Toc83197088"/>
      <w:bookmarkStart w:id="226" w:name="_Toc112845473"/>
      <w:bookmarkStart w:id="227" w:name="_Toc112862077"/>
      <w:bookmarkStart w:id="228" w:name="_Toc116484618"/>
      <w:r w:rsidRPr="00D85A4F">
        <w:t>Information in support of an application for restricted patient status</w:t>
      </w:r>
      <w:bookmarkEnd w:id="225"/>
      <w:bookmarkEnd w:id="226"/>
      <w:bookmarkEnd w:id="227"/>
      <w:bookmarkEnd w:id="228"/>
    </w:p>
    <w:p w14:paraId="29E0DB46" w14:textId="77777777" w:rsidR="00025FEB" w:rsidRPr="00D85A4F" w:rsidRDefault="00025FEB" w:rsidP="00025FEB">
      <w:pPr>
        <w:rPr>
          <w:lang w:eastAsia="en-NZ"/>
        </w:rPr>
      </w:pPr>
      <w:r w:rsidRPr="00D85A4F">
        <w:rPr>
          <w:lang w:eastAsia="en-NZ"/>
        </w:rPr>
        <w:t xml:space="preserve">As set out above, under section 54 of the </w:t>
      </w:r>
      <w:r>
        <w:rPr>
          <w:lang w:eastAsia="en-NZ"/>
        </w:rPr>
        <w:t>Mental Health Act</w:t>
      </w:r>
      <w:r w:rsidRPr="00D85A4F">
        <w:rPr>
          <w:lang w:eastAsia="en-NZ"/>
        </w:rPr>
        <w:t xml:space="preserve"> the Director may apply to the </w:t>
      </w:r>
      <w:r>
        <w:rPr>
          <w:lang w:eastAsia="en-NZ"/>
        </w:rPr>
        <w:t>c</w:t>
      </w:r>
      <w:r w:rsidRPr="00D85A4F">
        <w:rPr>
          <w:lang w:eastAsia="en-NZ"/>
        </w:rPr>
        <w:t>ourt for an order declaring a patient to be a restrict</w:t>
      </w:r>
      <w:r>
        <w:rPr>
          <w:lang w:eastAsia="en-NZ"/>
        </w:rPr>
        <w:t>ed</w:t>
      </w:r>
      <w:r w:rsidRPr="00D85A4F">
        <w:rPr>
          <w:lang w:eastAsia="en-NZ"/>
        </w:rPr>
        <w:t xml:space="preserve"> patient. In practice, the responsible clinician organises the application, which is then provided to the Director</w:t>
      </w:r>
      <w:r>
        <w:rPr>
          <w:lang w:eastAsia="en-NZ"/>
        </w:rPr>
        <w:t>,</w:t>
      </w:r>
      <w:r w:rsidRPr="00D85A4F">
        <w:rPr>
          <w:lang w:eastAsia="en-NZ"/>
        </w:rPr>
        <w:t xml:space="preserve"> who in turn applies to the </w:t>
      </w:r>
      <w:r>
        <w:rPr>
          <w:lang w:eastAsia="en-NZ"/>
        </w:rPr>
        <w:t>c</w:t>
      </w:r>
      <w:r w:rsidRPr="00D85A4F">
        <w:rPr>
          <w:lang w:eastAsia="en-NZ"/>
        </w:rPr>
        <w:t xml:space="preserve">ourt. </w:t>
      </w:r>
    </w:p>
    <w:p w14:paraId="3248DFAD" w14:textId="77777777" w:rsidR="00025FEB" w:rsidRPr="00D85A4F" w:rsidRDefault="00025FEB" w:rsidP="00025FEB">
      <w:pPr>
        <w:rPr>
          <w:lang w:eastAsia="en-NZ"/>
        </w:rPr>
      </w:pPr>
    </w:p>
    <w:p w14:paraId="30B9C21F" w14:textId="77777777" w:rsidR="00025FEB" w:rsidRPr="00D85A4F" w:rsidRDefault="00025FEB" w:rsidP="00025FEB">
      <w:pPr>
        <w:rPr>
          <w:lang w:eastAsia="en-NZ"/>
        </w:rPr>
      </w:pPr>
      <w:r w:rsidRPr="00D85A4F">
        <w:rPr>
          <w:lang w:eastAsia="en-NZ"/>
        </w:rPr>
        <w:t>Information in support of an application for restricted patient status should provide a comprehensive overview of the patient’s history (including any forensic history), as well as a plan for the patient’s proposed management as a restricted patient. In particular, the report on the patient should cover the following matters:</w:t>
      </w:r>
    </w:p>
    <w:p w14:paraId="6158E3AB" w14:textId="77777777" w:rsidR="00025FEB" w:rsidRPr="00D85A4F" w:rsidRDefault="00025FEB" w:rsidP="00025FEB">
      <w:pPr>
        <w:pStyle w:val="Bullet"/>
        <w:tabs>
          <w:tab w:val="clear" w:pos="284"/>
        </w:tabs>
      </w:pPr>
      <w:r w:rsidRPr="00D85A4F">
        <w:t>the relationship between the patient’s previous offending and their mental disorder</w:t>
      </w:r>
    </w:p>
    <w:p w14:paraId="2A23111B" w14:textId="77777777" w:rsidR="00025FEB" w:rsidRPr="00D85A4F" w:rsidRDefault="00025FEB" w:rsidP="00025FEB">
      <w:pPr>
        <w:pStyle w:val="Bullet"/>
        <w:tabs>
          <w:tab w:val="clear" w:pos="284"/>
        </w:tabs>
      </w:pPr>
      <w:r w:rsidRPr="00D85A4F">
        <w:t>whether the responsible clinician considers the patient poses a danger to others and the reasons for this analysis</w:t>
      </w:r>
    </w:p>
    <w:p w14:paraId="1E540790" w14:textId="77777777" w:rsidR="00025FEB" w:rsidRPr="00D85A4F" w:rsidRDefault="00025FEB" w:rsidP="00025FEB">
      <w:pPr>
        <w:pStyle w:val="Bullet"/>
        <w:tabs>
          <w:tab w:val="clear" w:pos="284"/>
        </w:tabs>
      </w:pPr>
      <w:r w:rsidRPr="00D85A4F">
        <w:t>if the patient does pose a danger to others, whether the patient presents special difficulties because of the danger they pose to others</w:t>
      </w:r>
    </w:p>
    <w:p w14:paraId="18B2CF1F" w14:textId="77777777" w:rsidR="00025FEB" w:rsidRPr="00D85A4F" w:rsidRDefault="00025FEB" w:rsidP="00025FEB">
      <w:pPr>
        <w:pStyle w:val="Bullet"/>
        <w:tabs>
          <w:tab w:val="clear" w:pos="284"/>
        </w:tabs>
      </w:pPr>
      <w:r w:rsidRPr="00D85A4F">
        <w:t xml:space="preserve">a cultural assessment </w:t>
      </w:r>
      <w:r>
        <w:t xml:space="preserve">covering </w:t>
      </w:r>
      <w:r w:rsidRPr="00D85A4F">
        <w:t xml:space="preserve">relevant aspects of the patient’s cultural background that contribute to the precise diagnosis of their mental disorder. </w:t>
      </w:r>
    </w:p>
    <w:p w14:paraId="1EC08765" w14:textId="77777777" w:rsidR="00025FEB" w:rsidRDefault="00025FEB" w:rsidP="00025FEB">
      <w:pPr>
        <w:rPr>
          <w:szCs w:val="22"/>
        </w:rPr>
      </w:pPr>
    </w:p>
    <w:p w14:paraId="5B16EAD5" w14:textId="77777777" w:rsidR="00025FEB" w:rsidRPr="00D85A4F" w:rsidRDefault="00025FEB" w:rsidP="00025FEB">
      <w:pPr>
        <w:rPr>
          <w:szCs w:val="22"/>
        </w:rPr>
      </w:pPr>
      <w:r>
        <w:rPr>
          <w:szCs w:val="22"/>
        </w:rPr>
        <w:t>As far as</w:t>
      </w:r>
      <w:r w:rsidRPr="00D85A4F">
        <w:rPr>
          <w:szCs w:val="22"/>
        </w:rPr>
        <w:t xml:space="preserve"> special difficulties</w:t>
      </w:r>
      <w:r>
        <w:rPr>
          <w:szCs w:val="22"/>
        </w:rPr>
        <w:t>, the information should include</w:t>
      </w:r>
      <w:r w:rsidRPr="00D85A4F">
        <w:rPr>
          <w:szCs w:val="22"/>
        </w:rPr>
        <w:t>:</w:t>
      </w:r>
    </w:p>
    <w:p w14:paraId="193BCF9D" w14:textId="77777777" w:rsidR="00025FEB" w:rsidRPr="00D85A4F" w:rsidRDefault="00025FEB" w:rsidP="00025FEB">
      <w:pPr>
        <w:pStyle w:val="Bullet"/>
        <w:tabs>
          <w:tab w:val="clear" w:pos="284"/>
        </w:tabs>
      </w:pPr>
      <w:r w:rsidRPr="00D85A4F">
        <w:t>the nature and degree of seriousness of the special difficulties presented by the patient because of the danger they pose to others</w:t>
      </w:r>
    </w:p>
    <w:p w14:paraId="26987288" w14:textId="77777777" w:rsidR="00025FEB" w:rsidRPr="00D85A4F" w:rsidRDefault="00025FEB" w:rsidP="00025FEB">
      <w:pPr>
        <w:pStyle w:val="Bullet"/>
        <w:tabs>
          <w:tab w:val="clear" w:pos="284"/>
        </w:tabs>
      </w:pPr>
      <w:r w:rsidRPr="00D85A4F">
        <w:t>an opinion on the ability to manage the special difficulties described, in a clinical and/or community setting.</w:t>
      </w:r>
    </w:p>
    <w:p w14:paraId="416EA399" w14:textId="77777777" w:rsidR="00025FEB" w:rsidRDefault="00025FEB" w:rsidP="00025FEB">
      <w:pPr>
        <w:rPr>
          <w:szCs w:val="22"/>
        </w:rPr>
      </w:pPr>
    </w:p>
    <w:p w14:paraId="4C86F667" w14:textId="77777777" w:rsidR="00025FEB" w:rsidRPr="00D85A4F" w:rsidRDefault="00025FEB" w:rsidP="00025FEB">
      <w:pPr>
        <w:rPr>
          <w:szCs w:val="22"/>
        </w:rPr>
      </w:pPr>
      <w:r>
        <w:rPr>
          <w:szCs w:val="22"/>
        </w:rPr>
        <w:lastRenderedPageBreak/>
        <w:t>Information about why the</w:t>
      </w:r>
      <w:r w:rsidRPr="00D85A4F">
        <w:rPr>
          <w:szCs w:val="22"/>
        </w:rPr>
        <w:t xml:space="preserve"> responsible clinician</w:t>
      </w:r>
      <w:r>
        <w:rPr>
          <w:szCs w:val="22"/>
        </w:rPr>
        <w:t xml:space="preserve"> or Director</w:t>
      </w:r>
      <w:r w:rsidRPr="00D85A4F">
        <w:rPr>
          <w:szCs w:val="22"/>
        </w:rPr>
        <w:t xml:space="preserve"> forms the view that the patient presents special difficulties because of the danger they pose to others</w:t>
      </w:r>
      <w:r>
        <w:rPr>
          <w:szCs w:val="22"/>
        </w:rPr>
        <w:t xml:space="preserve"> should also be included, addressing</w:t>
      </w:r>
      <w:r w:rsidRPr="00D85A4F">
        <w:rPr>
          <w:szCs w:val="22"/>
        </w:rPr>
        <w:t>:</w:t>
      </w:r>
    </w:p>
    <w:p w14:paraId="70A7B4BE" w14:textId="77777777" w:rsidR="00025FEB" w:rsidRPr="00D85A4F" w:rsidRDefault="00025FEB" w:rsidP="00025FEB">
      <w:pPr>
        <w:pStyle w:val="Bullet"/>
        <w:tabs>
          <w:tab w:val="clear" w:pos="284"/>
        </w:tabs>
      </w:pPr>
      <w:r w:rsidRPr="00D85A4F">
        <w:t>wh</w:t>
      </w:r>
      <w:r>
        <w:t xml:space="preserve">y </w:t>
      </w:r>
      <w:r w:rsidRPr="00D85A4F">
        <w:t xml:space="preserve">it would be appropriate that an order be made declaring the patient to be a restricted patient </w:t>
      </w:r>
    </w:p>
    <w:p w14:paraId="6CCDC95E" w14:textId="77777777" w:rsidR="00025FEB" w:rsidRDefault="00025FEB" w:rsidP="00025FEB">
      <w:pPr>
        <w:pStyle w:val="Bullet"/>
        <w:tabs>
          <w:tab w:val="clear" w:pos="284"/>
        </w:tabs>
      </w:pPr>
      <w:r w:rsidRPr="00D85A4F">
        <w:t>wh</w:t>
      </w:r>
      <w:r>
        <w:t>y</w:t>
      </w:r>
      <w:r w:rsidRPr="00D85A4F">
        <w:t xml:space="preserve"> restricted patient status is necessary to provide appropriate clinical supervision </w:t>
      </w:r>
    </w:p>
    <w:p w14:paraId="2DB30E2A" w14:textId="77777777" w:rsidR="00025FEB" w:rsidRPr="00D85A4F" w:rsidRDefault="00025FEB" w:rsidP="00025FEB">
      <w:pPr>
        <w:pStyle w:val="Bullet"/>
        <w:tabs>
          <w:tab w:val="clear" w:pos="284"/>
        </w:tabs>
      </w:pPr>
      <w:r w:rsidRPr="00D85A4F">
        <w:t>the reasons for these views.</w:t>
      </w:r>
    </w:p>
    <w:p w14:paraId="49333434" w14:textId="77777777" w:rsidR="00025FEB" w:rsidRDefault="00025FEB" w:rsidP="00025FEB"/>
    <w:p w14:paraId="4C668BA7" w14:textId="77777777" w:rsidR="00025FEB" w:rsidRPr="00D85A4F" w:rsidRDefault="00025FEB" w:rsidP="00025FEB">
      <w:r w:rsidRPr="00D85A4F">
        <w:t xml:space="preserve">The application should also discuss the difference that restricted patient status would make in </w:t>
      </w:r>
      <w:r>
        <w:t xml:space="preserve">terms of </w:t>
      </w:r>
      <w:r w:rsidRPr="00D85A4F">
        <w:t xml:space="preserve">the management of the patient, given that most </w:t>
      </w:r>
      <w:r>
        <w:t xml:space="preserve">people </w:t>
      </w:r>
      <w:r w:rsidRPr="00D85A4F">
        <w:t>for whom such an application is made are already subject to an inpatient compulsory treatment order.</w:t>
      </w:r>
    </w:p>
    <w:p w14:paraId="15085A91" w14:textId="77777777" w:rsidR="00025FEB" w:rsidRPr="00D85A4F" w:rsidRDefault="00025FEB" w:rsidP="00025FEB">
      <w:pPr>
        <w:pStyle w:val="Heading2"/>
      </w:pPr>
      <w:bookmarkStart w:id="229" w:name="_Toc83197089"/>
      <w:bookmarkStart w:id="230" w:name="_Toc112845474"/>
      <w:bookmarkStart w:id="231" w:name="_Toc112862078"/>
      <w:bookmarkStart w:id="232" w:name="_Toc116484619"/>
      <w:r w:rsidRPr="00D85A4F">
        <w:t>Second opinion</w:t>
      </w:r>
      <w:bookmarkEnd w:id="229"/>
      <w:bookmarkEnd w:id="230"/>
      <w:bookmarkEnd w:id="231"/>
      <w:bookmarkEnd w:id="232"/>
    </w:p>
    <w:p w14:paraId="7C87186E" w14:textId="77777777" w:rsidR="00025FEB" w:rsidRPr="00D85A4F" w:rsidRDefault="00025FEB" w:rsidP="00025FEB">
      <w:r w:rsidRPr="00D85A4F">
        <w:t xml:space="preserve">A request for restricted patient status should be accompanied by a second opinion from a forensic psychiatrist, and address the issues set out in section 9.2 above. Accompanying material should be </w:t>
      </w:r>
      <w:proofErr w:type="gramStart"/>
      <w:r w:rsidRPr="00D85A4F">
        <w:t>similar to</w:t>
      </w:r>
      <w:proofErr w:type="gramEnd"/>
      <w:r w:rsidRPr="00D85A4F">
        <w:t xml:space="preserve"> that required for a change in legal status.</w:t>
      </w:r>
    </w:p>
    <w:p w14:paraId="65C13729" w14:textId="77777777" w:rsidR="00025FEB" w:rsidRPr="00DD179B" w:rsidRDefault="00025FEB" w:rsidP="00025FEB"/>
    <w:p w14:paraId="406DFBD5" w14:textId="1A6DF5CD" w:rsidR="00025FEB" w:rsidRPr="00D85A4F" w:rsidRDefault="00025FEB" w:rsidP="00025FEB">
      <w:pPr>
        <w:pStyle w:val="Table"/>
      </w:pPr>
      <w:bookmarkStart w:id="233" w:name="_Toc112861590"/>
      <w:bookmarkStart w:id="234" w:name="_Toc116484650"/>
      <w:r>
        <w:t xml:space="preserve">Table </w:t>
      </w:r>
      <w:r>
        <w:fldChar w:fldCharType="begin"/>
      </w:r>
      <w:r>
        <w:instrText>SEQ Table \* ARABIC</w:instrText>
      </w:r>
      <w:r>
        <w:fldChar w:fldCharType="separate"/>
      </w:r>
      <w:r w:rsidR="00F25175">
        <w:rPr>
          <w:noProof/>
        </w:rPr>
        <w:t>17</w:t>
      </w:r>
      <w:r>
        <w:fldChar w:fldCharType="end"/>
      </w:r>
      <w:r>
        <w:t xml:space="preserve">: </w:t>
      </w:r>
      <w:r w:rsidRPr="00D45387">
        <w:t>Information to support an application for restricted patient status</w:t>
      </w:r>
      <w:bookmarkEnd w:id="233"/>
      <w:bookmarkEnd w:id="234"/>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1F0A6BF6"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5662EF59" w14:textId="77777777" w:rsidR="00025FEB" w:rsidRPr="00DC20BD" w:rsidRDefault="00025FEB" w:rsidP="00AD0359">
            <w:pPr>
              <w:pStyle w:val="TableT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2C85026C" w14:textId="77777777" w:rsidR="00025FEB" w:rsidRPr="00D85A4F" w:rsidRDefault="00025FEB" w:rsidP="00AD0359">
            <w:pPr>
              <w:pStyle w:val="TableText"/>
            </w:pPr>
            <w:r w:rsidRPr="00D85A4F">
              <w:t>A letter from the responsible clinician, including:</w:t>
            </w:r>
          </w:p>
          <w:p w14:paraId="05BAC1F4" w14:textId="77777777" w:rsidR="00025FEB" w:rsidRPr="00D85A4F" w:rsidRDefault="00025FEB" w:rsidP="00025FEB">
            <w:pPr>
              <w:pStyle w:val="TableBullet"/>
              <w:spacing w:line="264" w:lineRule="auto"/>
            </w:pPr>
            <w:r w:rsidRPr="00D85A4F">
              <w:t>a current mental state assessment</w:t>
            </w:r>
          </w:p>
          <w:p w14:paraId="68AF6383" w14:textId="77777777" w:rsidR="00025FEB" w:rsidRPr="00D85A4F" w:rsidRDefault="00025FEB" w:rsidP="00025FEB">
            <w:pPr>
              <w:pStyle w:val="TableBullet"/>
              <w:spacing w:line="264" w:lineRule="auto"/>
            </w:pPr>
            <w:r w:rsidRPr="00D85A4F">
              <w:t>a certificate of clinical review</w:t>
            </w:r>
          </w:p>
          <w:p w14:paraId="2B89896F" w14:textId="77777777" w:rsidR="00025FEB" w:rsidRPr="00D85A4F" w:rsidRDefault="00025FEB" w:rsidP="00025FEB">
            <w:pPr>
              <w:pStyle w:val="TableBullet"/>
              <w:spacing w:line="264" w:lineRule="auto"/>
            </w:pPr>
            <w:r w:rsidRPr="00D85A4F">
              <w:t>a risk assessment and management plan</w:t>
            </w:r>
          </w:p>
          <w:p w14:paraId="566A2FEE" w14:textId="77777777" w:rsidR="00025FEB" w:rsidRPr="00D85A4F" w:rsidRDefault="00025FEB" w:rsidP="00025FEB">
            <w:pPr>
              <w:pStyle w:val="TableBullet"/>
              <w:spacing w:line="264" w:lineRule="auto"/>
            </w:pPr>
            <w:r w:rsidRPr="00D85A4F">
              <w:t>a recent report from the SPRP, if one is available.</w:t>
            </w:r>
          </w:p>
          <w:p w14:paraId="42BD97AD" w14:textId="77777777" w:rsidR="00025FEB" w:rsidRPr="00D85A4F" w:rsidRDefault="00025FEB" w:rsidP="00AD0359">
            <w:pPr>
              <w:pStyle w:val="TableBullet"/>
              <w:numPr>
                <w:ilvl w:val="0"/>
                <w:numId w:val="0"/>
              </w:numPr>
            </w:pPr>
            <w:r w:rsidRPr="00D85A4F">
              <w:t>If not provided in the SPRP report, the following information should be specifically addressed:</w:t>
            </w:r>
          </w:p>
          <w:p w14:paraId="7E7095FF" w14:textId="77777777" w:rsidR="00025FEB" w:rsidRPr="00D85A4F" w:rsidRDefault="00025FEB" w:rsidP="00025FEB">
            <w:pPr>
              <w:pStyle w:val="TableBullet"/>
              <w:spacing w:line="264" w:lineRule="auto"/>
            </w:pPr>
            <w:r w:rsidRPr="00D85A4F">
              <w:t>the factors leading to the application for the patient to be made a restricted patient, with a focus on danger and special difficulties</w:t>
            </w:r>
          </w:p>
          <w:p w14:paraId="403742C9" w14:textId="77777777" w:rsidR="00025FEB" w:rsidRPr="00D85A4F" w:rsidRDefault="00025FEB" w:rsidP="00025FEB">
            <w:pPr>
              <w:pStyle w:val="TableBullet"/>
              <w:spacing w:line="264" w:lineRule="auto"/>
            </w:pPr>
            <w:r w:rsidRPr="00D85A4F">
              <w:t>specific comment on alcohol and drug use, including the use of psychoactive substances</w:t>
            </w:r>
          </w:p>
          <w:p w14:paraId="2309E945" w14:textId="77777777" w:rsidR="00025FEB" w:rsidRPr="00D85A4F" w:rsidRDefault="00025FEB" w:rsidP="00025FEB">
            <w:pPr>
              <w:pStyle w:val="TableBullet"/>
              <w:spacing w:line="264" w:lineRule="auto"/>
            </w:pPr>
            <w:r w:rsidRPr="00D85A4F">
              <w:t xml:space="preserve">advice of any critical incidents that occurred during the patient’s time as an inpatient, including possession of weapons, drugs or other prohibited material, and the management of </w:t>
            </w:r>
            <w:r>
              <w:t xml:space="preserve">those </w:t>
            </w:r>
            <w:r w:rsidRPr="00D85A4F">
              <w:t>incident</w:t>
            </w:r>
            <w:r>
              <w:t>s</w:t>
            </w:r>
          </w:p>
          <w:p w14:paraId="4E46C426" w14:textId="77777777" w:rsidR="00025FEB" w:rsidRPr="00D85A4F" w:rsidRDefault="00025FEB" w:rsidP="00025FEB">
            <w:pPr>
              <w:pStyle w:val="TableBullet"/>
              <w:spacing w:line="264" w:lineRule="auto"/>
            </w:pPr>
            <w:r w:rsidRPr="00D85A4F">
              <w:t>plans for the patient’s ongoing management, including specific comment on the danger the patient presents to others and the special difficulties resulting in the application.</w:t>
            </w:r>
          </w:p>
          <w:p w14:paraId="0BDFB59B" w14:textId="77777777" w:rsidR="00025FEB" w:rsidRPr="00D85A4F" w:rsidRDefault="00025FEB" w:rsidP="00025FEB">
            <w:pPr>
              <w:pStyle w:val="TableBullet"/>
              <w:spacing w:line="264" w:lineRule="auto"/>
            </w:pPr>
            <w:r w:rsidRPr="00D85A4F">
              <w:t>flight risk assessment</w:t>
            </w:r>
          </w:p>
          <w:p w14:paraId="2046BFF2" w14:textId="77777777" w:rsidR="00025FEB" w:rsidRPr="00D85A4F" w:rsidRDefault="00025FEB" w:rsidP="00025FEB">
            <w:pPr>
              <w:pStyle w:val="TableBullet"/>
              <w:spacing w:line="264" w:lineRule="auto"/>
            </w:pPr>
            <w:r w:rsidRPr="00D85A4F">
              <w:t>consideration of the needs of any children of the patient</w:t>
            </w:r>
          </w:p>
          <w:p w14:paraId="553E6913" w14:textId="77777777" w:rsidR="00025FEB" w:rsidRPr="00D85A4F" w:rsidRDefault="00025FEB" w:rsidP="00025FEB">
            <w:pPr>
              <w:pStyle w:val="TableBullet"/>
              <w:spacing w:line="264" w:lineRule="auto"/>
            </w:pPr>
            <w:r w:rsidRPr="00D85A4F">
              <w:t>comment on matters relating to the risk presented by the patient, particularly in relation to any victims of previous offending.</w:t>
            </w:r>
          </w:p>
          <w:p w14:paraId="5651E6A7" w14:textId="77777777" w:rsidR="00025FEB" w:rsidRPr="006454DE" w:rsidRDefault="00025FEB" w:rsidP="00AD0359">
            <w:pPr>
              <w:pStyle w:val="TableText"/>
            </w:pPr>
            <w:r w:rsidRPr="00D85A4F">
              <w:t xml:space="preserve">Refer to the current SPRP report, if available. </w:t>
            </w:r>
          </w:p>
        </w:tc>
      </w:tr>
      <w:tr w:rsidR="00025FEB" w:rsidRPr="00DC20BD" w14:paraId="3239426E"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6DDC874B" w14:textId="77777777" w:rsidR="00025FEB" w:rsidRPr="00D85A4F" w:rsidRDefault="00025FEB" w:rsidP="00AD0359">
            <w:pPr>
              <w:pStyle w:val="TableText"/>
            </w:pPr>
            <w:r w:rsidRPr="00D85A4F">
              <w:lastRenderedPageBreak/>
              <w:t>Timeframe</w:t>
            </w:r>
          </w:p>
        </w:tc>
        <w:tc>
          <w:tcPr>
            <w:tcW w:w="6861" w:type="dxa"/>
            <w:tcBorders>
              <w:top w:val="single" w:sz="4" w:space="0" w:color="A6A6A6" w:themeColor="background1" w:themeShade="A6"/>
              <w:bottom w:val="single" w:sz="4" w:space="0" w:color="A6A6A6" w:themeColor="background1" w:themeShade="A6"/>
            </w:tcBorders>
          </w:tcPr>
          <w:p w14:paraId="403F3AA9" w14:textId="77777777" w:rsidR="00025FEB" w:rsidRPr="00D85A4F" w:rsidRDefault="00025FEB" w:rsidP="00AD0359">
            <w:pPr>
              <w:pStyle w:val="TableText"/>
            </w:pPr>
            <w:r>
              <w:t xml:space="preserve">The </w:t>
            </w:r>
            <w:r w:rsidRPr="00D85A4F">
              <w:t xml:space="preserve">DAMHS </w:t>
            </w:r>
            <w:r>
              <w:t xml:space="preserve">must </w:t>
            </w:r>
            <w:r w:rsidRPr="00D85A4F">
              <w:t xml:space="preserve">submit </w:t>
            </w:r>
            <w:r>
              <w:t xml:space="preserve">a </w:t>
            </w:r>
            <w:r w:rsidRPr="00D85A4F">
              <w:t>report seeking a change of status within six weeks of the SPRP.</w:t>
            </w:r>
          </w:p>
          <w:p w14:paraId="54BA4D52" w14:textId="77777777" w:rsidR="00025FEB" w:rsidRPr="00D85A4F" w:rsidRDefault="00025FEB" w:rsidP="00AD0359">
            <w:pPr>
              <w:pStyle w:val="TableText"/>
            </w:pPr>
            <w:r>
              <w:t xml:space="preserve">The </w:t>
            </w:r>
            <w:r w:rsidRPr="00D85A4F">
              <w:t xml:space="preserve">Director of Mental Health </w:t>
            </w:r>
            <w:r>
              <w:t xml:space="preserve">must </w:t>
            </w:r>
            <w:r w:rsidRPr="00D85A4F">
              <w:t xml:space="preserve">determine to </w:t>
            </w:r>
            <w:r w:rsidRPr="00D85A4F">
              <w:rPr>
                <w:i/>
              </w:rPr>
              <w:t>either</w:t>
            </w:r>
            <w:r w:rsidRPr="00D85A4F">
              <w:t xml:space="preserve"> direct that the patient be released forthwith from compulsory status </w:t>
            </w:r>
            <w:r w:rsidRPr="00D85A4F">
              <w:rPr>
                <w:i/>
              </w:rPr>
              <w:t xml:space="preserve">or </w:t>
            </w:r>
            <w:r w:rsidRPr="00D85A4F">
              <w:t xml:space="preserve">apply to the </w:t>
            </w:r>
            <w:r>
              <w:t>r</w:t>
            </w:r>
            <w:r w:rsidRPr="00D85A4F">
              <w:t xml:space="preserve">eview </w:t>
            </w:r>
            <w:r>
              <w:t>t</w:t>
            </w:r>
            <w:r w:rsidRPr="00D85A4F">
              <w:t>ribunal for a review of the patient’s condition to begin within 21 working days and advise the service by email.</w:t>
            </w:r>
          </w:p>
          <w:p w14:paraId="0A351A29" w14:textId="77777777" w:rsidR="00025FEB" w:rsidRPr="00D85A4F" w:rsidRDefault="00025FEB" w:rsidP="00AD0359">
            <w:pPr>
              <w:pStyle w:val="TableText"/>
            </w:pPr>
            <w:r w:rsidRPr="00D85A4F">
              <w:rPr>
                <w:bCs/>
              </w:rPr>
              <w:t>NB:</w:t>
            </w:r>
            <w:r w:rsidRPr="00D85A4F">
              <w:t xml:space="preserve"> Incomplete information will result in delay in receiving a decision from the Director of Mental Health.</w:t>
            </w:r>
          </w:p>
        </w:tc>
      </w:tr>
    </w:tbl>
    <w:p w14:paraId="59B63DE4" w14:textId="77777777" w:rsidR="00025FEB" w:rsidRDefault="00025FEB" w:rsidP="00025FEB">
      <w:pPr>
        <w:sectPr w:rsidR="00025FEB" w:rsidSect="00856460">
          <w:pgSz w:w="11907" w:h="16834" w:code="9"/>
          <w:pgMar w:top="1418" w:right="1701" w:bottom="1134" w:left="1843" w:header="284" w:footer="425" w:gutter="284"/>
          <w:cols w:space="720"/>
        </w:sectPr>
      </w:pPr>
    </w:p>
    <w:p w14:paraId="3F713C0E" w14:textId="77777777" w:rsidR="00025FEB" w:rsidRPr="00D85A4F" w:rsidRDefault="00025FEB" w:rsidP="00025FEB">
      <w:pPr>
        <w:pStyle w:val="Heading1"/>
        <w:rPr>
          <w:lang w:eastAsia="en-NZ"/>
        </w:rPr>
      </w:pPr>
      <w:bookmarkStart w:id="235" w:name="_Toc112862079"/>
      <w:bookmarkStart w:id="236" w:name="_Toc116484620"/>
      <w:r w:rsidRPr="00D85A4F">
        <w:rPr>
          <w:lang w:eastAsia="en-NZ"/>
        </w:rPr>
        <w:lastRenderedPageBreak/>
        <w:t>Change of legal status: restricted patients</w:t>
      </w:r>
      <w:bookmarkEnd w:id="235"/>
      <w:bookmarkEnd w:id="236"/>
    </w:p>
    <w:p w14:paraId="7619B1F6" w14:textId="63003F06" w:rsidR="00025FEB" w:rsidRPr="00D85A4F" w:rsidRDefault="00025FEB" w:rsidP="00025FEB">
      <w:r w:rsidRPr="00D85A4F">
        <w:t>A restricted patient can only have their status changed once the matter is referred to the Director. The purpose of a restricted patient order is to ensure that decisions regarding restricted patients regarding long-term leave and discharge from that status are taken at ministerial level</w:t>
      </w:r>
      <w:r>
        <w:t>,</w:t>
      </w:r>
      <w:r w:rsidRPr="00D85A4F">
        <w:t xml:space="preserve"> while decisions as to whether patients remain mentally disordered are still to</w:t>
      </w:r>
      <w:r w:rsidR="007C7EA7">
        <w:t xml:space="preserve"> be</w:t>
      </w:r>
      <w:r w:rsidRPr="00D85A4F">
        <w:t xml:space="preserve"> taken at clinical level</w:t>
      </w:r>
      <w:r>
        <w:t>,</w:t>
      </w:r>
      <w:r w:rsidRPr="00D85A4F">
        <w:t xml:space="preserve"> with oversight by the Director or the Mental Health Review Tribunal in any final decision.</w:t>
      </w:r>
    </w:p>
    <w:p w14:paraId="52CD1224" w14:textId="77777777" w:rsidR="00025FEB" w:rsidRPr="00D85A4F" w:rsidRDefault="00025FEB" w:rsidP="00025FEB"/>
    <w:p w14:paraId="203DDEF3" w14:textId="0DE51471" w:rsidR="00025FEB" w:rsidRPr="00D85A4F" w:rsidRDefault="00025FEB" w:rsidP="00025FEB">
      <w:r>
        <w:t xml:space="preserve">In </w:t>
      </w:r>
      <w:r w:rsidRPr="00D85A4F">
        <w:rPr>
          <w:i/>
          <w:iCs/>
        </w:rPr>
        <w:t>Re STN</w:t>
      </w:r>
      <w:r w:rsidRPr="00D85A4F">
        <w:t xml:space="preserve"> 6/4/00, NRT766/00</w:t>
      </w:r>
      <w:r>
        <w:t xml:space="preserve">, the Review Tribunal </w:t>
      </w:r>
      <w:r w:rsidRPr="00D85A4F">
        <w:t xml:space="preserve">noted that continuation of restricted patient status is appropriate to ensure the continuation of the ministerial decision-making process. The additional </w:t>
      </w:r>
      <w:r>
        <w:t xml:space="preserve">restrictions </w:t>
      </w:r>
      <w:r w:rsidRPr="00D85A4F">
        <w:t>on the leave and change of status are designed to protect the public where the danger posed by the patient is such that this is necessary.</w:t>
      </w:r>
    </w:p>
    <w:p w14:paraId="009ECB06" w14:textId="77777777" w:rsidR="00025FEB" w:rsidRPr="00D85A4F" w:rsidRDefault="00025FEB" w:rsidP="00025FEB">
      <w:pPr>
        <w:rPr>
          <w:lang w:eastAsia="en-NZ"/>
        </w:rPr>
      </w:pPr>
    </w:p>
    <w:p w14:paraId="66DF683D" w14:textId="77777777" w:rsidR="00025FEB" w:rsidRPr="00D85A4F" w:rsidRDefault="00025FEB" w:rsidP="00025FEB">
      <w:pPr>
        <w:rPr>
          <w:lang w:eastAsia="en-NZ"/>
        </w:rPr>
      </w:pPr>
      <w:r w:rsidRPr="00D85A4F">
        <w:rPr>
          <w:lang w:eastAsia="en-NZ"/>
        </w:rPr>
        <w:t xml:space="preserve">Section 78 of the </w:t>
      </w:r>
      <w:r>
        <w:rPr>
          <w:lang w:eastAsia="en-NZ"/>
        </w:rPr>
        <w:t>Mental Health Act</w:t>
      </w:r>
      <w:r w:rsidRPr="00D85A4F">
        <w:rPr>
          <w:lang w:eastAsia="en-NZ"/>
        </w:rPr>
        <w:t xml:space="preserve"> governs clinical reviews and change of status for restricted patients. </w:t>
      </w:r>
      <w:r>
        <w:rPr>
          <w:lang w:eastAsia="en-NZ"/>
        </w:rPr>
        <w:t>In the case of a change of legal status, t</w:t>
      </w:r>
      <w:r w:rsidRPr="00D85A4F">
        <w:rPr>
          <w:lang w:eastAsia="en-NZ"/>
        </w:rPr>
        <w:t>he responsible clinician</w:t>
      </w:r>
      <w:r>
        <w:rPr>
          <w:lang w:eastAsia="en-NZ"/>
        </w:rPr>
        <w:t xml:space="preserve"> must conduct a formal review not later than three months after the date of the order and thereafter at intervals not longer than six months. The review</w:t>
      </w:r>
      <w:r w:rsidRPr="00D85A4F">
        <w:rPr>
          <w:lang w:eastAsia="en-NZ"/>
        </w:rPr>
        <w:t xml:space="preserve"> may find that:</w:t>
      </w:r>
    </w:p>
    <w:p w14:paraId="23AEDBCE" w14:textId="77777777" w:rsidR="00025FEB" w:rsidRPr="00D85A4F" w:rsidRDefault="00025FEB" w:rsidP="00025FEB">
      <w:pPr>
        <w:pStyle w:val="Bullet"/>
        <w:spacing w:line="264" w:lineRule="auto"/>
        <w:rPr>
          <w:lang w:eastAsia="en-NZ"/>
        </w:rPr>
      </w:pPr>
      <w:r w:rsidRPr="00D85A4F">
        <w:rPr>
          <w:lang w:eastAsia="en-NZ"/>
        </w:rPr>
        <w:t>the patient is fit to be released from compulsory status</w:t>
      </w:r>
    </w:p>
    <w:p w14:paraId="06334582" w14:textId="284DEA9D" w:rsidR="00025FEB" w:rsidRPr="00D85A4F" w:rsidRDefault="00025FEB" w:rsidP="00025FEB">
      <w:pPr>
        <w:pStyle w:val="Bullet"/>
        <w:spacing w:line="264" w:lineRule="auto"/>
        <w:rPr>
          <w:lang w:eastAsia="en-NZ"/>
        </w:rPr>
      </w:pPr>
      <w:r w:rsidRPr="00D85A4F">
        <w:rPr>
          <w:lang w:eastAsia="en-NZ"/>
        </w:rPr>
        <w:t xml:space="preserve">the patient is not fit to be released from compulsory </w:t>
      </w:r>
      <w:r w:rsidR="007C7EA7" w:rsidRPr="00D85A4F">
        <w:rPr>
          <w:lang w:eastAsia="en-NZ"/>
        </w:rPr>
        <w:t>status,</w:t>
      </w:r>
      <w:r w:rsidRPr="00D85A4F">
        <w:rPr>
          <w:lang w:eastAsia="en-NZ"/>
        </w:rPr>
        <w:t xml:space="preserve"> but it is no longer necessary for the patient to be declared to be a restricted patient</w:t>
      </w:r>
    </w:p>
    <w:p w14:paraId="77FE2D44" w14:textId="77777777" w:rsidR="00025FEB" w:rsidRPr="00D85A4F" w:rsidRDefault="00025FEB" w:rsidP="00025FEB">
      <w:pPr>
        <w:pStyle w:val="Bullet"/>
        <w:spacing w:line="264" w:lineRule="auto"/>
        <w:rPr>
          <w:lang w:eastAsia="en-NZ"/>
        </w:rPr>
      </w:pPr>
      <w:r w:rsidRPr="00D85A4F">
        <w:rPr>
          <w:lang w:eastAsia="en-NZ"/>
        </w:rPr>
        <w:t>the patient is not fit to be released from compulsory status and should continue to be declared to be a restricted patient.</w:t>
      </w:r>
    </w:p>
    <w:p w14:paraId="6D1B8DE0" w14:textId="77777777" w:rsidR="00025FEB" w:rsidRPr="00D85A4F" w:rsidRDefault="00025FEB" w:rsidP="00025FEB">
      <w:pPr>
        <w:rPr>
          <w:lang w:eastAsia="en-NZ"/>
        </w:rPr>
      </w:pPr>
    </w:p>
    <w:p w14:paraId="551EB419" w14:textId="77777777" w:rsidR="00025FEB" w:rsidRDefault="00025FEB" w:rsidP="00025FEB">
      <w:pPr>
        <w:rPr>
          <w:lang w:eastAsia="en-NZ"/>
        </w:rPr>
      </w:pPr>
      <w:r w:rsidRPr="00D85A4F">
        <w:rPr>
          <w:lang w:eastAsia="en-NZ"/>
        </w:rPr>
        <w:t xml:space="preserve">The responsible clinician must send a copy of the certificate of clinical review to the Director and each of the persons specified in section 76(7)(b) of the </w:t>
      </w:r>
      <w:r>
        <w:rPr>
          <w:lang w:eastAsia="en-NZ"/>
        </w:rPr>
        <w:t>Mental Health Act</w:t>
      </w:r>
      <w:r w:rsidRPr="00D85A4F">
        <w:rPr>
          <w:lang w:eastAsia="en-NZ"/>
        </w:rPr>
        <w:t>.</w:t>
      </w:r>
    </w:p>
    <w:p w14:paraId="06DF3D8E" w14:textId="77777777" w:rsidR="00025FEB" w:rsidRPr="00D85A4F" w:rsidRDefault="00025FEB" w:rsidP="00025FEB">
      <w:pPr>
        <w:pStyle w:val="Heading2"/>
      </w:pPr>
      <w:bookmarkStart w:id="237" w:name="_Toc377543409"/>
      <w:bookmarkStart w:id="238" w:name="_Toc441658605"/>
      <w:bookmarkStart w:id="239" w:name="_Toc83197091"/>
      <w:bookmarkStart w:id="240" w:name="_Toc112845476"/>
      <w:bookmarkStart w:id="241" w:name="_Toc112862080"/>
      <w:bookmarkStart w:id="242" w:name="_Toc116484621"/>
      <w:r>
        <w:t>Where a r</w:t>
      </w:r>
      <w:r w:rsidRPr="00D85A4F">
        <w:t xml:space="preserve">estricted patient </w:t>
      </w:r>
      <w:r>
        <w:t xml:space="preserve">is </w:t>
      </w:r>
      <w:r w:rsidRPr="00D85A4F">
        <w:t>fit to be released from compulsory status</w:t>
      </w:r>
      <w:bookmarkEnd w:id="237"/>
      <w:bookmarkEnd w:id="238"/>
      <w:bookmarkEnd w:id="239"/>
      <w:bookmarkEnd w:id="240"/>
      <w:bookmarkEnd w:id="241"/>
      <w:bookmarkEnd w:id="242"/>
    </w:p>
    <w:p w14:paraId="3D492B08" w14:textId="77777777" w:rsidR="00025FEB" w:rsidRPr="00D85A4F" w:rsidRDefault="00025FEB" w:rsidP="00025FEB">
      <w:pPr>
        <w:rPr>
          <w:color w:val="000000"/>
        </w:rPr>
      </w:pPr>
      <w:r w:rsidRPr="00D85A4F">
        <w:t xml:space="preserve">Where the responsible clinician is of the opinion that </w:t>
      </w:r>
      <w:r>
        <w:t xml:space="preserve">a restricted </w:t>
      </w:r>
      <w:r w:rsidRPr="00D85A4F">
        <w:t>patient is fit to be released from compulsory status, the</w:t>
      </w:r>
      <w:r w:rsidRPr="00D85A4F">
        <w:rPr>
          <w:color w:val="000000"/>
        </w:rPr>
        <w:t xml:space="preserve"> Director must </w:t>
      </w:r>
      <w:r w:rsidRPr="00D85A4F">
        <w:t>either direct that the patient be released from compulsory status or apply to the Mental Health Review Tribunal for a review of the patient’s condition.</w:t>
      </w:r>
    </w:p>
    <w:p w14:paraId="3B049F75" w14:textId="3C793602" w:rsidR="00025FEB" w:rsidRPr="00D85A4F" w:rsidRDefault="00025FEB" w:rsidP="00025FEB">
      <w:pPr>
        <w:pStyle w:val="Table"/>
      </w:pPr>
      <w:bookmarkStart w:id="243" w:name="_Toc112861591"/>
      <w:bookmarkStart w:id="244" w:name="_Toc116484651"/>
      <w:r>
        <w:lastRenderedPageBreak/>
        <w:t xml:space="preserve">Table </w:t>
      </w:r>
      <w:r>
        <w:fldChar w:fldCharType="begin"/>
      </w:r>
      <w:r>
        <w:instrText>SEQ Table \* ARABIC</w:instrText>
      </w:r>
      <w:r>
        <w:fldChar w:fldCharType="separate"/>
      </w:r>
      <w:r w:rsidR="00F25175">
        <w:rPr>
          <w:noProof/>
        </w:rPr>
        <w:t>18</w:t>
      </w:r>
      <w:r>
        <w:fldChar w:fldCharType="end"/>
      </w:r>
      <w:r>
        <w:t xml:space="preserve">: </w:t>
      </w:r>
      <w:r w:rsidRPr="00D45387">
        <w:t>Information to support a change of status for a restricted patient who is fit to be released from compulsory treatment status</w:t>
      </w:r>
      <w:bookmarkEnd w:id="243"/>
      <w:bookmarkEnd w:id="244"/>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47A5D1CB"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3B662545" w14:textId="77777777" w:rsidR="00025FEB" w:rsidRPr="00DC20BD" w:rsidRDefault="00025FEB" w:rsidP="00AD0359">
            <w:pPr>
              <w:pStyle w:val="TableT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58B092C5" w14:textId="77777777" w:rsidR="00025FEB" w:rsidRPr="00D85A4F" w:rsidRDefault="00025FEB" w:rsidP="00AD0359">
            <w:pPr>
              <w:pStyle w:val="TableText"/>
            </w:pPr>
            <w:r w:rsidRPr="00D85A4F">
              <w:t>A letter from the responsible clinician, including:</w:t>
            </w:r>
          </w:p>
          <w:p w14:paraId="08FB6D15" w14:textId="77777777" w:rsidR="00025FEB" w:rsidRPr="00D85A4F" w:rsidRDefault="00025FEB" w:rsidP="00025FEB">
            <w:pPr>
              <w:pStyle w:val="TableBullet"/>
              <w:spacing w:line="264" w:lineRule="auto"/>
            </w:pPr>
            <w:r w:rsidRPr="00D85A4F">
              <w:t>a current mental state assessment</w:t>
            </w:r>
          </w:p>
          <w:p w14:paraId="3094661E" w14:textId="77777777" w:rsidR="00025FEB" w:rsidRPr="00D85A4F" w:rsidRDefault="00025FEB" w:rsidP="00025FEB">
            <w:pPr>
              <w:pStyle w:val="TableBullet"/>
              <w:spacing w:line="264" w:lineRule="auto"/>
            </w:pPr>
            <w:r w:rsidRPr="00D85A4F">
              <w:t>a certificate of clinical review</w:t>
            </w:r>
          </w:p>
          <w:p w14:paraId="481E5C2C" w14:textId="77777777" w:rsidR="00025FEB" w:rsidRPr="00D85A4F" w:rsidRDefault="00025FEB" w:rsidP="00025FEB">
            <w:pPr>
              <w:pStyle w:val="TableBullet"/>
              <w:spacing w:line="264" w:lineRule="auto"/>
            </w:pPr>
            <w:r w:rsidRPr="00D85A4F">
              <w:t>a risk assessment and management plan, including flight risk.</w:t>
            </w:r>
          </w:p>
          <w:p w14:paraId="4FC2E491" w14:textId="77777777" w:rsidR="00025FEB" w:rsidRPr="00D85A4F" w:rsidRDefault="00025FEB" w:rsidP="00AD0359">
            <w:pPr>
              <w:pStyle w:val="TableText"/>
            </w:pPr>
            <w:r w:rsidRPr="00D85A4F">
              <w:t>If not provided in the SPRP report, the following information should be specifically addressed:</w:t>
            </w:r>
          </w:p>
          <w:p w14:paraId="02C76DB0" w14:textId="77777777" w:rsidR="00025FEB" w:rsidRPr="00D85A4F" w:rsidRDefault="00025FEB" w:rsidP="00025FEB">
            <w:pPr>
              <w:pStyle w:val="TableBullet"/>
              <w:spacing w:line="264" w:lineRule="auto"/>
            </w:pPr>
            <w:r w:rsidRPr="00D85A4F">
              <w:t>how the factors leading to the patient being subject to restricted patient status have been addressed (including compliance with treatment)</w:t>
            </w:r>
          </w:p>
          <w:p w14:paraId="37C7B8B4" w14:textId="77777777" w:rsidR="00025FEB" w:rsidRPr="00D85A4F" w:rsidRDefault="00025FEB" w:rsidP="00025FEB">
            <w:pPr>
              <w:pStyle w:val="TableBullet"/>
              <w:spacing w:line="264" w:lineRule="auto"/>
            </w:pPr>
            <w:r w:rsidRPr="00D85A4F">
              <w:t>specific comment on alcohol and drug use, including the use of psychoactive substances</w:t>
            </w:r>
          </w:p>
          <w:p w14:paraId="04059AFA" w14:textId="77777777" w:rsidR="00025FEB" w:rsidRPr="00D85A4F" w:rsidRDefault="00025FEB" w:rsidP="00025FEB">
            <w:pPr>
              <w:pStyle w:val="TableBullet"/>
              <w:spacing w:line="264" w:lineRule="auto"/>
            </w:pPr>
            <w:r w:rsidRPr="00D85A4F">
              <w:t>advice of any critical incidents that occurred during the patient’s time as a restricted patient, including possession of weapons, drugs or other prohibited material, and the management of that incident</w:t>
            </w:r>
          </w:p>
          <w:p w14:paraId="66171B2C" w14:textId="77777777" w:rsidR="00025FEB" w:rsidRPr="00D85A4F" w:rsidRDefault="00025FEB" w:rsidP="00025FEB">
            <w:pPr>
              <w:pStyle w:val="TableBullet"/>
              <w:spacing w:line="264" w:lineRule="auto"/>
            </w:pPr>
            <w:r w:rsidRPr="00D85A4F">
              <w:t>plans for the patient’s ongoing management by mental health services once they are no longer subject to compulsory treatment status (inclusive of recovery plan)</w:t>
            </w:r>
          </w:p>
          <w:p w14:paraId="1F7A4339" w14:textId="77777777" w:rsidR="00025FEB" w:rsidRPr="00D85A4F" w:rsidRDefault="00025FEB" w:rsidP="00025FEB">
            <w:pPr>
              <w:pStyle w:val="TableBullet"/>
              <w:spacing w:line="264" w:lineRule="auto"/>
            </w:pPr>
            <w:r w:rsidRPr="00D85A4F">
              <w:t>flight risk assessment, particularly if the patient is likely to disengage from services</w:t>
            </w:r>
          </w:p>
          <w:p w14:paraId="3071AC30" w14:textId="77777777" w:rsidR="00025FEB" w:rsidRPr="00D85A4F" w:rsidRDefault="00025FEB" w:rsidP="00025FEB">
            <w:pPr>
              <w:pStyle w:val="TableBullet"/>
              <w:spacing w:line="264" w:lineRule="auto"/>
            </w:pPr>
            <w:r w:rsidRPr="00D85A4F">
              <w:t>a cultural assessment</w:t>
            </w:r>
          </w:p>
          <w:p w14:paraId="13E7760C" w14:textId="77777777" w:rsidR="00025FEB" w:rsidRPr="00D85A4F" w:rsidRDefault="00025FEB" w:rsidP="00025FEB">
            <w:pPr>
              <w:pStyle w:val="TableBullet"/>
              <w:spacing w:line="264" w:lineRule="auto"/>
            </w:pPr>
            <w:r w:rsidRPr="00D85A4F">
              <w:t xml:space="preserve">what </w:t>
            </w:r>
            <w:proofErr w:type="spellStart"/>
            <w:r w:rsidRPr="00D85A4F">
              <w:t>wh</w:t>
            </w:r>
            <w:r w:rsidRPr="00D85A4F">
              <w:rPr>
                <w:rFonts w:cs="Arial"/>
              </w:rPr>
              <w:t>ā</w:t>
            </w:r>
            <w:r w:rsidRPr="00D85A4F">
              <w:t>nau</w:t>
            </w:r>
            <w:proofErr w:type="spellEnd"/>
            <w:r w:rsidRPr="00D85A4F">
              <w:t xml:space="preserve"> support is available</w:t>
            </w:r>
          </w:p>
          <w:p w14:paraId="31A85E36" w14:textId="77777777" w:rsidR="00025FEB" w:rsidRPr="00D85A4F" w:rsidRDefault="00025FEB" w:rsidP="00025FEB">
            <w:pPr>
              <w:pStyle w:val="TableBullet"/>
              <w:spacing w:line="264" w:lineRule="auto"/>
            </w:pPr>
            <w:r w:rsidRPr="00D85A4F">
              <w:t>consideration of the needs of any children of the patient</w:t>
            </w:r>
          </w:p>
          <w:p w14:paraId="23330BC5" w14:textId="77777777" w:rsidR="00025FEB" w:rsidRPr="00D85A4F" w:rsidRDefault="00025FEB" w:rsidP="00025FEB">
            <w:pPr>
              <w:pStyle w:val="TableBullet"/>
              <w:spacing w:line="264" w:lineRule="auto"/>
            </w:pPr>
            <w:r w:rsidRPr="00D85A4F">
              <w:t>comment on matters relating to the risk presented by the patient, particularly in relation to victims of previous offending.</w:t>
            </w:r>
          </w:p>
          <w:p w14:paraId="78574959" w14:textId="77777777" w:rsidR="00025FEB" w:rsidRPr="006454DE" w:rsidRDefault="00025FEB" w:rsidP="00AD0359">
            <w:pPr>
              <w:pStyle w:val="TableText"/>
            </w:pPr>
            <w:r w:rsidRPr="00D85A4F">
              <w:t>A recent SPRP report must be provided with the application. In practice</w:t>
            </w:r>
            <w:r>
              <w:t>,</w:t>
            </w:r>
            <w:r w:rsidRPr="00D85A4F">
              <w:t xml:space="preserve"> this information will be uploaded into the </w:t>
            </w:r>
            <w:r>
              <w:t>SPMS</w:t>
            </w:r>
            <w:r w:rsidRPr="00D85A4F">
              <w:t>.</w:t>
            </w:r>
          </w:p>
        </w:tc>
      </w:tr>
      <w:tr w:rsidR="00025FEB" w:rsidRPr="00DC20BD" w14:paraId="41F1C372"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3F6E3954" w14:textId="77777777" w:rsidR="00025FEB" w:rsidRPr="00D85A4F" w:rsidRDefault="00025FEB" w:rsidP="00AD0359">
            <w:pPr>
              <w:pStyle w:val="TableText"/>
            </w:pPr>
            <w:r w:rsidRPr="00D85A4F">
              <w:t>Timeframe</w:t>
            </w:r>
          </w:p>
        </w:tc>
        <w:tc>
          <w:tcPr>
            <w:tcW w:w="6861" w:type="dxa"/>
            <w:tcBorders>
              <w:top w:val="single" w:sz="4" w:space="0" w:color="A6A6A6" w:themeColor="background1" w:themeShade="A6"/>
              <w:bottom w:val="single" w:sz="4" w:space="0" w:color="A6A6A6" w:themeColor="background1" w:themeShade="A6"/>
            </w:tcBorders>
          </w:tcPr>
          <w:p w14:paraId="029A2A87" w14:textId="77777777" w:rsidR="00025FEB" w:rsidRPr="00D85A4F" w:rsidRDefault="00025FEB" w:rsidP="00AD0359">
            <w:pPr>
              <w:pStyle w:val="TableText"/>
            </w:pPr>
            <w:r>
              <w:t xml:space="preserve">The </w:t>
            </w:r>
            <w:r w:rsidRPr="00D85A4F">
              <w:t xml:space="preserve">DAMHS </w:t>
            </w:r>
            <w:r>
              <w:t xml:space="preserve">must </w:t>
            </w:r>
            <w:r w:rsidRPr="00D85A4F">
              <w:t xml:space="preserve">submit </w:t>
            </w:r>
            <w:r>
              <w:t xml:space="preserve">the </w:t>
            </w:r>
            <w:r w:rsidRPr="00D85A4F">
              <w:t>report seeking a change of status within six weeks of the SPRP.</w:t>
            </w:r>
          </w:p>
          <w:p w14:paraId="6F5E3CCE" w14:textId="77777777" w:rsidR="00025FEB" w:rsidRPr="00D85A4F" w:rsidRDefault="00025FEB" w:rsidP="00AD0359">
            <w:pPr>
              <w:pStyle w:val="TableText"/>
            </w:pPr>
            <w:r>
              <w:t xml:space="preserve">The </w:t>
            </w:r>
            <w:r w:rsidRPr="00D85A4F">
              <w:t xml:space="preserve">Director of Mental Health </w:t>
            </w:r>
            <w:r>
              <w:t xml:space="preserve">must </w:t>
            </w:r>
            <w:r w:rsidRPr="00D85A4F">
              <w:t xml:space="preserve">determine to </w:t>
            </w:r>
            <w:r w:rsidRPr="00D85A4F">
              <w:rPr>
                <w:i/>
              </w:rPr>
              <w:t>either</w:t>
            </w:r>
            <w:r w:rsidRPr="00D85A4F">
              <w:t xml:space="preserve"> direct that the patient be released forthwith from compulsory status </w:t>
            </w:r>
            <w:r w:rsidRPr="00D85A4F">
              <w:rPr>
                <w:i/>
              </w:rPr>
              <w:t xml:space="preserve">or </w:t>
            </w:r>
            <w:r w:rsidRPr="00D85A4F">
              <w:t xml:space="preserve">apply to the </w:t>
            </w:r>
            <w:r>
              <w:t>r</w:t>
            </w:r>
            <w:r w:rsidRPr="00D85A4F">
              <w:t xml:space="preserve">eview </w:t>
            </w:r>
            <w:r>
              <w:t>t</w:t>
            </w:r>
            <w:r w:rsidRPr="00D85A4F">
              <w:t>ribunal for a review of the patient’s condition within 20 working days and advise the service by email.</w:t>
            </w:r>
          </w:p>
          <w:p w14:paraId="0D4F9AC9" w14:textId="77777777" w:rsidR="00025FEB" w:rsidRPr="00D85A4F" w:rsidRDefault="00025FEB" w:rsidP="00AD0359">
            <w:pPr>
              <w:pStyle w:val="TableText"/>
            </w:pPr>
            <w:r w:rsidRPr="00D85A4F">
              <w:rPr>
                <w:bCs/>
              </w:rPr>
              <w:t>NB:</w:t>
            </w:r>
            <w:r w:rsidRPr="00D85A4F">
              <w:t xml:space="preserve"> Incomplete information will result in delay in receiving a decision from the Director of Mental Health.</w:t>
            </w:r>
          </w:p>
        </w:tc>
      </w:tr>
    </w:tbl>
    <w:p w14:paraId="742913D6" w14:textId="77777777" w:rsidR="00025FEB" w:rsidRDefault="00025FEB" w:rsidP="00025FEB">
      <w:pPr>
        <w:pStyle w:val="Heading2"/>
        <w:rPr>
          <w:rStyle w:val="Heading2Char"/>
          <w:b/>
        </w:rPr>
        <w:sectPr w:rsidR="00025FEB" w:rsidSect="00856460">
          <w:pgSz w:w="11907" w:h="16834" w:code="9"/>
          <w:pgMar w:top="1418" w:right="1701" w:bottom="1134" w:left="1843" w:header="284" w:footer="425" w:gutter="284"/>
          <w:cols w:space="720"/>
        </w:sectPr>
      </w:pPr>
      <w:bookmarkStart w:id="245" w:name="_Toc377543410"/>
      <w:bookmarkStart w:id="246" w:name="_Toc441658606"/>
      <w:bookmarkStart w:id="247" w:name="_Toc83197092"/>
      <w:bookmarkStart w:id="248" w:name="_Toc112845477"/>
      <w:bookmarkStart w:id="249" w:name="_Toc112862081"/>
    </w:p>
    <w:p w14:paraId="28A0CD1F" w14:textId="2B624620" w:rsidR="00025FEB" w:rsidRPr="00025FEB" w:rsidRDefault="00025FEB" w:rsidP="00025FEB">
      <w:pPr>
        <w:pStyle w:val="Heading2"/>
        <w:rPr>
          <w:rStyle w:val="Heading2Char"/>
          <w:b/>
        </w:rPr>
      </w:pPr>
      <w:bookmarkStart w:id="250" w:name="_Toc116484622"/>
      <w:r w:rsidRPr="00025FEB">
        <w:rPr>
          <w:rStyle w:val="Heading2Char"/>
          <w:b/>
        </w:rPr>
        <w:lastRenderedPageBreak/>
        <w:t>Where a patient is not fit to be released from compulsory</w:t>
      </w:r>
      <w:r w:rsidRPr="00025FEB">
        <w:t xml:space="preserve"> </w:t>
      </w:r>
      <w:r w:rsidRPr="00025FEB">
        <w:rPr>
          <w:rStyle w:val="Heading2Char"/>
          <w:b/>
        </w:rPr>
        <w:t>status but no longer needs to be a restricted patient</w:t>
      </w:r>
      <w:bookmarkEnd w:id="245"/>
      <w:bookmarkEnd w:id="246"/>
      <w:bookmarkEnd w:id="247"/>
      <w:bookmarkEnd w:id="248"/>
      <w:bookmarkEnd w:id="249"/>
      <w:bookmarkEnd w:id="250"/>
    </w:p>
    <w:p w14:paraId="3BE9E751" w14:textId="77777777" w:rsidR="00025FEB" w:rsidRPr="00D85A4F" w:rsidRDefault="00025FEB" w:rsidP="00025FEB">
      <w:pPr>
        <w:keepNext/>
        <w:rPr>
          <w:lang w:eastAsia="en-NZ"/>
        </w:rPr>
      </w:pPr>
      <w:r w:rsidRPr="00D85A4F">
        <w:rPr>
          <w:lang w:eastAsia="en-NZ"/>
        </w:rPr>
        <w:t xml:space="preserve">Where a responsible clinician finds that </w:t>
      </w:r>
      <w:r>
        <w:rPr>
          <w:lang w:eastAsia="en-NZ"/>
        </w:rPr>
        <w:t xml:space="preserve">a </w:t>
      </w:r>
      <w:r w:rsidRPr="00D85A4F">
        <w:rPr>
          <w:lang w:eastAsia="en-NZ"/>
        </w:rPr>
        <w:t>patient is not fit to be released from compulsory status, but it is no longer necessary that the patient be declared to be a restricted patient:</w:t>
      </w:r>
    </w:p>
    <w:p w14:paraId="175BEC17" w14:textId="77777777" w:rsidR="00025FEB" w:rsidRPr="00D85A4F" w:rsidRDefault="00025FEB" w:rsidP="00025FEB">
      <w:pPr>
        <w:pStyle w:val="Bullet"/>
        <w:spacing w:line="264" w:lineRule="auto"/>
        <w:rPr>
          <w:lang w:eastAsia="en-NZ"/>
        </w:rPr>
      </w:pPr>
      <w:r w:rsidRPr="00D85A4F">
        <w:rPr>
          <w:lang w:eastAsia="en-NZ"/>
        </w:rPr>
        <w:t>the responsible clinician must send a copy of the certificate of clinical review to the Minister</w:t>
      </w:r>
    </w:p>
    <w:p w14:paraId="3C7CE3C8" w14:textId="0D1C3732" w:rsidR="00025FEB" w:rsidRDefault="00025FEB" w:rsidP="00025FEB">
      <w:pPr>
        <w:pStyle w:val="Bullet"/>
        <w:spacing w:line="264" w:lineRule="auto"/>
        <w:rPr>
          <w:lang w:eastAsia="en-NZ"/>
        </w:rPr>
      </w:pPr>
      <w:r w:rsidRPr="00D85A4F">
        <w:rPr>
          <w:lang w:eastAsia="en-NZ"/>
        </w:rPr>
        <w:t>the Minister must, after consultation with the Attorney-General, either revoke the declaration that the patient shall be a restricted patient or apply to the Mental Health Review Tribunal for a review of the patient’s condition.</w:t>
      </w:r>
    </w:p>
    <w:p w14:paraId="0E7E38EE" w14:textId="77777777" w:rsidR="007A6F61" w:rsidRPr="00D85A4F" w:rsidRDefault="007A6F61" w:rsidP="007A6F61">
      <w:pPr>
        <w:rPr>
          <w:lang w:eastAsia="en-NZ"/>
        </w:rPr>
      </w:pPr>
    </w:p>
    <w:p w14:paraId="60ADDF45" w14:textId="1E593B94" w:rsidR="00025FEB" w:rsidRPr="00D85A4F" w:rsidRDefault="00025FEB" w:rsidP="00025FEB">
      <w:pPr>
        <w:pStyle w:val="Table"/>
        <w:keepNext w:val="0"/>
      </w:pPr>
      <w:bookmarkStart w:id="251" w:name="_Toc112861592"/>
      <w:bookmarkStart w:id="252" w:name="_Toc116484652"/>
      <w:r>
        <w:t xml:space="preserve">Table </w:t>
      </w:r>
      <w:r>
        <w:fldChar w:fldCharType="begin"/>
      </w:r>
      <w:r>
        <w:instrText>SEQ Table \* ARABIC</w:instrText>
      </w:r>
      <w:r>
        <w:fldChar w:fldCharType="separate"/>
      </w:r>
      <w:r w:rsidR="00F25175">
        <w:rPr>
          <w:noProof/>
        </w:rPr>
        <w:t>19</w:t>
      </w:r>
      <w:r>
        <w:fldChar w:fldCharType="end"/>
      </w:r>
      <w:r>
        <w:t xml:space="preserve">: </w:t>
      </w:r>
      <w:r w:rsidRPr="00D45387">
        <w:t>Information to support a change of status for a patient who is not fit to be released from compulsory status, but who no longer needs to be a restricted patient</w:t>
      </w:r>
      <w:bookmarkEnd w:id="251"/>
      <w:bookmarkEnd w:id="252"/>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2444BEBC" w14:textId="77777777" w:rsidTr="00025FEB">
        <w:tc>
          <w:tcPr>
            <w:tcW w:w="1219" w:type="dxa"/>
            <w:tcBorders>
              <w:top w:val="single" w:sz="4" w:space="0" w:color="A6A6A6" w:themeColor="background1" w:themeShade="A6"/>
              <w:bottom w:val="single" w:sz="4" w:space="0" w:color="A6A6A6" w:themeColor="background1" w:themeShade="A6"/>
            </w:tcBorders>
          </w:tcPr>
          <w:p w14:paraId="095B3209" w14:textId="77777777" w:rsidR="00025FEB" w:rsidRPr="00DC20BD" w:rsidRDefault="00025FEB" w:rsidP="00025FEB">
            <w:pPr>
              <w:pStyle w:val="TableT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0A9B4031" w14:textId="77777777" w:rsidR="00025FEB" w:rsidRPr="00D85A4F" w:rsidRDefault="00025FEB" w:rsidP="00025FEB">
            <w:pPr>
              <w:pStyle w:val="TableText"/>
            </w:pPr>
            <w:r w:rsidRPr="00D85A4F">
              <w:t>A letter from the responsible clinician, including:</w:t>
            </w:r>
          </w:p>
          <w:p w14:paraId="00FA3EC5" w14:textId="77777777" w:rsidR="00025FEB" w:rsidRPr="00D85A4F" w:rsidRDefault="00025FEB" w:rsidP="00025FEB">
            <w:pPr>
              <w:pStyle w:val="TableBullet"/>
              <w:spacing w:line="264" w:lineRule="auto"/>
            </w:pPr>
            <w:r w:rsidRPr="00D85A4F">
              <w:t>a current mental state assessment</w:t>
            </w:r>
          </w:p>
          <w:p w14:paraId="1B46AA11" w14:textId="77777777" w:rsidR="00025FEB" w:rsidRPr="00D85A4F" w:rsidRDefault="00025FEB" w:rsidP="00025FEB">
            <w:pPr>
              <w:pStyle w:val="TableBullet"/>
              <w:spacing w:line="264" w:lineRule="auto"/>
            </w:pPr>
            <w:r w:rsidRPr="00D85A4F">
              <w:t>a certificate of clinical review</w:t>
            </w:r>
          </w:p>
          <w:p w14:paraId="00F6FEE2" w14:textId="77777777" w:rsidR="00025FEB" w:rsidRPr="00D85A4F" w:rsidRDefault="00025FEB" w:rsidP="00025FEB">
            <w:pPr>
              <w:pStyle w:val="TableBullet"/>
              <w:spacing w:line="264" w:lineRule="auto"/>
            </w:pPr>
            <w:r w:rsidRPr="00D85A4F">
              <w:t>a risk assessment and management plan.</w:t>
            </w:r>
          </w:p>
          <w:p w14:paraId="1E9CE5A1" w14:textId="77777777" w:rsidR="00025FEB" w:rsidRPr="00D85A4F" w:rsidRDefault="00025FEB" w:rsidP="00025FEB">
            <w:pPr>
              <w:pStyle w:val="TableText"/>
            </w:pPr>
            <w:r w:rsidRPr="00D85A4F">
              <w:t>If not provided in a current SPRP report, the following information should be specifically addressed:</w:t>
            </w:r>
          </w:p>
          <w:p w14:paraId="04221232" w14:textId="77777777" w:rsidR="00025FEB" w:rsidRPr="00D85A4F" w:rsidRDefault="00025FEB" w:rsidP="00025FEB">
            <w:pPr>
              <w:pStyle w:val="TableBullet"/>
              <w:spacing w:line="264" w:lineRule="auto"/>
            </w:pPr>
            <w:r w:rsidRPr="00D85A4F">
              <w:t>how the factors leading to the patient being subject to restricted patient status have been addressed (including compliance with treatment)</w:t>
            </w:r>
          </w:p>
          <w:p w14:paraId="2A20AE14" w14:textId="77777777" w:rsidR="00025FEB" w:rsidRPr="00D85A4F" w:rsidRDefault="00025FEB" w:rsidP="00025FEB">
            <w:pPr>
              <w:pStyle w:val="TableBullet"/>
              <w:spacing w:line="264" w:lineRule="auto"/>
            </w:pPr>
            <w:r w:rsidRPr="00D85A4F">
              <w:t>specific comment on alcohol and drug use, including the use of psychoactive substances</w:t>
            </w:r>
          </w:p>
          <w:p w14:paraId="42C30BA8" w14:textId="77777777" w:rsidR="00025FEB" w:rsidRPr="00D85A4F" w:rsidRDefault="00025FEB" w:rsidP="00025FEB">
            <w:pPr>
              <w:pStyle w:val="TableBullet"/>
              <w:spacing w:line="264" w:lineRule="auto"/>
            </w:pPr>
            <w:r w:rsidRPr="00D85A4F">
              <w:t>advice of any critical incidents that occurred during the patient’s time as a restricted patient, including possession of weapons, drugs or other prohibited material, and the management of those incidents</w:t>
            </w:r>
          </w:p>
          <w:p w14:paraId="4FA3166E" w14:textId="77777777" w:rsidR="00025FEB" w:rsidRPr="00D85A4F" w:rsidRDefault="00025FEB" w:rsidP="00025FEB">
            <w:pPr>
              <w:pStyle w:val="TableBullet"/>
              <w:spacing w:line="264" w:lineRule="auto"/>
            </w:pPr>
            <w:r w:rsidRPr="00D85A4F">
              <w:t>plans for the patient’s ongoing management by mental health services once they are no longer subject to restricted patient status (including recovery plan)</w:t>
            </w:r>
          </w:p>
          <w:p w14:paraId="3EA0511A" w14:textId="77777777" w:rsidR="00025FEB" w:rsidRPr="00D85A4F" w:rsidRDefault="00025FEB" w:rsidP="00025FEB">
            <w:pPr>
              <w:pStyle w:val="TableBullet"/>
              <w:spacing w:line="264" w:lineRule="auto"/>
            </w:pPr>
            <w:r w:rsidRPr="00D85A4F">
              <w:t>flight risk assessment and proposed management</w:t>
            </w:r>
          </w:p>
          <w:p w14:paraId="275435CD" w14:textId="77777777" w:rsidR="00025FEB" w:rsidRPr="00D85A4F" w:rsidRDefault="00025FEB" w:rsidP="00025FEB">
            <w:pPr>
              <w:pStyle w:val="TableBullet"/>
              <w:spacing w:line="264" w:lineRule="auto"/>
            </w:pPr>
            <w:r w:rsidRPr="00D85A4F">
              <w:t>a cultural assessment</w:t>
            </w:r>
          </w:p>
          <w:p w14:paraId="64A0CDC4" w14:textId="77777777" w:rsidR="00025FEB" w:rsidRPr="00D85A4F" w:rsidRDefault="00025FEB" w:rsidP="00025FEB">
            <w:pPr>
              <w:pStyle w:val="TableBullet"/>
              <w:spacing w:line="264" w:lineRule="auto"/>
            </w:pPr>
            <w:r w:rsidRPr="00D85A4F">
              <w:t xml:space="preserve">what </w:t>
            </w:r>
            <w:proofErr w:type="spellStart"/>
            <w:r w:rsidRPr="00D85A4F">
              <w:t>wh</w:t>
            </w:r>
            <w:r w:rsidRPr="00D85A4F">
              <w:rPr>
                <w:rFonts w:cs="Arial"/>
              </w:rPr>
              <w:t>ā</w:t>
            </w:r>
            <w:r w:rsidRPr="00D85A4F">
              <w:t>nau</w:t>
            </w:r>
            <w:proofErr w:type="spellEnd"/>
            <w:r w:rsidRPr="00D85A4F">
              <w:t xml:space="preserve"> support is available</w:t>
            </w:r>
          </w:p>
          <w:p w14:paraId="0802BF4F" w14:textId="77777777" w:rsidR="00025FEB" w:rsidRPr="00D85A4F" w:rsidRDefault="00025FEB" w:rsidP="00025FEB">
            <w:pPr>
              <w:pStyle w:val="TableBullet"/>
              <w:spacing w:line="264" w:lineRule="auto"/>
            </w:pPr>
            <w:r w:rsidRPr="00D85A4F">
              <w:t>consideration of the needs of any children of the patient</w:t>
            </w:r>
          </w:p>
          <w:p w14:paraId="6C71EAC6" w14:textId="77777777" w:rsidR="00025FEB" w:rsidRPr="00D85A4F" w:rsidRDefault="00025FEB" w:rsidP="00025FEB">
            <w:pPr>
              <w:pStyle w:val="TableBullet"/>
              <w:spacing w:line="264" w:lineRule="auto"/>
            </w:pPr>
            <w:r w:rsidRPr="00D85A4F">
              <w:t>comment on matters concerning the risk presented by the patient, particularly from victims of previous offending.</w:t>
            </w:r>
          </w:p>
          <w:p w14:paraId="6948AD28" w14:textId="77777777" w:rsidR="00025FEB" w:rsidRPr="00D85A4F" w:rsidRDefault="00025FEB" w:rsidP="00025FEB">
            <w:pPr>
              <w:pStyle w:val="TableText"/>
            </w:pPr>
            <w:r w:rsidRPr="00D85A4F">
              <w:t>A recent SPRP report must be provided with the application. In practice</w:t>
            </w:r>
            <w:r>
              <w:t>,</w:t>
            </w:r>
            <w:r w:rsidRPr="00D85A4F">
              <w:t xml:space="preserve"> this information will be uploaded into the </w:t>
            </w:r>
            <w:r>
              <w:t>SPMS</w:t>
            </w:r>
            <w:r w:rsidRPr="00D85A4F">
              <w:t>.</w:t>
            </w:r>
          </w:p>
          <w:p w14:paraId="055283B6" w14:textId="77777777" w:rsidR="007A6F61" w:rsidRDefault="007A6F61" w:rsidP="00025FEB">
            <w:pPr>
              <w:pStyle w:val="TableText"/>
            </w:pPr>
          </w:p>
          <w:p w14:paraId="2427C1DB" w14:textId="1B5ACC0B" w:rsidR="00025FEB" w:rsidRPr="006454DE" w:rsidRDefault="00025FEB" w:rsidP="00025FEB">
            <w:pPr>
              <w:pStyle w:val="TableText"/>
            </w:pPr>
            <w:r w:rsidRPr="00D85A4F">
              <w:lastRenderedPageBreak/>
              <w:t xml:space="preserve">NB: Although the </w:t>
            </w:r>
            <w:r>
              <w:t>Mental Health Act</w:t>
            </w:r>
            <w:r w:rsidRPr="00D85A4F">
              <w:t xml:space="preserve"> states that the responsible clinician should send the certificate of clinical review to the Minister of Health, in practice </w:t>
            </w:r>
            <w:r>
              <w:t xml:space="preserve">they should send it to </w:t>
            </w:r>
            <w:r w:rsidRPr="00D85A4F">
              <w:t xml:space="preserve">the Director of Mental Health, who </w:t>
            </w:r>
            <w:r>
              <w:t xml:space="preserve">will then </w:t>
            </w:r>
            <w:r w:rsidRPr="00D85A4F">
              <w:t>prepare a report for the Minister’s consideration. The Director may also be asked to provide information for the Attorney-General (via the Crown Law Office).</w:t>
            </w:r>
          </w:p>
        </w:tc>
      </w:tr>
      <w:tr w:rsidR="00025FEB" w:rsidRPr="00DC20BD" w14:paraId="61D06D5E" w14:textId="77777777" w:rsidTr="00025FEB">
        <w:tc>
          <w:tcPr>
            <w:tcW w:w="1219" w:type="dxa"/>
            <w:tcBorders>
              <w:top w:val="single" w:sz="4" w:space="0" w:color="A6A6A6" w:themeColor="background1" w:themeShade="A6"/>
              <w:bottom w:val="single" w:sz="4" w:space="0" w:color="A6A6A6" w:themeColor="background1" w:themeShade="A6"/>
            </w:tcBorders>
          </w:tcPr>
          <w:p w14:paraId="7C55F368" w14:textId="77777777" w:rsidR="00025FEB" w:rsidRPr="00D85A4F" w:rsidRDefault="00025FEB" w:rsidP="00025FEB">
            <w:pPr>
              <w:pStyle w:val="TableText"/>
            </w:pPr>
            <w:r w:rsidRPr="00D85A4F">
              <w:lastRenderedPageBreak/>
              <w:t>Timeframe</w:t>
            </w:r>
          </w:p>
        </w:tc>
        <w:tc>
          <w:tcPr>
            <w:tcW w:w="6861" w:type="dxa"/>
            <w:tcBorders>
              <w:top w:val="single" w:sz="4" w:space="0" w:color="A6A6A6" w:themeColor="background1" w:themeShade="A6"/>
              <w:bottom w:val="single" w:sz="4" w:space="0" w:color="A6A6A6" w:themeColor="background1" w:themeShade="A6"/>
            </w:tcBorders>
          </w:tcPr>
          <w:p w14:paraId="0867D711" w14:textId="77777777" w:rsidR="00025FEB" w:rsidRPr="00D85A4F" w:rsidRDefault="00025FEB" w:rsidP="00025FEB">
            <w:pPr>
              <w:pStyle w:val="TableText"/>
            </w:pPr>
            <w:r>
              <w:t xml:space="preserve">The </w:t>
            </w:r>
            <w:r w:rsidRPr="00D85A4F">
              <w:t xml:space="preserve">DAMHS </w:t>
            </w:r>
            <w:r>
              <w:t xml:space="preserve">must </w:t>
            </w:r>
            <w:r w:rsidRPr="00D85A4F">
              <w:t xml:space="preserve">submit </w:t>
            </w:r>
            <w:r>
              <w:t xml:space="preserve">the </w:t>
            </w:r>
            <w:r w:rsidRPr="00D85A4F">
              <w:t>application for change of status within six weeks of the clinical review.</w:t>
            </w:r>
          </w:p>
          <w:p w14:paraId="12B26B70" w14:textId="77777777" w:rsidR="00025FEB" w:rsidRPr="00D85A4F" w:rsidRDefault="00025FEB" w:rsidP="00025FEB">
            <w:pPr>
              <w:pStyle w:val="TableText"/>
            </w:pPr>
            <w:r w:rsidRPr="00D85A4F">
              <w:t xml:space="preserve">NB: Incomplete information may delay </w:t>
            </w:r>
            <w:r>
              <w:t xml:space="preserve">the Director’s provision of </w:t>
            </w:r>
            <w:r w:rsidRPr="00D85A4F">
              <w:t>advice to the Minister of Health.</w:t>
            </w:r>
          </w:p>
        </w:tc>
      </w:tr>
    </w:tbl>
    <w:p w14:paraId="1400AC82" w14:textId="77777777" w:rsidR="00025FEB" w:rsidRDefault="00025FEB" w:rsidP="00025FEB">
      <w:pPr>
        <w:sectPr w:rsidR="00025FEB" w:rsidSect="00856460">
          <w:pgSz w:w="11907" w:h="16834" w:code="9"/>
          <w:pgMar w:top="1418" w:right="1701" w:bottom="1134" w:left="1843" w:header="284" w:footer="425" w:gutter="284"/>
          <w:cols w:space="720"/>
        </w:sectPr>
      </w:pPr>
    </w:p>
    <w:p w14:paraId="78E6A647" w14:textId="77777777" w:rsidR="00025FEB" w:rsidRPr="00D85A4F" w:rsidRDefault="00025FEB" w:rsidP="00025FEB">
      <w:pPr>
        <w:pStyle w:val="Heading1"/>
      </w:pPr>
      <w:bookmarkStart w:id="253" w:name="_Toc377543411"/>
      <w:bookmarkStart w:id="254" w:name="_Toc441658607"/>
      <w:bookmarkStart w:id="255" w:name="_Toc83197093"/>
      <w:bookmarkStart w:id="256" w:name="_Toc112845478"/>
      <w:bookmarkStart w:id="257" w:name="_Toc112862082"/>
      <w:bookmarkStart w:id="258" w:name="_Toc116484623"/>
      <w:r w:rsidRPr="00D85A4F">
        <w:lastRenderedPageBreak/>
        <w:t>Return to prison</w:t>
      </w:r>
      <w:bookmarkEnd w:id="253"/>
      <w:bookmarkEnd w:id="254"/>
      <w:bookmarkEnd w:id="255"/>
      <w:bookmarkEnd w:id="256"/>
      <w:bookmarkEnd w:id="257"/>
      <w:bookmarkEnd w:id="258"/>
    </w:p>
    <w:p w14:paraId="4385F4B1" w14:textId="77777777" w:rsidR="00025FEB" w:rsidRPr="00D85A4F" w:rsidRDefault="00025FEB" w:rsidP="00025FEB">
      <w:r w:rsidRPr="00D85A4F">
        <w:t xml:space="preserve">Section 47 of the </w:t>
      </w:r>
      <w:r>
        <w:t>Mental Health Act</w:t>
      </w:r>
      <w:r w:rsidRPr="00D85A4F">
        <w:t xml:space="preserve"> provides for </w:t>
      </w:r>
      <w:r>
        <w:t>a</w:t>
      </w:r>
      <w:r w:rsidRPr="00D85A4F">
        <w:t xml:space="preserve"> DAMHS, with the consent of the Director, to return a special patient detained following an application made under section 45(2) of the </w:t>
      </w:r>
      <w:r>
        <w:t>Mental Health Act</w:t>
      </w:r>
      <w:r w:rsidRPr="00D85A4F">
        <w:t xml:space="preserve"> to prison. This also applies to </w:t>
      </w:r>
      <w:r>
        <w:t xml:space="preserve">people </w:t>
      </w:r>
      <w:r w:rsidRPr="00D85A4F">
        <w:t>detained under a ‘hybrid order’; namely, section 34(1)(a)(</w:t>
      </w:r>
      <w:proofErr w:type="spellStart"/>
      <w:r w:rsidRPr="00D85A4F">
        <w:t>i</w:t>
      </w:r>
      <w:proofErr w:type="spellEnd"/>
      <w:r w:rsidRPr="00D85A4F">
        <w:t>) of the CP(MIP) Act.</w:t>
      </w:r>
    </w:p>
    <w:p w14:paraId="050910BB" w14:textId="77777777" w:rsidR="00025FEB" w:rsidRPr="00D85A4F" w:rsidRDefault="00025FEB" w:rsidP="00025FEB"/>
    <w:p w14:paraId="47D39506" w14:textId="77777777" w:rsidR="00025FEB" w:rsidRDefault="00025FEB" w:rsidP="00025FEB">
      <w:r w:rsidRPr="00D85A4F">
        <w:t xml:space="preserve">The Director may direct the return to prison of a patient detained under section 46 of the </w:t>
      </w:r>
      <w:r>
        <w:t>Mental Health Act</w:t>
      </w:r>
      <w:r w:rsidRPr="00D85A4F">
        <w:t xml:space="preserve"> (section 47(2)). If a patient detained under section 46 of the </w:t>
      </w:r>
      <w:r>
        <w:t>Mental Health Act</w:t>
      </w:r>
      <w:r w:rsidRPr="00D85A4F">
        <w:t xml:space="preserve"> requests a return to prison, the DAMHS is responsible for ‘making the arrangements’ for a return to prison (section 47(4)). These requests are typically made within five working days before the proposed return.</w:t>
      </w:r>
    </w:p>
    <w:p w14:paraId="1B08DEC6" w14:textId="77777777" w:rsidR="00025FEB" w:rsidRPr="00D85A4F" w:rsidRDefault="00025FEB" w:rsidP="00025FEB"/>
    <w:p w14:paraId="3E57125E" w14:textId="513AA623" w:rsidR="00025FEB" w:rsidRPr="00D85A4F" w:rsidRDefault="00025FEB" w:rsidP="00025FEB">
      <w:pPr>
        <w:pStyle w:val="Table"/>
      </w:pPr>
      <w:bookmarkStart w:id="259" w:name="_Toc112861593"/>
      <w:bookmarkStart w:id="260" w:name="_Toc116484653"/>
      <w:r>
        <w:t xml:space="preserve">Table </w:t>
      </w:r>
      <w:r>
        <w:fldChar w:fldCharType="begin"/>
      </w:r>
      <w:r>
        <w:instrText>SEQ Table \* ARABIC</w:instrText>
      </w:r>
      <w:r>
        <w:fldChar w:fldCharType="separate"/>
      </w:r>
      <w:r w:rsidR="00F25175">
        <w:rPr>
          <w:noProof/>
        </w:rPr>
        <w:t>20</w:t>
      </w:r>
      <w:r>
        <w:fldChar w:fldCharType="end"/>
      </w:r>
      <w:r>
        <w:t xml:space="preserve">: </w:t>
      </w:r>
      <w:r w:rsidRPr="00D45387">
        <w:t>Information to support a request for a patient to be returned to prison</w:t>
      </w:r>
      <w:bookmarkEnd w:id="259"/>
      <w:bookmarkEnd w:id="260"/>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219"/>
        <w:gridCol w:w="6861"/>
      </w:tblGrid>
      <w:tr w:rsidR="00025FEB" w:rsidRPr="00DC20BD" w14:paraId="7F49F598"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2D688215" w14:textId="77777777" w:rsidR="00025FEB" w:rsidRPr="00DC20BD" w:rsidRDefault="00025FEB" w:rsidP="00AD0359">
            <w:pPr>
              <w:pStyle w:val="TableText"/>
            </w:pPr>
            <w:r w:rsidRPr="00D85A4F">
              <w:t>Information</w:t>
            </w:r>
          </w:p>
        </w:tc>
        <w:tc>
          <w:tcPr>
            <w:tcW w:w="6861" w:type="dxa"/>
            <w:tcBorders>
              <w:top w:val="single" w:sz="4" w:space="0" w:color="A6A6A6" w:themeColor="background1" w:themeShade="A6"/>
              <w:bottom w:val="single" w:sz="4" w:space="0" w:color="A6A6A6" w:themeColor="background1" w:themeShade="A6"/>
            </w:tcBorders>
          </w:tcPr>
          <w:p w14:paraId="1D53229E" w14:textId="77777777" w:rsidR="00025FEB" w:rsidRPr="00D85A4F" w:rsidRDefault="00025FEB" w:rsidP="00AD0359">
            <w:pPr>
              <w:pStyle w:val="TableText"/>
            </w:pPr>
            <w:r w:rsidRPr="00D85A4F">
              <w:t>A letter from the responsible clinician, including:</w:t>
            </w:r>
          </w:p>
          <w:p w14:paraId="1963C9B6" w14:textId="77777777" w:rsidR="00025FEB" w:rsidRPr="00D85A4F" w:rsidRDefault="00025FEB" w:rsidP="00025FEB">
            <w:pPr>
              <w:pStyle w:val="TableBullet"/>
              <w:spacing w:line="264" w:lineRule="auto"/>
            </w:pPr>
            <w:r w:rsidRPr="00D85A4F">
              <w:t>a current mental state assessment, including a statement that the patient is fit to be released from compulsory status (including recovery plan)</w:t>
            </w:r>
          </w:p>
          <w:p w14:paraId="243E1B71" w14:textId="77777777" w:rsidR="00025FEB" w:rsidRPr="00D85A4F" w:rsidRDefault="00025FEB" w:rsidP="00025FEB">
            <w:pPr>
              <w:pStyle w:val="TableBullet"/>
              <w:spacing w:line="264" w:lineRule="auto"/>
            </w:pPr>
            <w:r w:rsidRPr="00D85A4F">
              <w:t>a risk assessment</w:t>
            </w:r>
          </w:p>
          <w:p w14:paraId="7DAF8D19" w14:textId="77777777" w:rsidR="00025FEB" w:rsidRPr="00D85A4F" w:rsidRDefault="00025FEB" w:rsidP="00025FEB">
            <w:pPr>
              <w:pStyle w:val="TableBullet"/>
              <w:spacing w:line="264" w:lineRule="auto"/>
            </w:pPr>
            <w:r w:rsidRPr="00D85A4F">
              <w:t>a cultural assessment</w:t>
            </w:r>
          </w:p>
          <w:p w14:paraId="52C4EA1F" w14:textId="77777777" w:rsidR="00025FEB" w:rsidRPr="00D85A4F" w:rsidRDefault="00025FEB" w:rsidP="00025FEB">
            <w:pPr>
              <w:pStyle w:val="TableBullet"/>
              <w:spacing w:line="264" w:lineRule="auto"/>
            </w:pPr>
            <w:r w:rsidRPr="00D85A4F">
              <w:t>a plan for the patient’s ongoing management following return to prison, including confirmation that this has been discussed with the prison health service.</w:t>
            </w:r>
          </w:p>
          <w:p w14:paraId="675692C8" w14:textId="77777777" w:rsidR="00025FEB" w:rsidRPr="006454DE" w:rsidRDefault="00025FEB" w:rsidP="00AD0359">
            <w:pPr>
              <w:pStyle w:val="TableText"/>
            </w:pPr>
            <w:r w:rsidRPr="00D85A4F">
              <w:t>Refer to the current SPRP, if available. In practice</w:t>
            </w:r>
            <w:r>
              <w:t>,</w:t>
            </w:r>
            <w:r w:rsidRPr="00D85A4F">
              <w:t xml:space="preserve"> this information will be uploaded into the </w:t>
            </w:r>
            <w:r>
              <w:t>SPMS</w:t>
            </w:r>
            <w:r w:rsidRPr="00D85A4F">
              <w:t>.</w:t>
            </w:r>
          </w:p>
        </w:tc>
      </w:tr>
      <w:tr w:rsidR="00025FEB" w:rsidRPr="00DC20BD" w14:paraId="511A3870" w14:textId="77777777" w:rsidTr="00AD0359">
        <w:trPr>
          <w:cantSplit/>
        </w:trPr>
        <w:tc>
          <w:tcPr>
            <w:tcW w:w="1219" w:type="dxa"/>
            <w:tcBorders>
              <w:top w:val="single" w:sz="4" w:space="0" w:color="A6A6A6" w:themeColor="background1" w:themeShade="A6"/>
              <w:bottom w:val="single" w:sz="4" w:space="0" w:color="A6A6A6" w:themeColor="background1" w:themeShade="A6"/>
            </w:tcBorders>
          </w:tcPr>
          <w:p w14:paraId="535FBA7C" w14:textId="77777777" w:rsidR="00025FEB" w:rsidRPr="00D85A4F" w:rsidRDefault="00025FEB" w:rsidP="00AD0359">
            <w:pPr>
              <w:pStyle w:val="TableText"/>
            </w:pPr>
            <w:r w:rsidRPr="00D85A4F">
              <w:t>Timeframe</w:t>
            </w:r>
          </w:p>
        </w:tc>
        <w:tc>
          <w:tcPr>
            <w:tcW w:w="6861" w:type="dxa"/>
            <w:tcBorders>
              <w:top w:val="single" w:sz="4" w:space="0" w:color="A6A6A6" w:themeColor="background1" w:themeShade="A6"/>
              <w:bottom w:val="single" w:sz="4" w:space="0" w:color="A6A6A6" w:themeColor="background1" w:themeShade="A6"/>
            </w:tcBorders>
          </w:tcPr>
          <w:p w14:paraId="1A82010A" w14:textId="77777777" w:rsidR="00025FEB" w:rsidRPr="00D85A4F" w:rsidRDefault="00025FEB" w:rsidP="00AD0359">
            <w:pPr>
              <w:pStyle w:val="TableText"/>
            </w:pPr>
            <w:r>
              <w:t xml:space="preserve">The </w:t>
            </w:r>
            <w:r w:rsidRPr="00D85A4F">
              <w:t xml:space="preserve">DAMHS </w:t>
            </w:r>
            <w:r>
              <w:t xml:space="preserve">must </w:t>
            </w:r>
            <w:r w:rsidRPr="00D85A4F">
              <w:t xml:space="preserve">submit </w:t>
            </w:r>
            <w:r>
              <w:t xml:space="preserve">the </w:t>
            </w:r>
            <w:r w:rsidRPr="00D85A4F">
              <w:t xml:space="preserve">request to </w:t>
            </w:r>
            <w:r>
              <w:t xml:space="preserve">the Office of the Director </w:t>
            </w:r>
            <w:r w:rsidRPr="00D85A4F">
              <w:t xml:space="preserve">five working days prior to </w:t>
            </w:r>
            <w:r>
              <w:t xml:space="preserve">the </w:t>
            </w:r>
            <w:r w:rsidRPr="00D85A4F">
              <w:t>transfer.</w:t>
            </w:r>
          </w:p>
          <w:p w14:paraId="086E95E2" w14:textId="77777777" w:rsidR="00025FEB" w:rsidRPr="00D85A4F" w:rsidRDefault="00025FEB" w:rsidP="00AD0359">
            <w:pPr>
              <w:pStyle w:val="TableText"/>
            </w:pPr>
            <w:r>
              <w:t xml:space="preserve">The Office of the Director must </w:t>
            </w:r>
            <w:r w:rsidRPr="00D85A4F">
              <w:t>respond within three working days prior to transfer.</w:t>
            </w:r>
          </w:p>
          <w:p w14:paraId="1578A9E3" w14:textId="77777777" w:rsidR="00025FEB" w:rsidRPr="00D85A4F" w:rsidRDefault="00025FEB" w:rsidP="00AD0359">
            <w:pPr>
              <w:pStyle w:val="TableText"/>
            </w:pPr>
            <w:r w:rsidRPr="00D85A4F">
              <w:rPr>
                <w:bCs/>
              </w:rPr>
              <w:t>NB:</w:t>
            </w:r>
            <w:r w:rsidRPr="00D85A4F">
              <w:t xml:space="preserve"> Incomplete information may result in a delayed response.</w:t>
            </w:r>
          </w:p>
        </w:tc>
      </w:tr>
    </w:tbl>
    <w:p w14:paraId="75F40BC2" w14:textId="77777777" w:rsidR="00025FEB" w:rsidRDefault="00025FEB" w:rsidP="00025FEB"/>
    <w:p w14:paraId="2E7400F9" w14:textId="77777777" w:rsidR="00025FEB" w:rsidRDefault="00025FEB" w:rsidP="00025FEB">
      <w:pPr>
        <w:sectPr w:rsidR="00025FEB" w:rsidSect="00856460">
          <w:pgSz w:w="11907" w:h="16834" w:code="9"/>
          <w:pgMar w:top="1418" w:right="1701" w:bottom="1134" w:left="1843" w:header="284" w:footer="425" w:gutter="284"/>
          <w:cols w:space="720"/>
        </w:sectPr>
      </w:pPr>
    </w:p>
    <w:p w14:paraId="33560EB9" w14:textId="77777777" w:rsidR="00025FEB" w:rsidRPr="00D85A4F" w:rsidRDefault="00025FEB" w:rsidP="00025FEB">
      <w:pPr>
        <w:pStyle w:val="Heading1"/>
      </w:pPr>
      <w:bookmarkStart w:id="261" w:name="_Toc112862083"/>
      <w:bookmarkStart w:id="262" w:name="_Toc116484624"/>
      <w:r w:rsidRPr="00D85A4F">
        <w:lastRenderedPageBreak/>
        <w:t>Registered victim notifications</w:t>
      </w:r>
      <w:bookmarkEnd w:id="261"/>
      <w:bookmarkEnd w:id="262"/>
    </w:p>
    <w:p w14:paraId="077FA6E0" w14:textId="77777777" w:rsidR="00025FEB" w:rsidRPr="00D85A4F" w:rsidRDefault="00025FEB" w:rsidP="00025FEB">
      <w:r>
        <w:t>In</w:t>
      </w:r>
      <w:r w:rsidRPr="00D85A4F">
        <w:t xml:space="preserve"> December 2021</w:t>
      </w:r>
      <w:r>
        <w:t>,</w:t>
      </w:r>
      <w:r w:rsidRPr="00D85A4F">
        <w:t xml:space="preserve"> </w:t>
      </w:r>
      <w:r>
        <w:t xml:space="preserve">Parliament passed </w:t>
      </w:r>
      <w:r w:rsidRPr="00D85A4F">
        <w:t xml:space="preserve">the </w:t>
      </w:r>
      <w:r w:rsidRPr="00A447E0">
        <w:t>Rights</w:t>
      </w:r>
      <w:r w:rsidRPr="00D85A4F">
        <w:t xml:space="preserve"> for Victims of Insane Offenders Act 2021</w:t>
      </w:r>
      <w:r>
        <w:t xml:space="preserve">. </w:t>
      </w:r>
      <w:r w:rsidRPr="00D85A4F">
        <w:t>This Act will come into force on 13 December 2022</w:t>
      </w:r>
      <w:r>
        <w:t xml:space="preserve"> and will make </w:t>
      </w:r>
      <w:proofErr w:type="gramStart"/>
      <w:r>
        <w:t>a number of</w:t>
      </w:r>
      <w:proofErr w:type="gramEnd"/>
      <w:r>
        <w:t xml:space="preserve"> changes to the victim notification and other processes in Aotearoa New Zealand</w:t>
      </w:r>
      <w:r w:rsidRPr="00D85A4F">
        <w:t xml:space="preserve">. </w:t>
      </w:r>
    </w:p>
    <w:p w14:paraId="4731A6C8" w14:textId="77777777" w:rsidR="00025FEB" w:rsidRPr="00D85A4F" w:rsidRDefault="00025FEB" w:rsidP="00025FEB">
      <w:pPr>
        <w:pStyle w:val="Heading2"/>
        <w:rPr>
          <w:bCs/>
        </w:rPr>
      </w:pPr>
      <w:bookmarkStart w:id="263" w:name="_Toc112845480"/>
      <w:bookmarkStart w:id="264" w:name="_Toc112862084"/>
      <w:bookmarkStart w:id="265" w:name="_Toc116484625"/>
      <w:r w:rsidRPr="00D85A4F">
        <w:t>Current provisions</w:t>
      </w:r>
      <w:bookmarkEnd w:id="263"/>
      <w:bookmarkEnd w:id="264"/>
      <w:bookmarkEnd w:id="265"/>
      <w:r w:rsidRPr="00D85A4F">
        <w:t xml:space="preserve"> </w:t>
      </w:r>
    </w:p>
    <w:p w14:paraId="56D82477" w14:textId="77777777" w:rsidR="00025FEB" w:rsidRPr="00C84E6C" w:rsidRDefault="00025FEB" w:rsidP="00025FEB">
      <w:r>
        <w:t>Certain registered v</w:t>
      </w:r>
      <w:r w:rsidRPr="00D85A4F">
        <w:t>ictims of specified offences committed by special patients and other forensic patients may apply to</w:t>
      </w:r>
      <w:r>
        <w:t xml:space="preserve"> the police to</w:t>
      </w:r>
      <w:r w:rsidRPr="00D85A4F">
        <w:t xml:space="preserve"> be</w:t>
      </w:r>
      <w:r>
        <w:t>come registered victims, and so be</w:t>
      </w:r>
      <w:r w:rsidRPr="00D85A4F">
        <w:t xml:space="preserve"> notified of certain matters relating to the treatment of those patients, including first unescorted leave from hospital and change of legal status. </w:t>
      </w:r>
      <w:r w:rsidRPr="000C15B2">
        <w:t>This will continue to be the case after the new Act comes into force.</w:t>
      </w:r>
      <w:r>
        <w:t xml:space="preserve"> </w:t>
      </w:r>
      <w:r w:rsidRPr="00D85A4F">
        <w:t>For further guidance on victim notification requirements, see</w:t>
      </w:r>
      <w:r>
        <w:t xml:space="preserve"> </w:t>
      </w:r>
      <w:r w:rsidRPr="00C84E6C">
        <w:rPr>
          <w:i/>
          <w:iCs/>
        </w:rPr>
        <w:t>Victims’ Rights Act 2002 Guidelines: For Directors of Area Mental Health Services, compulsory care coordinators and health victim coordinators</w:t>
      </w:r>
      <w:r>
        <w:t xml:space="preserve"> (Ministry of Health 2018). </w:t>
      </w:r>
      <w:r w:rsidRPr="00C84E6C">
        <w:t>Note that the Ministry of Health is currently updating these guidelines</w:t>
      </w:r>
      <w:r>
        <w:t xml:space="preserve"> to reflect the new Act</w:t>
      </w:r>
      <w:r w:rsidRPr="00C84E6C">
        <w:t xml:space="preserve">; it expects that the revised version will be available online by the end of 2022. </w:t>
      </w:r>
    </w:p>
    <w:p w14:paraId="3CFBD2F4" w14:textId="77777777" w:rsidR="00025FEB" w:rsidRPr="00D85A4F" w:rsidRDefault="00025FEB" w:rsidP="00025FEB"/>
    <w:p w14:paraId="23D8BFCC" w14:textId="77777777" w:rsidR="00025FEB" w:rsidRPr="00D85A4F" w:rsidRDefault="00025FEB" w:rsidP="00025FEB">
      <w:r w:rsidRPr="00D85A4F">
        <w:t xml:space="preserve">The Victims’ Rights Act 2002 (VRA) confers certain notification rights on </w:t>
      </w:r>
      <w:r>
        <w:t xml:space="preserve">those </w:t>
      </w:r>
      <w:r w:rsidRPr="00D85A4F">
        <w:t>registered victims of offenders</w:t>
      </w:r>
      <w:r>
        <w:t xml:space="preserve"> of certain specified offences</w:t>
      </w:r>
      <w:r w:rsidRPr="00D85A4F">
        <w:t xml:space="preserve"> who are also special patients. Under section 37 of the VRA</w:t>
      </w:r>
      <w:r>
        <w:t>,</w:t>
      </w:r>
      <w:r w:rsidRPr="00D85A4F">
        <w:t xml:space="preserve"> the</w:t>
      </w:r>
      <w:r>
        <w:t xml:space="preserve"> Director (or, in practice, a</w:t>
      </w:r>
      <w:r w:rsidRPr="00D85A4F">
        <w:t xml:space="preserve"> delegate</w:t>
      </w:r>
      <w:r>
        <w:t xml:space="preserve">: </w:t>
      </w:r>
      <w:r w:rsidRPr="00D85A4F">
        <w:t xml:space="preserve">usually the forensic DAMHS for special patients) must give reasonable prior notice to </w:t>
      </w:r>
      <w:r>
        <w:t xml:space="preserve">registered </w:t>
      </w:r>
      <w:r w:rsidRPr="00D85A4F">
        <w:t xml:space="preserve">victims of:  </w:t>
      </w:r>
    </w:p>
    <w:p w14:paraId="4D42B0D4" w14:textId="77777777" w:rsidR="00025FEB" w:rsidRPr="00D85A4F" w:rsidRDefault="00025FEB" w:rsidP="00025FEB">
      <w:pPr>
        <w:pStyle w:val="Bullet"/>
        <w:spacing w:line="264" w:lineRule="auto"/>
      </w:pPr>
      <w:r w:rsidRPr="00D85A4F">
        <w:t>the first unescorted leave of absence from the hospital</w:t>
      </w:r>
    </w:p>
    <w:p w14:paraId="128685F1" w14:textId="77777777" w:rsidR="00025FEB" w:rsidRPr="00D85A4F" w:rsidRDefault="00025FEB" w:rsidP="00025FEB">
      <w:pPr>
        <w:pStyle w:val="Bullet"/>
        <w:spacing w:line="264" w:lineRule="auto"/>
      </w:pPr>
      <w:r w:rsidRPr="00D85A4F">
        <w:t xml:space="preserve">the first unescorted overnight leave of absence </w:t>
      </w:r>
    </w:p>
    <w:p w14:paraId="4DCD289F" w14:textId="77777777" w:rsidR="00025FEB" w:rsidRPr="00D85A4F" w:rsidRDefault="00025FEB" w:rsidP="00025FEB">
      <w:pPr>
        <w:pStyle w:val="Bullet"/>
        <w:spacing w:line="264" w:lineRule="auto"/>
      </w:pPr>
      <w:r w:rsidRPr="00D85A4F">
        <w:t>an impending discharge.</w:t>
      </w:r>
    </w:p>
    <w:p w14:paraId="529C2CD5" w14:textId="77777777" w:rsidR="00025FEB" w:rsidRDefault="00025FEB" w:rsidP="00025FEB"/>
    <w:p w14:paraId="4C70D5BF" w14:textId="77777777" w:rsidR="00025FEB" w:rsidRDefault="00025FEB" w:rsidP="00025FEB">
      <w:r w:rsidRPr="00D85A4F">
        <w:t>In practice, ‘reasonable prior notice’ means using good judgement or being fair and practical about giving notice before the event occurs. In general, where the event is planned, notifications should be given 10 days in advance of that planned event.</w:t>
      </w:r>
    </w:p>
    <w:p w14:paraId="1FC4EF95" w14:textId="77777777" w:rsidR="00025FEB" w:rsidRPr="00D85A4F" w:rsidRDefault="00025FEB" w:rsidP="00025FEB">
      <w:r>
        <w:t xml:space="preserve">In giving notice to victims, </w:t>
      </w:r>
      <w:r w:rsidRPr="00D85A4F">
        <w:t>DAHMS</w:t>
      </w:r>
      <w:r>
        <w:t>s</w:t>
      </w:r>
      <w:r w:rsidRPr="00D85A4F">
        <w:t xml:space="preserve"> should only share </w:t>
      </w:r>
      <w:r>
        <w:t xml:space="preserve">that </w:t>
      </w:r>
      <w:r w:rsidRPr="00D85A4F">
        <w:t xml:space="preserve">information the VRA expressly requires. Providing </w:t>
      </w:r>
      <w:r>
        <w:t xml:space="preserve">any </w:t>
      </w:r>
      <w:r w:rsidRPr="00D85A4F">
        <w:t>other information (</w:t>
      </w:r>
      <w:r>
        <w:t xml:space="preserve">for example, </w:t>
      </w:r>
      <w:r w:rsidRPr="00D85A4F">
        <w:t xml:space="preserve">the fact that a patient is being considered for ministerial long leave under section 50 of the </w:t>
      </w:r>
      <w:r>
        <w:t>Mental Health Act</w:t>
      </w:r>
      <w:r w:rsidRPr="00D85A4F">
        <w:t>) may breach the Privacy Act 2020.</w:t>
      </w:r>
      <w:r>
        <w:t xml:space="preserve">  </w:t>
      </w:r>
    </w:p>
    <w:p w14:paraId="6127EFE2" w14:textId="77777777" w:rsidR="00025FEB" w:rsidRPr="00D85A4F" w:rsidRDefault="00025FEB" w:rsidP="00025FEB"/>
    <w:p w14:paraId="542A9940" w14:textId="77777777" w:rsidR="00025FEB" w:rsidRDefault="00025FEB" w:rsidP="00025FEB">
      <w:r w:rsidRPr="00D85A4F">
        <w:t xml:space="preserve">Section 38 of the VRA specifies exceptions to section 37 once certain offenders are no longer liable to detention for the sentence imposed for the offence. Victims of special patients whose liability to be detained in connection with the offence was </w:t>
      </w:r>
      <w:proofErr w:type="gramStart"/>
      <w:r w:rsidRPr="00D85A4F">
        <w:t>as a result of</w:t>
      </w:r>
      <w:proofErr w:type="gramEnd"/>
      <w:r w:rsidRPr="00D85A4F">
        <w:t xml:space="preserve">: </w:t>
      </w:r>
    </w:p>
    <w:p w14:paraId="01461887" w14:textId="49939C0F" w:rsidR="00025FEB" w:rsidRDefault="00025FEB" w:rsidP="00025FEB">
      <w:pPr>
        <w:rPr>
          <w:rFonts w:ascii="Cambria" w:hAnsi="Cambria"/>
        </w:rPr>
      </w:pPr>
    </w:p>
    <w:p w14:paraId="3ED6B51B" w14:textId="77777777" w:rsidR="007A6F61" w:rsidRPr="00D85A4F" w:rsidRDefault="007A6F61" w:rsidP="00025FEB">
      <w:pPr>
        <w:rPr>
          <w:rFonts w:ascii="Cambria" w:hAnsi="Cambria"/>
        </w:rPr>
      </w:pPr>
    </w:p>
    <w:p w14:paraId="79279236" w14:textId="77777777" w:rsidR="00025FEB" w:rsidRPr="00D85A4F" w:rsidRDefault="00025FEB" w:rsidP="00025FEB">
      <w:pPr>
        <w:pStyle w:val="Bullet"/>
        <w:spacing w:line="264" w:lineRule="auto"/>
      </w:pPr>
      <w:r w:rsidRPr="00D85A4F">
        <w:lastRenderedPageBreak/>
        <w:t xml:space="preserve">an application under section 45(2) or an arrangement under section 46 of the </w:t>
      </w:r>
      <w:r>
        <w:t>Mental Health Act</w:t>
      </w:r>
      <w:r w:rsidRPr="00D85A4F">
        <w:t xml:space="preserve"> </w:t>
      </w:r>
    </w:p>
    <w:p w14:paraId="7E211109" w14:textId="77777777" w:rsidR="00025FEB" w:rsidRPr="00D85A4F" w:rsidRDefault="00025FEB" w:rsidP="00025FEB">
      <w:pPr>
        <w:pStyle w:val="Bullet"/>
        <w:spacing w:line="264" w:lineRule="auto"/>
      </w:pPr>
      <w:r w:rsidRPr="00D85A4F">
        <w:t>an order under section 34(1)(a) of the CP(MIP) Act</w:t>
      </w:r>
    </w:p>
    <w:p w14:paraId="55976F8B" w14:textId="77777777" w:rsidR="00025FEB" w:rsidRDefault="00025FEB" w:rsidP="00025FEB"/>
    <w:p w14:paraId="2D9F0947" w14:textId="77777777" w:rsidR="00025FEB" w:rsidRPr="00D85A4F" w:rsidRDefault="00025FEB" w:rsidP="00025FEB">
      <w:r w:rsidRPr="00D85A4F">
        <w:t>must be informed by the Director-General</w:t>
      </w:r>
      <w:r>
        <w:t xml:space="preserve"> or a delegate</w:t>
      </w:r>
      <w:r w:rsidRPr="00D85A4F">
        <w:t xml:space="preserve">, as soon as practicable, when the person ceases to be a special patient under section 48 of the </w:t>
      </w:r>
      <w:r>
        <w:t>Mental Health Act</w:t>
      </w:r>
      <w:r w:rsidRPr="00D85A4F">
        <w:t xml:space="preserve">. This </w:t>
      </w:r>
      <w:r>
        <w:t xml:space="preserve">notice </w:t>
      </w:r>
      <w:r w:rsidRPr="00D85A4F">
        <w:t xml:space="preserve">occurs instead of the Director-General complying with section 37(2) of the VRA set out above. </w:t>
      </w:r>
    </w:p>
    <w:p w14:paraId="4933C435" w14:textId="77777777" w:rsidR="00025FEB" w:rsidRDefault="00025FEB" w:rsidP="00025FEB"/>
    <w:p w14:paraId="61FAEFCE" w14:textId="77777777" w:rsidR="00025FEB" w:rsidRPr="00D85A4F" w:rsidRDefault="00025FEB" w:rsidP="00025FEB">
      <w:r w:rsidRPr="00D85A4F">
        <w:t>Under section 37 of the VRA</w:t>
      </w:r>
      <w:r>
        <w:t>,</w:t>
      </w:r>
      <w:r w:rsidRPr="00D85A4F">
        <w:t xml:space="preserve"> registered victims must also be told as soon as practicable if the special patient:</w:t>
      </w:r>
    </w:p>
    <w:p w14:paraId="72CEA7C5" w14:textId="77777777" w:rsidR="00025FEB" w:rsidRPr="00D85A4F" w:rsidRDefault="00025FEB" w:rsidP="00025FEB">
      <w:pPr>
        <w:pStyle w:val="Bullet"/>
        <w:spacing w:line="264" w:lineRule="auto"/>
      </w:pPr>
      <w:r w:rsidRPr="00D85A4F">
        <w:t xml:space="preserve">escapes or goes </w:t>
      </w:r>
      <w:r>
        <w:t xml:space="preserve">AWOL </w:t>
      </w:r>
      <w:r w:rsidRPr="00D85A4F">
        <w:t>(including failing to return from leave)</w:t>
      </w:r>
      <w:r>
        <w:t xml:space="preserve"> (see section 6.3 above).</w:t>
      </w:r>
    </w:p>
    <w:p w14:paraId="7D072D05" w14:textId="77777777" w:rsidR="00025FEB" w:rsidRPr="00D85A4F" w:rsidRDefault="00025FEB" w:rsidP="00025FEB">
      <w:pPr>
        <w:pStyle w:val="Bullet"/>
        <w:spacing w:line="264" w:lineRule="auto"/>
      </w:pPr>
      <w:r w:rsidRPr="00D85A4F">
        <w:t>dies.</w:t>
      </w:r>
    </w:p>
    <w:p w14:paraId="17570DC8" w14:textId="77777777" w:rsidR="00025FEB" w:rsidRDefault="00025FEB" w:rsidP="00025FEB"/>
    <w:p w14:paraId="01B879F7" w14:textId="77777777" w:rsidR="00025FEB" w:rsidRDefault="00025FEB" w:rsidP="00025FEB">
      <w:pPr>
        <w:rPr>
          <w:b/>
          <w:bCs/>
        </w:rPr>
      </w:pPr>
      <w:r w:rsidRPr="00C84E6C">
        <w:t>In practice, this will usually be the responsibility of</w:t>
      </w:r>
      <w:r>
        <w:rPr>
          <w:b/>
          <w:bCs/>
        </w:rPr>
        <w:t xml:space="preserve"> </w:t>
      </w:r>
      <w:r>
        <w:t xml:space="preserve">the </w:t>
      </w:r>
      <w:r w:rsidRPr="00AD2EFB">
        <w:t>forensic DAMHS for special patients</w:t>
      </w:r>
      <w:r>
        <w:t>, as delegated by the Director of Mental Health.</w:t>
      </w:r>
    </w:p>
    <w:p w14:paraId="1D2BB713" w14:textId="77777777" w:rsidR="00025FEB" w:rsidRPr="006F3676" w:rsidRDefault="00025FEB" w:rsidP="00025FEB">
      <w:pPr>
        <w:pStyle w:val="Heading2"/>
      </w:pPr>
      <w:bookmarkStart w:id="266" w:name="_Toc112845481"/>
      <w:bookmarkStart w:id="267" w:name="_Toc112862085"/>
      <w:bookmarkStart w:id="268" w:name="_Toc116484626"/>
      <w:r w:rsidRPr="00D30560">
        <w:t xml:space="preserve">Additional provisions applying </w:t>
      </w:r>
      <w:r>
        <w:t xml:space="preserve">when the </w:t>
      </w:r>
      <w:r w:rsidRPr="00D85A4F">
        <w:t>Victims of Insane Offenders Act 2021</w:t>
      </w:r>
      <w:r>
        <w:t xml:space="preserve"> comes into force</w:t>
      </w:r>
      <w:bookmarkEnd w:id="266"/>
      <w:bookmarkEnd w:id="267"/>
      <w:bookmarkEnd w:id="268"/>
    </w:p>
    <w:p w14:paraId="311B0C2D" w14:textId="77777777" w:rsidR="00025FEB" w:rsidRPr="00D85A4F" w:rsidRDefault="00025FEB" w:rsidP="00025FEB">
      <w:r>
        <w:t xml:space="preserve">After the </w:t>
      </w:r>
      <w:r w:rsidRPr="00D85A4F">
        <w:t>Victims of Insane Offenders Act 2021</w:t>
      </w:r>
      <w:r>
        <w:t xml:space="preserve"> comes into force on 13 December 2022</w:t>
      </w:r>
      <w:r w:rsidRPr="00D85A4F">
        <w:t xml:space="preserve">, </w:t>
      </w:r>
      <w:r>
        <w:t xml:space="preserve">the Director (or, in practice, a </w:t>
      </w:r>
      <w:r w:rsidRPr="00D85A4F">
        <w:t>delegate</w:t>
      </w:r>
      <w:r>
        <w:t xml:space="preserve">: </w:t>
      </w:r>
      <w:r w:rsidRPr="00D85A4F">
        <w:t>usually the forensic DAMHS for special patients</w:t>
      </w:r>
      <w:r>
        <w:t>)</w:t>
      </w:r>
      <w:r w:rsidRPr="00D85A4F">
        <w:t xml:space="preserve"> </w:t>
      </w:r>
      <w:r>
        <w:t xml:space="preserve">must give reasonable prior notice </w:t>
      </w:r>
      <w:r w:rsidRPr="00D85A4F">
        <w:t xml:space="preserve">to </w:t>
      </w:r>
      <w:r>
        <w:t>certain registered</w:t>
      </w:r>
      <w:r w:rsidRPr="00D85A4F">
        <w:t xml:space="preserve"> victim</w:t>
      </w:r>
      <w:r>
        <w:t>s</w:t>
      </w:r>
      <w:r w:rsidRPr="00D85A4F">
        <w:t xml:space="preserve"> of:</w:t>
      </w:r>
    </w:p>
    <w:p w14:paraId="75AEF4A2" w14:textId="77777777" w:rsidR="00025FEB" w:rsidRPr="00D85A4F" w:rsidRDefault="00025FEB" w:rsidP="00025FEB">
      <w:pPr>
        <w:pStyle w:val="Bullet"/>
        <w:spacing w:line="264" w:lineRule="auto"/>
      </w:pPr>
      <w:r w:rsidRPr="00D85A4F">
        <w:t>the designation of a special patient or special care recipient if the offender is liable to be detained in a hospital or facility in connection with the offence as well as an explanation of the meaning and consequences of the person or offender’s designation and a list of the future notifications that the victim is eligible to receive</w:t>
      </w:r>
    </w:p>
    <w:p w14:paraId="53EBE655" w14:textId="77777777" w:rsidR="00025FEB" w:rsidRPr="00D85A4F" w:rsidRDefault="00025FEB" w:rsidP="00025FEB">
      <w:pPr>
        <w:pStyle w:val="Bullet"/>
        <w:spacing w:line="264" w:lineRule="auto"/>
      </w:pPr>
      <w:r w:rsidRPr="00D85A4F">
        <w:t>the Director’s intention to decide to grant leave of absence under section</w:t>
      </w:r>
      <w:r>
        <w:t>s</w:t>
      </w:r>
      <w:r w:rsidRPr="00D85A4F">
        <w:t xml:space="preserve"> 52 and 50 of the </w:t>
      </w:r>
      <w:r>
        <w:t>Mental Health Act</w:t>
      </w:r>
      <w:r w:rsidRPr="00D85A4F">
        <w:t xml:space="preserve"> that would permit the patient to exercise greater autonomy outside the hospital than any other leave of absence previously granted to the patient</w:t>
      </w:r>
    </w:p>
    <w:p w14:paraId="1BF031E8" w14:textId="77777777" w:rsidR="00025FEB" w:rsidRPr="00D85A4F" w:rsidRDefault="00025FEB" w:rsidP="00025FEB">
      <w:pPr>
        <w:pStyle w:val="Bullet"/>
        <w:spacing w:line="264" w:lineRule="auto"/>
      </w:pPr>
      <w:r w:rsidRPr="00D85A4F">
        <w:t>whether the Director has granted leave of absence</w:t>
      </w:r>
      <w:r>
        <w:t>,</w:t>
      </w:r>
      <w:r w:rsidRPr="00D85A4F">
        <w:t xml:space="preserve"> and any conditions under section 52 and 50 of the </w:t>
      </w:r>
      <w:r>
        <w:t>Mental Health Act</w:t>
      </w:r>
    </w:p>
    <w:p w14:paraId="68B761C1" w14:textId="77777777" w:rsidR="00025FEB" w:rsidRPr="00D85A4F" w:rsidRDefault="00025FEB" w:rsidP="00025FEB">
      <w:pPr>
        <w:pStyle w:val="Bullet"/>
        <w:spacing w:line="264" w:lineRule="auto"/>
      </w:pPr>
      <w:r w:rsidRPr="00D85A4F">
        <w:t>an application received by the Mental Health Review Tribunal.</w:t>
      </w:r>
    </w:p>
    <w:p w14:paraId="5E2E0619" w14:textId="77777777" w:rsidR="00025FEB" w:rsidRDefault="00025FEB" w:rsidP="00025FEB"/>
    <w:p w14:paraId="26ACD6E2" w14:textId="77777777" w:rsidR="00025FEB" w:rsidRPr="00C84E6C" w:rsidRDefault="00025FEB" w:rsidP="00025FEB">
      <w:r w:rsidRPr="00C84E6C">
        <w:t>The Director (or a delegate) may withhold advice of a particular condition of leave if, in the Director’s opinion, disclosing the condition would unduly interfere with the privacy of any other person (other than the special patient).</w:t>
      </w:r>
    </w:p>
    <w:p w14:paraId="4FBC61DC" w14:textId="77777777" w:rsidR="00025FEB" w:rsidRPr="00D85A4F" w:rsidRDefault="00025FEB" w:rsidP="00025FEB">
      <w:r w:rsidRPr="00D85A4F">
        <w:lastRenderedPageBreak/>
        <w:t xml:space="preserve">Each notification requires specific information to be provided to the victim. Please refer to the </w:t>
      </w:r>
      <w:r>
        <w:t xml:space="preserve">legislation and the </w:t>
      </w:r>
      <w:r w:rsidRPr="00D85A4F">
        <w:t>Victims’ Rights Act Guidelines on the Ministry of Health website for details.</w:t>
      </w:r>
    </w:p>
    <w:p w14:paraId="090312E3" w14:textId="77777777" w:rsidR="00025FEB" w:rsidRDefault="00025FEB" w:rsidP="00025FEB"/>
    <w:p w14:paraId="55F83966" w14:textId="77777777" w:rsidR="00025FEB" w:rsidRPr="00D85A4F" w:rsidRDefault="00025FEB" w:rsidP="00025FEB">
      <w:r>
        <w:t>After the new Act comes into force</w:t>
      </w:r>
      <w:r w:rsidRPr="00D85A4F">
        <w:t xml:space="preserve">, </w:t>
      </w:r>
      <w:r>
        <w:t>v</w:t>
      </w:r>
      <w:r w:rsidRPr="00D85A4F">
        <w:t>ictims can make a submission to</w:t>
      </w:r>
      <w:r>
        <w:t xml:space="preserve"> either</w:t>
      </w:r>
      <w:r w:rsidRPr="00D85A4F">
        <w:t xml:space="preserve"> the Director of Mental Health </w:t>
      </w:r>
      <w:r>
        <w:t xml:space="preserve">or </w:t>
      </w:r>
      <w:r w:rsidRPr="00D30560">
        <w:t xml:space="preserve">Mental Health Review Tribunal </w:t>
      </w:r>
      <w:r>
        <w:t xml:space="preserve">as appropriate </w:t>
      </w:r>
      <w:r w:rsidRPr="00D85A4F">
        <w:t>regarding</w:t>
      </w:r>
      <w:r>
        <w:t>:</w:t>
      </w:r>
    </w:p>
    <w:p w14:paraId="2EBEDAF8" w14:textId="77777777" w:rsidR="00025FEB" w:rsidRPr="00D45387" w:rsidRDefault="00025FEB" w:rsidP="00025FEB">
      <w:pPr>
        <w:pStyle w:val="Bullet"/>
        <w:tabs>
          <w:tab w:val="clear" w:pos="284"/>
        </w:tabs>
      </w:pPr>
      <w:r w:rsidRPr="00D45387">
        <w:t>leave decisions under sections 50 and 52 of the Mental Health Act</w:t>
      </w:r>
    </w:p>
    <w:p w14:paraId="6AE3188F" w14:textId="77777777" w:rsidR="00025FEB" w:rsidRPr="00D45387" w:rsidRDefault="00025FEB" w:rsidP="00025FEB">
      <w:pPr>
        <w:pStyle w:val="Bullet"/>
        <w:tabs>
          <w:tab w:val="clear" w:pos="284"/>
        </w:tabs>
      </w:pPr>
      <w:r w:rsidRPr="00D45387">
        <w:t>review of a patient’s condition by the Mental Health Review Tribunal</w:t>
      </w:r>
    </w:p>
    <w:p w14:paraId="25321632" w14:textId="77777777" w:rsidR="00025FEB" w:rsidRPr="00D45387" w:rsidRDefault="00025FEB" w:rsidP="00025FEB">
      <w:pPr>
        <w:pStyle w:val="Bullet"/>
        <w:tabs>
          <w:tab w:val="clear" w:pos="284"/>
        </w:tabs>
      </w:pPr>
      <w:r w:rsidRPr="00D45387">
        <w:t>a patient’s change of legal status from special patient to patient.</w:t>
      </w:r>
    </w:p>
    <w:p w14:paraId="0D8A338A" w14:textId="77777777" w:rsidR="00025FEB" w:rsidRPr="00D85A4F" w:rsidRDefault="00025FEB" w:rsidP="00025FEB"/>
    <w:p w14:paraId="09E7F187" w14:textId="77777777" w:rsidR="00025FEB" w:rsidRPr="00D85A4F" w:rsidRDefault="00025FEB" w:rsidP="00025FEB">
      <w:r>
        <w:t>After the new Act comes into force</w:t>
      </w:r>
      <w:r w:rsidRPr="00D85A4F">
        <w:t xml:space="preserve">, the Director of Mental Health is required to have regard to any written submission made by a victim on the decision of whether to grant leave under section 50 or 52 of the </w:t>
      </w:r>
      <w:r>
        <w:t>Mental Health Act and change of legal status.</w:t>
      </w:r>
    </w:p>
    <w:p w14:paraId="22298AF5" w14:textId="77777777" w:rsidR="00025FEB" w:rsidRPr="00D85A4F" w:rsidRDefault="00025FEB" w:rsidP="00025FEB">
      <w:r>
        <w:t xml:space="preserve">A </w:t>
      </w:r>
      <w:r w:rsidRPr="00D85A4F">
        <w:t xml:space="preserve">DAMHS or a responsible clinician can discuss with the special patient whether they consent for any additional information to be provided to the registered victim. </w:t>
      </w:r>
      <w:r>
        <w:t xml:space="preserve">The </w:t>
      </w:r>
      <w:r w:rsidRPr="00D85A4F">
        <w:t xml:space="preserve">DAMHS and </w:t>
      </w:r>
      <w:r>
        <w:t xml:space="preserve">the </w:t>
      </w:r>
      <w:r w:rsidRPr="00D85A4F">
        <w:t xml:space="preserve">responsible clinician should consider </w:t>
      </w:r>
      <w:r>
        <w:t xml:space="preserve">how </w:t>
      </w:r>
      <w:r w:rsidRPr="00D85A4F">
        <w:t xml:space="preserve">potential over-disclosure may affect </w:t>
      </w:r>
      <w:r>
        <w:t xml:space="preserve">the </w:t>
      </w:r>
      <w:r w:rsidRPr="00D85A4F">
        <w:t>rehabilitation or reintegration of the special patient. Any additional disclosures should only be made with the special patient’s express consent.</w:t>
      </w:r>
      <w:r>
        <w:t xml:space="preserve"> Discussions about consent for sharing this information should be recorded in the relevant patient records.  </w:t>
      </w:r>
    </w:p>
    <w:p w14:paraId="2EC49459" w14:textId="77777777" w:rsidR="00025FEB" w:rsidRPr="00D85A4F" w:rsidRDefault="00025FEB" w:rsidP="00025FEB"/>
    <w:p w14:paraId="467BEEC7" w14:textId="77777777" w:rsidR="00025FEB" w:rsidRPr="00D85A4F" w:rsidRDefault="00025FEB" w:rsidP="00025FEB">
      <w:r>
        <w:t xml:space="preserve">The victim's privacy must be carefully protected; no person (including the Director or a DAMHS) may </w:t>
      </w:r>
      <w:r w:rsidRPr="0072032B">
        <w:t>directly or indirectly disclose to the special patient the current address or contact details of any victim</w:t>
      </w:r>
      <w:r>
        <w:t>.</w:t>
      </w:r>
      <w:r w:rsidRPr="00D85A4F">
        <w:t xml:space="preserve"> </w:t>
      </w:r>
    </w:p>
    <w:p w14:paraId="1B8416F8" w14:textId="77777777" w:rsidR="00025FEB" w:rsidRDefault="00025FEB" w:rsidP="00025FEB">
      <w:pPr>
        <w:sectPr w:rsidR="00025FEB" w:rsidSect="00856460">
          <w:pgSz w:w="11907" w:h="16834" w:code="9"/>
          <w:pgMar w:top="1418" w:right="1701" w:bottom="1134" w:left="1843" w:header="284" w:footer="425" w:gutter="284"/>
          <w:cols w:space="720"/>
        </w:sectPr>
      </w:pPr>
    </w:p>
    <w:p w14:paraId="3571F74B" w14:textId="77777777" w:rsidR="00025FEB" w:rsidRPr="00D85A4F" w:rsidRDefault="00025FEB" w:rsidP="00025FEB">
      <w:pPr>
        <w:pStyle w:val="Heading1"/>
      </w:pPr>
      <w:bookmarkStart w:id="269" w:name="_Toc83197095"/>
      <w:bookmarkStart w:id="270" w:name="_Toc112845482"/>
      <w:bookmarkStart w:id="271" w:name="_Toc112862086"/>
      <w:bookmarkStart w:id="272" w:name="_Toc116484627"/>
      <w:r w:rsidRPr="00D85A4F">
        <w:lastRenderedPageBreak/>
        <w:t>Incidents and reportable events</w:t>
      </w:r>
      <w:bookmarkEnd w:id="269"/>
      <w:bookmarkEnd w:id="270"/>
      <w:bookmarkEnd w:id="271"/>
      <w:bookmarkEnd w:id="272"/>
    </w:p>
    <w:p w14:paraId="7028D1DC" w14:textId="77777777" w:rsidR="00025FEB" w:rsidRPr="00D85A4F" w:rsidRDefault="00025FEB" w:rsidP="00025FEB">
      <w:r>
        <w:t>Regional forensic mental health services should immediately advise t</w:t>
      </w:r>
      <w:r w:rsidRPr="00D85A4F">
        <w:t xml:space="preserve">he Director and Deputy Director by phone of adverse events involving special patients. </w:t>
      </w:r>
      <w:r>
        <w:t xml:space="preserve">Thereafter, they must send </w:t>
      </w:r>
      <w:r w:rsidRPr="00D85A4F">
        <w:t>a completed reportable event form to the Office of the Director. Adverse events include:</w:t>
      </w:r>
    </w:p>
    <w:p w14:paraId="6907C80D" w14:textId="77777777" w:rsidR="00025FEB" w:rsidRPr="00D85A4F" w:rsidRDefault="00025FEB" w:rsidP="00025FEB">
      <w:pPr>
        <w:pStyle w:val="Bullet"/>
        <w:spacing w:line="264" w:lineRule="auto"/>
      </w:pPr>
      <w:r w:rsidRPr="00D85A4F">
        <w:t>alleged offending</w:t>
      </w:r>
    </w:p>
    <w:p w14:paraId="6A92808C" w14:textId="77777777" w:rsidR="00025FEB" w:rsidRPr="00D85A4F" w:rsidRDefault="00025FEB" w:rsidP="00025FEB">
      <w:pPr>
        <w:pStyle w:val="Bullet"/>
        <w:spacing w:line="264" w:lineRule="auto"/>
      </w:pPr>
      <w:r w:rsidRPr="00D85A4F">
        <w:t>attempted or completed suicide</w:t>
      </w:r>
    </w:p>
    <w:p w14:paraId="115A754C" w14:textId="77777777" w:rsidR="00025FEB" w:rsidRPr="00D85A4F" w:rsidRDefault="00025FEB" w:rsidP="00025FEB">
      <w:pPr>
        <w:pStyle w:val="Bullet"/>
        <w:spacing w:line="264" w:lineRule="auto"/>
      </w:pPr>
      <w:r w:rsidRPr="00D85A4F">
        <w:t>absence without leave</w:t>
      </w:r>
    </w:p>
    <w:p w14:paraId="56529071" w14:textId="77777777" w:rsidR="00025FEB" w:rsidRPr="00D85A4F" w:rsidRDefault="00025FEB" w:rsidP="00025FEB">
      <w:pPr>
        <w:pStyle w:val="Bullet"/>
        <w:spacing w:line="264" w:lineRule="auto"/>
      </w:pPr>
      <w:r w:rsidRPr="00D85A4F">
        <w:t>assault on or by the patient</w:t>
      </w:r>
    </w:p>
    <w:p w14:paraId="387C22DB" w14:textId="77777777" w:rsidR="00025FEB" w:rsidRPr="00D85A4F" w:rsidRDefault="00025FEB" w:rsidP="00025FEB">
      <w:pPr>
        <w:pStyle w:val="Bullet"/>
        <w:spacing w:line="264" w:lineRule="auto"/>
      </w:pPr>
      <w:r w:rsidRPr="00D85A4F">
        <w:t>possession of prohibited items including weapons</w:t>
      </w:r>
    </w:p>
    <w:p w14:paraId="0D52034E" w14:textId="77777777" w:rsidR="00025FEB" w:rsidRPr="00D85A4F" w:rsidRDefault="00025FEB" w:rsidP="00025FEB">
      <w:pPr>
        <w:pStyle w:val="Bullet"/>
        <w:spacing w:line="264" w:lineRule="auto"/>
      </w:pPr>
      <w:r w:rsidRPr="00D85A4F">
        <w:t xml:space="preserve">significant breach of leave conditions (other than minor breaches, such as returning five minutes late). </w:t>
      </w:r>
    </w:p>
    <w:p w14:paraId="1E556F5A" w14:textId="77777777" w:rsidR="00025FEB" w:rsidRPr="00D85A4F" w:rsidRDefault="00025FEB" w:rsidP="00025FEB"/>
    <w:p w14:paraId="4E9D8305" w14:textId="77777777" w:rsidR="00025FEB" w:rsidRPr="00D85A4F" w:rsidRDefault="00025FEB" w:rsidP="00025FEB">
      <w:r w:rsidRPr="00D85A4F">
        <w:t xml:space="preserve">These reporting requirements do not limit other reporting requirements that may apply (for example, </w:t>
      </w:r>
      <w:r>
        <w:t xml:space="preserve">coronial or </w:t>
      </w:r>
      <w:r w:rsidRPr="00D85A4F">
        <w:t xml:space="preserve">WorkSafe reporting requirements, </w:t>
      </w:r>
      <w:r>
        <w:t xml:space="preserve">or </w:t>
      </w:r>
      <w:r w:rsidRPr="00D85A4F">
        <w:t xml:space="preserve">the relevant hospital's reporting requirements). </w:t>
      </w:r>
    </w:p>
    <w:p w14:paraId="0BB840EB" w14:textId="77777777" w:rsidR="00025FEB" w:rsidRPr="00D85A4F" w:rsidRDefault="00025FEB" w:rsidP="00025FEB"/>
    <w:p w14:paraId="369F32A4" w14:textId="77777777" w:rsidR="00025FEB" w:rsidRPr="00D85A4F" w:rsidRDefault="00025FEB" w:rsidP="00025FEB">
      <w:r>
        <w:t>Regional forensic mental health services should report a</w:t>
      </w:r>
      <w:r w:rsidRPr="00D85A4F">
        <w:t xml:space="preserve">ny potential media interest in a special patient </w:t>
      </w:r>
      <w:r>
        <w:t xml:space="preserve">to </w:t>
      </w:r>
      <w:r w:rsidRPr="00D85A4F">
        <w:t>the Office of the Director.</w:t>
      </w:r>
    </w:p>
    <w:p w14:paraId="14668B0F" w14:textId="77777777" w:rsidR="00025FEB" w:rsidRDefault="00025FEB" w:rsidP="00025FEB">
      <w:pPr>
        <w:sectPr w:rsidR="00025FEB" w:rsidSect="00856460">
          <w:pgSz w:w="11907" w:h="16834" w:code="9"/>
          <w:pgMar w:top="1418" w:right="1701" w:bottom="1134" w:left="1843" w:header="284" w:footer="425" w:gutter="284"/>
          <w:cols w:space="720"/>
        </w:sectPr>
      </w:pPr>
    </w:p>
    <w:p w14:paraId="3CF16AE2" w14:textId="77777777" w:rsidR="00025FEB" w:rsidRPr="00D85A4F" w:rsidRDefault="00025FEB" w:rsidP="00025FEB">
      <w:pPr>
        <w:pStyle w:val="Heading1"/>
      </w:pPr>
      <w:bookmarkStart w:id="273" w:name="_Toc112862087"/>
      <w:bookmarkStart w:id="274" w:name="_Toc116484628"/>
      <w:r w:rsidRPr="00D85A4F">
        <w:lastRenderedPageBreak/>
        <w:t>Contacting the Office of the Director of Mental Health</w:t>
      </w:r>
      <w:r>
        <w:t xml:space="preserve"> and Addiction</w:t>
      </w:r>
      <w:bookmarkEnd w:id="273"/>
      <w:bookmarkEnd w:id="274"/>
      <w:r>
        <w:t xml:space="preserve"> </w:t>
      </w:r>
    </w:p>
    <w:p w14:paraId="149E2EEE" w14:textId="77777777" w:rsidR="00025FEB" w:rsidRPr="00D85A4F" w:rsidRDefault="00025FEB" w:rsidP="00025FEB">
      <w:r w:rsidRPr="00D85A4F">
        <w:t>The Office of the Director has a dedicated email address for correspondence regarding special patients</w:t>
      </w:r>
      <w:r>
        <w:t>:</w:t>
      </w:r>
      <w:r w:rsidRPr="00D85A4F">
        <w:t xml:space="preserve"> MentalHealth</w:t>
      </w:r>
      <w:hyperlink r:id="rId29" w:history="1">
        <w:r w:rsidRPr="00D85A4F">
          <w:rPr>
            <w:rStyle w:val="Hyperlink"/>
          </w:rPr>
          <w:t>Admin@health.govt.nz</w:t>
        </w:r>
      </w:hyperlink>
      <w:r w:rsidRPr="00D85A4F">
        <w:rPr>
          <w:rStyle w:val="Hyperlink"/>
        </w:rPr>
        <w:t xml:space="preserve">. </w:t>
      </w:r>
      <w:r>
        <w:rPr>
          <w:rStyle w:val="Hyperlink"/>
        </w:rPr>
        <w:t>This is cleared several times each day.</w:t>
      </w:r>
    </w:p>
    <w:p w14:paraId="137B173D" w14:textId="77777777" w:rsidR="00025FEB" w:rsidRPr="00D85A4F" w:rsidRDefault="00025FEB" w:rsidP="00025FEB"/>
    <w:p w14:paraId="74372A2B" w14:textId="77777777" w:rsidR="00025FEB" w:rsidRPr="00D85A4F" w:rsidRDefault="00025FEB" w:rsidP="00025FEB">
      <w:r>
        <w:t>P</w:t>
      </w:r>
      <w:r w:rsidRPr="00D85A4F">
        <w:t>lease phone the Director or Deputy Director to advise of urgent requests for leave or reportable events.</w:t>
      </w:r>
    </w:p>
    <w:p w14:paraId="03599781" w14:textId="77777777" w:rsidR="00025FEB" w:rsidRPr="00D85A4F" w:rsidRDefault="00025FEB" w:rsidP="00025FEB"/>
    <w:p w14:paraId="1F15E849" w14:textId="77777777" w:rsidR="00025FEB" w:rsidRPr="00D85A4F" w:rsidRDefault="00025FEB" w:rsidP="00025FEB">
      <w:r w:rsidRPr="00D85A4F">
        <w:t xml:space="preserve">The Office of the Director has implemented a secure SPMS to store clinical details and reports </w:t>
      </w:r>
      <w:r>
        <w:t xml:space="preserve">and to </w:t>
      </w:r>
      <w:r w:rsidRPr="00D85A4F">
        <w:t xml:space="preserve">process special patient leave and transfer requests. </w:t>
      </w:r>
    </w:p>
    <w:p w14:paraId="267D09BE" w14:textId="77777777" w:rsidR="00025FEB" w:rsidRDefault="00025FEB" w:rsidP="00025FEB">
      <w:pPr>
        <w:sectPr w:rsidR="00025FEB" w:rsidSect="003353F3">
          <w:pgSz w:w="11907" w:h="16834" w:code="9"/>
          <w:pgMar w:top="1418" w:right="1558" w:bottom="1134" w:left="1843" w:header="284" w:footer="425" w:gutter="284"/>
          <w:cols w:space="720"/>
        </w:sectPr>
      </w:pPr>
    </w:p>
    <w:p w14:paraId="25EB93F8" w14:textId="77777777" w:rsidR="00025FEB" w:rsidRPr="00025FEB" w:rsidRDefault="00025FEB" w:rsidP="00025FEB">
      <w:pPr>
        <w:pStyle w:val="Heading1-nonumbering"/>
      </w:pPr>
      <w:bookmarkStart w:id="275" w:name="_Toc377543414"/>
      <w:bookmarkStart w:id="276" w:name="_Toc441658610"/>
      <w:bookmarkStart w:id="277" w:name="_Toc83197097"/>
      <w:bookmarkStart w:id="278" w:name="_Toc112845484"/>
      <w:bookmarkStart w:id="279" w:name="_Toc112862088"/>
      <w:bookmarkStart w:id="280" w:name="_Toc116484629"/>
      <w:r w:rsidRPr="00025FEB">
        <w:lastRenderedPageBreak/>
        <w:t>References</w:t>
      </w:r>
      <w:bookmarkEnd w:id="275"/>
      <w:bookmarkEnd w:id="276"/>
      <w:bookmarkEnd w:id="277"/>
      <w:bookmarkEnd w:id="278"/>
      <w:bookmarkEnd w:id="279"/>
      <w:bookmarkEnd w:id="280"/>
    </w:p>
    <w:p w14:paraId="599851AE" w14:textId="77777777" w:rsidR="00025FEB" w:rsidRPr="00911FEE" w:rsidRDefault="00025FEB" w:rsidP="00025FEB">
      <w:pPr>
        <w:pStyle w:val="References"/>
        <w:rPr>
          <w:iCs/>
        </w:rPr>
      </w:pPr>
      <w:r w:rsidRPr="00D85A4F">
        <w:t xml:space="preserve">Department of Corrections. 2017. </w:t>
      </w:r>
      <w:r w:rsidRPr="00D85A4F">
        <w:rPr>
          <w:i/>
        </w:rPr>
        <w:t>Custodial Practice Manual (CPM)</w:t>
      </w:r>
      <w:r w:rsidRPr="00C84E6C">
        <w:rPr>
          <w:iCs/>
        </w:rPr>
        <w:t>.</w:t>
      </w:r>
      <w:r w:rsidRPr="00D85A4F">
        <w:rPr>
          <w:i/>
        </w:rPr>
        <w:t xml:space="preserve"> </w:t>
      </w:r>
      <w:r>
        <w:t xml:space="preserve">Wellington: Department of Corrections. URL: </w:t>
      </w:r>
      <w:hyperlink r:id="rId30" w:history="1">
        <w:r w:rsidRPr="00C84E6C">
          <w:rPr>
            <w:rStyle w:val="Hyperlink"/>
            <w:iCs/>
          </w:rPr>
          <w:t>https://www.corrections.govt.nz/__data/assets/pdf_file/0013/30523/Custodial-Practice-Manual-030621-Redactedv2.pdf</w:t>
        </w:r>
      </w:hyperlink>
      <w:r>
        <w:rPr>
          <w:iCs/>
        </w:rPr>
        <w:t xml:space="preserve"> (accessed 8 August 2022).</w:t>
      </w:r>
    </w:p>
    <w:p w14:paraId="43827014" w14:textId="77777777" w:rsidR="00025FEB" w:rsidRPr="00C32844" w:rsidRDefault="00025FEB" w:rsidP="00025FEB">
      <w:pPr>
        <w:pStyle w:val="References"/>
      </w:pPr>
      <w:r w:rsidRPr="00C32844">
        <w:t xml:space="preserve">Government Inquiry into Mental Health and Addiction. 2018. </w:t>
      </w:r>
      <w:r w:rsidRPr="00C32844">
        <w:rPr>
          <w:i/>
          <w:iCs/>
        </w:rPr>
        <w:t xml:space="preserve">He Ara </w:t>
      </w:r>
      <w:proofErr w:type="spellStart"/>
      <w:r w:rsidRPr="00C32844">
        <w:rPr>
          <w:i/>
          <w:iCs/>
        </w:rPr>
        <w:t>Oranga</w:t>
      </w:r>
      <w:proofErr w:type="spellEnd"/>
      <w:r w:rsidRPr="00C32844">
        <w:rPr>
          <w:i/>
          <w:iCs/>
        </w:rPr>
        <w:t>: Report of the Government Inquiry into Mental Health and Addiction</w:t>
      </w:r>
      <w:r w:rsidRPr="00C32844">
        <w:t xml:space="preserve">. Wellington: Government Inquiry into Mental Health and Addiction. URL: </w:t>
      </w:r>
      <w:hyperlink r:id="rId31" w:history="1">
        <w:r w:rsidRPr="003353F3">
          <w:rPr>
            <w:rStyle w:val="Hyperlink"/>
          </w:rPr>
          <w:t xml:space="preserve">https://mentalhealth.inquiry.govt.nz/assets/Summary-reports/He-Ara-Oranga.pdf </w:t>
        </w:r>
      </w:hyperlink>
      <w:r w:rsidRPr="00C32844">
        <w:t xml:space="preserve"> (accessed 25 July 2022).</w:t>
      </w:r>
    </w:p>
    <w:p w14:paraId="7E12905F" w14:textId="77777777" w:rsidR="00025FEB" w:rsidRPr="00D85A4F" w:rsidRDefault="00025FEB" w:rsidP="00025FEB">
      <w:pPr>
        <w:pStyle w:val="References"/>
      </w:pPr>
      <w:r w:rsidRPr="00D85A4F">
        <w:t xml:space="preserve">Ministry of Health. 1988. </w:t>
      </w:r>
      <w:r w:rsidRPr="00D85A4F">
        <w:rPr>
          <w:i/>
        </w:rPr>
        <w:t>Report of the Committee of Inquiry into Procedures Used in Certain Psychiatric Hospitals in Relation to Admission, Discharge or Release on Leave of Certain Classes of Patients</w:t>
      </w:r>
      <w:r w:rsidRPr="00D85A4F">
        <w:t>. Wellington: Ministry of Health.</w:t>
      </w:r>
    </w:p>
    <w:p w14:paraId="293975F0" w14:textId="77777777" w:rsidR="00025FEB" w:rsidRDefault="00025FEB" w:rsidP="00025FEB">
      <w:pPr>
        <w:pStyle w:val="References"/>
      </w:pPr>
      <w:r>
        <w:t xml:space="preserve">Ministry of Health. 2010. </w:t>
      </w:r>
      <w:r w:rsidRPr="007A3686">
        <w:rPr>
          <w:i/>
          <w:iCs/>
        </w:rPr>
        <w:t>Seclusion under the Mental Health (Compulsory Assessment and Treatment) Act 1992</w:t>
      </w:r>
      <w:r>
        <w:t xml:space="preserve">. Wellington: Ministry of Health. URL: </w:t>
      </w:r>
      <w:hyperlink r:id="rId32" w:history="1">
        <w:r w:rsidRPr="003353F3">
          <w:rPr>
            <w:rStyle w:val="Hyperlink"/>
          </w:rPr>
          <w:t>https://www.health.govt.nz/publication/seclusion-under-mental-health-compulsory-assessment-and-treatment-act-1992</w:t>
        </w:r>
      </w:hyperlink>
      <w:r>
        <w:t xml:space="preserve"> (accessed 1 August 2022). </w:t>
      </w:r>
    </w:p>
    <w:p w14:paraId="1C6E418B" w14:textId="77777777" w:rsidR="00025FEB" w:rsidRDefault="00025FEB" w:rsidP="00025FEB">
      <w:pPr>
        <w:pStyle w:val="References"/>
      </w:pPr>
      <w:r>
        <w:t>M</w:t>
      </w:r>
      <w:r w:rsidRPr="0085342C">
        <w:t xml:space="preserve">inistry of Health. 2012. </w:t>
      </w:r>
      <w:r w:rsidRPr="00C84E6C">
        <w:rPr>
          <w:i/>
          <w:iCs/>
        </w:rPr>
        <w:t>Guidelines for the Safe Transport of Special Patients and Special Care Recipients in the Care of Regional Forensic Mental Health Services</w:t>
      </w:r>
      <w:r>
        <w:t xml:space="preserve">. Wellington: Ministry of Health. URL: </w:t>
      </w:r>
      <w:hyperlink r:id="rId33" w:history="1">
        <w:r w:rsidRPr="00FD6EB9">
          <w:rPr>
            <w:rStyle w:val="Hyperlink"/>
          </w:rPr>
          <w:t>https://www.health.govt.nz/system/files/documents/publications/guidelines-for-safe-transport-special-patients-special-care-recipients-in-care-of-rfmhs.pdf</w:t>
        </w:r>
      </w:hyperlink>
      <w:r>
        <w:t xml:space="preserve"> </w:t>
      </w:r>
      <w:r w:rsidRPr="0085342C">
        <w:t xml:space="preserve"> </w:t>
      </w:r>
      <w:r>
        <w:t>(accessed 1 August 2022).</w:t>
      </w:r>
    </w:p>
    <w:p w14:paraId="4CD544AB" w14:textId="77777777" w:rsidR="00025FEB" w:rsidRPr="00D85A4F" w:rsidRDefault="00025FEB" w:rsidP="00025FEB">
      <w:pPr>
        <w:pStyle w:val="References"/>
      </w:pPr>
      <w:r w:rsidRPr="00D85A4F">
        <w:t>Ministry of Health</w:t>
      </w:r>
      <w:r>
        <w:t>.</w:t>
      </w:r>
      <w:r w:rsidRPr="00D85A4F">
        <w:t xml:space="preserve"> 2014. </w:t>
      </w:r>
      <w:r w:rsidRPr="00D85A4F">
        <w:rPr>
          <w:i/>
        </w:rPr>
        <w:t xml:space="preserve">Definition of hospital under the Mental Health (Compulsory Assessment and Treatment) Act 1992 and access to hospital grounds for special patients. </w:t>
      </w:r>
      <w:r w:rsidRPr="00D85A4F">
        <w:t>Letter from the Director of Mental Health to Directors of Area Mental Health Services, 3 October 2014.</w:t>
      </w:r>
    </w:p>
    <w:p w14:paraId="2CB81F6D" w14:textId="77777777" w:rsidR="00025FEB" w:rsidRPr="00D85A4F" w:rsidRDefault="00025FEB" w:rsidP="00025FEB">
      <w:pPr>
        <w:pStyle w:val="References"/>
      </w:pPr>
      <w:r w:rsidRPr="00D85A4F">
        <w:t xml:space="preserve">Ministry of Health. 2018. </w:t>
      </w:r>
      <w:r w:rsidRPr="00C84E6C">
        <w:rPr>
          <w:i/>
          <w:iCs/>
        </w:rPr>
        <w:t>Victims’ Rights Act 2002 Guidelines 2018: For Directors of Area Mental Health Services, compulsory care coordinators and health victim coordinators</w:t>
      </w:r>
      <w:r w:rsidRPr="00D85A4F">
        <w:t xml:space="preserve">. Wellington: Ministry of Health. </w:t>
      </w:r>
      <w:r>
        <w:t xml:space="preserve">URL: </w:t>
      </w:r>
      <w:hyperlink r:id="rId34" w:history="1">
        <w:r w:rsidRPr="003779EC">
          <w:rPr>
            <w:rStyle w:val="Hyperlink"/>
          </w:rPr>
          <w:t>https://www.health.govt.nz/system/files/documents/publications/victims-rights-act-2002-guidelines-2018.pdf</w:t>
        </w:r>
      </w:hyperlink>
      <w:r>
        <w:t xml:space="preserve"> (accessed 8 August 2022).</w:t>
      </w:r>
    </w:p>
    <w:p w14:paraId="2E9A6121" w14:textId="77777777" w:rsidR="00025FEB" w:rsidRPr="00D85A4F" w:rsidRDefault="00025FEB" w:rsidP="00025FEB">
      <w:pPr>
        <w:pStyle w:val="References"/>
      </w:pPr>
      <w:r w:rsidRPr="00D85A4F">
        <w:t>Ministry of Health. 2020</w:t>
      </w:r>
      <w:r>
        <w:t>a</w:t>
      </w:r>
      <w:r w:rsidRPr="00D85A4F">
        <w:t xml:space="preserve">. </w:t>
      </w:r>
      <w:r w:rsidRPr="00D85A4F">
        <w:rPr>
          <w:i/>
        </w:rPr>
        <w:t>Guidelines to the Mental Health (Compulsory Assessment and Treatment) Act 1992</w:t>
      </w:r>
      <w:r w:rsidRPr="00D85A4F">
        <w:t>. Wellington: Ministry of Health.</w:t>
      </w:r>
      <w:r>
        <w:t xml:space="preserve"> URL: </w:t>
      </w:r>
      <w:hyperlink r:id="rId35" w:history="1">
        <w:r w:rsidRPr="003779EC">
          <w:rPr>
            <w:rStyle w:val="Hyperlink"/>
          </w:rPr>
          <w:t>https://www.health.govt.nz/publication/guidelines-mental-health-compulsory-assessment-and-treatment-act-1992</w:t>
        </w:r>
      </w:hyperlink>
      <w:r>
        <w:t xml:space="preserve"> (accessed 1 August 2022).</w:t>
      </w:r>
    </w:p>
    <w:p w14:paraId="738D023B" w14:textId="77777777" w:rsidR="00025FEB" w:rsidRDefault="00025FEB" w:rsidP="00025FEB">
      <w:pPr>
        <w:pStyle w:val="References"/>
      </w:pPr>
      <w:r>
        <w:t xml:space="preserve">Ministry of Health. 2020b. </w:t>
      </w:r>
      <w:r w:rsidRPr="006407CF">
        <w:rPr>
          <w:i/>
          <w:iCs/>
        </w:rPr>
        <w:t>Human Rights and the Mental Health (Compulsory Assessment and Treatment) Act 1992</w:t>
      </w:r>
      <w:r>
        <w:t xml:space="preserve">. Wellington: Ministry of Health. URL: </w:t>
      </w:r>
      <w:hyperlink r:id="rId36" w:history="1">
        <w:r w:rsidRPr="003779EC">
          <w:rPr>
            <w:rStyle w:val="Hyperlink"/>
          </w:rPr>
          <w:t>https://www.health.govt.nz/publication/human-rights-and-mental-health-compulsory-assessment-and-treatment-act-1992</w:t>
        </w:r>
      </w:hyperlink>
      <w:r>
        <w:t xml:space="preserve"> (accessed 1 August 2022).</w:t>
      </w:r>
    </w:p>
    <w:p w14:paraId="039B8A12" w14:textId="77777777" w:rsidR="00025FEB" w:rsidRDefault="00025FEB" w:rsidP="00025FEB">
      <w:pPr>
        <w:pStyle w:val="References"/>
        <w:rPr>
          <w:rStyle w:val="Hyperlink"/>
        </w:rPr>
      </w:pPr>
      <w:r w:rsidRPr="00D85A4F">
        <w:lastRenderedPageBreak/>
        <w:t>Ministry of Health</w:t>
      </w:r>
      <w:r>
        <w:t xml:space="preserve">. 2020c. The </w:t>
      </w:r>
      <w:r w:rsidRPr="00D85A4F">
        <w:t xml:space="preserve">Mental Health Act </w:t>
      </w:r>
      <w:r>
        <w:t>– g</w:t>
      </w:r>
      <w:r w:rsidRPr="00D85A4F">
        <w:t xml:space="preserve">uidelines and </w:t>
      </w:r>
      <w:r>
        <w:t>r</w:t>
      </w:r>
      <w:r w:rsidRPr="00D85A4F">
        <w:t>esources</w:t>
      </w:r>
      <w:r>
        <w:t>. URL:</w:t>
      </w:r>
      <w:r w:rsidRPr="00D85A4F">
        <w:t xml:space="preserve"> </w:t>
      </w:r>
      <w:hyperlink r:id="rId37" w:history="1">
        <w:r w:rsidRPr="00D85A4F">
          <w:rPr>
            <w:rStyle w:val="Hyperlink"/>
          </w:rPr>
          <w:t>https://www.health.govt.nz/our-work/mental-health-and-addiction/mental-health-legislation/mental-health-compulsory-assessment-and-treatment-act-1992/mental-health-act-guidelines-and-resources</w:t>
        </w:r>
      </w:hyperlink>
      <w:r>
        <w:rPr>
          <w:rStyle w:val="Hyperlink"/>
        </w:rPr>
        <w:t xml:space="preserve"> (accessed 1 August 2022).</w:t>
      </w:r>
    </w:p>
    <w:p w14:paraId="010C991A" w14:textId="77777777" w:rsidR="00025FEB" w:rsidRDefault="00025FEB" w:rsidP="00025FEB">
      <w:pPr>
        <w:pStyle w:val="References"/>
      </w:pPr>
      <w:r>
        <w:t xml:space="preserve">Ministry of Health. 2022. </w:t>
      </w:r>
      <w:r w:rsidRPr="00D85A4F">
        <w:rPr>
          <w:i/>
          <w:iCs/>
        </w:rPr>
        <w:t>Guidelines for the Role and Function of Statutory Officers: Appointed under the Mental Health (Compulsory Assessment and Treatment) Act 1992</w:t>
      </w:r>
      <w:r>
        <w:t>. Wellington: Ministry of Health.</w:t>
      </w:r>
    </w:p>
    <w:p w14:paraId="5B5A35A3" w14:textId="77777777" w:rsidR="00025FEB" w:rsidRPr="00D85A4F" w:rsidRDefault="00025FEB" w:rsidP="00025FEB">
      <w:pPr>
        <w:pStyle w:val="References"/>
        <w:rPr>
          <w:rStyle w:val="Hyperlink"/>
        </w:rPr>
      </w:pPr>
      <w:proofErr w:type="spellStart"/>
      <w:r w:rsidRPr="00D85A4F">
        <w:t>Te</w:t>
      </w:r>
      <w:proofErr w:type="spellEnd"/>
      <w:r w:rsidRPr="00D85A4F">
        <w:t xml:space="preserve"> </w:t>
      </w:r>
      <w:proofErr w:type="spellStart"/>
      <w:r w:rsidRPr="00D85A4F">
        <w:t>Ao</w:t>
      </w:r>
      <w:proofErr w:type="spellEnd"/>
      <w:r w:rsidRPr="00D85A4F">
        <w:t xml:space="preserve"> </w:t>
      </w:r>
      <w:proofErr w:type="spellStart"/>
      <w:r w:rsidRPr="00D85A4F">
        <w:t>Māramatanga</w:t>
      </w:r>
      <w:proofErr w:type="spellEnd"/>
      <w:r w:rsidRPr="00D85A4F">
        <w:t xml:space="preserve"> New Zealand College of Mental Health Nurses and Ministry of Health. 2012. </w:t>
      </w:r>
      <w:r w:rsidRPr="00D85A4F">
        <w:rPr>
          <w:i/>
        </w:rPr>
        <w:t>Guidelines for Mental Health Nursing Assessment and Reports</w:t>
      </w:r>
      <w:r w:rsidRPr="00D85A4F">
        <w:t xml:space="preserve">. Wellington: Ministry of Health. </w:t>
      </w:r>
      <w:r>
        <w:rPr>
          <w:rStyle w:val="Hyperlink"/>
        </w:rPr>
        <w:t xml:space="preserve"> URL: </w:t>
      </w:r>
      <w:hyperlink r:id="rId38" w:history="1">
        <w:r w:rsidRPr="003779EC">
          <w:rPr>
            <w:rStyle w:val="Hyperlink"/>
          </w:rPr>
          <w:t>https://nzcmhn.org.nz/wp-content/uploads/2022/02/Guidelines-for-MH-assessments-and-reports-January-2012-signed.pdf</w:t>
        </w:r>
      </w:hyperlink>
      <w:r>
        <w:rPr>
          <w:rStyle w:val="Hyperlink"/>
        </w:rPr>
        <w:t xml:space="preserve"> (accessed 8 August 2022).</w:t>
      </w:r>
    </w:p>
    <w:p w14:paraId="2EC89B17" w14:textId="77777777" w:rsidR="00025FEB" w:rsidRDefault="00025FEB" w:rsidP="00025FEB">
      <w:pPr>
        <w:sectPr w:rsidR="00025FEB" w:rsidSect="003353F3">
          <w:pgSz w:w="11907" w:h="16834" w:code="9"/>
          <w:pgMar w:top="1418" w:right="1558" w:bottom="1134" w:left="1843" w:header="284" w:footer="425" w:gutter="284"/>
          <w:cols w:space="720"/>
        </w:sectPr>
      </w:pPr>
    </w:p>
    <w:p w14:paraId="60F27D5F" w14:textId="77777777" w:rsidR="00025FEB" w:rsidRPr="00025FEB" w:rsidRDefault="00025FEB" w:rsidP="00025FEB">
      <w:pPr>
        <w:pStyle w:val="Heading1-nonumbering"/>
        <w:rPr>
          <w:sz w:val="60"/>
          <w:szCs w:val="60"/>
        </w:rPr>
      </w:pPr>
      <w:bookmarkStart w:id="281" w:name="_Toc377543415"/>
      <w:bookmarkStart w:id="282" w:name="_Toc441658611"/>
      <w:bookmarkStart w:id="283" w:name="_Toc83197098"/>
      <w:bookmarkStart w:id="284" w:name="_Toc112845485"/>
      <w:bookmarkStart w:id="285" w:name="_Toc112862089"/>
      <w:bookmarkStart w:id="286" w:name="_Toc116484630"/>
      <w:r w:rsidRPr="00025FEB">
        <w:rPr>
          <w:sz w:val="60"/>
          <w:szCs w:val="60"/>
        </w:rPr>
        <w:lastRenderedPageBreak/>
        <w:t>Appendix 1: Useful resources</w:t>
      </w:r>
      <w:bookmarkEnd w:id="281"/>
      <w:bookmarkEnd w:id="282"/>
      <w:bookmarkEnd w:id="283"/>
      <w:bookmarkEnd w:id="284"/>
      <w:bookmarkEnd w:id="285"/>
      <w:bookmarkEnd w:id="286"/>
    </w:p>
    <w:p w14:paraId="51C0924F" w14:textId="77777777" w:rsidR="00025FEB" w:rsidRDefault="00025FEB" w:rsidP="00025FEB">
      <w:pPr>
        <w:pStyle w:val="Heading2"/>
        <w:numPr>
          <w:ilvl w:val="0"/>
          <w:numId w:val="0"/>
        </w:numPr>
        <w:spacing w:before="360" w:after="240"/>
        <w:ind w:left="1134" w:hanging="1134"/>
      </w:pPr>
      <w:bookmarkStart w:id="287" w:name="_Toc441658612"/>
      <w:bookmarkStart w:id="288" w:name="_Toc83197099"/>
      <w:bookmarkStart w:id="289" w:name="_Toc112845486"/>
      <w:bookmarkStart w:id="290" w:name="_Toc112862090"/>
      <w:bookmarkStart w:id="291" w:name="_Toc116484631"/>
      <w:r w:rsidRPr="00D85A4F">
        <w:t>Published documents</w:t>
      </w:r>
      <w:bookmarkEnd w:id="287"/>
      <w:bookmarkEnd w:id="288"/>
      <w:bookmarkEnd w:id="289"/>
      <w:bookmarkEnd w:id="290"/>
      <w:bookmarkEnd w:id="291"/>
    </w:p>
    <w:p w14:paraId="63B9B0A5" w14:textId="77777777" w:rsidR="00025FEB" w:rsidRPr="003D5EF3" w:rsidRDefault="00025FEB" w:rsidP="00025FEB">
      <w:r>
        <w:t>The following published documents provide useful information:</w:t>
      </w:r>
    </w:p>
    <w:p w14:paraId="65BAA2E0" w14:textId="77777777" w:rsidR="00025FEB" w:rsidRPr="00D85A4F" w:rsidRDefault="00025FEB" w:rsidP="00025FEB">
      <w:pPr>
        <w:pStyle w:val="Bullet"/>
        <w:spacing w:before="80" w:line="264" w:lineRule="auto"/>
      </w:pPr>
      <w:r w:rsidRPr="00D85A4F">
        <w:rPr>
          <w:i/>
        </w:rPr>
        <w:t>Guidelines for Mental Health Nursing Assessment and Reports</w:t>
      </w:r>
      <w:r w:rsidRPr="00D85A4F">
        <w:t xml:space="preserve"> (</w:t>
      </w:r>
      <w:proofErr w:type="spellStart"/>
      <w:r w:rsidRPr="00D85A4F">
        <w:t>Te</w:t>
      </w:r>
      <w:proofErr w:type="spellEnd"/>
      <w:r w:rsidRPr="00D85A4F">
        <w:t xml:space="preserve"> </w:t>
      </w:r>
      <w:proofErr w:type="spellStart"/>
      <w:r w:rsidRPr="00D85A4F">
        <w:t>Ao</w:t>
      </w:r>
      <w:proofErr w:type="spellEnd"/>
      <w:r w:rsidRPr="00D85A4F">
        <w:t xml:space="preserve"> </w:t>
      </w:r>
      <w:proofErr w:type="spellStart"/>
      <w:r w:rsidRPr="00D85A4F">
        <w:t>Māramatanga</w:t>
      </w:r>
      <w:proofErr w:type="spellEnd"/>
      <w:r w:rsidRPr="00D85A4F">
        <w:t xml:space="preserve"> New Zealand College of Mental Health Nurses and the Ministry of Health 2012) </w:t>
      </w:r>
    </w:p>
    <w:p w14:paraId="44074BA8" w14:textId="77777777" w:rsidR="00025FEB" w:rsidRPr="00D85A4F" w:rsidRDefault="00025FEB" w:rsidP="00025FEB">
      <w:pPr>
        <w:pStyle w:val="Bullet"/>
        <w:spacing w:before="80" w:line="264" w:lineRule="auto"/>
      </w:pPr>
      <w:r w:rsidRPr="00C84E6C">
        <w:rPr>
          <w:i/>
          <w:iCs/>
        </w:rPr>
        <w:t>Guidelines to the Mental Health (Compulsory Assessment and Treatment) Act 1992</w:t>
      </w:r>
      <w:r w:rsidRPr="00D85A4F">
        <w:t xml:space="preserve"> (Ministry of Health 2020</w:t>
      </w:r>
      <w:r>
        <w:t>a</w:t>
      </w:r>
      <w:r w:rsidRPr="00D85A4F">
        <w:t>)</w:t>
      </w:r>
    </w:p>
    <w:p w14:paraId="66EE5587" w14:textId="77777777" w:rsidR="00025FEB" w:rsidRPr="00D85A4F" w:rsidRDefault="00025FEB" w:rsidP="00025FEB">
      <w:pPr>
        <w:pStyle w:val="Bullet"/>
        <w:spacing w:before="80" w:line="264" w:lineRule="auto"/>
      </w:pPr>
      <w:r w:rsidRPr="00C84E6C">
        <w:rPr>
          <w:i/>
          <w:iCs/>
        </w:rPr>
        <w:t>Guidelines for the Role and Function of Statutory Officers: Appointed under the Mental Health (Compulsory Assessment and Treatment) Act 1992</w:t>
      </w:r>
      <w:r w:rsidRPr="00D85A4F">
        <w:rPr>
          <w:i/>
        </w:rPr>
        <w:t xml:space="preserve"> (</w:t>
      </w:r>
      <w:r w:rsidRPr="00D85A4F">
        <w:t>Ministry of Health 202</w:t>
      </w:r>
      <w:r>
        <w:t>2</w:t>
      </w:r>
      <w:r w:rsidRPr="00D85A4F">
        <w:t>)</w:t>
      </w:r>
    </w:p>
    <w:p w14:paraId="605412A7" w14:textId="77777777" w:rsidR="00025FEB" w:rsidRDefault="00025FEB" w:rsidP="00025FEB">
      <w:pPr>
        <w:pStyle w:val="Bullet"/>
        <w:spacing w:before="80" w:line="264" w:lineRule="auto"/>
      </w:pPr>
      <w:r w:rsidRPr="00EC4D90">
        <w:t xml:space="preserve">Ministry of Health. 2021. </w:t>
      </w:r>
      <w:r w:rsidRPr="00C84E6C">
        <w:rPr>
          <w:i/>
          <w:iCs/>
        </w:rPr>
        <w:t>Office of the Director of Mental Health and Addiction Services 2020 Regulatory Report</w:t>
      </w:r>
      <w:r w:rsidRPr="00EC4D90">
        <w:t>. Wellington: Ministry of Health.</w:t>
      </w:r>
    </w:p>
    <w:p w14:paraId="145C7F1E" w14:textId="77777777" w:rsidR="00025FEB" w:rsidRPr="00C84E6C" w:rsidRDefault="00025FEB" w:rsidP="00025FEB">
      <w:pPr>
        <w:pStyle w:val="Bullet"/>
        <w:spacing w:before="80" w:line="264" w:lineRule="auto"/>
      </w:pPr>
      <w:r w:rsidRPr="00322189">
        <w:t xml:space="preserve">NZS 8134:2021 </w:t>
      </w:r>
      <w:proofErr w:type="spellStart"/>
      <w:r w:rsidRPr="00322189">
        <w:rPr>
          <w:i/>
          <w:iCs/>
        </w:rPr>
        <w:t>Ngā</w:t>
      </w:r>
      <w:proofErr w:type="spellEnd"/>
      <w:r w:rsidRPr="00322189">
        <w:rPr>
          <w:i/>
          <w:iCs/>
        </w:rPr>
        <w:t xml:space="preserve"> </w:t>
      </w:r>
      <w:proofErr w:type="spellStart"/>
      <w:r w:rsidRPr="00322189">
        <w:rPr>
          <w:i/>
          <w:iCs/>
        </w:rPr>
        <w:t>paerewa</w:t>
      </w:r>
      <w:proofErr w:type="spellEnd"/>
      <w:r w:rsidRPr="00322189">
        <w:rPr>
          <w:i/>
          <w:iCs/>
        </w:rPr>
        <w:t xml:space="preserve"> Health and disability services standard</w:t>
      </w:r>
      <w:r>
        <w:rPr>
          <w:i/>
          <w:iCs/>
        </w:rPr>
        <w:t xml:space="preserve">. </w:t>
      </w:r>
      <w:r>
        <w:t>Wellington: (</w:t>
      </w:r>
      <w:r w:rsidRPr="00D3479D">
        <w:t>Standards New Zealand</w:t>
      </w:r>
      <w:r>
        <w:t xml:space="preserve"> 2021).</w:t>
      </w:r>
    </w:p>
    <w:p w14:paraId="3B854B56" w14:textId="77777777" w:rsidR="00025FEB" w:rsidRPr="00D85A4F" w:rsidRDefault="00025FEB" w:rsidP="00025FEB">
      <w:pPr>
        <w:pStyle w:val="Bullet"/>
        <w:spacing w:before="80" w:line="264" w:lineRule="auto"/>
      </w:pPr>
      <w:r w:rsidRPr="00C84E6C">
        <w:rPr>
          <w:i/>
          <w:iCs/>
        </w:rPr>
        <w:t>Seclusion under the Mental Health (Compulsory Assessment and Treatment) Act 1992</w:t>
      </w:r>
      <w:r w:rsidRPr="00D85A4F">
        <w:t xml:space="preserve"> (Ministry of Health 2010)</w:t>
      </w:r>
    </w:p>
    <w:p w14:paraId="03A7E6E1" w14:textId="77777777" w:rsidR="00025FEB" w:rsidRPr="00D85A4F" w:rsidRDefault="00025FEB" w:rsidP="00025FEB">
      <w:pPr>
        <w:pStyle w:val="Bullet"/>
        <w:spacing w:before="80" w:line="264" w:lineRule="auto"/>
      </w:pPr>
      <w:r w:rsidRPr="00C84E6C">
        <w:rPr>
          <w:i/>
          <w:iCs/>
        </w:rPr>
        <w:t>Victims’ Rights Act 2002 Guidelines 2018: For Directors of Area Mental Health Services, compulsory care coordinators and health victim coordinators</w:t>
      </w:r>
      <w:r w:rsidRPr="00D85A4F">
        <w:rPr>
          <w:szCs w:val="26"/>
        </w:rPr>
        <w:t xml:space="preserve"> (Ministry of Health 2018)</w:t>
      </w:r>
      <w:r>
        <w:rPr>
          <w:szCs w:val="26"/>
        </w:rPr>
        <w:t>.</w:t>
      </w:r>
    </w:p>
    <w:p w14:paraId="5B5107E6" w14:textId="77777777" w:rsidR="00025FEB" w:rsidRPr="00D85A4F" w:rsidRDefault="00025FEB" w:rsidP="00025FEB">
      <w:pPr>
        <w:pStyle w:val="Heading2"/>
        <w:numPr>
          <w:ilvl w:val="0"/>
          <w:numId w:val="0"/>
        </w:numPr>
        <w:spacing w:before="360" w:after="240"/>
        <w:ind w:left="1134" w:hanging="1134"/>
      </w:pPr>
      <w:bookmarkStart w:id="292" w:name="_Toc441658613"/>
      <w:bookmarkStart w:id="293" w:name="_Toc83197100"/>
      <w:bookmarkStart w:id="294" w:name="_Toc112845487"/>
      <w:bookmarkStart w:id="295" w:name="_Toc112862091"/>
      <w:bookmarkStart w:id="296" w:name="_Toc116484632"/>
      <w:r w:rsidRPr="00D85A4F">
        <w:t>Attached templates and checklists</w:t>
      </w:r>
      <w:bookmarkEnd w:id="292"/>
      <w:bookmarkEnd w:id="293"/>
      <w:bookmarkEnd w:id="294"/>
      <w:bookmarkEnd w:id="295"/>
      <w:bookmarkEnd w:id="296"/>
    </w:p>
    <w:p w14:paraId="4EA8EB4E" w14:textId="77777777" w:rsidR="00025FEB" w:rsidRPr="00D85A4F" w:rsidRDefault="00025FEB" w:rsidP="00025FEB">
      <w:r>
        <w:t>T</w:t>
      </w:r>
      <w:r w:rsidRPr="00D85A4F">
        <w:t>he following pages</w:t>
      </w:r>
      <w:r>
        <w:t xml:space="preserve"> comprise </w:t>
      </w:r>
      <w:proofErr w:type="gramStart"/>
      <w:r w:rsidRPr="00D85A4F">
        <w:t>a number of</w:t>
      </w:r>
      <w:proofErr w:type="gramEnd"/>
      <w:r w:rsidRPr="00D85A4F">
        <w:t xml:space="preserve"> </w:t>
      </w:r>
      <w:r>
        <w:t xml:space="preserve">sample </w:t>
      </w:r>
      <w:r w:rsidRPr="00D85A4F">
        <w:t>forms for use in the situations specified:</w:t>
      </w:r>
    </w:p>
    <w:p w14:paraId="4157E6A1" w14:textId="77777777" w:rsidR="00025FEB" w:rsidRPr="00D85A4F" w:rsidRDefault="00025FEB" w:rsidP="00025FEB">
      <w:pPr>
        <w:pStyle w:val="Bullet"/>
        <w:spacing w:before="80" w:line="264" w:lineRule="auto"/>
      </w:pPr>
      <w:r w:rsidRPr="00D85A4F">
        <w:t xml:space="preserve">a sample summary sheet for </w:t>
      </w:r>
      <w:r>
        <w:t xml:space="preserve">SPRP </w:t>
      </w:r>
      <w:r w:rsidRPr="00D85A4F">
        <w:t>reports</w:t>
      </w:r>
    </w:p>
    <w:p w14:paraId="6437796A" w14:textId="77777777" w:rsidR="00025FEB" w:rsidRPr="00D85A4F" w:rsidRDefault="00025FEB" w:rsidP="00025FEB">
      <w:pPr>
        <w:pStyle w:val="Bullet"/>
        <w:spacing w:before="80" w:line="264" w:lineRule="auto"/>
      </w:pPr>
      <w:r w:rsidRPr="00D85A4F">
        <w:t>a checklist for voluntary admission and treatment while on ministerial long leave</w:t>
      </w:r>
    </w:p>
    <w:p w14:paraId="3F39C9EC" w14:textId="77777777" w:rsidR="00025FEB" w:rsidRPr="00D85A4F" w:rsidRDefault="00025FEB" w:rsidP="00025FEB">
      <w:pPr>
        <w:pStyle w:val="Bullet"/>
        <w:spacing w:before="80" w:line="264" w:lineRule="auto"/>
      </w:pPr>
      <w:r w:rsidRPr="00D85A4F">
        <w:t>a checklist for short leave</w:t>
      </w:r>
    </w:p>
    <w:p w14:paraId="27044A96" w14:textId="77777777" w:rsidR="00025FEB" w:rsidRPr="00D85A4F" w:rsidRDefault="00025FEB" w:rsidP="00025FEB">
      <w:pPr>
        <w:pStyle w:val="Bullet"/>
        <w:spacing w:before="80" w:line="264" w:lineRule="auto"/>
      </w:pPr>
      <w:r w:rsidRPr="00D85A4F">
        <w:t>a checklist for ministerial long leave</w:t>
      </w:r>
    </w:p>
    <w:p w14:paraId="6AAE2CE3" w14:textId="77777777" w:rsidR="00025FEB" w:rsidRPr="00D85A4F" w:rsidRDefault="00025FEB" w:rsidP="00025FEB">
      <w:pPr>
        <w:pStyle w:val="Bullet"/>
        <w:spacing w:before="80" w:line="264" w:lineRule="auto"/>
      </w:pPr>
      <w:r w:rsidRPr="00D85A4F">
        <w:t>a flowchart for the special patient escaped or absent without leave process</w:t>
      </w:r>
    </w:p>
    <w:p w14:paraId="36FCFCD9" w14:textId="77777777" w:rsidR="00025FEB" w:rsidRPr="00D85A4F" w:rsidRDefault="00025FEB" w:rsidP="00025FEB">
      <w:pPr>
        <w:pStyle w:val="Bullet"/>
        <w:spacing w:before="80" w:line="264" w:lineRule="auto"/>
      </w:pPr>
      <w:bookmarkStart w:id="297" w:name="_Hlk110843700"/>
      <w:r w:rsidRPr="00D85A4F">
        <w:t xml:space="preserve">a checklist for change of status: patients acquitted on </w:t>
      </w:r>
      <w:r>
        <w:t>account</w:t>
      </w:r>
      <w:r w:rsidRPr="00D85A4F">
        <w:t xml:space="preserve"> of insanity</w:t>
      </w:r>
    </w:p>
    <w:p w14:paraId="227CD864" w14:textId="77777777" w:rsidR="00025FEB" w:rsidRPr="00D85A4F" w:rsidRDefault="00025FEB" w:rsidP="00025FEB">
      <w:pPr>
        <w:pStyle w:val="Bullet"/>
        <w:spacing w:before="80" w:line="264" w:lineRule="auto"/>
      </w:pPr>
      <w:r w:rsidRPr="00D85A4F">
        <w:t>a checklist for change of status: patients found unfit to stand trial</w:t>
      </w:r>
    </w:p>
    <w:p w14:paraId="2A8639B7" w14:textId="77777777" w:rsidR="00025FEB" w:rsidRPr="00D85A4F" w:rsidRDefault="00025FEB" w:rsidP="00025FEB">
      <w:pPr>
        <w:pStyle w:val="Bullet"/>
        <w:spacing w:before="80" w:line="264" w:lineRule="auto"/>
      </w:pPr>
      <w:r w:rsidRPr="00D85A4F">
        <w:t>a checklist for change of status: restricted patients</w:t>
      </w:r>
    </w:p>
    <w:p w14:paraId="7A60DC98" w14:textId="77777777" w:rsidR="00025FEB" w:rsidRDefault="00025FEB" w:rsidP="00025FEB">
      <w:pPr>
        <w:pStyle w:val="Bullet"/>
        <w:spacing w:before="80" w:line="264" w:lineRule="auto"/>
      </w:pPr>
      <w:r w:rsidRPr="00D85A4F">
        <w:t xml:space="preserve">a reportable event </w:t>
      </w:r>
      <w:proofErr w:type="gramStart"/>
      <w:r w:rsidRPr="00D85A4F">
        <w:t>form</w:t>
      </w:r>
      <w:bookmarkEnd w:id="297"/>
      <w:proofErr w:type="gramEnd"/>
    </w:p>
    <w:p w14:paraId="70FBBF7B" w14:textId="77777777" w:rsidR="00025FEB" w:rsidRPr="0049504B" w:rsidRDefault="00025FEB" w:rsidP="00025FEB">
      <w:pPr>
        <w:pStyle w:val="Bullet"/>
        <w:spacing w:before="80" w:line="264" w:lineRule="auto"/>
      </w:pPr>
      <w:r>
        <w:t>e</w:t>
      </w:r>
      <w:r w:rsidRPr="0049504B">
        <w:t>mergency Border alert form.</w:t>
      </w:r>
    </w:p>
    <w:p w14:paraId="04EDD317" w14:textId="77777777" w:rsidR="00025FEB" w:rsidRDefault="00025FEB" w:rsidP="00025FEB"/>
    <w:p w14:paraId="32C7C125" w14:textId="77777777" w:rsidR="00025FEB" w:rsidRDefault="00025FEB" w:rsidP="00025FEB">
      <w:pPr>
        <w:sectPr w:rsidR="00025FEB" w:rsidSect="003353F3">
          <w:pgSz w:w="11907" w:h="16834" w:code="9"/>
          <w:pgMar w:top="1418" w:right="1558" w:bottom="1134" w:left="1843" w:header="284" w:footer="425" w:gutter="284"/>
          <w:cols w:space="720"/>
        </w:sectPr>
      </w:pPr>
      <w:r w:rsidRPr="00F31DF4">
        <w:t>Throughout this appendix, black text indicates sample text, and blue text indicates a guideline. Final versions should not include this text.</w:t>
      </w:r>
    </w:p>
    <w:tbl>
      <w:tblPr>
        <w:tblStyle w:val="TableGrid"/>
        <w:tblW w:w="10774"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222"/>
        <w:gridCol w:w="2552"/>
      </w:tblGrid>
      <w:tr w:rsidR="00025FEB" w:rsidRPr="00D85A4F" w14:paraId="3928C421" w14:textId="77777777" w:rsidTr="00AD0359">
        <w:trPr>
          <w:cantSplit/>
          <w:trHeight w:val="253"/>
        </w:trPr>
        <w:tc>
          <w:tcPr>
            <w:tcW w:w="8222" w:type="dxa"/>
            <w:vAlign w:val="center"/>
          </w:tcPr>
          <w:p w14:paraId="34496D3A" w14:textId="77777777" w:rsidR="00025FEB" w:rsidRPr="00D85A4F" w:rsidRDefault="00025FEB" w:rsidP="00AD0359">
            <w:pPr>
              <w:ind w:left="-57"/>
              <w:rPr>
                <w:rFonts w:ascii="Arial" w:hAnsi="Arial" w:cs="Arial"/>
                <w:i/>
                <w:noProof/>
                <w:sz w:val="36"/>
                <w:szCs w:val="36"/>
                <w:lang w:eastAsia="en-NZ"/>
              </w:rPr>
            </w:pPr>
            <w:bookmarkStart w:id="298" w:name="_Hlk112860082"/>
            <w:r w:rsidRPr="00D85A4F">
              <w:rPr>
                <w:rFonts w:ascii="Arial" w:hAnsi="Arial" w:cs="Arial"/>
                <w:b/>
                <w:sz w:val="36"/>
                <w:szCs w:val="36"/>
              </w:rPr>
              <w:lastRenderedPageBreak/>
              <w:t>Sample summary sheet for</w:t>
            </w:r>
            <w:r w:rsidRPr="00D85A4F">
              <w:rPr>
                <w:rFonts w:ascii="Arial" w:hAnsi="Arial" w:cs="Arial"/>
                <w:b/>
                <w:sz w:val="36"/>
                <w:szCs w:val="36"/>
              </w:rPr>
              <w:br/>
            </w:r>
            <w:r>
              <w:rPr>
                <w:rFonts w:ascii="Arial" w:hAnsi="Arial" w:cs="Arial"/>
                <w:b/>
                <w:sz w:val="36"/>
                <w:szCs w:val="36"/>
              </w:rPr>
              <w:t>s</w:t>
            </w:r>
            <w:r w:rsidRPr="00D85A4F">
              <w:rPr>
                <w:rFonts w:ascii="Arial" w:hAnsi="Arial" w:cs="Arial"/>
                <w:b/>
                <w:sz w:val="36"/>
                <w:szCs w:val="36"/>
              </w:rPr>
              <w:t xml:space="preserve">pecial </w:t>
            </w:r>
            <w:r>
              <w:rPr>
                <w:rFonts w:ascii="Arial" w:hAnsi="Arial" w:cs="Arial"/>
                <w:b/>
                <w:sz w:val="36"/>
                <w:szCs w:val="36"/>
              </w:rPr>
              <w:t>p</w:t>
            </w:r>
            <w:r w:rsidRPr="00D85A4F">
              <w:rPr>
                <w:rFonts w:ascii="Arial" w:hAnsi="Arial" w:cs="Arial"/>
                <w:b/>
                <w:sz w:val="36"/>
                <w:szCs w:val="36"/>
              </w:rPr>
              <w:t xml:space="preserve">atient </w:t>
            </w:r>
            <w:r>
              <w:rPr>
                <w:rFonts w:ascii="Arial" w:hAnsi="Arial" w:cs="Arial"/>
                <w:b/>
                <w:sz w:val="36"/>
                <w:szCs w:val="36"/>
              </w:rPr>
              <w:t>r</w:t>
            </w:r>
            <w:r w:rsidRPr="00D85A4F">
              <w:rPr>
                <w:rFonts w:ascii="Arial" w:hAnsi="Arial" w:cs="Arial"/>
                <w:b/>
                <w:sz w:val="36"/>
                <w:szCs w:val="36"/>
              </w:rPr>
              <w:t xml:space="preserve">eview </w:t>
            </w:r>
            <w:r>
              <w:rPr>
                <w:rFonts w:ascii="Arial" w:hAnsi="Arial" w:cs="Arial"/>
                <w:b/>
                <w:sz w:val="36"/>
                <w:szCs w:val="36"/>
              </w:rPr>
              <w:t>p</w:t>
            </w:r>
            <w:r w:rsidRPr="00D85A4F">
              <w:rPr>
                <w:rFonts w:ascii="Arial" w:hAnsi="Arial" w:cs="Arial"/>
                <w:b/>
                <w:sz w:val="36"/>
                <w:szCs w:val="36"/>
              </w:rPr>
              <w:t>anel reports</w:t>
            </w:r>
          </w:p>
        </w:tc>
        <w:tc>
          <w:tcPr>
            <w:tcW w:w="2552" w:type="dxa"/>
          </w:tcPr>
          <w:p w14:paraId="7FF01A2A" w14:textId="77777777" w:rsidR="00025FEB" w:rsidRPr="00D85A4F" w:rsidRDefault="00025FEB" w:rsidP="00AD0359">
            <w:pPr>
              <w:ind w:right="-57"/>
              <w:jc w:val="right"/>
              <w:rPr>
                <w:rFonts w:ascii="Arial" w:hAnsi="Arial" w:cs="Arial"/>
                <w:noProof/>
                <w:lang w:eastAsia="en-NZ"/>
              </w:rPr>
            </w:pPr>
            <w:r>
              <w:rPr>
                <w:noProof/>
              </w:rPr>
              <w:drawing>
                <wp:anchor distT="0" distB="0" distL="114300" distR="114300" simplePos="0" relativeHeight="251665408" behindDoc="0" locked="0" layoutInCell="1" allowOverlap="1" wp14:anchorId="7008C496" wp14:editId="0B296EF5">
                  <wp:simplePos x="0" y="0"/>
                  <wp:positionH relativeFrom="column">
                    <wp:posOffset>635</wp:posOffset>
                  </wp:positionH>
                  <wp:positionV relativeFrom="paragraph">
                    <wp:posOffset>2540</wp:posOffset>
                  </wp:positionV>
                  <wp:extent cx="1519555" cy="718185"/>
                  <wp:effectExtent l="0" t="0" r="4445" b="5715"/>
                  <wp:wrapNone/>
                  <wp:docPr id="13" name="Picture 1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inistry of Health 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BF8FE07" w14:textId="77777777" w:rsidR="00025FEB" w:rsidRPr="00D85A4F" w:rsidRDefault="00025FEB" w:rsidP="00025FEB">
      <w:pPr>
        <w:spacing w:before="240"/>
        <w:rPr>
          <w:rFonts w:ascii="Arial" w:hAnsi="Arial" w:cs="Arial"/>
          <w:sz w:val="18"/>
          <w:szCs w:val="18"/>
        </w:rPr>
      </w:pPr>
      <w:r w:rsidRPr="00D85A4F">
        <w:rPr>
          <w:rFonts w:ascii="Arial" w:hAnsi="Arial" w:cs="Arial"/>
          <w:sz w:val="18"/>
          <w:szCs w:val="18"/>
        </w:rPr>
        <w:t>Notes:</w:t>
      </w:r>
    </w:p>
    <w:p w14:paraId="4A363CCA" w14:textId="77777777" w:rsidR="00025FEB" w:rsidRPr="00D85A4F" w:rsidRDefault="00025FEB" w:rsidP="00025FEB">
      <w:pPr>
        <w:pStyle w:val="Bullet"/>
        <w:spacing w:before="60" w:line="264" w:lineRule="auto"/>
        <w:rPr>
          <w:rFonts w:ascii="Arial" w:hAnsi="Arial" w:cs="Arial"/>
          <w:sz w:val="18"/>
          <w:szCs w:val="18"/>
        </w:rPr>
      </w:pPr>
      <w:r w:rsidRPr="00D85A4F">
        <w:rPr>
          <w:rFonts w:ascii="Arial" w:hAnsi="Arial" w:cs="Arial"/>
          <w:sz w:val="18"/>
          <w:szCs w:val="18"/>
        </w:rPr>
        <w:t>The summary should stand alone from the accompanying documentation and serve as a quick reference to be compared to future SPRP reports.</w:t>
      </w:r>
    </w:p>
    <w:p w14:paraId="1DC7011A" w14:textId="77777777" w:rsidR="00025FEB" w:rsidRPr="00D85A4F" w:rsidRDefault="00025FEB" w:rsidP="00025FEB">
      <w:pPr>
        <w:pStyle w:val="Bullet"/>
        <w:spacing w:before="60" w:after="120" w:line="264" w:lineRule="auto"/>
        <w:rPr>
          <w:rFonts w:ascii="Arial" w:hAnsi="Arial" w:cs="Arial"/>
          <w:sz w:val="18"/>
          <w:szCs w:val="18"/>
        </w:rPr>
      </w:pPr>
      <w:r w:rsidRPr="00D85A4F">
        <w:rPr>
          <w:rFonts w:ascii="Arial" w:hAnsi="Arial" w:cs="Arial"/>
          <w:sz w:val="18"/>
          <w:szCs w:val="18"/>
        </w:rPr>
        <w:t>Please do not include copies of material provided with previous reports.</w:t>
      </w:r>
    </w:p>
    <w:tbl>
      <w:tblPr>
        <w:tblStyle w:val="TableGrid"/>
        <w:tblW w:w="10779" w:type="dxa"/>
        <w:tblInd w:w="57" w:type="dxa"/>
        <w:tblLayout w:type="fixed"/>
        <w:tblCellMar>
          <w:left w:w="57" w:type="dxa"/>
          <w:right w:w="57" w:type="dxa"/>
        </w:tblCellMar>
        <w:tblLook w:val="04A0" w:firstRow="1" w:lastRow="0" w:firstColumn="1" w:lastColumn="0" w:noHBand="0" w:noVBand="1"/>
      </w:tblPr>
      <w:tblGrid>
        <w:gridCol w:w="4536"/>
        <w:gridCol w:w="1680"/>
        <w:gridCol w:w="287"/>
        <w:gridCol w:w="1417"/>
        <w:gridCol w:w="355"/>
        <w:gridCol w:w="355"/>
        <w:gridCol w:w="355"/>
        <w:gridCol w:w="355"/>
        <w:gridCol w:w="355"/>
        <w:gridCol w:w="355"/>
        <w:gridCol w:w="359"/>
        <w:gridCol w:w="359"/>
        <w:gridCol w:w="11"/>
      </w:tblGrid>
      <w:tr w:rsidR="00025FEB" w:rsidRPr="00D85A4F" w14:paraId="6376CEEC" w14:textId="77777777" w:rsidTr="00AD0359">
        <w:trPr>
          <w:cantSplit/>
        </w:trPr>
        <w:tc>
          <w:tcPr>
            <w:tcW w:w="6216" w:type="dxa"/>
            <w:gridSpan w:val="2"/>
            <w:tcBorders>
              <w:top w:val="nil"/>
              <w:left w:val="nil"/>
              <w:bottom w:val="single" w:sz="4" w:space="0" w:color="auto"/>
              <w:right w:val="nil"/>
            </w:tcBorders>
            <w:vAlign w:val="center"/>
          </w:tcPr>
          <w:p w14:paraId="7682159D" w14:textId="77777777" w:rsidR="00025FEB" w:rsidRPr="00D85A4F" w:rsidRDefault="00025FEB" w:rsidP="00AD0359">
            <w:pPr>
              <w:pStyle w:val="TableText"/>
              <w:spacing w:before="120" w:after="30"/>
              <w:ind w:left="-57"/>
              <w:rPr>
                <w:rFonts w:cs="Arial"/>
              </w:rPr>
            </w:pPr>
            <w:r w:rsidRPr="00D85A4F">
              <w:rPr>
                <w:rFonts w:cs="Arial"/>
              </w:rPr>
              <w:t>Patient’s first name(s)</w:t>
            </w:r>
          </w:p>
        </w:tc>
        <w:tc>
          <w:tcPr>
            <w:tcW w:w="287" w:type="dxa"/>
            <w:tcBorders>
              <w:top w:val="nil"/>
              <w:left w:val="nil"/>
              <w:bottom w:val="nil"/>
              <w:right w:val="nil"/>
            </w:tcBorders>
            <w:vAlign w:val="center"/>
          </w:tcPr>
          <w:p w14:paraId="778419B3" w14:textId="77777777" w:rsidR="00025FEB" w:rsidRPr="00D85A4F" w:rsidRDefault="00025FEB" w:rsidP="00AD0359">
            <w:pPr>
              <w:pStyle w:val="TableText"/>
              <w:spacing w:before="120" w:after="30"/>
              <w:jc w:val="center"/>
              <w:rPr>
                <w:rFonts w:cs="Arial"/>
              </w:rPr>
            </w:pPr>
          </w:p>
        </w:tc>
        <w:tc>
          <w:tcPr>
            <w:tcW w:w="4276" w:type="dxa"/>
            <w:gridSpan w:val="10"/>
            <w:tcBorders>
              <w:top w:val="nil"/>
              <w:left w:val="nil"/>
              <w:bottom w:val="single" w:sz="4" w:space="0" w:color="auto"/>
              <w:right w:val="nil"/>
            </w:tcBorders>
            <w:vAlign w:val="center"/>
          </w:tcPr>
          <w:p w14:paraId="21DAD700" w14:textId="77777777" w:rsidR="00025FEB" w:rsidRPr="00D85A4F" w:rsidRDefault="00025FEB" w:rsidP="00AD0359">
            <w:pPr>
              <w:pStyle w:val="TableText"/>
              <w:spacing w:before="120" w:after="30"/>
              <w:ind w:left="-57"/>
              <w:rPr>
                <w:rFonts w:cs="Arial"/>
              </w:rPr>
            </w:pPr>
            <w:r w:rsidRPr="00D85A4F">
              <w:rPr>
                <w:rFonts w:cs="Arial"/>
              </w:rPr>
              <w:t>Patient’s last name</w:t>
            </w:r>
          </w:p>
        </w:tc>
      </w:tr>
      <w:tr w:rsidR="00025FEB" w:rsidRPr="00D85A4F" w14:paraId="456B0283" w14:textId="77777777" w:rsidTr="00AD0359">
        <w:trPr>
          <w:cantSplit/>
        </w:trPr>
        <w:tc>
          <w:tcPr>
            <w:tcW w:w="6216" w:type="dxa"/>
            <w:gridSpan w:val="2"/>
            <w:tcBorders>
              <w:top w:val="single" w:sz="4" w:space="0" w:color="auto"/>
              <w:left w:val="single" w:sz="4" w:space="0" w:color="auto"/>
              <w:bottom w:val="single" w:sz="4" w:space="0" w:color="auto"/>
              <w:right w:val="single" w:sz="4" w:space="0" w:color="auto"/>
            </w:tcBorders>
            <w:vAlign w:val="center"/>
          </w:tcPr>
          <w:p w14:paraId="5FED2F37"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c>
          <w:tcPr>
            <w:tcW w:w="287" w:type="dxa"/>
            <w:tcBorders>
              <w:top w:val="nil"/>
              <w:left w:val="single" w:sz="4" w:space="0" w:color="auto"/>
              <w:bottom w:val="nil"/>
              <w:right w:val="single" w:sz="4" w:space="0" w:color="auto"/>
            </w:tcBorders>
            <w:vAlign w:val="center"/>
          </w:tcPr>
          <w:p w14:paraId="29393802" w14:textId="77777777" w:rsidR="00025FEB" w:rsidRPr="00D85A4F" w:rsidRDefault="00025FEB" w:rsidP="00AD0359">
            <w:pPr>
              <w:pStyle w:val="TableText"/>
              <w:jc w:val="center"/>
              <w:rPr>
                <w:rFonts w:cs="Arial"/>
              </w:rPr>
            </w:pPr>
          </w:p>
        </w:tc>
        <w:tc>
          <w:tcPr>
            <w:tcW w:w="4276" w:type="dxa"/>
            <w:gridSpan w:val="10"/>
            <w:tcBorders>
              <w:top w:val="single" w:sz="4" w:space="0" w:color="auto"/>
              <w:left w:val="single" w:sz="4" w:space="0" w:color="auto"/>
              <w:bottom w:val="single" w:sz="4" w:space="0" w:color="auto"/>
              <w:right w:val="single" w:sz="4" w:space="0" w:color="auto"/>
            </w:tcBorders>
            <w:vAlign w:val="center"/>
          </w:tcPr>
          <w:p w14:paraId="13267534"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r>
      <w:tr w:rsidR="00025FEB" w:rsidRPr="00D85A4F" w14:paraId="5A90F1F0" w14:textId="77777777" w:rsidTr="00AD0359">
        <w:trPr>
          <w:gridAfter w:val="1"/>
          <w:wAfter w:w="11" w:type="dxa"/>
          <w:cantSplit/>
          <w:trHeight w:val="267"/>
        </w:trPr>
        <w:tc>
          <w:tcPr>
            <w:tcW w:w="6216" w:type="dxa"/>
            <w:gridSpan w:val="2"/>
            <w:tcBorders>
              <w:top w:val="nil"/>
              <w:left w:val="nil"/>
              <w:bottom w:val="single" w:sz="4" w:space="0" w:color="auto"/>
              <w:right w:val="nil"/>
            </w:tcBorders>
            <w:shd w:val="clear" w:color="auto" w:fill="auto"/>
            <w:vAlign w:val="center"/>
          </w:tcPr>
          <w:p w14:paraId="354C4564" w14:textId="77777777" w:rsidR="00025FEB" w:rsidRPr="00D85A4F" w:rsidRDefault="00025FEB" w:rsidP="00AD0359">
            <w:pPr>
              <w:pStyle w:val="TableText"/>
              <w:ind w:left="-57"/>
              <w:rPr>
                <w:rFonts w:cs="Arial"/>
              </w:rPr>
            </w:pPr>
            <w:r w:rsidRPr="00D85A4F">
              <w:rPr>
                <w:rFonts w:cs="Arial"/>
              </w:rPr>
              <w:t>Location/unit</w:t>
            </w:r>
          </w:p>
        </w:tc>
        <w:tc>
          <w:tcPr>
            <w:tcW w:w="1704" w:type="dxa"/>
            <w:gridSpan w:val="2"/>
            <w:tcBorders>
              <w:top w:val="nil"/>
              <w:left w:val="nil"/>
              <w:bottom w:val="nil"/>
              <w:right w:val="nil"/>
            </w:tcBorders>
            <w:shd w:val="clear" w:color="auto" w:fill="auto"/>
            <w:vAlign w:val="center"/>
          </w:tcPr>
          <w:p w14:paraId="4A0ED316" w14:textId="77777777" w:rsidR="00025FEB" w:rsidRPr="00D85A4F" w:rsidRDefault="00025FEB" w:rsidP="00AD0359">
            <w:pPr>
              <w:pStyle w:val="TableText"/>
              <w:jc w:val="right"/>
              <w:rPr>
                <w:rFonts w:cs="Arial"/>
              </w:rPr>
            </w:pPr>
          </w:p>
        </w:tc>
        <w:tc>
          <w:tcPr>
            <w:tcW w:w="2848" w:type="dxa"/>
            <w:gridSpan w:val="8"/>
            <w:tcBorders>
              <w:top w:val="nil"/>
              <w:left w:val="nil"/>
              <w:bottom w:val="single" w:sz="4" w:space="0" w:color="auto"/>
              <w:right w:val="nil"/>
            </w:tcBorders>
            <w:shd w:val="clear" w:color="auto" w:fill="auto"/>
            <w:vAlign w:val="center"/>
          </w:tcPr>
          <w:p w14:paraId="35C4D0F4" w14:textId="77777777" w:rsidR="00025FEB" w:rsidRPr="00D85A4F" w:rsidRDefault="00025FEB" w:rsidP="00AD0359">
            <w:pPr>
              <w:pStyle w:val="TableText"/>
              <w:ind w:left="-57"/>
              <w:rPr>
                <w:rFonts w:cs="Arial"/>
              </w:rPr>
            </w:pPr>
          </w:p>
        </w:tc>
      </w:tr>
      <w:tr w:rsidR="00025FEB" w:rsidRPr="00D85A4F" w14:paraId="1A39C1F6" w14:textId="77777777" w:rsidTr="00AD0359">
        <w:trPr>
          <w:gridAfter w:val="1"/>
          <w:wAfter w:w="11" w:type="dxa"/>
          <w:cantSplit/>
          <w:trHeight w:val="267"/>
        </w:trPr>
        <w:tc>
          <w:tcPr>
            <w:tcW w:w="6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E611A"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c>
          <w:tcPr>
            <w:tcW w:w="1704" w:type="dxa"/>
            <w:gridSpan w:val="2"/>
            <w:tcBorders>
              <w:top w:val="nil"/>
              <w:left w:val="single" w:sz="4" w:space="0" w:color="auto"/>
              <w:bottom w:val="nil"/>
              <w:right w:val="single" w:sz="4" w:space="0" w:color="auto"/>
            </w:tcBorders>
            <w:shd w:val="clear" w:color="auto" w:fill="auto"/>
            <w:vAlign w:val="center"/>
          </w:tcPr>
          <w:p w14:paraId="27FFDEEA" w14:textId="77777777" w:rsidR="00025FEB" w:rsidRPr="00D85A4F" w:rsidRDefault="00025FEB" w:rsidP="00AD0359">
            <w:pPr>
              <w:pStyle w:val="TableText"/>
              <w:jc w:val="right"/>
              <w:rPr>
                <w:rFonts w:cs="Arial"/>
              </w:rPr>
            </w:pPr>
            <w:r w:rsidRPr="00D85A4F">
              <w:rPr>
                <w:rFonts w:cs="Arial"/>
              </w:rPr>
              <w:t>Date of birth</w:t>
            </w:r>
          </w:p>
        </w:tc>
        <w:tc>
          <w:tcPr>
            <w:tcW w:w="355" w:type="dxa"/>
            <w:tcBorders>
              <w:top w:val="single" w:sz="4" w:space="0" w:color="auto"/>
              <w:left w:val="single" w:sz="4" w:space="0" w:color="auto"/>
              <w:bottom w:val="single" w:sz="4" w:space="0" w:color="auto"/>
              <w:right w:val="single" w:sz="4" w:space="0" w:color="D9D9D9" w:themeColor="background1" w:themeShade="D9"/>
            </w:tcBorders>
            <w:shd w:val="clear" w:color="auto" w:fill="auto"/>
            <w:vAlign w:val="center"/>
          </w:tcPr>
          <w:p w14:paraId="1E1780E4"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06B8620E"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A96618A"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628DCA7"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08A5AD44"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56F4BED4"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06499C8B"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9" w:type="dxa"/>
            <w:tcBorders>
              <w:top w:val="single" w:sz="4" w:space="0" w:color="auto"/>
              <w:left w:val="single" w:sz="4" w:space="0" w:color="D9D9D9" w:themeColor="background1" w:themeShade="D9"/>
              <w:bottom w:val="single" w:sz="4" w:space="0" w:color="auto"/>
              <w:right w:val="single" w:sz="4" w:space="0" w:color="auto"/>
            </w:tcBorders>
            <w:shd w:val="clear" w:color="auto" w:fill="auto"/>
            <w:vAlign w:val="center"/>
          </w:tcPr>
          <w:p w14:paraId="51072596"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r>
      <w:tr w:rsidR="00025FEB" w:rsidRPr="00D85A4F" w14:paraId="6ABDC07C" w14:textId="77777777" w:rsidTr="00AD0359">
        <w:trPr>
          <w:gridAfter w:val="1"/>
          <w:wAfter w:w="11" w:type="dxa"/>
          <w:cantSplit/>
          <w:trHeight w:val="267"/>
        </w:trPr>
        <w:tc>
          <w:tcPr>
            <w:tcW w:w="6216" w:type="dxa"/>
            <w:gridSpan w:val="2"/>
            <w:tcBorders>
              <w:top w:val="nil"/>
              <w:left w:val="nil"/>
              <w:bottom w:val="single" w:sz="4" w:space="0" w:color="auto"/>
              <w:right w:val="nil"/>
            </w:tcBorders>
            <w:shd w:val="clear" w:color="auto" w:fill="auto"/>
            <w:vAlign w:val="center"/>
          </w:tcPr>
          <w:p w14:paraId="34D2C55F" w14:textId="77777777" w:rsidR="00025FEB" w:rsidRPr="00D85A4F" w:rsidRDefault="00025FEB" w:rsidP="00AD0359">
            <w:pPr>
              <w:pStyle w:val="TableText"/>
              <w:ind w:left="-57"/>
              <w:rPr>
                <w:rFonts w:cs="Arial"/>
              </w:rPr>
            </w:pPr>
            <w:r w:rsidRPr="00D85A4F">
              <w:rPr>
                <w:rFonts w:cs="Arial"/>
              </w:rPr>
              <w:t>Legal status</w:t>
            </w:r>
          </w:p>
        </w:tc>
        <w:tc>
          <w:tcPr>
            <w:tcW w:w="2059" w:type="dxa"/>
            <w:gridSpan w:val="3"/>
            <w:tcBorders>
              <w:top w:val="nil"/>
              <w:left w:val="nil"/>
              <w:bottom w:val="nil"/>
              <w:right w:val="nil"/>
            </w:tcBorders>
            <w:shd w:val="clear" w:color="auto" w:fill="auto"/>
            <w:vAlign w:val="center"/>
          </w:tcPr>
          <w:p w14:paraId="14EAA089" w14:textId="77777777" w:rsidR="00025FEB" w:rsidRPr="00D85A4F" w:rsidRDefault="00025FEB" w:rsidP="00AD0359">
            <w:pPr>
              <w:pStyle w:val="TableText"/>
              <w:jc w:val="right"/>
              <w:rPr>
                <w:rFonts w:cs="Arial"/>
              </w:rPr>
            </w:pPr>
          </w:p>
        </w:tc>
        <w:tc>
          <w:tcPr>
            <w:tcW w:w="2493" w:type="dxa"/>
            <w:gridSpan w:val="7"/>
            <w:tcBorders>
              <w:top w:val="nil"/>
              <w:left w:val="nil"/>
              <w:bottom w:val="single" w:sz="4" w:space="0" w:color="auto"/>
              <w:right w:val="nil"/>
            </w:tcBorders>
            <w:shd w:val="clear" w:color="auto" w:fill="auto"/>
            <w:vAlign w:val="center"/>
          </w:tcPr>
          <w:p w14:paraId="081D6524" w14:textId="77777777" w:rsidR="00025FEB" w:rsidRPr="00D85A4F" w:rsidRDefault="00025FEB" w:rsidP="00AD0359">
            <w:pPr>
              <w:pStyle w:val="TableText"/>
              <w:rPr>
                <w:rFonts w:cs="Arial"/>
              </w:rPr>
            </w:pPr>
          </w:p>
        </w:tc>
      </w:tr>
      <w:tr w:rsidR="00025FEB" w:rsidRPr="00D85A4F" w14:paraId="601E1860" w14:textId="77777777" w:rsidTr="00AD0359">
        <w:trPr>
          <w:gridAfter w:val="1"/>
          <w:wAfter w:w="11" w:type="dxa"/>
          <w:cantSplit/>
          <w:trHeight w:val="267"/>
        </w:trPr>
        <w:tc>
          <w:tcPr>
            <w:tcW w:w="6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8E4DE9"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c>
          <w:tcPr>
            <w:tcW w:w="2059" w:type="dxa"/>
            <w:gridSpan w:val="3"/>
            <w:tcBorders>
              <w:top w:val="nil"/>
              <w:left w:val="single" w:sz="4" w:space="0" w:color="auto"/>
              <w:bottom w:val="nil"/>
              <w:right w:val="single" w:sz="4" w:space="0" w:color="auto"/>
            </w:tcBorders>
            <w:shd w:val="clear" w:color="auto" w:fill="auto"/>
            <w:vAlign w:val="center"/>
          </w:tcPr>
          <w:p w14:paraId="4A4F9698" w14:textId="77777777" w:rsidR="00025FEB" w:rsidRPr="00D85A4F" w:rsidRDefault="00025FEB" w:rsidP="00AD0359">
            <w:pPr>
              <w:pStyle w:val="TableText"/>
              <w:jc w:val="right"/>
              <w:rPr>
                <w:rFonts w:cs="Arial"/>
              </w:rPr>
            </w:pPr>
            <w:r w:rsidRPr="00D85A4F">
              <w:rPr>
                <w:rFonts w:cs="Arial"/>
              </w:rPr>
              <w:t>NHI</w:t>
            </w:r>
          </w:p>
        </w:tc>
        <w:tc>
          <w:tcPr>
            <w:tcW w:w="355" w:type="dxa"/>
            <w:tcBorders>
              <w:top w:val="single" w:sz="4" w:space="0" w:color="auto"/>
              <w:left w:val="single" w:sz="4" w:space="0" w:color="auto"/>
              <w:bottom w:val="single" w:sz="4" w:space="0" w:color="auto"/>
              <w:right w:val="single" w:sz="4" w:space="0" w:color="D9D9D9" w:themeColor="background1" w:themeShade="D9"/>
            </w:tcBorders>
            <w:shd w:val="clear" w:color="auto" w:fill="auto"/>
            <w:vAlign w:val="center"/>
          </w:tcPr>
          <w:p w14:paraId="6A5132D6"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481831FB"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34235C9"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E16446C"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374BCC5C"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1EBB944"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9" w:type="dxa"/>
            <w:tcBorders>
              <w:top w:val="single" w:sz="4" w:space="0" w:color="auto"/>
              <w:left w:val="single" w:sz="4" w:space="0" w:color="D9D9D9" w:themeColor="background1" w:themeShade="D9"/>
              <w:bottom w:val="single" w:sz="4" w:space="0" w:color="auto"/>
              <w:right w:val="single" w:sz="4" w:space="0" w:color="auto"/>
            </w:tcBorders>
            <w:shd w:val="clear" w:color="auto" w:fill="auto"/>
            <w:vAlign w:val="center"/>
          </w:tcPr>
          <w:p w14:paraId="7B2F495B"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r>
      <w:tr w:rsidR="00025FEB" w:rsidRPr="00D85A4F" w14:paraId="3325D81D" w14:textId="77777777" w:rsidTr="00AD0359">
        <w:trPr>
          <w:gridAfter w:val="1"/>
          <w:wAfter w:w="11" w:type="dxa"/>
          <w:cantSplit/>
          <w:trHeight w:val="267"/>
        </w:trPr>
        <w:tc>
          <w:tcPr>
            <w:tcW w:w="6216" w:type="dxa"/>
            <w:gridSpan w:val="2"/>
            <w:tcBorders>
              <w:top w:val="nil"/>
              <w:left w:val="nil"/>
              <w:bottom w:val="single" w:sz="4" w:space="0" w:color="auto"/>
              <w:right w:val="nil"/>
            </w:tcBorders>
            <w:shd w:val="clear" w:color="auto" w:fill="auto"/>
            <w:vAlign w:val="center"/>
          </w:tcPr>
          <w:p w14:paraId="7D99FF80" w14:textId="77777777" w:rsidR="00025FEB" w:rsidRPr="00D85A4F" w:rsidRDefault="00025FEB" w:rsidP="00AD0359">
            <w:pPr>
              <w:pStyle w:val="TableText"/>
              <w:ind w:left="-57"/>
              <w:rPr>
                <w:rFonts w:cs="Arial"/>
              </w:rPr>
            </w:pPr>
            <w:r w:rsidRPr="00D85A4F">
              <w:rPr>
                <w:rFonts w:cs="Arial"/>
              </w:rPr>
              <w:t>Responsible clinician</w:t>
            </w:r>
          </w:p>
        </w:tc>
        <w:tc>
          <w:tcPr>
            <w:tcW w:w="1704" w:type="dxa"/>
            <w:gridSpan w:val="2"/>
            <w:tcBorders>
              <w:top w:val="nil"/>
              <w:left w:val="nil"/>
              <w:bottom w:val="nil"/>
              <w:right w:val="nil"/>
            </w:tcBorders>
            <w:shd w:val="clear" w:color="auto" w:fill="auto"/>
            <w:vAlign w:val="center"/>
          </w:tcPr>
          <w:p w14:paraId="17EBCF88" w14:textId="77777777" w:rsidR="00025FEB" w:rsidRPr="00D85A4F" w:rsidRDefault="00025FEB" w:rsidP="00AD0359">
            <w:pPr>
              <w:pStyle w:val="TableText"/>
              <w:jc w:val="right"/>
              <w:rPr>
                <w:rFonts w:cs="Arial"/>
              </w:rPr>
            </w:pPr>
          </w:p>
        </w:tc>
        <w:tc>
          <w:tcPr>
            <w:tcW w:w="2848" w:type="dxa"/>
            <w:gridSpan w:val="8"/>
            <w:tcBorders>
              <w:top w:val="nil"/>
              <w:left w:val="nil"/>
              <w:bottom w:val="single" w:sz="4" w:space="0" w:color="auto"/>
              <w:right w:val="nil"/>
            </w:tcBorders>
            <w:shd w:val="clear" w:color="auto" w:fill="auto"/>
            <w:vAlign w:val="center"/>
          </w:tcPr>
          <w:p w14:paraId="4C855BF6" w14:textId="77777777" w:rsidR="00025FEB" w:rsidRPr="00D85A4F" w:rsidRDefault="00025FEB" w:rsidP="00AD0359">
            <w:pPr>
              <w:pStyle w:val="TableText"/>
              <w:ind w:left="-57"/>
              <w:rPr>
                <w:rFonts w:cs="Arial"/>
              </w:rPr>
            </w:pPr>
          </w:p>
        </w:tc>
      </w:tr>
      <w:tr w:rsidR="00025FEB" w:rsidRPr="00D85A4F" w14:paraId="7A44130A" w14:textId="77777777" w:rsidTr="00AD0359">
        <w:trPr>
          <w:gridAfter w:val="1"/>
          <w:wAfter w:w="11" w:type="dxa"/>
          <w:cantSplit/>
          <w:trHeight w:val="267"/>
        </w:trPr>
        <w:tc>
          <w:tcPr>
            <w:tcW w:w="62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0B204"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c>
          <w:tcPr>
            <w:tcW w:w="1704" w:type="dxa"/>
            <w:gridSpan w:val="2"/>
            <w:tcBorders>
              <w:top w:val="nil"/>
              <w:left w:val="single" w:sz="4" w:space="0" w:color="auto"/>
              <w:bottom w:val="nil"/>
              <w:right w:val="single" w:sz="4" w:space="0" w:color="auto"/>
            </w:tcBorders>
            <w:shd w:val="clear" w:color="auto" w:fill="auto"/>
            <w:vAlign w:val="center"/>
          </w:tcPr>
          <w:p w14:paraId="401A295B" w14:textId="77777777" w:rsidR="00025FEB" w:rsidRPr="00D85A4F" w:rsidRDefault="00025FEB" w:rsidP="00AD0359">
            <w:pPr>
              <w:pStyle w:val="TableText"/>
              <w:jc w:val="right"/>
              <w:rPr>
                <w:rFonts w:cs="Arial"/>
              </w:rPr>
            </w:pPr>
            <w:r w:rsidRPr="00D85A4F">
              <w:rPr>
                <w:rFonts w:cs="Arial"/>
              </w:rPr>
              <w:t>Date of SPRP</w:t>
            </w:r>
          </w:p>
        </w:tc>
        <w:tc>
          <w:tcPr>
            <w:tcW w:w="355" w:type="dxa"/>
            <w:tcBorders>
              <w:top w:val="single" w:sz="4" w:space="0" w:color="auto"/>
              <w:left w:val="single" w:sz="4" w:space="0" w:color="auto"/>
              <w:bottom w:val="single" w:sz="4" w:space="0" w:color="auto"/>
              <w:right w:val="single" w:sz="4" w:space="0" w:color="D9D9D9" w:themeColor="background1" w:themeShade="D9"/>
            </w:tcBorders>
            <w:shd w:val="clear" w:color="auto" w:fill="auto"/>
            <w:vAlign w:val="center"/>
          </w:tcPr>
          <w:p w14:paraId="46B16319"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1E338429"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3961D6B6"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976D855"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5F563B60"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0A30AD84"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9"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087D5A0D"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9" w:type="dxa"/>
            <w:tcBorders>
              <w:top w:val="single" w:sz="4" w:space="0" w:color="auto"/>
              <w:left w:val="single" w:sz="4" w:space="0" w:color="D9D9D9" w:themeColor="background1" w:themeShade="D9"/>
              <w:bottom w:val="single" w:sz="4" w:space="0" w:color="auto"/>
              <w:right w:val="single" w:sz="4" w:space="0" w:color="auto"/>
            </w:tcBorders>
            <w:shd w:val="clear" w:color="auto" w:fill="auto"/>
            <w:vAlign w:val="center"/>
          </w:tcPr>
          <w:p w14:paraId="4BF467EF"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r>
      <w:tr w:rsidR="00025FEB" w:rsidRPr="00D85A4F" w14:paraId="572A5C76" w14:textId="77777777" w:rsidTr="00AD0359">
        <w:trPr>
          <w:cantSplit/>
        </w:trPr>
        <w:tc>
          <w:tcPr>
            <w:tcW w:w="6216" w:type="dxa"/>
            <w:gridSpan w:val="2"/>
            <w:tcBorders>
              <w:top w:val="nil"/>
              <w:left w:val="nil"/>
              <w:bottom w:val="single" w:sz="4" w:space="0" w:color="auto"/>
              <w:right w:val="nil"/>
            </w:tcBorders>
            <w:vAlign w:val="center"/>
          </w:tcPr>
          <w:p w14:paraId="209B50F5" w14:textId="77777777" w:rsidR="00025FEB" w:rsidRPr="00D85A4F" w:rsidRDefault="00025FEB" w:rsidP="00AD0359">
            <w:pPr>
              <w:pStyle w:val="TableText"/>
              <w:spacing w:before="90" w:after="30"/>
              <w:ind w:left="-57"/>
              <w:rPr>
                <w:rFonts w:cs="Arial"/>
              </w:rPr>
            </w:pPr>
            <w:r w:rsidRPr="00D85A4F">
              <w:rPr>
                <w:rFonts w:cs="Arial"/>
              </w:rPr>
              <w:t>Case manager</w:t>
            </w:r>
          </w:p>
        </w:tc>
        <w:tc>
          <w:tcPr>
            <w:tcW w:w="287" w:type="dxa"/>
            <w:tcBorders>
              <w:top w:val="nil"/>
              <w:left w:val="nil"/>
              <w:bottom w:val="nil"/>
              <w:right w:val="nil"/>
            </w:tcBorders>
            <w:vAlign w:val="center"/>
          </w:tcPr>
          <w:p w14:paraId="017D9742" w14:textId="77777777" w:rsidR="00025FEB" w:rsidRPr="00D85A4F" w:rsidRDefault="00025FEB" w:rsidP="00AD0359">
            <w:pPr>
              <w:pStyle w:val="TableText"/>
              <w:spacing w:before="90" w:after="30"/>
              <w:ind w:left="-57"/>
              <w:rPr>
                <w:rFonts w:cs="Arial"/>
              </w:rPr>
            </w:pPr>
          </w:p>
        </w:tc>
        <w:tc>
          <w:tcPr>
            <w:tcW w:w="4276" w:type="dxa"/>
            <w:gridSpan w:val="10"/>
            <w:tcBorders>
              <w:top w:val="nil"/>
              <w:left w:val="nil"/>
              <w:bottom w:val="nil"/>
              <w:right w:val="nil"/>
            </w:tcBorders>
            <w:vAlign w:val="center"/>
          </w:tcPr>
          <w:p w14:paraId="4A2060B2" w14:textId="77777777" w:rsidR="00025FEB" w:rsidRPr="00D85A4F" w:rsidRDefault="00025FEB" w:rsidP="00AD0359">
            <w:pPr>
              <w:pStyle w:val="TableText"/>
              <w:spacing w:before="90" w:after="30"/>
              <w:ind w:left="-57"/>
              <w:rPr>
                <w:rFonts w:cs="Arial"/>
              </w:rPr>
            </w:pPr>
          </w:p>
        </w:tc>
      </w:tr>
      <w:tr w:rsidR="00025FEB" w:rsidRPr="00D85A4F" w14:paraId="023B1899" w14:textId="77777777" w:rsidTr="00AD0359">
        <w:trPr>
          <w:cantSplit/>
        </w:trPr>
        <w:tc>
          <w:tcPr>
            <w:tcW w:w="6216" w:type="dxa"/>
            <w:gridSpan w:val="2"/>
            <w:tcBorders>
              <w:top w:val="single" w:sz="4" w:space="0" w:color="auto"/>
              <w:left w:val="single" w:sz="4" w:space="0" w:color="auto"/>
              <w:bottom w:val="single" w:sz="4" w:space="0" w:color="auto"/>
              <w:right w:val="single" w:sz="4" w:space="0" w:color="auto"/>
            </w:tcBorders>
            <w:vAlign w:val="center"/>
          </w:tcPr>
          <w:p w14:paraId="0F2A1155"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c>
          <w:tcPr>
            <w:tcW w:w="287" w:type="dxa"/>
            <w:tcBorders>
              <w:top w:val="nil"/>
              <w:left w:val="single" w:sz="4" w:space="0" w:color="auto"/>
              <w:bottom w:val="nil"/>
              <w:right w:val="nil"/>
            </w:tcBorders>
            <w:vAlign w:val="center"/>
          </w:tcPr>
          <w:p w14:paraId="5BE7A406" w14:textId="77777777" w:rsidR="00025FEB" w:rsidRPr="00D85A4F" w:rsidRDefault="00025FEB" w:rsidP="00AD0359">
            <w:pPr>
              <w:pStyle w:val="TableText"/>
              <w:rPr>
                <w:rFonts w:cs="Arial"/>
              </w:rPr>
            </w:pPr>
          </w:p>
        </w:tc>
        <w:tc>
          <w:tcPr>
            <w:tcW w:w="4276" w:type="dxa"/>
            <w:gridSpan w:val="10"/>
            <w:tcBorders>
              <w:top w:val="nil"/>
              <w:left w:val="nil"/>
              <w:bottom w:val="nil"/>
              <w:right w:val="nil"/>
            </w:tcBorders>
            <w:vAlign w:val="center"/>
          </w:tcPr>
          <w:p w14:paraId="608C5238" w14:textId="77777777" w:rsidR="00025FEB" w:rsidRPr="00D85A4F" w:rsidRDefault="00025FEB" w:rsidP="00AD0359">
            <w:pPr>
              <w:pStyle w:val="TableText"/>
              <w:ind w:left="-57"/>
              <w:rPr>
                <w:rFonts w:cs="Arial"/>
              </w:rPr>
            </w:pPr>
          </w:p>
        </w:tc>
      </w:tr>
      <w:tr w:rsidR="00025FEB" w:rsidRPr="00D85A4F" w14:paraId="078642D6" w14:textId="77777777" w:rsidTr="00AD0359">
        <w:trPr>
          <w:cantSplit/>
        </w:trPr>
        <w:tc>
          <w:tcPr>
            <w:tcW w:w="10779" w:type="dxa"/>
            <w:gridSpan w:val="13"/>
            <w:tcBorders>
              <w:top w:val="nil"/>
              <w:left w:val="nil"/>
              <w:bottom w:val="nil"/>
              <w:right w:val="nil"/>
            </w:tcBorders>
            <w:vAlign w:val="center"/>
          </w:tcPr>
          <w:p w14:paraId="302B486D" w14:textId="77777777" w:rsidR="00025FEB" w:rsidRPr="00D85A4F" w:rsidRDefault="00025FEB" w:rsidP="00AD0359">
            <w:pPr>
              <w:pStyle w:val="TableText"/>
              <w:spacing w:before="120" w:after="30"/>
              <w:ind w:left="-57"/>
              <w:rPr>
                <w:rFonts w:cs="Arial"/>
              </w:rPr>
            </w:pPr>
            <w:r w:rsidRPr="00D85A4F">
              <w:rPr>
                <w:rFonts w:cs="Arial"/>
              </w:rPr>
              <w:t xml:space="preserve">People attending the </w:t>
            </w:r>
            <w:r>
              <w:rPr>
                <w:rFonts w:cs="Arial"/>
              </w:rPr>
              <w:t>p</w:t>
            </w:r>
            <w:r w:rsidRPr="00D85A4F">
              <w:rPr>
                <w:rFonts w:cs="Arial"/>
              </w:rPr>
              <w:t>anel:</w:t>
            </w:r>
          </w:p>
        </w:tc>
      </w:tr>
      <w:tr w:rsidR="00025FEB" w:rsidRPr="00D85A4F" w14:paraId="74E34575" w14:textId="77777777" w:rsidTr="00AD0359">
        <w:trPr>
          <w:cantSplit/>
        </w:trPr>
        <w:tc>
          <w:tcPr>
            <w:tcW w:w="4536" w:type="dxa"/>
            <w:tcBorders>
              <w:top w:val="nil"/>
              <w:left w:val="nil"/>
              <w:bottom w:val="nil"/>
              <w:right w:val="single" w:sz="4" w:space="0" w:color="auto"/>
            </w:tcBorders>
            <w:vAlign w:val="center"/>
          </w:tcPr>
          <w:p w14:paraId="44BECFED" w14:textId="77777777" w:rsidR="00025FEB" w:rsidRPr="00D85A4F" w:rsidRDefault="00025FEB" w:rsidP="00025FEB">
            <w:pPr>
              <w:pStyle w:val="TableBullet"/>
              <w:spacing w:before="60" w:after="0"/>
              <w:ind w:left="227"/>
            </w:pPr>
            <w:r w:rsidRPr="00D85A4F">
              <w:t>responsible clinician (note if not present)</w:t>
            </w:r>
          </w:p>
        </w:tc>
        <w:tc>
          <w:tcPr>
            <w:tcW w:w="6243" w:type="dxa"/>
            <w:gridSpan w:val="12"/>
            <w:tcBorders>
              <w:top w:val="single" w:sz="4" w:space="0" w:color="auto"/>
              <w:left w:val="single" w:sz="4" w:space="0" w:color="auto"/>
              <w:bottom w:val="single" w:sz="4" w:space="0" w:color="auto"/>
              <w:right w:val="single" w:sz="4" w:space="0" w:color="auto"/>
            </w:tcBorders>
            <w:vAlign w:val="center"/>
          </w:tcPr>
          <w:p w14:paraId="673B9C2D"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r>
      <w:tr w:rsidR="00025FEB" w:rsidRPr="00D85A4F" w14:paraId="578743DB" w14:textId="77777777" w:rsidTr="00AD0359">
        <w:trPr>
          <w:cantSplit/>
        </w:trPr>
        <w:tc>
          <w:tcPr>
            <w:tcW w:w="4536" w:type="dxa"/>
            <w:tcBorders>
              <w:top w:val="nil"/>
              <w:left w:val="nil"/>
              <w:bottom w:val="nil"/>
              <w:right w:val="single" w:sz="4" w:space="0" w:color="auto"/>
            </w:tcBorders>
            <w:vAlign w:val="center"/>
          </w:tcPr>
          <w:p w14:paraId="4DEC94E9" w14:textId="77777777" w:rsidR="00025FEB" w:rsidRPr="00D85A4F" w:rsidRDefault="00025FEB" w:rsidP="00025FEB">
            <w:pPr>
              <w:pStyle w:val="TableBullet"/>
              <w:spacing w:before="60" w:after="0"/>
              <w:ind w:left="227"/>
            </w:pPr>
            <w:r w:rsidRPr="00D85A4F">
              <w:t>clinical team members, including external reviewer</w:t>
            </w:r>
          </w:p>
        </w:tc>
        <w:tc>
          <w:tcPr>
            <w:tcW w:w="6243" w:type="dxa"/>
            <w:gridSpan w:val="12"/>
            <w:tcBorders>
              <w:top w:val="single" w:sz="4" w:space="0" w:color="auto"/>
              <w:left w:val="single" w:sz="4" w:space="0" w:color="auto"/>
              <w:bottom w:val="single" w:sz="4" w:space="0" w:color="auto"/>
              <w:right w:val="single" w:sz="4" w:space="0" w:color="auto"/>
            </w:tcBorders>
            <w:vAlign w:val="center"/>
          </w:tcPr>
          <w:p w14:paraId="08198EC8"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r>
      <w:tr w:rsidR="00025FEB" w:rsidRPr="00D85A4F" w14:paraId="1D5D4AEE" w14:textId="77777777" w:rsidTr="00AD0359">
        <w:trPr>
          <w:cantSplit/>
        </w:trPr>
        <w:tc>
          <w:tcPr>
            <w:tcW w:w="4536" w:type="dxa"/>
            <w:tcBorders>
              <w:top w:val="nil"/>
              <w:left w:val="nil"/>
              <w:bottom w:val="nil"/>
              <w:right w:val="single" w:sz="4" w:space="0" w:color="auto"/>
            </w:tcBorders>
            <w:vAlign w:val="center"/>
          </w:tcPr>
          <w:p w14:paraId="7B43010C" w14:textId="77777777" w:rsidR="00025FEB" w:rsidRPr="00D85A4F" w:rsidRDefault="00025FEB" w:rsidP="00025FEB">
            <w:pPr>
              <w:pStyle w:val="TableBullet"/>
              <w:spacing w:before="60" w:after="0"/>
              <w:ind w:left="227"/>
            </w:pPr>
            <w:r w:rsidRPr="00D85A4F">
              <w:t>patient</w:t>
            </w:r>
          </w:p>
        </w:tc>
        <w:tc>
          <w:tcPr>
            <w:tcW w:w="6243" w:type="dxa"/>
            <w:gridSpan w:val="12"/>
            <w:tcBorders>
              <w:top w:val="single" w:sz="4" w:space="0" w:color="auto"/>
              <w:left w:val="single" w:sz="4" w:space="0" w:color="auto"/>
              <w:bottom w:val="single" w:sz="4" w:space="0" w:color="auto"/>
              <w:right w:val="single" w:sz="4" w:space="0" w:color="auto"/>
            </w:tcBorders>
            <w:vAlign w:val="center"/>
          </w:tcPr>
          <w:p w14:paraId="548C170E"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r>
      <w:tr w:rsidR="00025FEB" w:rsidRPr="00D85A4F" w14:paraId="204B611F" w14:textId="77777777" w:rsidTr="00AD0359">
        <w:trPr>
          <w:cantSplit/>
        </w:trPr>
        <w:tc>
          <w:tcPr>
            <w:tcW w:w="4536" w:type="dxa"/>
            <w:tcBorders>
              <w:top w:val="nil"/>
              <w:left w:val="nil"/>
              <w:bottom w:val="nil"/>
              <w:right w:val="single" w:sz="4" w:space="0" w:color="auto"/>
            </w:tcBorders>
            <w:vAlign w:val="center"/>
          </w:tcPr>
          <w:p w14:paraId="1F1053F2" w14:textId="77777777" w:rsidR="00025FEB" w:rsidRPr="00D85A4F" w:rsidRDefault="00025FEB" w:rsidP="00025FEB">
            <w:pPr>
              <w:pStyle w:val="TableBullet"/>
              <w:spacing w:before="60" w:after="0"/>
              <w:ind w:left="227"/>
            </w:pPr>
            <w:r w:rsidRPr="00D85A4F">
              <w:t>cultural advisor</w:t>
            </w:r>
            <w:r>
              <w:t>(</w:t>
            </w:r>
            <w:r w:rsidRPr="00D85A4F">
              <w:t>s</w:t>
            </w:r>
            <w:r>
              <w:t>)</w:t>
            </w:r>
          </w:p>
        </w:tc>
        <w:tc>
          <w:tcPr>
            <w:tcW w:w="6243" w:type="dxa"/>
            <w:gridSpan w:val="12"/>
            <w:tcBorders>
              <w:top w:val="single" w:sz="4" w:space="0" w:color="auto"/>
              <w:left w:val="single" w:sz="4" w:space="0" w:color="auto"/>
              <w:bottom w:val="single" w:sz="4" w:space="0" w:color="auto"/>
              <w:right w:val="single" w:sz="4" w:space="0" w:color="auto"/>
            </w:tcBorders>
            <w:vAlign w:val="center"/>
          </w:tcPr>
          <w:p w14:paraId="50712954"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r>
      <w:tr w:rsidR="00025FEB" w:rsidRPr="00D85A4F" w14:paraId="76232E35" w14:textId="77777777" w:rsidTr="00AD0359">
        <w:trPr>
          <w:cantSplit/>
        </w:trPr>
        <w:tc>
          <w:tcPr>
            <w:tcW w:w="4536" w:type="dxa"/>
            <w:tcBorders>
              <w:top w:val="nil"/>
              <w:left w:val="nil"/>
              <w:bottom w:val="nil"/>
              <w:right w:val="single" w:sz="4" w:space="0" w:color="auto"/>
            </w:tcBorders>
            <w:vAlign w:val="center"/>
          </w:tcPr>
          <w:p w14:paraId="06D9A16E" w14:textId="77777777" w:rsidR="00025FEB" w:rsidRPr="00D85A4F" w:rsidRDefault="00025FEB" w:rsidP="00025FEB">
            <w:pPr>
              <w:pStyle w:val="TableBullet"/>
              <w:spacing w:before="60" w:after="0"/>
              <w:ind w:left="227"/>
            </w:pPr>
            <w:r w:rsidRPr="00D85A4F">
              <w:t>support person(s)</w:t>
            </w:r>
          </w:p>
        </w:tc>
        <w:tc>
          <w:tcPr>
            <w:tcW w:w="6243" w:type="dxa"/>
            <w:gridSpan w:val="12"/>
            <w:tcBorders>
              <w:top w:val="single" w:sz="4" w:space="0" w:color="auto"/>
              <w:left w:val="single" w:sz="4" w:space="0" w:color="auto"/>
              <w:bottom w:val="single" w:sz="4" w:space="0" w:color="auto"/>
              <w:right w:val="single" w:sz="4" w:space="0" w:color="auto"/>
            </w:tcBorders>
            <w:vAlign w:val="center"/>
          </w:tcPr>
          <w:p w14:paraId="6612B128"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r>
    </w:tbl>
    <w:p w14:paraId="3EB0AFEC" w14:textId="77777777" w:rsidR="00025FEB" w:rsidRPr="00D85A4F" w:rsidRDefault="00025FEB" w:rsidP="00025FEB"/>
    <w:tbl>
      <w:tblPr>
        <w:tblStyle w:val="TableGrid"/>
        <w:tblW w:w="10779" w:type="dxa"/>
        <w:tblInd w:w="57" w:type="dxa"/>
        <w:tblLayout w:type="fixed"/>
        <w:tblCellMar>
          <w:left w:w="57" w:type="dxa"/>
          <w:right w:w="57" w:type="dxa"/>
        </w:tblCellMar>
        <w:tblLook w:val="04A0" w:firstRow="1" w:lastRow="0" w:firstColumn="1" w:lastColumn="0" w:noHBand="0" w:noVBand="1"/>
      </w:tblPr>
      <w:tblGrid>
        <w:gridCol w:w="10779"/>
      </w:tblGrid>
      <w:tr w:rsidR="00025FEB" w:rsidRPr="00D85A4F" w14:paraId="60892661" w14:textId="77777777" w:rsidTr="00AD0359">
        <w:trPr>
          <w:cantSplit/>
        </w:trPr>
        <w:tc>
          <w:tcPr>
            <w:tcW w:w="10779" w:type="dxa"/>
            <w:tcBorders>
              <w:top w:val="nil"/>
              <w:left w:val="nil"/>
              <w:bottom w:val="nil"/>
              <w:right w:val="nil"/>
            </w:tcBorders>
            <w:shd w:val="clear" w:color="auto" w:fill="000000" w:themeFill="text1"/>
            <w:vAlign w:val="center"/>
          </w:tcPr>
          <w:p w14:paraId="1B59D691" w14:textId="77777777" w:rsidR="00025FEB" w:rsidRPr="00D85A4F" w:rsidRDefault="00025FEB" w:rsidP="00AD0359">
            <w:pPr>
              <w:pStyle w:val="TableText"/>
              <w:rPr>
                <w:rFonts w:cs="Arial"/>
              </w:rPr>
            </w:pPr>
            <w:r w:rsidRPr="00D85A4F">
              <w:rPr>
                <w:rFonts w:cs="Arial"/>
                <w:b/>
                <w:sz w:val="24"/>
                <w:szCs w:val="28"/>
              </w:rPr>
              <w:t>Discussion</w:t>
            </w:r>
          </w:p>
        </w:tc>
      </w:tr>
      <w:tr w:rsidR="00025FEB" w:rsidRPr="00D85A4F" w14:paraId="700C28E9" w14:textId="77777777" w:rsidTr="00AD0359">
        <w:trPr>
          <w:cantSplit/>
        </w:trPr>
        <w:tc>
          <w:tcPr>
            <w:tcW w:w="10779" w:type="dxa"/>
            <w:tcBorders>
              <w:top w:val="nil"/>
              <w:left w:val="nil"/>
              <w:bottom w:val="single" w:sz="4" w:space="0" w:color="auto"/>
              <w:right w:val="nil"/>
            </w:tcBorders>
            <w:vAlign w:val="center"/>
          </w:tcPr>
          <w:p w14:paraId="08924FCD" w14:textId="77777777" w:rsidR="00025FEB" w:rsidRPr="00D85A4F" w:rsidRDefault="00025FEB" w:rsidP="00AD0359">
            <w:pPr>
              <w:pStyle w:val="TableText"/>
              <w:spacing w:before="0" w:after="30"/>
              <w:ind w:left="-57"/>
              <w:rPr>
                <w:rFonts w:cs="Arial"/>
              </w:rPr>
            </w:pPr>
            <w:r w:rsidRPr="00D85A4F">
              <w:rPr>
                <w:rFonts w:cs="Arial"/>
              </w:rPr>
              <w:t xml:space="preserve">A summary of the </w:t>
            </w:r>
            <w:r>
              <w:rPr>
                <w:rFonts w:cs="Arial"/>
              </w:rPr>
              <w:t>p</w:t>
            </w:r>
            <w:r w:rsidRPr="00D85A4F">
              <w:rPr>
                <w:rFonts w:cs="Arial"/>
              </w:rPr>
              <w:t>anel’s discussion, including comments from the patient</w:t>
            </w:r>
          </w:p>
        </w:tc>
      </w:tr>
      <w:tr w:rsidR="00025FEB" w:rsidRPr="00D85A4F" w14:paraId="63144433" w14:textId="77777777" w:rsidTr="00AD0359">
        <w:trPr>
          <w:cantSplit/>
          <w:trHeight w:val="567"/>
        </w:trPr>
        <w:tc>
          <w:tcPr>
            <w:tcW w:w="10779" w:type="dxa"/>
            <w:tcBorders>
              <w:top w:val="single" w:sz="4" w:space="0" w:color="auto"/>
              <w:left w:val="single" w:sz="4" w:space="0" w:color="auto"/>
              <w:bottom w:val="single" w:sz="4" w:space="0" w:color="auto"/>
              <w:right w:val="single" w:sz="4" w:space="0" w:color="auto"/>
            </w:tcBorders>
          </w:tcPr>
          <w:p w14:paraId="1D8A70C0"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r>
      <w:tr w:rsidR="00025FEB" w:rsidRPr="00D85A4F" w14:paraId="26CF29E4" w14:textId="77777777" w:rsidTr="00AD0359">
        <w:trPr>
          <w:cantSplit/>
        </w:trPr>
        <w:tc>
          <w:tcPr>
            <w:tcW w:w="10779" w:type="dxa"/>
            <w:tcBorders>
              <w:top w:val="nil"/>
              <w:left w:val="nil"/>
              <w:bottom w:val="single" w:sz="4" w:space="0" w:color="auto"/>
              <w:right w:val="nil"/>
            </w:tcBorders>
            <w:vAlign w:val="center"/>
          </w:tcPr>
          <w:p w14:paraId="1B893930" w14:textId="77777777" w:rsidR="00025FEB" w:rsidRPr="00D85A4F" w:rsidRDefault="00025FEB" w:rsidP="00AD0359">
            <w:pPr>
              <w:pStyle w:val="TableText"/>
              <w:spacing w:before="0" w:after="30"/>
              <w:ind w:left="-57"/>
              <w:rPr>
                <w:rFonts w:cs="Arial"/>
              </w:rPr>
            </w:pPr>
            <w:r w:rsidRPr="00D85A4F">
              <w:rPr>
                <w:rFonts w:cs="Arial"/>
              </w:rPr>
              <w:t>Review panel recommendations, including:</w:t>
            </w:r>
          </w:p>
          <w:p w14:paraId="7A63A60C" w14:textId="77777777" w:rsidR="00025FEB" w:rsidRPr="00D85A4F" w:rsidRDefault="00025FEB" w:rsidP="00025FEB">
            <w:pPr>
              <w:pStyle w:val="TableBullet"/>
              <w:ind w:left="227"/>
            </w:pPr>
            <w:r w:rsidRPr="00D85A4F">
              <w:t xml:space="preserve">legal status: </w:t>
            </w:r>
            <w:r>
              <w:t xml:space="preserve">either the patient should </w:t>
            </w:r>
            <w:r w:rsidRPr="00D85A4F">
              <w:t xml:space="preserve">remain subject to </w:t>
            </w:r>
            <w:r>
              <w:t xml:space="preserve">their </w:t>
            </w:r>
            <w:r w:rsidRPr="00D85A4F">
              <w:t xml:space="preserve">current legal status or </w:t>
            </w:r>
            <w:r>
              <w:t xml:space="preserve">the patient’s </w:t>
            </w:r>
            <w:r w:rsidRPr="00D85A4F">
              <w:t xml:space="preserve">legal status </w:t>
            </w:r>
            <w:r>
              <w:t>should change</w:t>
            </w:r>
          </w:p>
          <w:p w14:paraId="5BE622BA" w14:textId="77777777" w:rsidR="00025FEB" w:rsidRPr="00D85A4F" w:rsidRDefault="00025FEB" w:rsidP="00025FEB">
            <w:pPr>
              <w:pStyle w:val="TableBullet"/>
              <w:spacing w:after="30"/>
              <w:ind w:left="227"/>
            </w:pPr>
            <w:r w:rsidRPr="00D85A4F">
              <w:t>leave status: note any proposed changes to the patient’s leave plan.</w:t>
            </w:r>
          </w:p>
        </w:tc>
      </w:tr>
      <w:tr w:rsidR="00025FEB" w:rsidRPr="00D85A4F" w14:paraId="729A6683" w14:textId="77777777" w:rsidTr="00AD0359">
        <w:trPr>
          <w:cantSplit/>
          <w:trHeight w:val="567"/>
        </w:trPr>
        <w:tc>
          <w:tcPr>
            <w:tcW w:w="10779" w:type="dxa"/>
            <w:tcBorders>
              <w:top w:val="single" w:sz="4" w:space="0" w:color="auto"/>
              <w:left w:val="single" w:sz="4" w:space="0" w:color="auto"/>
              <w:bottom w:val="single" w:sz="4" w:space="0" w:color="auto"/>
              <w:right w:val="single" w:sz="4" w:space="0" w:color="auto"/>
            </w:tcBorders>
          </w:tcPr>
          <w:p w14:paraId="7486CE04"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r>
    </w:tbl>
    <w:p w14:paraId="285BA18F" w14:textId="77777777" w:rsidR="00025FEB" w:rsidRPr="008F5176" w:rsidRDefault="00025FEB" w:rsidP="00025FEB">
      <w:pPr>
        <w:rPr>
          <w:sz w:val="18"/>
          <w:szCs w:val="16"/>
        </w:rPr>
      </w:pPr>
    </w:p>
    <w:tbl>
      <w:tblPr>
        <w:tblStyle w:val="TableGrid"/>
        <w:tblW w:w="10774" w:type="dxa"/>
        <w:tblInd w:w="57" w:type="dxa"/>
        <w:tblLayout w:type="fixed"/>
        <w:tblCellMar>
          <w:left w:w="57" w:type="dxa"/>
          <w:right w:w="57" w:type="dxa"/>
        </w:tblCellMar>
        <w:tblLook w:val="04A0" w:firstRow="1" w:lastRow="0" w:firstColumn="1" w:lastColumn="0" w:noHBand="0" w:noVBand="1"/>
      </w:tblPr>
      <w:tblGrid>
        <w:gridCol w:w="369"/>
        <w:gridCol w:w="10405"/>
      </w:tblGrid>
      <w:tr w:rsidR="00025FEB" w:rsidRPr="00D85A4F" w14:paraId="7DCFBAE7" w14:textId="77777777" w:rsidTr="00AD0359">
        <w:trPr>
          <w:cantSplit/>
        </w:trPr>
        <w:tc>
          <w:tcPr>
            <w:tcW w:w="10774" w:type="dxa"/>
            <w:gridSpan w:val="2"/>
            <w:tcBorders>
              <w:top w:val="nil"/>
              <w:left w:val="nil"/>
              <w:bottom w:val="nil"/>
              <w:right w:val="nil"/>
            </w:tcBorders>
            <w:shd w:val="clear" w:color="auto" w:fill="000000" w:themeFill="text1"/>
            <w:vAlign w:val="center"/>
          </w:tcPr>
          <w:p w14:paraId="5E51A910" w14:textId="77777777" w:rsidR="00025FEB" w:rsidRPr="00D85A4F" w:rsidRDefault="00025FEB" w:rsidP="00AD0359">
            <w:pPr>
              <w:pStyle w:val="TableText"/>
              <w:ind w:left="425" w:hanging="425"/>
              <w:rPr>
                <w:rFonts w:cs="Arial"/>
              </w:rPr>
            </w:pPr>
            <w:r w:rsidRPr="00D85A4F">
              <w:rPr>
                <w:rFonts w:cs="Arial"/>
                <w:b/>
                <w:sz w:val="24"/>
                <w:szCs w:val="28"/>
              </w:rPr>
              <w:t>Accompanying documentation</w:t>
            </w:r>
          </w:p>
        </w:tc>
      </w:tr>
      <w:tr w:rsidR="00025FEB" w:rsidRPr="00D85A4F" w14:paraId="75B5F898" w14:textId="77777777" w:rsidTr="00AD0359">
        <w:trPr>
          <w:cantSplit/>
        </w:trPr>
        <w:tc>
          <w:tcPr>
            <w:tcW w:w="10774" w:type="dxa"/>
            <w:gridSpan w:val="2"/>
            <w:tcBorders>
              <w:top w:val="nil"/>
              <w:left w:val="nil"/>
              <w:bottom w:val="nil"/>
              <w:right w:val="nil"/>
            </w:tcBorders>
            <w:vAlign w:val="center"/>
          </w:tcPr>
          <w:p w14:paraId="254225EF" w14:textId="77777777" w:rsidR="00025FEB" w:rsidRPr="00D85A4F" w:rsidRDefault="00025FEB" w:rsidP="00AD0359">
            <w:pPr>
              <w:pStyle w:val="TableText"/>
              <w:spacing w:before="0" w:after="30"/>
              <w:ind w:left="-57"/>
              <w:rPr>
                <w:rFonts w:cs="Arial"/>
              </w:rPr>
            </w:pPr>
            <w:r w:rsidRPr="00D85A4F">
              <w:rPr>
                <w:rFonts w:cs="Arial"/>
              </w:rPr>
              <w:t xml:space="preserve">Focusing on </w:t>
            </w:r>
            <w:proofErr w:type="gramStart"/>
            <w:r w:rsidRPr="00D85A4F">
              <w:rPr>
                <w:rFonts w:cs="Arial"/>
              </w:rPr>
              <w:t>current status</w:t>
            </w:r>
            <w:proofErr w:type="gramEnd"/>
            <w:r w:rsidRPr="00D85A4F">
              <w:rPr>
                <w:rFonts w:cs="Arial"/>
              </w:rPr>
              <w:t xml:space="preserve"> and progress since the last SPRP:</w:t>
            </w:r>
          </w:p>
        </w:tc>
      </w:tr>
      <w:tr w:rsidR="00025FEB" w:rsidRPr="00D85A4F" w14:paraId="25F9B6C5" w14:textId="77777777" w:rsidTr="00AD0359">
        <w:trPr>
          <w:cantSplit/>
        </w:trPr>
        <w:tc>
          <w:tcPr>
            <w:tcW w:w="369" w:type="dxa"/>
            <w:tcBorders>
              <w:top w:val="nil"/>
              <w:left w:val="nil"/>
              <w:bottom w:val="nil"/>
              <w:right w:val="nil"/>
            </w:tcBorders>
            <w:vAlign w:val="center"/>
          </w:tcPr>
          <w:p w14:paraId="610ED6F4" w14:textId="77777777" w:rsidR="00025FEB" w:rsidRPr="00D85A4F" w:rsidRDefault="00025FEB" w:rsidP="00AD0359">
            <w:pPr>
              <w:pStyle w:val="TableText"/>
              <w:spacing w:before="0" w:after="0"/>
              <w:ind w:left="-57"/>
            </w:pPr>
            <w:r w:rsidRPr="00D85A4F">
              <w:rPr>
                <w:rFonts w:cs="Arial"/>
                <w:sz w:val="24"/>
                <w:szCs w:val="24"/>
              </w:rPr>
              <w:fldChar w:fldCharType="begin">
                <w:ffData>
                  <w:name w:val="Check2"/>
                  <w:enabled/>
                  <w:calcOnExit w:val="0"/>
                  <w:checkBox>
                    <w:sizeAuto/>
                    <w:default w:val="0"/>
                  </w:checkBox>
                </w:ffData>
              </w:fldChar>
            </w:r>
            <w:r w:rsidRPr="00D85A4F">
              <w:rPr>
                <w:rFonts w:cs="Arial"/>
                <w:sz w:val="24"/>
                <w:szCs w:val="24"/>
              </w:rPr>
              <w:instrText xml:space="preserve"> FORMCHECKBOX </w:instrText>
            </w:r>
            <w:r w:rsidR="000D2E1E">
              <w:rPr>
                <w:rFonts w:cs="Arial"/>
                <w:sz w:val="24"/>
                <w:szCs w:val="24"/>
              </w:rPr>
            </w:r>
            <w:r w:rsidR="000D2E1E">
              <w:rPr>
                <w:rFonts w:cs="Arial"/>
                <w:sz w:val="24"/>
                <w:szCs w:val="24"/>
              </w:rPr>
              <w:fldChar w:fldCharType="separate"/>
            </w:r>
            <w:r w:rsidRPr="00D85A4F">
              <w:rPr>
                <w:rFonts w:cs="Arial"/>
                <w:sz w:val="24"/>
                <w:szCs w:val="24"/>
              </w:rPr>
              <w:fldChar w:fldCharType="end"/>
            </w:r>
          </w:p>
        </w:tc>
        <w:tc>
          <w:tcPr>
            <w:tcW w:w="10405" w:type="dxa"/>
            <w:tcBorders>
              <w:top w:val="nil"/>
              <w:left w:val="nil"/>
              <w:bottom w:val="nil"/>
              <w:right w:val="nil"/>
            </w:tcBorders>
            <w:vAlign w:val="center"/>
          </w:tcPr>
          <w:p w14:paraId="115932AC" w14:textId="77777777" w:rsidR="00025FEB" w:rsidRPr="00D85A4F" w:rsidRDefault="00025FEB" w:rsidP="00AD0359">
            <w:pPr>
              <w:pStyle w:val="TableText"/>
              <w:spacing w:after="30"/>
              <w:rPr>
                <w:rFonts w:cs="Arial"/>
              </w:rPr>
            </w:pPr>
            <w:r w:rsidRPr="00D85A4F">
              <w:rPr>
                <w:rFonts w:cs="Arial"/>
              </w:rPr>
              <w:t>Reports from the clinical team, including risk assessment and risk management</w:t>
            </w:r>
          </w:p>
        </w:tc>
      </w:tr>
      <w:tr w:rsidR="00025FEB" w:rsidRPr="00D85A4F" w14:paraId="03BA424E" w14:textId="77777777" w:rsidTr="00AD0359">
        <w:trPr>
          <w:cantSplit/>
        </w:trPr>
        <w:tc>
          <w:tcPr>
            <w:tcW w:w="369" w:type="dxa"/>
            <w:tcBorders>
              <w:top w:val="nil"/>
              <w:left w:val="nil"/>
              <w:bottom w:val="nil"/>
              <w:right w:val="nil"/>
            </w:tcBorders>
            <w:vAlign w:val="center"/>
          </w:tcPr>
          <w:p w14:paraId="77E56593" w14:textId="77777777" w:rsidR="00025FEB" w:rsidRPr="00D85A4F" w:rsidRDefault="00025FEB" w:rsidP="00AD0359">
            <w:pPr>
              <w:pStyle w:val="TableText"/>
              <w:spacing w:before="0" w:after="0"/>
              <w:ind w:left="-57"/>
            </w:pPr>
            <w:r w:rsidRPr="00D85A4F">
              <w:rPr>
                <w:rFonts w:cs="Arial"/>
                <w:sz w:val="24"/>
                <w:szCs w:val="24"/>
              </w:rPr>
              <w:fldChar w:fldCharType="begin">
                <w:ffData>
                  <w:name w:val="Check2"/>
                  <w:enabled/>
                  <w:calcOnExit w:val="0"/>
                  <w:checkBox>
                    <w:sizeAuto/>
                    <w:default w:val="0"/>
                  </w:checkBox>
                </w:ffData>
              </w:fldChar>
            </w:r>
            <w:r w:rsidRPr="00D85A4F">
              <w:rPr>
                <w:rFonts w:cs="Arial"/>
                <w:sz w:val="24"/>
                <w:szCs w:val="24"/>
              </w:rPr>
              <w:instrText xml:space="preserve"> FORMCHECKBOX </w:instrText>
            </w:r>
            <w:r w:rsidR="000D2E1E">
              <w:rPr>
                <w:rFonts w:cs="Arial"/>
                <w:sz w:val="24"/>
                <w:szCs w:val="24"/>
              </w:rPr>
            </w:r>
            <w:r w:rsidR="000D2E1E">
              <w:rPr>
                <w:rFonts w:cs="Arial"/>
                <w:sz w:val="24"/>
                <w:szCs w:val="24"/>
              </w:rPr>
              <w:fldChar w:fldCharType="separate"/>
            </w:r>
            <w:r w:rsidRPr="00D85A4F">
              <w:rPr>
                <w:rFonts w:cs="Arial"/>
                <w:sz w:val="24"/>
                <w:szCs w:val="24"/>
              </w:rPr>
              <w:fldChar w:fldCharType="end"/>
            </w:r>
          </w:p>
        </w:tc>
        <w:tc>
          <w:tcPr>
            <w:tcW w:w="10405" w:type="dxa"/>
            <w:tcBorders>
              <w:top w:val="nil"/>
              <w:left w:val="nil"/>
              <w:bottom w:val="nil"/>
              <w:right w:val="nil"/>
            </w:tcBorders>
            <w:vAlign w:val="center"/>
          </w:tcPr>
          <w:p w14:paraId="3676B994" w14:textId="77777777" w:rsidR="00025FEB" w:rsidRPr="00D85A4F" w:rsidRDefault="00025FEB" w:rsidP="00AD0359">
            <w:pPr>
              <w:pStyle w:val="TableText"/>
              <w:spacing w:after="30"/>
              <w:rPr>
                <w:rFonts w:cs="Arial"/>
              </w:rPr>
            </w:pPr>
            <w:r w:rsidRPr="00D85A4F">
              <w:rPr>
                <w:rFonts w:cs="Arial"/>
              </w:rPr>
              <w:t>Leave plan / pathway</w:t>
            </w:r>
          </w:p>
        </w:tc>
      </w:tr>
      <w:tr w:rsidR="00025FEB" w:rsidRPr="00D85A4F" w14:paraId="1A92520A" w14:textId="77777777" w:rsidTr="00AD0359">
        <w:trPr>
          <w:cantSplit/>
        </w:trPr>
        <w:tc>
          <w:tcPr>
            <w:tcW w:w="369" w:type="dxa"/>
            <w:tcBorders>
              <w:top w:val="nil"/>
              <w:left w:val="nil"/>
              <w:bottom w:val="nil"/>
              <w:right w:val="nil"/>
            </w:tcBorders>
            <w:vAlign w:val="center"/>
          </w:tcPr>
          <w:p w14:paraId="1B8E4E27" w14:textId="77777777" w:rsidR="00025FEB" w:rsidRPr="00D85A4F" w:rsidRDefault="00025FEB" w:rsidP="00AD0359">
            <w:pPr>
              <w:pStyle w:val="TableText"/>
              <w:spacing w:before="0" w:after="0"/>
              <w:ind w:left="-57"/>
            </w:pPr>
            <w:r w:rsidRPr="00D85A4F">
              <w:rPr>
                <w:rFonts w:cs="Arial"/>
                <w:sz w:val="24"/>
                <w:szCs w:val="24"/>
              </w:rPr>
              <w:fldChar w:fldCharType="begin">
                <w:ffData>
                  <w:name w:val="Check2"/>
                  <w:enabled/>
                  <w:calcOnExit w:val="0"/>
                  <w:checkBox>
                    <w:sizeAuto/>
                    <w:default w:val="0"/>
                  </w:checkBox>
                </w:ffData>
              </w:fldChar>
            </w:r>
            <w:r w:rsidRPr="00D85A4F">
              <w:rPr>
                <w:rFonts w:cs="Arial"/>
                <w:sz w:val="24"/>
                <w:szCs w:val="24"/>
              </w:rPr>
              <w:instrText xml:space="preserve"> FORMCHECKBOX </w:instrText>
            </w:r>
            <w:r w:rsidR="000D2E1E">
              <w:rPr>
                <w:rFonts w:cs="Arial"/>
                <w:sz w:val="24"/>
                <w:szCs w:val="24"/>
              </w:rPr>
            </w:r>
            <w:r w:rsidR="000D2E1E">
              <w:rPr>
                <w:rFonts w:cs="Arial"/>
                <w:sz w:val="24"/>
                <w:szCs w:val="24"/>
              </w:rPr>
              <w:fldChar w:fldCharType="separate"/>
            </w:r>
            <w:r w:rsidRPr="00D85A4F">
              <w:rPr>
                <w:rFonts w:cs="Arial"/>
                <w:sz w:val="24"/>
                <w:szCs w:val="24"/>
              </w:rPr>
              <w:fldChar w:fldCharType="end"/>
            </w:r>
          </w:p>
        </w:tc>
        <w:tc>
          <w:tcPr>
            <w:tcW w:w="10405" w:type="dxa"/>
            <w:tcBorders>
              <w:top w:val="nil"/>
              <w:left w:val="nil"/>
              <w:bottom w:val="nil"/>
              <w:right w:val="nil"/>
            </w:tcBorders>
            <w:vAlign w:val="center"/>
          </w:tcPr>
          <w:p w14:paraId="3D590144" w14:textId="77777777" w:rsidR="00025FEB" w:rsidRPr="00D85A4F" w:rsidRDefault="00025FEB" w:rsidP="00AD0359">
            <w:pPr>
              <w:pStyle w:val="TableText"/>
              <w:spacing w:after="30"/>
              <w:rPr>
                <w:rFonts w:cs="Arial"/>
              </w:rPr>
            </w:pPr>
            <w:r w:rsidRPr="00D85A4F">
              <w:rPr>
                <w:rFonts w:cs="Arial"/>
              </w:rPr>
              <w:t>A certificate of clinical review if a recommendation is made for a change in legal status</w:t>
            </w:r>
          </w:p>
        </w:tc>
      </w:tr>
      <w:tr w:rsidR="00025FEB" w:rsidRPr="00D85A4F" w14:paraId="64F0EF45" w14:textId="77777777" w:rsidTr="00AD0359">
        <w:trPr>
          <w:cantSplit/>
        </w:trPr>
        <w:tc>
          <w:tcPr>
            <w:tcW w:w="369" w:type="dxa"/>
            <w:tcBorders>
              <w:top w:val="nil"/>
              <w:left w:val="nil"/>
              <w:bottom w:val="nil"/>
              <w:right w:val="nil"/>
            </w:tcBorders>
            <w:vAlign w:val="center"/>
          </w:tcPr>
          <w:p w14:paraId="7A621648" w14:textId="77777777" w:rsidR="00025FEB" w:rsidRPr="00D85A4F" w:rsidRDefault="00025FEB" w:rsidP="00AD0359">
            <w:pPr>
              <w:pStyle w:val="TableText"/>
              <w:spacing w:before="0" w:after="0"/>
              <w:ind w:left="-57"/>
            </w:pPr>
            <w:r w:rsidRPr="00D85A4F">
              <w:rPr>
                <w:rFonts w:cs="Arial"/>
                <w:sz w:val="24"/>
                <w:szCs w:val="24"/>
              </w:rPr>
              <w:fldChar w:fldCharType="begin">
                <w:ffData>
                  <w:name w:val="Check2"/>
                  <w:enabled/>
                  <w:calcOnExit w:val="0"/>
                  <w:checkBox>
                    <w:sizeAuto/>
                    <w:default w:val="0"/>
                  </w:checkBox>
                </w:ffData>
              </w:fldChar>
            </w:r>
            <w:r w:rsidRPr="00D85A4F">
              <w:rPr>
                <w:rFonts w:cs="Arial"/>
                <w:sz w:val="24"/>
                <w:szCs w:val="24"/>
              </w:rPr>
              <w:instrText xml:space="preserve"> FORMCHECKBOX </w:instrText>
            </w:r>
            <w:r w:rsidR="000D2E1E">
              <w:rPr>
                <w:rFonts w:cs="Arial"/>
                <w:sz w:val="24"/>
                <w:szCs w:val="24"/>
              </w:rPr>
            </w:r>
            <w:r w:rsidR="000D2E1E">
              <w:rPr>
                <w:rFonts w:cs="Arial"/>
                <w:sz w:val="24"/>
                <w:szCs w:val="24"/>
              </w:rPr>
              <w:fldChar w:fldCharType="separate"/>
            </w:r>
            <w:r w:rsidRPr="00D85A4F">
              <w:rPr>
                <w:rFonts w:cs="Arial"/>
                <w:sz w:val="24"/>
                <w:szCs w:val="24"/>
              </w:rPr>
              <w:fldChar w:fldCharType="end"/>
            </w:r>
          </w:p>
        </w:tc>
        <w:tc>
          <w:tcPr>
            <w:tcW w:w="10405" w:type="dxa"/>
            <w:tcBorders>
              <w:top w:val="nil"/>
              <w:left w:val="nil"/>
              <w:bottom w:val="nil"/>
              <w:right w:val="nil"/>
            </w:tcBorders>
            <w:vAlign w:val="center"/>
          </w:tcPr>
          <w:p w14:paraId="1FFDC164" w14:textId="77777777" w:rsidR="00025FEB" w:rsidRPr="00D85A4F" w:rsidRDefault="00025FEB" w:rsidP="00AD0359">
            <w:pPr>
              <w:pStyle w:val="TableText"/>
              <w:spacing w:after="30"/>
              <w:rPr>
                <w:rFonts w:cs="Arial"/>
              </w:rPr>
            </w:pPr>
            <w:r w:rsidRPr="00D85A4F">
              <w:rPr>
                <w:rFonts w:cs="Arial"/>
              </w:rPr>
              <w:t>A medical certificate if leave is being sought under section 50 of the Mental Health (Compulsory Assessment and Treatment) Act.</w:t>
            </w:r>
          </w:p>
        </w:tc>
      </w:tr>
      <w:tr w:rsidR="00025FEB" w:rsidRPr="00D85A4F" w14:paraId="5851B652" w14:textId="77777777" w:rsidTr="00AD0359">
        <w:trPr>
          <w:cantSplit/>
        </w:trPr>
        <w:tc>
          <w:tcPr>
            <w:tcW w:w="10774" w:type="dxa"/>
            <w:gridSpan w:val="2"/>
            <w:tcBorders>
              <w:top w:val="nil"/>
              <w:left w:val="nil"/>
              <w:bottom w:val="nil"/>
              <w:right w:val="nil"/>
            </w:tcBorders>
            <w:shd w:val="clear" w:color="auto" w:fill="000000" w:themeFill="text1"/>
            <w:vAlign w:val="center"/>
          </w:tcPr>
          <w:p w14:paraId="0A181106" w14:textId="77777777" w:rsidR="00025FEB" w:rsidRPr="00D85A4F" w:rsidRDefault="00025FEB" w:rsidP="00AD0359">
            <w:pPr>
              <w:pStyle w:val="TableText"/>
              <w:ind w:left="425" w:hanging="425"/>
              <w:rPr>
                <w:rFonts w:cs="Arial"/>
              </w:rPr>
            </w:pPr>
            <w:r w:rsidRPr="00D85A4F">
              <w:rPr>
                <w:rFonts w:cs="Arial"/>
                <w:b/>
                <w:sz w:val="24"/>
                <w:szCs w:val="28"/>
              </w:rPr>
              <w:t>Signature</w:t>
            </w:r>
          </w:p>
        </w:tc>
      </w:tr>
    </w:tbl>
    <w:p w14:paraId="51CC48E5" w14:textId="77777777" w:rsidR="00025FEB" w:rsidRPr="00D85A4F" w:rsidRDefault="00025FEB" w:rsidP="00025FEB">
      <w:pPr>
        <w:rPr>
          <w:sz w:val="10"/>
          <w:szCs w:val="10"/>
        </w:rPr>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521"/>
        <w:gridCol w:w="1417"/>
        <w:gridCol w:w="354"/>
        <w:gridCol w:w="354"/>
        <w:gridCol w:w="355"/>
        <w:gridCol w:w="354"/>
        <w:gridCol w:w="354"/>
        <w:gridCol w:w="355"/>
        <w:gridCol w:w="354"/>
        <w:gridCol w:w="355"/>
      </w:tblGrid>
      <w:tr w:rsidR="00025FEB" w:rsidRPr="00D85A4F" w14:paraId="232F70A6" w14:textId="77777777" w:rsidTr="00AD0359">
        <w:trPr>
          <w:cantSplit/>
          <w:trHeight w:val="26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2515629E" w14:textId="77777777" w:rsidR="00025FEB" w:rsidRPr="008F5176" w:rsidRDefault="00025FEB" w:rsidP="00AD0359"/>
        </w:tc>
        <w:tc>
          <w:tcPr>
            <w:tcW w:w="1417" w:type="dxa"/>
            <w:tcBorders>
              <w:top w:val="nil"/>
              <w:left w:val="single" w:sz="4" w:space="0" w:color="auto"/>
              <w:bottom w:val="nil"/>
              <w:right w:val="single" w:sz="4" w:space="0" w:color="auto"/>
            </w:tcBorders>
            <w:shd w:val="clear" w:color="auto" w:fill="auto"/>
            <w:vAlign w:val="center"/>
          </w:tcPr>
          <w:p w14:paraId="407510AE" w14:textId="77777777" w:rsidR="00025FEB" w:rsidRPr="00D85A4F" w:rsidRDefault="00025FEB" w:rsidP="00AD0359">
            <w:pPr>
              <w:pStyle w:val="TableText"/>
              <w:jc w:val="right"/>
              <w:rPr>
                <w:rFonts w:cs="Arial"/>
              </w:rPr>
            </w:pPr>
            <w:r w:rsidRPr="00D85A4F">
              <w:rPr>
                <w:rFonts w:cs="Arial"/>
              </w:rPr>
              <w:t>Date</w:t>
            </w:r>
          </w:p>
        </w:tc>
        <w:tc>
          <w:tcPr>
            <w:tcW w:w="354" w:type="dxa"/>
            <w:tcBorders>
              <w:top w:val="single" w:sz="4" w:space="0" w:color="auto"/>
              <w:left w:val="single" w:sz="4" w:space="0" w:color="auto"/>
              <w:bottom w:val="single" w:sz="4" w:space="0" w:color="auto"/>
              <w:right w:val="single" w:sz="4" w:space="0" w:color="D9D9D9" w:themeColor="background1" w:themeShade="D9"/>
            </w:tcBorders>
            <w:shd w:val="clear" w:color="auto" w:fill="auto"/>
            <w:vAlign w:val="center"/>
          </w:tcPr>
          <w:p w14:paraId="660DAF69"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360F44EF"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02D44CFC"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59A0FF4"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262C429"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420C0C12"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337EAB3"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auto"/>
            </w:tcBorders>
            <w:shd w:val="clear" w:color="auto" w:fill="auto"/>
            <w:vAlign w:val="center"/>
          </w:tcPr>
          <w:p w14:paraId="7333BEE6"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r>
    </w:tbl>
    <w:p w14:paraId="6E0143C7" w14:textId="77777777" w:rsidR="00025FEB" w:rsidRPr="00D85A4F" w:rsidRDefault="00025FEB" w:rsidP="00025FEB">
      <w:pPr>
        <w:spacing w:before="30"/>
        <w:rPr>
          <w:rFonts w:ascii="Arial" w:hAnsi="Arial" w:cs="Arial"/>
          <w:sz w:val="18"/>
          <w:szCs w:val="18"/>
        </w:rPr>
      </w:pPr>
      <w:r w:rsidRPr="00D85A4F">
        <w:rPr>
          <w:rFonts w:ascii="Arial" w:hAnsi="Arial" w:cs="Arial"/>
          <w:sz w:val="18"/>
          <w:szCs w:val="18"/>
        </w:rPr>
        <w:t>Forensic DAMHS</w:t>
      </w:r>
    </w:p>
    <w:tbl>
      <w:tblPr>
        <w:tblStyle w:val="TableGrid"/>
        <w:tblW w:w="1077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216"/>
        <w:gridCol w:w="287"/>
        <w:gridCol w:w="1577"/>
        <w:gridCol w:w="336"/>
        <w:gridCol w:w="336"/>
        <w:gridCol w:w="336"/>
        <w:gridCol w:w="336"/>
        <w:gridCol w:w="336"/>
        <w:gridCol w:w="336"/>
        <w:gridCol w:w="336"/>
        <w:gridCol w:w="336"/>
        <w:gridCol w:w="11"/>
      </w:tblGrid>
      <w:tr w:rsidR="00025FEB" w:rsidRPr="00D85A4F" w14:paraId="37058E40" w14:textId="77777777" w:rsidTr="00AD0359">
        <w:trPr>
          <w:cantSplit/>
          <w:trHeight w:val="253"/>
        </w:trPr>
        <w:tc>
          <w:tcPr>
            <w:tcW w:w="8080" w:type="dxa"/>
            <w:gridSpan w:val="3"/>
            <w:vAlign w:val="center"/>
          </w:tcPr>
          <w:p w14:paraId="41922154" w14:textId="77777777" w:rsidR="00025FEB" w:rsidRPr="00D85A4F" w:rsidRDefault="00025FEB" w:rsidP="00AD0359">
            <w:pPr>
              <w:ind w:left="-57"/>
              <w:rPr>
                <w:rFonts w:ascii="Arial" w:hAnsi="Arial" w:cs="Arial"/>
                <w:i/>
                <w:noProof/>
                <w:sz w:val="36"/>
                <w:szCs w:val="36"/>
                <w:lang w:eastAsia="en-NZ"/>
              </w:rPr>
            </w:pPr>
            <w:bookmarkStart w:id="299" w:name="_Hlk111736422"/>
            <w:bookmarkEnd w:id="298"/>
            <w:r w:rsidRPr="00D85A4F">
              <w:rPr>
                <w:rFonts w:ascii="Arial" w:hAnsi="Arial" w:cs="Arial"/>
                <w:b/>
                <w:sz w:val="36"/>
                <w:szCs w:val="36"/>
              </w:rPr>
              <w:lastRenderedPageBreak/>
              <w:t xml:space="preserve">Consent to voluntary admission and treatment while subject to leave under section 50 </w:t>
            </w:r>
            <w:r>
              <w:rPr>
                <w:rFonts w:ascii="Arial" w:hAnsi="Arial" w:cs="Arial"/>
                <w:b/>
                <w:sz w:val="36"/>
                <w:szCs w:val="36"/>
              </w:rPr>
              <w:t xml:space="preserve">of the </w:t>
            </w:r>
            <w:r w:rsidRPr="00D85A4F">
              <w:rPr>
                <w:rFonts w:ascii="Arial" w:hAnsi="Arial" w:cs="Arial"/>
                <w:b/>
                <w:sz w:val="36"/>
                <w:szCs w:val="36"/>
              </w:rPr>
              <w:t>Mental Health (Compulsory Assessment and Treatment) Act 1992 (‘ministerial long leave’)</w:t>
            </w:r>
            <w:bookmarkEnd w:id="299"/>
          </w:p>
        </w:tc>
        <w:tc>
          <w:tcPr>
            <w:tcW w:w="2699" w:type="dxa"/>
            <w:gridSpan w:val="9"/>
          </w:tcPr>
          <w:p w14:paraId="1E156D0F" w14:textId="77777777" w:rsidR="00025FEB" w:rsidRPr="00D85A4F" w:rsidRDefault="00025FEB" w:rsidP="00AD0359">
            <w:pPr>
              <w:ind w:right="-57"/>
              <w:jc w:val="right"/>
              <w:rPr>
                <w:rFonts w:ascii="Arial" w:hAnsi="Arial" w:cs="Arial"/>
                <w:noProof/>
                <w:sz w:val="36"/>
                <w:szCs w:val="36"/>
                <w:lang w:eastAsia="en-NZ"/>
              </w:rPr>
            </w:pPr>
            <w:r>
              <w:rPr>
                <w:noProof/>
              </w:rPr>
              <w:drawing>
                <wp:anchor distT="0" distB="0" distL="114300" distR="114300" simplePos="0" relativeHeight="251664384" behindDoc="0" locked="0" layoutInCell="1" allowOverlap="1" wp14:anchorId="63D9F5B8" wp14:editId="14A2988A">
                  <wp:simplePos x="0" y="0"/>
                  <wp:positionH relativeFrom="column">
                    <wp:posOffset>1905</wp:posOffset>
                  </wp:positionH>
                  <wp:positionV relativeFrom="paragraph">
                    <wp:posOffset>2540</wp:posOffset>
                  </wp:positionV>
                  <wp:extent cx="1519555" cy="718185"/>
                  <wp:effectExtent l="0" t="0" r="4445" b="5715"/>
                  <wp:wrapNone/>
                  <wp:docPr id="12" name="Picture 1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inistry of Health 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5FEB" w:rsidRPr="00D85A4F" w14:paraId="40C1FAA1"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216" w:type="dxa"/>
            <w:tcBorders>
              <w:top w:val="nil"/>
              <w:left w:val="nil"/>
              <w:bottom w:val="single" w:sz="4" w:space="0" w:color="auto"/>
              <w:right w:val="nil"/>
            </w:tcBorders>
            <w:vAlign w:val="center"/>
          </w:tcPr>
          <w:p w14:paraId="6B2EF0C2" w14:textId="77777777" w:rsidR="00025FEB" w:rsidRPr="00D85A4F" w:rsidRDefault="00025FEB" w:rsidP="00AD0359">
            <w:pPr>
              <w:pStyle w:val="TableText"/>
              <w:spacing w:before="360" w:after="30"/>
              <w:ind w:left="-57"/>
              <w:rPr>
                <w:rFonts w:cs="Arial"/>
              </w:rPr>
            </w:pPr>
            <w:r w:rsidRPr="00D85A4F">
              <w:rPr>
                <w:rFonts w:cs="Arial"/>
              </w:rPr>
              <w:t>Patient’s first name(s)</w:t>
            </w:r>
          </w:p>
        </w:tc>
        <w:tc>
          <w:tcPr>
            <w:tcW w:w="287" w:type="dxa"/>
            <w:tcBorders>
              <w:top w:val="nil"/>
              <w:left w:val="nil"/>
              <w:bottom w:val="nil"/>
              <w:right w:val="nil"/>
            </w:tcBorders>
            <w:vAlign w:val="center"/>
          </w:tcPr>
          <w:p w14:paraId="02D73592" w14:textId="77777777" w:rsidR="00025FEB" w:rsidRPr="00D85A4F" w:rsidRDefault="00025FEB" w:rsidP="00AD0359">
            <w:pPr>
              <w:pStyle w:val="TableText"/>
              <w:spacing w:before="360" w:after="30"/>
              <w:jc w:val="center"/>
              <w:rPr>
                <w:rFonts w:cs="Arial"/>
              </w:rPr>
            </w:pPr>
          </w:p>
        </w:tc>
        <w:tc>
          <w:tcPr>
            <w:tcW w:w="4276" w:type="dxa"/>
            <w:gridSpan w:val="10"/>
            <w:tcBorders>
              <w:top w:val="nil"/>
              <w:left w:val="nil"/>
              <w:bottom w:val="single" w:sz="4" w:space="0" w:color="auto"/>
              <w:right w:val="nil"/>
            </w:tcBorders>
            <w:vAlign w:val="center"/>
          </w:tcPr>
          <w:p w14:paraId="152ED585" w14:textId="77777777" w:rsidR="00025FEB" w:rsidRPr="00D85A4F" w:rsidRDefault="00025FEB" w:rsidP="00AD0359">
            <w:pPr>
              <w:pStyle w:val="TableText"/>
              <w:spacing w:before="360" w:after="30"/>
              <w:ind w:left="-57"/>
              <w:rPr>
                <w:rFonts w:cs="Arial"/>
              </w:rPr>
            </w:pPr>
            <w:r w:rsidRPr="00D85A4F">
              <w:rPr>
                <w:rFonts w:cs="Arial"/>
              </w:rPr>
              <w:t>Patient’s last name</w:t>
            </w:r>
          </w:p>
        </w:tc>
      </w:tr>
      <w:tr w:rsidR="00025FEB" w:rsidRPr="00D85A4F" w14:paraId="76C39E53"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216" w:type="dxa"/>
            <w:tcBorders>
              <w:top w:val="single" w:sz="4" w:space="0" w:color="auto"/>
              <w:left w:val="single" w:sz="4" w:space="0" w:color="auto"/>
              <w:bottom w:val="single" w:sz="4" w:space="0" w:color="auto"/>
              <w:right w:val="single" w:sz="4" w:space="0" w:color="auto"/>
            </w:tcBorders>
            <w:vAlign w:val="center"/>
          </w:tcPr>
          <w:p w14:paraId="6CB8BC84"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c>
          <w:tcPr>
            <w:tcW w:w="287" w:type="dxa"/>
            <w:tcBorders>
              <w:top w:val="nil"/>
              <w:left w:val="single" w:sz="4" w:space="0" w:color="auto"/>
              <w:bottom w:val="nil"/>
              <w:right w:val="single" w:sz="4" w:space="0" w:color="auto"/>
            </w:tcBorders>
            <w:vAlign w:val="center"/>
          </w:tcPr>
          <w:p w14:paraId="0624FF7B" w14:textId="77777777" w:rsidR="00025FEB" w:rsidRPr="00D85A4F" w:rsidRDefault="00025FEB" w:rsidP="00AD0359">
            <w:pPr>
              <w:pStyle w:val="TableText"/>
              <w:jc w:val="center"/>
              <w:rPr>
                <w:rFonts w:cs="Arial"/>
              </w:rPr>
            </w:pPr>
          </w:p>
        </w:tc>
        <w:tc>
          <w:tcPr>
            <w:tcW w:w="4276" w:type="dxa"/>
            <w:gridSpan w:val="10"/>
            <w:tcBorders>
              <w:top w:val="single" w:sz="4" w:space="0" w:color="auto"/>
              <w:left w:val="single" w:sz="4" w:space="0" w:color="auto"/>
              <w:bottom w:val="single" w:sz="4" w:space="0" w:color="auto"/>
              <w:right w:val="single" w:sz="4" w:space="0" w:color="auto"/>
            </w:tcBorders>
            <w:vAlign w:val="center"/>
          </w:tcPr>
          <w:p w14:paraId="5469B7F9"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r>
      <w:tr w:rsidR="00025FEB" w:rsidRPr="00D85A4F" w14:paraId="42E80252"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267"/>
        </w:trPr>
        <w:tc>
          <w:tcPr>
            <w:tcW w:w="6216" w:type="dxa"/>
            <w:tcBorders>
              <w:top w:val="nil"/>
              <w:left w:val="nil"/>
              <w:bottom w:val="single" w:sz="4" w:space="0" w:color="auto"/>
              <w:right w:val="nil"/>
            </w:tcBorders>
            <w:shd w:val="clear" w:color="auto" w:fill="auto"/>
            <w:vAlign w:val="center"/>
          </w:tcPr>
          <w:p w14:paraId="499DD24F" w14:textId="77777777" w:rsidR="00025FEB" w:rsidRPr="00D85A4F" w:rsidRDefault="00025FEB" w:rsidP="00AD0359">
            <w:pPr>
              <w:pStyle w:val="TableText"/>
              <w:spacing w:before="240"/>
              <w:ind w:left="-57"/>
              <w:rPr>
                <w:rFonts w:cs="Arial"/>
              </w:rPr>
            </w:pPr>
            <w:r w:rsidRPr="00D85A4F">
              <w:rPr>
                <w:rFonts w:cs="Arial"/>
              </w:rPr>
              <w:t>Address</w:t>
            </w:r>
          </w:p>
        </w:tc>
        <w:tc>
          <w:tcPr>
            <w:tcW w:w="1864" w:type="dxa"/>
            <w:gridSpan w:val="2"/>
            <w:tcBorders>
              <w:top w:val="nil"/>
              <w:left w:val="nil"/>
              <w:bottom w:val="nil"/>
              <w:right w:val="nil"/>
            </w:tcBorders>
            <w:shd w:val="clear" w:color="auto" w:fill="auto"/>
            <w:vAlign w:val="center"/>
          </w:tcPr>
          <w:p w14:paraId="4699F9CA" w14:textId="77777777" w:rsidR="00025FEB" w:rsidRPr="00D85A4F" w:rsidRDefault="00025FEB" w:rsidP="00AD0359">
            <w:pPr>
              <w:pStyle w:val="TableText"/>
              <w:spacing w:before="240"/>
              <w:jc w:val="right"/>
              <w:rPr>
                <w:rFonts w:cs="Arial"/>
              </w:rPr>
            </w:pPr>
          </w:p>
        </w:tc>
        <w:tc>
          <w:tcPr>
            <w:tcW w:w="2688" w:type="dxa"/>
            <w:gridSpan w:val="8"/>
            <w:tcBorders>
              <w:top w:val="nil"/>
              <w:left w:val="nil"/>
              <w:bottom w:val="single" w:sz="4" w:space="0" w:color="auto"/>
              <w:right w:val="nil"/>
            </w:tcBorders>
            <w:shd w:val="clear" w:color="auto" w:fill="auto"/>
            <w:vAlign w:val="center"/>
          </w:tcPr>
          <w:p w14:paraId="1C10931A" w14:textId="77777777" w:rsidR="00025FEB" w:rsidRPr="00D85A4F" w:rsidRDefault="00025FEB" w:rsidP="00AD0359">
            <w:pPr>
              <w:pStyle w:val="TableText"/>
              <w:spacing w:before="240"/>
              <w:ind w:left="-57"/>
              <w:rPr>
                <w:rFonts w:cs="Arial"/>
              </w:rPr>
            </w:pPr>
          </w:p>
        </w:tc>
      </w:tr>
      <w:tr w:rsidR="00025FEB" w:rsidRPr="00D85A4F" w14:paraId="0999446E"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267"/>
        </w:trPr>
        <w:tc>
          <w:tcPr>
            <w:tcW w:w="6216" w:type="dxa"/>
            <w:vMerge w:val="restart"/>
            <w:tcBorders>
              <w:top w:val="single" w:sz="4" w:space="0" w:color="auto"/>
              <w:left w:val="single" w:sz="4" w:space="0" w:color="auto"/>
              <w:right w:val="single" w:sz="4" w:space="0" w:color="auto"/>
            </w:tcBorders>
            <w:shd w:val="clear" w:color="auto" w:fill="auto"/>
          </w:tcPr>
          <w:p w14:paraId="59ADCE44"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c>
          <w:tcPr>
            <w:tcW w:w="1864" w:type="dxa"/>
            <w:gridSpan w:val="2"/>
            <w:tcBorders>
              <w:top w:val="nil"/>
              <w:left w:val="single" w:sz="4" w:space="0" w:color="auto"/>
              <w:bottom w:val="nil"/>
              <w:right w:val="single" w:sz="4" w:space="0" w:color="auto"/>
            </w:tcBorders>
            <w:shd w:val="clear" w:color="auto" w:fill="auto"/>
            <w:vAlign w:val="center"/>
          </w:tcPr>
          <w:p w14:paraId="7BCEF5AB" w14:textId="77777777" w:rsidR="00025FEB" w:rsidRPr="00D85A4F" w:rsidRDefault="00025FEB" w:rsidP="00AD0359">
            <w:pPr>
              <w:pStyle w:val="TableText"/>
              <w:jc w:val="right"/>
              <w:rPr>
                <w:rFonts w:cs="Arial"/>
              </w:rPr>
            </w:pPr>
            <w:r w:rsidRPr="00D85A4F">
              <w:rPr>
                <w:rFonts w:cs="Arial"/>
              </w:rPr>
              <w:t>Date of birth</w:t>
            </w:r>
          </w:p>
        </w:tc>
        <w:tc>
          <w:tcPr>
            <w:tcW w:w="336" w:type="dxa"/>
            <w:tcBorders>
              <w:top w:val="single" w:sz="4" w:space="0" w:color="auto"/>
              <w:left w:val="single" w:sz="4" w:space="0" w:color="auto"/>
              <w:bottom w:val="single" w:sz="4" w:space="0" w:color="auto"/>
              <w:right w:val="single" w:sz="4" w:space="0" w:color="D9D9D9" w:themeColor="background1" w:themeShade="D9"/>
            </w:tcBorders>
            <w:shd w:val="clear" w:color="auto" w:fill="auto"/>
            <w:vAlign w:val="center"/>
          </w:tcPr>
          <w:p w14:paraId="4DB3A1B3"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36"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F4F1E2D"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36"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19458F7F"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36"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1C9ECB63"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36"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12ED5D0D"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36"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37176529"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36"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17909A88"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36" w:type="dxa"/>
            <w:tcBorders>
              <w:top w:val="single" w:sz="4" w:space="0" w:color="auto"/>
              <w:left w:val="single" w:sz="4" w:space="0" w:color="D9D9D9" w:themeColor="background1" w:themeShade="D9"/>
              <w:bottom w:val="single" w:sz="4" w:space="0" w:color="auto"/>
              <w:right w:val="single" w:sz="4" w:space="0" w:color="auto"/>
            </w:tcBorders>
            <w:shd w:val="clear" w:color="auto" w:fill="auto"/>
            <w:vAlign w:val="center"/>
          </w:tcPr>
          <w:p w14:paraId="21851592"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r>
      <w:tr w:rsidR="00025FEB" w:rsidRPr="00D85A4F" w14:paraId="147885E6"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267"/>
        </w:trPr>
        <w:tc>
          <w:tcPr>
            <w:tcW w:w="6216" w:type="dxa"/>
            <w:vMerge/>
            <w:tcBorders>
              <w:left w:val="single" w:sz="4" w:space="0" w:color="auto"/>
              <w:right w:val="single" w:sz="4" w:space="0" w:color="auto"/>
            </w:tcBorders>
            <w:shd w:val="clear" w:color="auto" w:fill="auto"/>
            <w:vAlign w:val="center"/>
          </w:tcPr>
          <w:p w14:paraId="57E2E0E3" w14:textId="77777777" w:rsidR="00025FEB" w:rsidRPr="00D85A4F" w:rsidRDefault="00025FEB" w:rsidP="00AD0359">
            <w:pPr>
              <w:pStyle w:val="TableText"/>
              <w:rPr>
                <w:rFonts w:cs="Arial"/>
              </w:rPr>
            </w:pPr>
          </w:p>
        </w:tc>
        <w:tc>
          <w:tcPr>
            <w:tcW w:w="1864" w:type="dxa"/>
            <w:gridSpan w:val="2"/>
            <w:tcBorders>
              <w:top w:val="nil"/>
              <w:left w:val="single" w:sz="4" w:space="0" w:color="auto"/>
              <w:bottom w:val="nil"/>
              <w:right w:val="nil"/>
            </w:tcBorders>
            <w:shd w:val="clear" w:color="auto" w:fill="auto"/>
            <w:vAlign w:val="center"/>
          </w:tcPr>
          <w:p w14:paraId="35DA55C2" w14:textId="77777777" w:rsidR="00025FEB" w:rsidRPr="00D85A4F" w:rsidRDefault="00025FEB" w:rsidP="00AD0359">
            <w:pPr>
              <w:pStyle w:val="TableText"/>
              <w:jc w:val="right"/>
              <w:rPr>
                <w:rFonts w:cs="Arial"/>
              </w:rPr>
            </w:pPr>
          </w:p>
        </w:tc>
        <w:tc>
          <w:tcPr>
            <w:tcW w:w="2688" w:type="dxa"/>
            <w:gridSpan w:val="8"/>
            <w:tcBorders>
              <w:top w:val="single" w:sz="4" w:space="0" w:color="auto"/>
              <w:left w:val="nil"/>
              <w:bottom w:val="nil"/>
              <w:right w:val="nil"/>
            </w:tcBorders>
            <w:shd w:val="clear" w:color="auto" w:fill="auto"/>
            <w:vAlign w:val="center"/>
          </w:tcPr>
          <w:p w14:paraId="1418BF88" w14:textId="77777777" w:rsidR="00025FEB" w:rsidRPr="00D85A4F" w:rsidRDefault="00025FEB" w:rsidP="00AD0359">
            <w:pPr>
              <w:pStyle w:val="TableText"/>
              <w:rPr>
                <w:rFonts w:cs="Arial"/>
              </w:rPr>
            </w:pPr>
          </w:p>
        </w:tc>
      </w:tr>
      <w:tr w:rsidR="00025FEB" w:rsidRPr="00D85A4F" w14:paraId="43A76E35"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267"/>
        </w:trPr>
        <w:tc>
          <w:tcPr>
            <w:tcW w:w="6216" w:type="dxa"/>
            <w:vMerge/>
            <w:tcBorders>
              <w:left w:val="single" w:sz="4" w:space="0" w:color="auto"/>
              <w:bottom w:val="single" w:sz="4" w:space="0" w:color="auto"/>
              <w:right w:val="single" w:sz="4" w:space="0" w:color="auto"/>
            </w:tcBorders>
            <w:shd w:val="clear" w:color="auto" w:fill="auto"/>
            <w:vAlign w:val="center"/>
          </w:tcPr>
          <w:p w14:paraId="6EB57296" w14:textId="77777777" w:rsidR="00025FEB" w:rsidRPr="00D85A4F" w:rsidRDefault="00025FEB" w:rsidP="00AD0359">
            <w:pPr>
              <w:pStyle w:val="TableText"/>
              <w:rPr>
                <w:rFonts w:cs="Arial"/>
              </w:rPr>
            </w:pPr>
          </w:p>
        </w:tc>
        <w:tc>
          <w:tcPr>
            <w:tcW w:w="1864" w:type="dxa"/>
            <w:gridSpan w:val="2"/>
            <w:tcBorders>
              <w:top w:val="nil"/>
              <w:left w:val="single" w:sz="4" w:space="0" w:color="auto"/>
              <w:bottom w:val="nil"/>
              <w:right w:val="nil"/>
            </w:tcBorders>
            <w:shd w:val="clear" w:color="auto" w:fill="auto"/>
            <w:vAlign w:val="center"/>
          </w:tcPr>
          <w:p w14:paraId="41F9E0E0" w14:textId="77777777" w:rsidR="00025FEB" w:rsidRPr="00D85A4F" w:rsidRDefault="00025FEB" w:rsidP="00AD0359">
            <w:pPr>
              <w:pStyle w:val="TableText"/>
              <w:jc w:val="right"/>
              <w:rPr>
                <w:rFonts w:cs="Arial"/>
              </w:rPr>
            </w:pPr>
          </w:p>
        </w:tc>
        <w:tc>
          <w:tcPr>
            <w:tcW w:w="2688" w:type="dxa"/>
            <w:gridSpan w:val="8"/>
            <w:tcBorders>
              <w:top w:val="nil"/>
              <w:left w:val="nil"/>
              <w:bottom w:val="nil"/>
              <w:right w:val="nil"/>
            </w:tcBorders>
            <w:shd w:val="clear" w:color="auto" w:fill="auto"/>
            <w:vAlign w:val="center"/>
          </w:tcPr>
          <w:p w14:paraId="2A34B8EF" w14:textId="77777777" w:rsidR="00025FEB" w:rsidRPr="00D85A4F" w:rsidRDefault="00025FEB" w:rsidP="00AD0359">
            <w:pPr>
              <w:pStyle w:val="TableText"/>
              <w:rPr>
                <w:rFonts w:cs="Arial"/>
              </w:rPr>
            </w:pPr>
          </w:p>
        </w:tc>
      </w:tr>
    </w:tbl>
    <w:p w14:paraId="093BC8BD" w14:textId="77777777" w:rsidR="00025FEB" w:rsidRPr="00D85A4F" w:rsidRDefault="00025FEB" w:rsidP="00025FEB">
      <w:pPr>
        <w:spacing w:before="120"/>
      </w:pPr>
    </w:p>
    <w:tbl>
      <w:tblPr>
        <w:tblStyle w:val="TableGrid"/>
        <w:tblW w:w="10774" w:type="dxa"/>
        <w:tblInd w:w="57" w:type="dxa"/>
        <w:tblLayout w:type="fixed"/>
        <w:tblCellMar>
          <w:left w:w="57" w:type="dxa"/>
          <w:right w:w="57" w:type="dxa"/>
        </w:tblCellMar>
        <w:tblLook w:val="04A0" w:firstRow="1" w:lastRow="0" w:firstColumn="1" w:lastColumn="0" w:noHBand="0" w:noVBand="1"/>
      </w:tblPr>
      <w:tblGrid>
        <w:gridCol w:w="284"/>
        <w:gridCol w:w="10490"/>
      </w:tblGrid>
      <w:tr w:rsidR="00025FEB" w:rsidRPr="00D85A4F" w14:paraId="2C441191" w14:textId="77777777" w:rsidTr="00AD0359">
        <w:trPr>
          <w:cantSplit/>
        </w:trPr>
        <w:tc>
          <w:tcPr>
            <w:tcW w:w="10774" w:type="dxa"/>
            <w:gridSpan w:val="2"/>
            <w:tcBorders>
              <w:top w:val="nil"/>
              <w:left w:val="nil"/>
              <w:bottom w:val="nil"/>
              <w:right w:val="nil"/>
            </w:tcBorders>
            <w:vAlign w:val="center"/>
          </w:tcPr>
          <w:p w14:paraId="5590BA33" w14:textId="77777777" w:rsidR="00025FEB" w:rsidRPr="00D85A4F" w:rsidRDefault="00025FEB" w:rsidP="00AD0359">
            <w:pPr>
              <w:pStyle w:val="TableText"/>
              <w:spacing w:before="120" w:after="30"/>
              <w:ind w:left="-57"/>
              <w:rPr>
                <w:rFonts w:cs="Arial"/>
              </w:rPr>
            </w:pPr>
            <w:r w:rsidRPr="00D85A4F">
              <w:rPr>
                <w:rFonts w:cs="Arial"/>
              </w:rPr>
              <w:t>I have: (delete one)</w:t>
            </w:r>
          </w:p>
        </w:tc>
      </w:tr>
      <w:tr w:rsidR="00025FEB" w:rsidRPr="00D85A4F" w14:paraId="7A8A00AD" w14:textId="77777777" w:rsidTr="00AD0359">
        <w:trPr>
          <w:cantSplit/>
        </w:trPr>
        <w:tc>
          <w:tcPr>
            <w:tcW w:w="284" w:type="dxa"/>
            <w:tcBorders>
              <w:top w:val="nil"/>
              <w:left w:val="nil"/>
              <w:bottom w:val="nil"/>
              <w:right w:val="nil"/>
            </w:tcBorders>
            <w:vAlign w:val="center"/>
          </w:tcPr>
          <w:p w14:paraId="4A62B5C0" w14:textId="77777777" w:rsidR="00025FEB" w:rsidRPr="00D85A4F" w:rsidRDefault="00025FEB" w:rsidP="00AD0359">
            <w:pPr>
              <w:pStyle w:val="TableText"/>
              <w:ind w:left="-57"/>
            </w:pPr>
            <w:r w:rsidRPr="00D85A4F">
              <w:rPr>
                <w:rFonts w:cs="Arial"/>
                <w:sz w:val="24"/>
                <w:szCs w:val="24"/>
              </w:rPr>
              <w:fldChar w:fldCharType="begin">
                <w:ffData>
                  <w:name w:val="Check2"/>
                  <w:enabled/>
                  <w:calcOnExit w:val="0"/>
                  <w:checkBox>
                    <w:sizeAuto/>
                    <w:default w:val="0"/>
                  </w:checkBox>
                </w:ffData>
              </w:fldChar>
            </w:r>
            <w:r w:rsidRPr="00D85A4F">
              <w:rPr>
                <w:rFonts w:cs="Arial"/>
                <w:sz w:val="24"/>
                <w:szCs w:val="24"/>
              </w:rPr>
              <w:instrText xml:space="preserve"> FORMCHECKBOX </w:instrText>
            </w:r>
            <w:r w:rsidR="000D2E1E">
              <w:rPr>
                <w:rFonts w:cs="Arial"/>
                <w:sz w:val="24"/>
                <w:szCs w:val="24"/>
              </w:rPr>
            </w:r>
            <w:r w:rsidR="000D2E1E">
              <w:rPr>
                <w:rFonts w:cs="Arial"/>
                <w:sz w:val="24"/>
                <w:szCs w:val="24"/>
              </w:rPr>
              <w:fldChar w:fldCharType="separate"/>
            </w:r>
            <w:r w:rsidRPr="00D85A4F">
              <w:rPr>
                <w:rFonts w:cs="Arial"/>
                <w:sz w:val="24"/>
                <w:szCs w:val="24"/>
              </w:rPr>
              <w:fldChar w:fldCharType="end"/>
            </w:r>
          </w:p>
        </w:tc>
        <w:tc>
          <w:tcPr>
            <w:tcW w:w="10490" w:type="dxa"/>
            <w:tcBorders>
              <w:top w:val="nil"/>
              <w:left w:val="nil"/>
              <w:bottom w:val="nil"/>
              <w:right w:val="nil"/>
            </w:tcBorders>
            <w:vAlign w:val="center"/>
          </w:tcPr>
          <w:p w14:paraId="47E36AEE" w14:textId="77777777" w:rsidR="00025FEB" w:rsidRPr="00D85A4F" w:rsidRDefault="00025FEB" w:rsidP="00AD0359">
            <w:pPr>
              <w:pStyle w:val="TableText"/>
              <w:rPr>
                <w:rFonts w:cs="Arial"/>
              </w:rPr>
            </w:pPr>
            <w:r w:rsidRPr="00D85A4F">
              <w:rPr>
                <w:rFonts w:cs="Arial"/>
              </w:rPr>
              <w:t>requested or</w:t>
            </w:r>
          </w:p>
        </w:tc>
      </w:tr>
      <w:tr w:rsidR="00025FEB" w:rsidRPr="00D85A4F" w14:paraId="65E9E3C4" w14:textId="77777777" w:rsidTr="00AD0359">
        <w:trPr>
          <w:cantSplit/>
        </w:trPr>
        <w:tc>
          <w:tcPr>
            <w:tcW w:w="284" w:type="dxa"/>
            <w:tcBorders>
              <w:top w:val="nil"/>
              <w:left w:val="nil"/>
              <w:bottom w:val="nil"/>
              <w:right w:val="nil"/>
            </w:tcBorders>
            <w:vAlign w:val="center"/>
          </w:tcPr>
          <w:p w14:paraId="1B48F359" w14:textId="77777777" w:rsidR="00025FEB" w:rsidRPr="00D85A4F" w:rsidRDefault="00025FEB" w:rsidP="00AD0359">
            <w:pPr>
              <w:pStyle w:val="TableText"/>
              <w:ind w:left="-57"/>
            </w:pPr>
            <w:r w:rsidRPr="00D85A4F">
              <w:rPr>
                <w:rFonts w:cs="Arial"/>
                <w:sz w:val="24"/>
                <w:szCs w:val="24"/>
              </w:rPr>
              <w:fldChar w:fldCharType="begin">
                <w:ffData>
                  <w:name w:val="Check2"/>
                  <w:enabled/>
                  <w:calcOnExit w:val="0"/>
                  <w:checkBox>
                    <w:sizeAuto/>
                    <w:default w:val="0"/>
                  </w:checkBox>
                </w:ffData>
              </w:fldChar>
            </w:r>
            <w:r w:rsidRPr="00D85A4F">
              <w:rPr>
                <w:rFonts w:cs="Arial"/>
                <w:sz w:val="24"/>
                <w:szCs w:val="24"/>
              </w:rPr>
              <w:instrText xml:space="preserve"> FORMCHECKBOX </w:instrText>
            </w:r>
            <w:r w:rsidR="000D2E1E">
              <w:rPr>
                <w:rFonts w:cs="Arial"/>
                <w:sz w:val="24"/>
                <w:szCs w:val="24"/>
              </w:rPr>
            </w:r>
            <w:r w:rsidR="000D2E1E">
              <w:rPr>
                <w:rFonts w:cs="Arial"/>
                <w:sz w:val="24"/>
                <w:szCs w:val="24"/>
              </w:rPr>
              <w:fldChar w:fldCharType="separate"/>
            </w:r>
            <w:r w:rsidRPr="00D85A4F">
              <w:rPr>
                <w:rFonts w:cs="Arial"/>
                <w:sz w:val="24"/>
                <w:szCs w:val="24"/>
              </w:rPr>
              <w:fldChar w:fldCharType="end"/>
            </w:r>
          </w:p>
        </w:tc>
        <w:tc>
          <w:tcPr>
            <w:tcW w:w="10490" w:type="dxa"/>
            <w:tcBorders>
              <w:top w:val="nil"/>
              <w:left w:val="nil"/>
              <w:bottom w:val="nil"/>
              <w:right w:val="nil"/>
            </w:tcBorders>
            <w:vAlign w:val="center"/>
          </w:tcPr>
          <w:p w14:paraId="58AC529B" w14:textId="77777777" w:rsidR="00025FEB" w:rsidRPr="00D85A4F" w:rsidRDefault="00025FEB" w:rsidP="00AD0359">
            <w:pPr>
              <w:pStyle w:val="TableText"/>
              <w:rPr>
                <w:rFonts w:cs="Arial"/>
              </w:rPr>
            </w:pPr>
            <w:r w:rsidRPr="00D85A4F">
              <w:rPr>
                <w:rFonts w:cs="Arial"/>
              </w:rPr>
              <w:t>agreed</w:t>
            </w:r>
            <w:r>
              <w:rPr>
                <w:rFonts w:cs="Arial"/>
              </w:rPr>
              <w:t xml:space="preserve"> to</w:t>
            </w:r>
          </w:p>
        </w:tc>
      </w:tr>
      <w:tr w:rsidR="00025FEB" w:rsidRPr="00D85A4F" w14:paraId="4E710C82" w14:textId="77777777" w:rsidTr="00AD0359">
        <w:trPr>
          <w:cantSplit/>
        </w:trPr>
        <w:tc>
          <w:tcPr>
            <w:tcW w:w="10774" w:type="dxa"/>
            <w:gridSpan w:val="2"/>
            <w:tcBorders>
              <w:top w:val="nil"/>
              <w:left w:val="nil"/>
              <w:bottom w:val="nil"/>
              <w:right w:val="nil"/>
            </w:tcBorders>
            <w:vAlign w:val="center"/>
          </w:tcPr>
          <w:p w14:paraId="58D3BFC7" w14:textId="77777777" w:rsidR="00025FEB" w:rsidRPr="00D85A4F" w:rsidRDefault="00025FEB" w:rsidP="00AD0359">
            <w:pPr>
              <w:pStyle w:val="TableText"/>
              <w:spacing w:after="30"/>
              <w:ind w:left="-57"/>
              <w:rPr>
                <w:rFonts w:cs="Arial"/>
              </w:rPr>
            </w:pPr>
            <w:r w:rsidRPr="00D85A4F">
              <w:rPr>
                <w:rFonts w:cs="Arial"/>
              </w:rPr>
              <w:t>voluntary inpatient admission and treatment. I understand that I may withdraw my consent at any time.</w:t>
            </w:r>
          </w:p>
        </w:tc>
      </w:tr>
    </w:tbl>
    <w:p w14:paraId="61F9C18C" w14:textId="77777777" w:rsidR="00025FEB" w:rsidRPr="00D85A4F" w:rsidRDefault="00025FEB" w:rsidP="00025FEB">
      <w:pPr>
        <w:spacing w:before="240"/>
      </w:pPr>
    </w:p>
    <w:tbl>
      <w:tblPr>
        <w:tblStyle w:val="TableGrid"/>
        <w:tblW w:w="10774" w:type="dxa"/>
        <w:tblInd w:w="57" w:type="dxa"/>
        <w:tblLayout w:type="fixed"/>
        <w:tblCellMar>
          <w:left w:w="57" w:type="dxa"/>
          <w:right w:w="57" w:type="dxa"/>
        </w:tblCellMar>
        <w:tblLook w:val="04A0" w:firstRow="1" w:lastRow="0" w:firstColumn="1" w:lastColumn="0" w:noHBand="0" w:noVBand="1"/>
      </w:tblPr>
      <w:tblGrid>
        <w:gridCol w:w="284"/>
        <w:gridCol w:w="10490"/>
      </w:tblGrid>
      <w:tr w:rsidR="00025FEB" w:rsidRPr="00D85A4F" w14:paraId="4FCC202B" w14:textId="77777777" w:rsidTr="00AD0359">
        <w:trPr>
          <w:cantSplit/>
        </w:trPr>
        <w:tc>
          <w:tcPr>
            <w:tcW w:w="10774" w:type="dxa"/>
            <w:gridSpan w:val="2"/>
            <w:tcBorders>
              <w:top w:val="nil"/>
              <w:left w:val="nil"/>
              <w:bottom w:val="nil"/>
              <w:right w:val="nil"/>
            </w:tcBorders>
            <w:vAlign w:val="center"/>
          </w:tcPr>
          <w:p w14:paraId="45830E65" w14:textId="77777777" w:rsidR="00025FEB" w:rsidRPr="00D85A4F" w:rsidRDefault="00025FEB" w:rsidP="00AD0359">
            <w:pPr>
              <w:pStyle w:val="TableText"/>
              <w:spacing w:before="120" w:after="30"/>
              <w:ind w:left="-57"/>
              <w:rPr>
                <w:rFonts w:cs="Arial"/>
              </w:rPr>
            </w:pPr>
            <w:r w:rsidRPr="00D85A4F">
              <w:rPr>
                <w:rFonts w:cs="Arial"/>
              </w:rPr>
              <w:t>The following people will be notified of this admission:</w:t>
            </w:r>
          </w:p>
        </w:tc>
      </w:tr>
      <w:tr w:rsidR="00025FEB" w:rsidRPr="00D85A4F" w14:paraId="51FCDD29" w14:textId="77777777" w:rsidTr="00AD0359">
        <w:trPr>
          <w:cantSplit/>
        </w:trPr>
        <w:tc>
          <w:tcPr>
            <w:tcW w:w="284" w:type="dxa"/>
            <w:tcBorders>
              <w:top w:val="nil"/>
              <w:left w:val="nil"/>
              <w:bottom w:val="nil"/>
              <w:right w:val="nil"/>
            </w:tcBorders>
            <w:vAlign w:val="center"/>
          </w:tcPr>
          <w:p w14:paraId="64FAE58A" w14:textId="77777777" w:rsidR="00025FEB" w:rsidRPr="00D85A4F" w:rsidRDefault="00025FEB" w:rsidP="00AD0359">
            <w:pPr>
              <w:pStyle w:val="TableText"/>
              <w:ind w:left="-57"/>
            </w:pPr>
            <w:r w:rsidRPr="00D85A4F">
              <w:rPr>
                <w:rFonts w:cs="Arial"/>
                <w:sz w:val="24"/>
                <w:szCs w:val="24"/>
              </w:rPr>
              <w:fldChar w:fldCharType="begin">
                <w:ffData>
                  <w:name w:val="Check2"/>
                  <w:enabled/>
                  <w:calcOnExit w:val="0"/>
                  <w:checkBox>
                    <w:sizeAuto/>
                    <w:default w:val="0"/>
                  </w:checkBox>
                </w:ffData>
              </w:fldChar>
            </w:r>
            <w:r w:rsidRPr="00D85A4F">
              <w:rPr>
                <w:rFonts w:cs="Arial"/>
                <w:sz w:val="24"/>
                <w:szCs w:val="24"/>
              </w:rPr>
              <w:instrText xml:space="preserve"> FORMCHECKBOX </w:instrText>
            </w:r>
            <w:r w:rsidR="000D2E1E">
              <w:rPr>
                <w:rFonts w:cs="Arial"/>
                <w:sz w:val="24"/>
                <w:szCs w:val="24"/>
              </w:rPr>
            </w:r>
            <w:r w:rsidR="000D2E1E">
              <w:rPr>
                <w:rFonts w:cs="Arial"/>
                <w:sz w:val="24"/>
                <w:szCs w:val="24"/>
              </w:rPr>
              <w:fldChar w:fldCharType="separate"/>
            </w:r>
            <w:r w:rsidRPr="00D85A4F">
              <w:rPr>
                <w:rFonts w:cs="Arial"/>
                <w:sz w:val="24"/>
                <w:szCs w:val="24"/>
              </w:rPr>
              <w:fldChar w:fldCharType="end"/>
            </w:r>
          </w:p>
        </w:tc>
        <w:tc>
          <w:tcPr>
            <w:tcW w:w="10490" w:type="dxa"/>
            <w:tcBorders>
              <w:top w:val="nil"/>
              <w:left w:val="nil"/>
              <w:bottom w:val="nil"/>
              <w:right w:val="nil"/>
            </w:tcBorders>
            <w:vAlign w:val="center"/>
          </w:tcPr>
          <w:p w14:paraId="0844C9C2" w14:textId="77777777" w:rsidR="00025FEB" w:rsidRPr="00D85A4F" w:rsidRDefault="00025FEB" w:rsidP="00AD0359">
            <w:pPr>
              <w:pStyle w:val="TableText"/>
              <w:rPr>
                <w:rFonts w:cs="Arial"/>
              </w:rPr>
            </w:pPr>
            <w:r w:rsidRPr="00D85A4F">
              <w:rPr>
                <w:rFonts w:cs="Arial"/>
              </w:rPr>
              <w:t>Welfare guardian (if applicable)</w:t>
            </w:r>
          </w:p>
        </w:tc>
      </w:tr>
      <w:tr w:rsidR="00025FEB" w:rsidRPr="00D85A4F" w14:paraId="4737F3A3" w14:textId="77777777" w:rsidTr="00AD0359">
        <w:trPr>
          <w:cantSplit/>
        </w:trPr>
        <w:tc>
          <w:tcPr>
            <w:tcW w:w="284" w:type="dxa"/>
            <w:tcBorders>
              <w:top w:val="nil"/>
              <w:left w:val="nil"/>
              <w:bottom w:val="nil"/>
              <w:right w:val="nil"/>
            </w:tcBorders>
            <w:vAlign w:val="center"/>
          </w:tcPr>
          <w:p w14:paraId="6CBD44E2" w14:textId="77777777" w:rsidR="00025FEB" w:rsidRPr="00D85A4F" w:rsidRDefault="00025FEB" w:rsidP="00AD0359">
            <w:pPr>
              <w:pStyle w:val="TableText"/>
              <w:ind w:left="-57"/>
            </w:pPr>
            <w:r w:rsidRPr="00D85A4F">
              <w:rPr>
                <w:rFonts w:cs="Arial"/>
                <w:sz w:val="24"/>
                <w:szCs w:val="24"/>
              </w:rPr>
              <w:fldChar w:fldCharType="begin">
                <w:ffData>
                  <w:name w:val="Check2"/>
                  <w:enabled/>
                  <w:calcOnExit w:val="0"/>
                  <w:checkBox>
                    <w:sizeAuto/>
                    <w:default w:val="0"/>
                  </w:checkBox>
                </w:ffData>
              </w:fldChar>
            </w:r>
            <w:r w:rsidRPr="00D85A4F">
              <w:rPr>
                <w:rFonts w:cs="Arial"/>
                <w:sz w:val="24"/>
                <w:szCs w:val="24"/>
              </w:rPr>
              <w:instrText xml:space="preserve"> FORMCHECKBOX </w:instrText>
            </w:r>
            <w:r w:rsidR="000D2E1E">
              <w:rPr>
                <w:rFonts w:cs="Arial"/>
                <w:sz w:val="24"/>
                <w:szCs w:val="24"/>
              </w:rPr>
            </w:r>
            <w:r w:rsidR="000D2E1E">
              <w:rPr>
                <w:rFonts w:cs="Arial"/>
                <w:sz w:val="24"/>
                <w:szCs w:val="24"/>
              </w:rPr>
              <w:fldChar w:fldCharType="separate"/>
            </w:r>
            <w:r w:rsidRPr="00D85A4F">
              <w:rPr>
                <w:rFonts w:cs="Arial"/>
                <w:sz w:val="24"/>
                <w:szCs w:val="24"/>
              </w:rPr>
              <w:fldChar w:fldCharType="end"/>
            </w:r>
          </w:p>
        </w:tc>
        <w:tc>
          <w:tcPr>
            <w:tcW w:w="10490" w:type="dxa"/>
            <w:tcBorders>
              <w:top w:val="nil"/>
              <w:left w:val="nil"/>
              <w:bottom w:val="nil"/>
              <w:right w:val="nil"/>
            </w:tcBorders>
            <w:vAlign w:val="center"/>
          </w:tcPr>
          <w:p w14:paraId="34088DE2" w14:textId="77777777" w:rsidR="00025FEB" w:rsidRPr="00D85A4F" w:rsidRDefault="00025FEB" w:rsidP="00AD0359">
            <w:pPr>
              <w:pStyle w:val="TableText"/>
              <w:rPr>
                <w:rFonts w:cs="Arial"/>
              </w:rPr>
            </w:pPr>
            <w:r w:rsidRPr="00D85A4F">
              <w:rPr>
                <w:rFonts w:cs="Arial"/>
              </w:rPr>
              <w:t>District inspectors</w:t>
            </w:r>
          </w:p>
        </w:tc>
      </w:tr>
      <w:tr w:rsidR="00025FEB" w:rsidRPr="00D85A4F" w14:paraId="47DF7F9B" w14:textId="77777777" w:rsidTr="00AD0359">
        <w:trPr>
          <w:cantSplit/>
        </w:trPr>
        <w:tc>
          <w:tcPr>
            <w:tcW w:w="284" w:type="dxa"/>
            <w:tcBorders>
              <w:top w:val="nil"/>
              <w:left w:val="nil"/>
              <w:bottom w:val="nil"/>
              <w:right w:val="nil"/>
            </w:tcBorders>
            <w:vAlign w:val="center"/>
          </w:tcPr>
          <w:p w14:paraId="488A9A91" w14:textId="77777777" w:rsidR="00025FEB" w:rsidRPr="00D85A4F" w:rsidRDefault="00025FEB" w:rsidP="00AD0359">
            <w:pPr>
              <w:pStyle w:val="TableText"/>
              <w:ind w:left="-57"/>
            </w:pPr>
            <w:r w:rsidRPr="00D85A4F">
              <w:rPr>
                <w:rFonts w:cs="Arial"/>
                <w:sz w:val="24"/>
                <w:szCs w:val="24"/>
              </w:rPr>
              <w:fldChar w:fldCharType="begin">
                <w:ffData>
                  <w:name w:val="Check2"/>
                  <w:enabled/>
                  <w:calcOnExit w:val="0"/>
                  <w:checkBox>
                    <w:sizeAuto/>
                    <w:default w:val="0"/>
                  </w:checkBox>
                </w:ffData>
              </w:fldChar>
            </w:r>
            <w:r w:rsidRPr="00D85A4F">
              <w:rPr>
                <w:rFonts w:cs="Arial"/>
                <w:sz w:val="24"/>
                <w:szCs w:val="24"/>
              </w:rPr>
              <w:instrText xml:space="preserve"> FORMCHECKBOX </w:instrText>
            </w:r>
            <w:r w:rsidR="000D2E1E">
              <w:rPr>
                <w:rFonts w:cs="Arial"/>
                <w:sz w:val="24"/>
                <w:szCs w:val="24"/>
              </w:rPr>
            </w:r>
            <w:r w:rsidR="000D2E1E">
              <w:rPr>
                <w:rFonts w:cs="Arial"/>
                <w:sz w:val="24"/>
                <w:szCs w:val="24"/>
              </w:rPr>
              <w:fldChar w:fldCharType="separate"/>
            </w:r>
            <w:r w:rsidRPr="00D85A4F">
              <w:rPr>
                <w:rFonts w:cs="Arial"/>
                <w:sz w:val="24"/>
                <w:szCs w:val="24"/>
              </w:rPr>
              <w:fldChar w:fldCharType="end"/>
            </w:r>
          </w:p>
        </w:tc>
        <w:tc>
          <w:tcPr>
            <w:tcW w:w="10490" w:type="dxa"/>
            <w:tcBorders>
              <w:top w:val="nil"/>
              <w:left w:val="nil"/>
              <w:bottom w:val="nil"/>
              <w:right w:val="nil"/>
            </w:tcBorders>
            <w:vAlign w:val="center"/>
          </w:tcPr>
          <w:p w14:paraId="08588B2A" w14:textId="77777777" w:rsidR="00025FEB" w:rsidRPr="00D85A4F" w:rsidRDefault="00025FEB" w:rsidP="00AD0359">
            <w:pPr>
              <w:pStyle w:val="TableText"/>
              <w:rPr>
                <w:rFonts w:cs="Arial"/>
              </w:rPr>
            </w:pPr>
            <w:r w:rsidRPr="00D85A4F">
              <w:rPr>
                <w:rFonts w:cs="Arial"/>
              </w:rPr>
              <w:t>DAMHS office</w:t>
            </w:r>
          </w:p>
        </w:tc>
      </w:tr>
      <w:tr w:rsidR="00025FEB" w:rsidRPr="00D85A4F" w14:paraId="1C2D6558" w14:textId="77777777" w:rsidTr="00AD0359">
        <w:trPr>
          <w:cantSplit/>
        </w:trPr>
        <w:tc>
          <w:tcPr>
            <w:tcW w:w="284" w:type="dxa"/>
            <w:tcBorders>
              <w:top w:val="nil"/>
              <w:left w:val="nil"/>
              <w:bottom w:val="nil"/>
              <w:right w:val="nil"/>
            </w:tcBorders>
            <w:vAlign w:val="center"/>
          </w:tcPr>
          <w:p w14:paraId="642F43BC" w14:textId="77777777" w:rsidR="00025FEB" w:rsidRPr="00D85A4F" w:rsidRDefault="00025FEB" w:rsidP="00AD0359">
            <w:pPr>
              <w:pStyle w:val="TableText"/>
              <w:ind w:left="-57"/>
            </w:pPr>
            <w:r w:rsidRPr="00D85A4F">
              <w:rPr>
                <w:rFonts w:cs="Arial"/>
                <w:sz w:val="24"/>
                <w:szCs w:val="24"/>
              </w:rPr>
              <w:fldChar w:fldCharType="begin">
                <w:ffData>
                  <w:name w:val="Check2"/>
                  <w:enabled/>
                  <w:calcOnExit w:val="0"/>
                  <w:checkBox>
                    <w:sizeAuto/>
                    <w:default w:val="0"/>
                  </w:checkBox>
                </w:ffData>
              </w:fldChar>
            </w:r>
            <w:r w:rsidRPr="00D85A4F">
              <w:rPr>
                <w:rFonts w:cs="Arial"/>
                <w:sz w:val="24"/>
                <w:szCs w:val="24"/>
              </w:rPr>
              <w:instrText xml:space="preserve"> FORMCHECKBOX </w:instrText>
            </w:r>
            <w:r w:rsidR="000D2E1E">
              <w:rPr>
                <w:rFonts w:cs="Arial"/>
                <w:sz w:val="24"/>
                <w:szCs w:val="24"/>
              </w:rPr>
            </w:r>
            <w:r w:rsidR="000D2E1E">
              <w:rPr>
                <w:rFonts w:cs="Arial"/>
                <w:sz w:val="24"/>
                <w:szCs w:val="24"/>
              </w:rPr>
              <w:fldChar w:fldCharType="separate"/>
            </w:r>
            <w:r w:rsidRPr="00D85A4F">
              <w:rPr>
                <w:rFonts w:cs="Arial"/>
                <w:sz w:val="24"/>
                <w:szCs w:val="24"/>
              </w:rPr>
              <w:fldChar w:fldCharType="end"/>
            </w:r>
          </w:p>
        </w:tc>
        <w:tc>
          <w:tcPr>
            <w:tcW w:w="10490" w:type="dxa"/>
            <w:tcBorders>
              <w:top w:val="nil"/>
              <w:left w:val="nil"/>
              <w:bottom w:val="nil"/>
              <w:right w:val="nil"/>
            </w:tcBorders>
            <w:vAlign w:val="center"/>
          </w:tcPr>
          <w:p w14:paraId="044668C1" w14:textId="77777777" w:rsidR="00025FEB" w:rsidRPr="00D85A4F" w:rsidRDefault="00025FEB" w:rsidP="00AD0359">
            <w:pPr>
              <w:pStyle w:val="TableText"/>
              <w:rPr>
                <w:rFonts w:cs="Arial"/>
              </w:rPr>
            </w:pPr>
            <w:r w:rsidRPr="00D85A4F">
              <w:rPr>
                <w:rFonts w:cs="Arial"/>
              </w:rPr>
              <w:t>Director of Mental Health</w:t>
            </w:r>
          </w:p>
        </w:tc>
      </w:tr>
    </w:tbl>
    <w:p w14:paraId="1495A169" w14:textId="77777777" w:rsidR="00025FEB" w:rsidRPr="00D85A4F" w:rsidRDefault="00025FEB" w:rsidP="00025FEB">
      <w:pPr>
        <w:spacing w:before="240"/>
      </w:pPr>
    </w:p>
    <w:tbl>
      <w:tblPr>
        <w:tblStyle w:val="TableGrid"/>
        <w:tblW w:w="10774" w:type="dxa"/>
        <w:tblInd w:w="57" w:type="dxa"/>
        <w:tblLayout w:type="fixed"/>
        <w:tblCellMar>
          <w:left w:w="57" w:type="dxa"/>
          <w:right w:w="57" w:type="dxa"/>
        </w:tblCellMar>
        <w:tblLook w:val="04A0" w:firstRow="1" w:lastRow="0" w:firstColumn="1" w:lastColumn="0" w:noHBand="0" w:noVBand="1"/>
      </w:tblPr>
      <w:tblGrid>
        <w:gridCol w:w="10774"/>
      </w:tblGrid>
      <w:tr w:rsidR="00025FEB" w:rsidRPr="00D85A4F" w14:paraId="6E81D377" w14:textId="77777777" w:rsidTr="00AD0359">
        <w:trPr>
          <w:cantSplit/>
        </w:trPr>
        <w:tc>
          <w:tcPr>
            <w:tcW w:w="10774" w:type="dxa"/>
            <w:tcBorders>
              <w:top w:val="nil"/>
              <w:left w:val="nil"/>
              <w:bottom w:val="nil"/>
              <w:right w:val="nil"/>
            </w:tcBorders>
            <w:shd w:val="clear" w:color="auto" w:fill="000000" w:themeFill="text1"/>
            <w:vAlign w:val="center"/>
          </w:tcPr>
          <w:p w14:paraId="4B5DF4B6" w14:textId="77777777" w:rsidR="00025FEB" w:rsidRPr="00D85A4F" w:rsidRDefault="00025FEB" w:rsidP="00AD0359">
            <w:pPr>
              <w:pStyle w:val="TableText"/>
              <w:ind w:left="425" w:hanging="425"/>
              <w:rPr>
                <w:rFonts w:cs="Arial"/>
              </w:rPr>
            </w:pPr>
            <w:r w:rsidRPr="00D85A4F">
              <w:rPr>
                <w:rFonts w:cs="Arial"/>
                <w:b/>
                <w:sz w:val="24"/>
                <w:szCs w:val="28"/>
              </w:rPr>
              <w:t>Signature</w:t>
            </w:r>
          </w:p>
        </w:tc>
      </w:tr>
    </w:tbl>
    <w:p w14:paraId="059A64E9" w14:textId="77777777" w:rsidR="00025FEB" w:rsidRPr="00D85A4F" w:rsidRDefault="00025FEB" w:rsidP="00025FEB">
      <w:pPr>
        <w:rPr>
          <w:sz w:val="10"/>
          <w:szCs w:val="10"/>
        </w:rPr>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134"/>
        <w:gridCol w:w="6096"/>
        <w:gridCol w:w="708"/>
        <w:gridCol w:w="354"/>
        <w:gridCol w:w="354"/>
        <w:gridCol w:w="355"/>
        <w:gridCol w:w="354"/>
        <w:gridCol w:w="354"/>
        <w:gridCol w:w="355"/>
        <w:gridCol w:w="354"/>
        <w:gridCol w:w="355"/>
      </w:tblGrid>
      <w:tr w:rsidR="00025FEB" w:rsidRPr="00D85A4F" w14:paraId="4AA0ABEA" w14:textId="77777777" w:rsidTr="00AD0359">
        <w:trPr>
          <w:cantSplit/>
          <w:trHeight w:val="267"/>
        </w:trPr>
        <w:tc>
          <w:tcPr>
            <w:tcW w:w="1134" w:type="dxa"/>
            <w:tcBorders>
              <w:top w:val="nil"/>
              <w:left w:val="nil"/>
              <w:bottom w:val="nil"/>
              <w:right w:val="single" w:sz="4" w:space="0" w:color="auto"/>
            </w:tcBorders>
            <w:shd w:val="clear" w:color="auto" w:fill="auto"/>
          </w:tcPr>
          <w:p w14:paraId="0F1DE8AF" w14:textId="77777777" w:rsidR="00025FEB" w:rsidRPr="00D85A4F" w:rsidRDefault="00025FEB" w:rsidP="00AD0359">
            <w:pPr>
              <w:pStyle w:val="TableText"/>
              <w:ind w:left="-57"/>
              <w:rPr>
                <w:rFonts w:cs="Arial"/>
              </w:rPr>
            </w:pPr>
            <w:r w:rsidRPr="00D85A4F">
              <w:rPr>
                <w:rFonts w:cs="Arial"/>
              </w:rPr>
              <w:t>Signed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974313B" w14:textId="77777777" w:rsidR="00025FEB" w:rsidRPr="00D85A4F" w:rsidRDefault="00025FEB" w:rsidP="00AD0359">
            <w:pPr>
              <w:pStyle w:val="TableText"/>
              <w:rPr>
                <w:rFonts w:cs="Arial"/>
                <w:i/>
              </w:rPr>
            </w:pPr>
          </w:p>
        </w:tc>
        <w:tc>
          <w:tcPr>
            <w:tcW w:w="708" w:type="dxa"/>
            <w:tcBorders>
              <w:top w:val="nil"/>
              <w:left w:val="single" w:sz="4" w:space="0" w:color="auto"/>
              <w:bottom w:val="nil"/>
              <w:right w:val="single" w:sz="4" w:space="0" w:color="auto"/>
            </w:tcBorders>
            <w:shd w:val="clear" w:color="auto" w:fill="auto"/>
            <w:vAlign w:val="center"/>
          </w:tcPr>
          <w:p w14:paraId="49916BFD" w14:textId="77777777" w:rsidR="00025FEB" w:rsidRPr="00D85A4F" w:rsidRDefault="00025FEB" w:rsidP="00AD0359">
            <w:pPr>
              <w:pStyle w:val="TableText"/>
              <w:jc w:val="right"/>
              <w:rPr>
                <w:rFonts w:cs="Arial"/>
              </w:rPr>
            </w:pPr>
            <w:r w:rsidRPr="00D85A4F">
              <w:rPr>
                <w:rFonts w:cs="Arial"/>
              </w:rPr>
              <w:t>Date</w:t>
            </w:r>
          </w:p>
        </w:tc>
        <w:tc>
          <w:tcPr>
            <w:tcW w:w="354" w:type="dxa"/>
            <w:tcBorders>
              <w:top w:val="single" w:sz="4" w:space="0" w:color="auto"/>
              <w:left w:val="single" w:sz="4" w:space="0" w:color="auto"/>
              <w:bottom w:val="single" w:sz="4" w:space="0" w:color="auto"/>
              <w:right w:val="single" w:sz="4" w:space="0" w:color="D9D9D9" w:themeColor="background1" w:themeShade="D9"/>
            </w:tcBorders>
            <w:shd w:val="clear" w:color="auto" w:fill="auto"/>
            <w:vAlign w:val="center"/>
          </w:tcPr>
          <w:p w14:paraId="6AE8B4A8"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C677282"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7A0F192"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46029C1"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582EC866"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15CAD17E"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4"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0D3797C"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c>
          <w:tcPr>
            <w:tcW w:w="355" w:type="dxa"/>
            <w:tcBorders>
              <w:top w:val="single" w:sz="4" w:space="0" w:color="auto"/>
              <w:left w:val="single" w:sz="4" w:space="0" w:color="D9D9D9" w:themeColor="background1" w:themeShade="D9"/>
              <w:bottom w:val="single" w:sz="4" w:space="0" w:color="auto"/>
              <w:right w:val="single" w:sz="4" w:space="0" w:color="auto"/>
            </w:tcBorders>
            <w:shd w:val="clear" w:color="auto" w:fill="auto"/>
            <w:vAlign w:val="center"/>
          </w:tcPr>
          <w:p w14:paraId="6BE8520D" w14:textId="77777777" w:rsidR="00025FEB" w:rsidRPr="00D85A4F" w:rsidRDefault="00025FEB" w:rsidP="00AD0359">
            <w:pPr>
              <w:pStyle w:val="TableText"/>
              <w:jc w:val="center"/>
              <w:rPr>
                <w:rFonts w:cs="Arial"/>
              </w:rPr>
            </w:pPr>
            <w:r w:rsidRPr="00D85A4F">
              <w:rPr>
                <w:rFonts w:cs="Arial"/>
              </w:rPr>
              <w:fldChar w:fldCharType="begin">
                <w:ffData>
                  <w:name w:val=""/>
                  <w:enabled/>
                  <w:calcOnExit w:val="0"/>
                  <w:textInput>
                    <w:default w:val=" "/>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xml:space="preserve"> </w:t>
            </w:r>
            <w:r w:rsidRPr="00D85A4F">
              <w:rPr>
                <w:rFonts w:cs="Arial"/>
              </w:rPr>
              <w:fldChar w:fldCharType="end"/>
            </w:r>
          </w:p>
        </w:tc>
      </w:tr>
    </w:tbl>
    <w:p w14:paraId="10F01F21" w14:textId="77777777" w:rsidR="00025FEB" w:rsidRPr="00D85A4F" w:rsidRDefault="00025FEB" w:rsidP="00025FEB"/>
    <w:tbl>
      <w:tblPr>
        <w:tblStyle w:val="TableGrid"/>
        <w:tblW w:w="10779" w:type="dxa"/>
        <w:tblInd w:w="57" w:type="dxa"/>
        <w:tblLayout w:type="fixed"/>
        <w:tblCellMar>
          <w:left w:w="57" w:type="dxa"/>
          <w:right w:w="57" w:type="dxa"/>
        </w:tblCellMar>
        <w:tblLook w:val="04A0" w:firstRow="1" w:lastRow="0" w:firstColumn="1" w:lastColumn="0" w:noHBand="0" w:noVBand="1"/>
      </w:tblPr>
      <w:tblGrid>
        <w:gridCol w:w="1134"/>
        <w:gridCol w:w="9645"/>
      </w:tblGrid>
      <w:tr w:rsidR="00025FEB" w:rsidRPr="00D85A4F" w14:paraId="2512EE6D" w14:textId="77777777" w:rsidTr="00AD0359">
        <w:trPr>
          <w:cantSplit/>
        </w:trPr>
        <w:tc>
          <w:tcPr>
            <w:tcW w:w="1134" w:type="dxa"/>
            <w:tcBorders>
              <w:top w:val="nil"/>
              <w:left w:val="nil"/>
              <w:bottom w:val="nil"/>
              <w:right w:val="single" w:sz="4" w:space="0" w:color="auto"/>
            </w:tcBorders>
          </w:tcPr>
          <w:p w14:paraId="66E6F6C6" w14:textId="77777777" w:rsidR="00025FEB" w:rsidRPr="00D85A4F" w:rsidRDefault="00025FEB" w:rsidP="00AD0359">
            <w:pPr>
              <w:pStyle w:val="TableText"/>
              <w:ind w:left="-57"/>
              <w:rPr>
                <w:rFonts w:cs="Arial"/>
              </w:rPr>
            </w:pPr>
            <w:r w:rsidRPr="00D85A4F">
              <w:rPr>
                <w:rFonts w:cs="Arial"/>
              </w:rPr>
              <w:t>Witness</w:t>
            </w:r>
          </w:p>
        </w:tc>
        <w:tc>
          <w:tcPr>
            <w:tcW w:w="9645" w:type="dxa"/>
            <w:tcBorders>
              <w:top w:val="single" w:sz="4" w:space="0" w:color="auto"/>
              <w:left w:val="single" w:sz="4" w:space="0" w:color="auto"/>
              <w:bottom w:val="single" w:sz="4" w:space="0" w:color="auto"/>
              <w:right w:val="single" w:sz="4" w:space="0" w:color="auto"/>
            </w:tcBorders>
          </w:tcPr>
          <w:p w14:paraId="4595F633"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r>
      <w:tr w:rsidR="00025FEB" w:rsidRPr="00D85A4F" w14:paraId="70067A4D" w14:textId="77777777" w:rsidTr="00AD0359">
        <w:trPr>
          <w:cantSplit/>
        </w:trPr>
        <w:tc>
          <w:tcPr>
            <w:tcW w:w="1134" w:type="dxa"/>
            <w:tcBorders>
              <w:top w:val="nil"/>
              <w:left w:val="nil"/>
              <w:bottom w:val="nil"/>
              <w:right w:val="single" w:sz="4" w:space="0" w:color="auto"/>
            </w:tcBorders>
          </w:tcPr>
          <w:p w14:paraId="625194A7" w14:textId="77777777" w:rsidR="00025FEB" w:rsidRPr="00D85A4F" w:rsidRDefault="00025FEB" w:rsidP="00AD0359">
            <w:pPr>
              <w:pStyle w:val="TableText"/>
              <w:ind w:left="-57"/>
              <w:rPr>
                <w:rFonts w:cs="Arial"/>
              </w:rPr>
            </w:pPr>
            <w:r w:rsidRPr="00D85A4F">
              <w:rPr>
                <w:rFonts w:cs="Arial"/>
              </w:rPr>
              <w:t>Designation</w:t>
            </w:r>
          </w:p>
        </w:tc>
        <w:tc>
          <w:tcPr>
            <w:tcW w:w="9645" w:type="dxa"/>
            <w:tcBorders>
              <w:top w:val="single" w:sz="4" w:space="0" w:color="auto"/>
              <w:left w:val="single" w:sz="4" w:space="0" w:color="auto"/>
              <w:bottom w:val="single" w:sz="4" w:space="0" w:color="auto"/>
              <w:right w:val="single" w:sz="4" w:space="0" w:color="auto"/>
            </w:tcBorders>
          </w:tcPr>
          <w:p w14:paraId="6EC0A853" w14:textId="77777777" w:rsidR="00025FEB" w:rsidRPr="00D85A4F" w:rsidRDefault="00025FEB" w:rsidP="00AD0359">
            <w:pPr>
              <w:pStyle w:val="TableText"/>
              <w:rPr>
                <w:rFonts w:cs="Arial"/>
              </w:rPr>
            </w:pPr>
            <w:r w:rsidRPr="00D85A4F">
              <w:rPr>
                <w:rFonts w:cs="Arial"/>
              </w:rPr>
              <w:fldChar w:fldCharType="begin">
                <w:ffData>
                  <w:name w:val="Text1"/>
                  <w:enabled/>
                  <w:calcOnExit w:val="0"/>
                  <w:textInput/>
                </w:ffData>
              </w:fldChar>
            </w:r>
            <w:r w:rsidRPr="00D85A4F">
              <w:rPr>
                <w:rFonts w:cs="Arial"/>
              </w:rPr>
              <w:instrText xml:space="preserve"> FORMTEXT </w:instrText>
            </w:r>
            <w:r w:rsidRPr="00D85A4F">
              <w:rPr>
                <w:rFonts w:cs="Arial"/>
              </w:rPr>
            </w:r>
            <w:r w:rsidRPr="00D85A4F">
              <w:rPr>
                <w:rFonts w:cs="Arial"/>
              </w:rPr>
              <w:fldChar w:fldCharType="separate"/>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noProof/>
              </w:rPr>
              <w:t> </w:t>
            </w:r>
            <w:r w:rsidRPr="00D85A4F">
              <w:rPr>
                <w:rFonts w:cs="Arial"/>
              </w:rPr>
              <w:fldChar w:fldCharType="end"/>
            </w:r>
          </w:p>
        </w:tc>
      </w:tr>
    </w:tbl>
    <w:p w14:paraId="438EC971" w14:textId="77777777" w:rsidR="00025FEB" w:rsidRPr="00D85A4F" w:rsidRDefault="00025FEB" w:rsidP="00025FEB"/>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7"/>
        <w:gridCol w:w="709"/>
        <w:gridCol w:w="7371"/>
        <w:gridCol w:w="2132"/>
      </w:tblGrid>
      <w:tr w:rsidR="00025FEB" w:rsidRPr="00D85A4F" w14:paraId="0ED1C7AE" w14:textId="77777777" w:rsidTr="00AD0359">
        <w:trPr>
          <w:cantSplit/>
          <w:trHeight w:val="253"/>
        </w:trPr>
        <w:tc>
          <w:tcPr>
            <w:tcW w:w="8647" w:type="dxa"/>
            <w:gridSpan w:val="3"/>
            <w:vAlign w:val="center"/>
          </w:tcPr>
          <w:p w14:paraId="57D2DC6D" w14:textId="77777777" w:rsidR="00025FEB" w:rsidRPr="00D85A4F" w:rsidRDefault="00025FEB" w:rsidP="00AD0359">
            <w:pPr>
              <w:pageBreakBefore/>
              <w:ind w:left="-57"/>
              <w:rPr>
                <w:rFonts w:ascii="Arial" w:hAnsi="Arial" w:cs="Arial"/>
                <w:i/>
                <w:noProof/>
                <w:sz w:val="36"/>
                <w:szCs w:val="36"/>
                <w:lang w:eastAsia="en-NZ"/>
              </w:rPr>
            </w:pPr>
            <w:r w:rsidRPr="00D85A4F">
              <w:rPr>
                <w:rFonts w:ascii="Arial" w:hAnsi="Arial" w:cs="Arial"/>
                <w:b/>
                <w:sz w:val="36"/>
                <w:szCs w:val="36"/>
              </w:rPr>
              <w:lastRenderedPageBreak/>
              <w:t>Checklist for short leave</w:t>
            </w:r>
            <w:r w:rsidRPr="00D85A4F">
              <w:rPr>
                <w:rFonts w:ascii="Arial" w:hAnsi="Arial" w:cs="Arial"/>
                <w:b/>
                <w:sz w:val="36"/>
                <w:szCs w:val="36"/>
              </w:rPr>
              <w:br/>
            </w:r>
            <w:r w:rsidRPr="00D85A4F">
              <w:rPr>
                <w:rFonts w:ascii="Arial" w:hAnsi="Arial" w:cs="Arial"/>
                <w:sz w:val="28"/>
                <w:szCs w:val="28"/>
              </w:rPr>
              <w:t xml:space="preserve">Section 52 </w:t>
            </w:r>
            <w:r>
              <w:rPr>
                <w:rFonts w:ascii="Arial" w:hAnsi="Arial" w:cs="Arial"/>
                <w:sz w:val="28"/>
                <w:szCs w:val="28"/>
              </w:rPr>
              <w:t xml:space="preserve">of the </w:t>
            </w:r>
            <w:r w:rsidRPr="00D85A4F">
              <w:rPr>
                <w:rFonts w:ascii="Arial" w:hAnsi="Arial" w:cs="Arial"/>
                <w:sz w:val="28"/>
                <w:szCs w:val="28"/>
              </w:rPr>
              <w:t>Mental Health</w:t>
            </w:r>
            <w:r w:rsidRPr="00D85A4F">
              <w:rPr>
                <w:rFonts w:ascii="Arial" w:hAnsi="Arial" w:cs="Arial"/>
                <w:sz w:val="28"/>
                <w:szCs w:val="28"/>
              </w:rPr>
              <w:br/>
              <w:t>(Compulsory Assessment and Treatment) Act 1992</w:t>
            </w:r>
          </w:p>
        </w:tc>
        <w:tc>
          <w:tcPr>
            <w:tcW w:w="2132" w:type="dxa"/>
          </w:tcPr>
          <w:p w14:paraId="4F5F1C69" w14:textId="77777777" w:rsidR="00025FEB" w:rsidRPr="00D85A4F" w:rsidRDefault="00025FEB" w:rsidP="00AD0359">
            <w:pPr>
              <w:ind w:right="-57"/>
              <w:jc w:val="right"/>
              <w:rPr>
                <w:rFonts w:ascii="Arial" w:hAnsi="Arial" w:cs="Arial"/>
                <w:noProof/>
                <w:sz w:val="36"/>
                <w:szCs w:val="36"/>
                <w:lang w:eastAsia="en-NZ"/>
              </w:rPr>
            </w:pPr>
            <w:r>
              <w:rPr>
                <w:noProof/>
              </w:rPr>
              <w:drawing>
                <wp:anchor distT="0" distB="0" distL="114300" distR="114300" simplePos="0" relativeHeight="251663360" behindDoc="0" locked="0" layoutInCell="1" allowOverlap="1" wp14:anchorId="196404C0" wp14:editId="53B2613B">
                  <wp:simplePos x="0" y="0"/>
                  <wp:positionH relativeFrom="column">
                    <wp:posOffset>-2540</wp:posOffset>
                  </wp:positionH>
                  <wp:positionV relativeFrom="paragraph">
                    <wp:posOffset>2540</wp:posOffset>
                  </wp:positionV>
                  <wp:extent cx="1519555" cy="718185"/>
                  <wp:effectExtent l="0" t="0" r="4445" b="5715"/>
                  <wp:wrapNone/>
                  <wp:docPr id="11" name="Picture 1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inistry of Health 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5FEB" w:rsidRPr="00D85A4F" w14:paraId="38A8576D"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79" w:type="dxa"/>
            <w:gridSpan w:val="4"/>
            <w:tcBorders>
              <w:top w:val="nil"/>
              <w:left w:val="nil"/>
              <w:bottom w:val="nil"/>
              <w:right w:val="nil"/>
            </w:tcBorders>
            <w:vAlign w:val="center"/>
          </w:tcPr>
          <w:p w14:paraId="20E62864" w14:textId="77777777" w:rsidR="00025FEB" w:rsidRPr="00D85A4F" w:rsidRDefault="00025FEB" w:rsidP="00AD0359">
            <w:pPr>
              <w:pStyle w:val="TableText"/>
              <w:spacing w:before="600" w:after="30"/>
              <w:ind w:left="-57"/>
              <w:rPr>
                <w:rFonts w:cs="Arial"/>
                <w:sz w:val="22"/>
                <w:szCs w:val="22"/>
              </w:rPr>
            </w:pPr>
            <w:r w:rsidRPr="00D85A4F">
              <w:rPr>
                <w:rFonts w:cs="Arial"/>
                <w:sz w:val="22"/>
                <w:szCs w:val="22"/>
              </w:rPr>
              <w:t>This application must include:</w:t>
            </w:r>
          </w:p>
        </w:tc>
      </w:tr>
      <w:tr w:rsidR="00025FEB" w:rsidRPr="00D85A4F" w14:paraId="73A57830"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2D2EB4EF"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73E00179" w14:textId="77777777" w:rsidR="00025FEB" w:rsidRPr="00D85A4F" w:rsidRDefault="00025FEB" w:rsidP="00AD0359">
            <w:pPr>
              <w:pStyle w:val="TableText"/>
              <w:spacing w:before="240"/>
              <w:rPr>
                <w:rFonts w:cs="Arial"/>
                <w:sz w:val="22"/>
                <w:szCs w:val="22"/>
              </w:rPr>
            </w:pPr>
            <w:r w:rsidRPr="00D85A4F">
              <w:rPr>
                <w:rFonts w:cs="Arial"/>
                <w:sz w:val="22"/>
                <w:szCs w:val="22"/>
              </w:rPr>
              <w:t>an up-to-date report from the responsible clinician, providing the following information:</w:t>
            </w:r>
          </w:p>
        </w:tc>
      </w:tr>
      <w:tr w:rsidR="00025FEB" w:rsidRPr="00D85A4F" w14:paraId="7EAB6B4C"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2E00C5BF" w14:textId="77777777" w:rsidR="00025FEB" w:rsidRPr="00D85A4F" w:rsidRDefault="00025FEB" w:rsidP="00AD0359">
            <w:pPr>
              <w:pStyle w:val="TableText"/>
              <w:ind w:left="-57"/>
            </w:pPr>
          </w:p>
        </w:tc>
        <w:tc>
          <w:tcPr>
            <w:tcW w:w="709" w:type="dxa"/>
            <w:tcBorders>
              <w:top w:val="nil"/>
              <w:left w:val="nil"/>
              <w:bottom w:val="nil"/>
              <w:right w:val="nil"/>
            </w:tcBorders>
            <w:vAlign w:val="center"/>
          </w:tcPr>
          <w:p w14:paraId="6EAEF10C"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48625032" w14:textId="77777777" w:rsidR="00025FEB" w:rsidRPr="00D85A4F" w:rsidRDefault="00025FEB" w:rsidP="00AD0359">
            <w:pPr>
              <w:pStyle w:val="TableText"/>
              <w:rPr>
                <w:rFonts w:cs="Arial"/>
                <w:sz w:val="22"/>
                <w:szCs w:val="22"/>
              </w:rPr>
            </w:pPr>
            <w:r w:rsidRPr="00D85A4F">
              <w:rPr>
                <w:rFonts w:cs="Arial"/>
                <w:sz w:val="22"/>
                <w:szCs w:val="22"/>
              </w:rPr>
              <w:t>the patient’s legal status</w:t>
            </w:r>
          </w:p>
        </w:tc>
      </w:tr>
      <w:tr w:rsidR="00025FEB" w:rsidRPr="00D85A4F" w14:paraId="19EE7689"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11403A59" w14:textId="77777777" w:rsidR="00025FEB" w:rsidRPr="00D85A4F" w:rsidRDefault="00025FEB" w:rsidP="00AD0359">
            <w:pPr>
              <w:pStyle w:val="TableText"/>
              <w:ind w:left="-57"/>
            </w:pPr>
          </w:p>
        </w:tc>
        <w:tc>
          <w:tcPr>
            <w:tcW w:w="709" w:type="dxa"/>
            <w:tcBorders>
              <w:top w:val="nil"/>
              <w:left w:val="nil"/>
              <w:bottom w:val="nil"/>
              <w:right w:val="nil"/>
            </w:tcBorders>
            <w:vAlign w:val="center"/>
          </w:tcPr>
          <w:p w14:paraId="680B25FF"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0EBD9449" w14:textId="77777777" w:rsidR="00025FEB" w:rsidRPr="00D85A4F" w:rsidRDefault="00025FEB" w:rsidP="00AD0359">
            <w:pPr>
              <w:pStyle w:val="TableText"/>
              <w:rPr>
                <w:rFonts w:cs="Arial"/>
                <w:sz w:val="22"/>
                <w:szCs w:val="22"/>
              </w:rPr>
            </w:pPr>
            <w:r w:rsidRPr="00D85A4F">
              <w:rPr>
                <w:rFonts w:cs="Arial"/>
                <w:sz w:val="22"/>
                <w:szCs w:val="22"/>
              </w:rPr>
              <w:t>a current mental state assessment</w:t>
            </w:r>
          </w:p>
        </w:tc>
      </w:tr>
      <w:tr w:rsidR="00025FEB" w:rsidRPr="00D85A4F" w14:paraId="2514E457"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6C461A38" w14:textId="77777777" w:rsidR="00025FEB" w:rsidRPr="00D85A4F" w:rsidRDefault="00025FEB" w:rsidP="00AD0359">
            <w:pPr>
              <w:pStyle w:val="TableText"/>
              <w:ind w:left="-57"/>
            </w:pPr>
          </w:p>
        </w:tc>
        <w:tc>
          <w:tcPr>
            <w:tcW w:w="709" w:type="dxa"/>
            <w:tcBorders>
              <w:top w:val="nil"/>
              <w:left w:val="nil"/>
              <w:bottom w:val="nil"/>
              <w:right w:val="nil"/>
            </w:tcBorders>
            <w:vAlign w:val="center"/>
          </w:tcPr>
          <w:p w14:paraId="5868B5E0"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441642FE" w14:textId="77777777" w:rsidR="00025FEB" w:rsidRPr="00D85A4F" w:rsidRDefault="00025FEB" w:rsidP="00AD0359">
            <w:pPr>
              <w:pStyle w:val="TableText"/>
              <w:rPr>
                <w:rFonts w:cs="Arial"/>
                <w:sz w:val="22"/>
                <w:szCs w:val="22"/>
              </w:rPr>
            </w:pPr>
            <w:r w:rsidRPr="00D85A4F">
              <w:rPr>
                <w:rFonts w:cs="Arial"/>
                <w:sz w:val="22"/>
                <w:szCs w:val="22"/>
              </w:rPr>
              <w:t>justification of the leave request</w:t>
            </w:r>
          </w:p>
        </w:tc>
      </w:tr>
      <w:tr w:rsidR="00025FEB" w:rsidRPr="00D85A4F" w14:paraId="2C2CBB8F"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2D889DD2" w14:textId="77777777" w:rsidR="00025FEB" w:rsidRPr="00D85A4F" w:rsidRDefault="00025FEB" w:rsidP="00AD0359">
            <w:pPr>
              <w:pStyle w:val="TableText"/>
              <w:ind w:left="-57"/>
            </w:pPr>
          </w:p>
        </w:tc>
        <w:tc>
          <w:tcPr>
            <w:tcW w:w="709" w:type="dxa"/>
            <w:tcBorders>
              <w:top w:val="nil"/>
              <w:left w:val="nil"/>
              <w:bottom w:val="nil"/>
              <w:right w:val="nil"/>
            </w:tcBorders>
            <w:vAlign w:val="center"/>
          </w:tcPr>
          <w:p w14:paraId="6D1B4E50"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4B9848C6" w14:textId="77777777" w:rsidR="00025FEB" w:rsidRPr="00D85A4F" w:rsidRDefault="00025FEB" w:rsidP="00AD0359">
            <w:pPr>
              <w:pStyle w:val="TableText"/>
              <w:rPr>
                <w:rFonts w:cs="Arial"/>
                <w:sz w:val="22"/>
                <w:szCs w:val="22"/>
              </w:rPr>
            </w:pPr>
            <w:r w:rsidRPr="00D85A4F">
              <w:rPr>
                <w:rFonts w:cs="Arial"/>
                <w:sz w:val="22"/>
                <w:szCs w:val="22"/>
              </w:rPr>
              <w:t>a risk assessment and management plan for the patient while on leave, including flight risk</w:t>
            </w:r>
          </w:p>
        </w:tc>
      </w:tr>
      <w:tr w:rsidR="00025FEB" w:rsidRPr="00D85A4F" w14:paraId="01733B6E"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4B241871" w14:textId="77777777" w:rsidR="00025FEB" w:rsidRPr="00D85A4F" w:rsidRDefault="00025FEB" w:rsidP="00AD0359">
            <w:pPr>
              <w:pStyle w:val="TableText"/>
              <w:ind w:left="-57"/>
            </w:pPr>
          </w:p>
        </w:tc>
        <w:tc>
          <w:tcPr>
            <w:tcW w:w="709" w:type="dxa"/>
            <w:tcBorders>
              <w:top w:val="nil"/>
              <w:left w:val="nil"/>
              <w:bottom w:val="nil"/>
              <w:right w:val="nil"/>
            </w:tcBorders>
            <w:vAlign w:val="center"/>
          </w:tcPr>
          <w:p w14:paraId="42CA896F"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6F072DC1" w14:textId="77777777" w:rsidR="00025FEB" w:rsidRPr="00D85A4F" w:rsidRDefault="00025FEB" w:rsidP="00AD0359">
            <w:pPr>
              <w:pStyle w:val="TableText"/>
              <w:rPr>
                <w:rFonts w:cs="Arial"/>
                <w:sz w:val="22"/>
                <w:szCs w:val="22"/>
              </w:rPr>
            </w:pPr>
            <w:r w:rsidRPr="00D85A4F">
              <w:rPr>
                <w:rFonts w:cs="Arial"/>
                <w:sz w:val="22"/>
                <w:szCs w:val="22"/>
              </w:rPr>
              <w:t>the proposed conditions of leave</w:t>
            </w:r>
          </w:p>
        </w:tc>
      </w:tr>
      <w:tr w:rsidR="00025FEB" w:rsidRPr="00D85A4F" w14:paraId="35088C89"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3CBB973E" w14:textId="77777777" w:rsidR="00025FEB" w:rsidRPr="00D85A4F" w:rsidRDefault="00025FEB" w:rsidP="00AD0359">
            <w:pPr>
              <w:pStyle w:val="TableText"/>
              <w:ind w:left="-57"/>
            </w:pPr>
          </w:p>
        </w:tc>
        <w:tc>
          <w:tcPr>
            <w:tcW w:w="709" w:type="dxa"/>
            <w:tcBorders>
              <w:top w:val="nil"/>
              <w:left w:val="nil"/>
              <w:bottom w:val="nil"/>
              <w:right w:val="nil"/>
            </w:tcBorders>
            <w:vAlign w:val="center"/>
          </w:tcPr>
          <w:p w14:paraId="03A60CC8"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1444F8C6" w14:textId="77777777" w:rsidR="00025FEB" w:rsidRPr="00D85A4F" w:rsidRDefault="00025FEB" w:rsidP="00AD0359">
            <w:pPr>
              <w:pStyle w:val="TableText"/>
              <w:rPr>
                <w:rFonts w:cs="Arial"/>
                <w:sz w:val="22"/>
                <w:szCs w:val="22"/>
              </w:rPr>
            </w:pPr>
            <w:r w:rsidRPr="00D85A4F">
              <w:rPr>
                <w:rFonts w:cs="Arial"/>
                <w:sz w:val="22"/>
                <w:szCs w:val="22"/>
              </w:rPr>
              <w:t>any matters concerning victims, including the likelihood of the patient being in contact with the victim during leave</w:t>
            </w:r>
          </w:p>
        </w:tc>
      </w:tr>
      <w:tr w:rsidR="00025FEB" w:rsidRPr="00D85A4F" w14:paraId="696929CF"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24043DFC"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51CABAB2" w14:textId="77777777" w:rsidR="00025FEB" w:rsidRPr="00D85A4F" w:rsidRDefault="00025FEB" w:rsidP="00AD0359">
            <w:pPr>
              <w:pStyle w:val="TableText"/>
              <w:spacing w:before="240"/>
              <w:rPr>
                <w:rFonts w:cs="Arial"/>
                <w:sz w:val="22"/>
                <w:szCs w:val="22"/>
              </w:rPr>
            </w:pPr>
            <w:r w:rsidRPr="00D85A4F">
              <w:rPr>
                <w:rFonts w:cs="Arial"/>
                <w:sz w:val="22"/>
                <w:szCs w:val="22"/>
              </w:rPr>
              <w:t>reference to the most recent report from the SPRP, if available.</w:t>
            </w:r>
          </w:p>
        </w:tc>
      </w:tr>
    </w:tbl>
    <w:p w14:paraId="0275E0AA" w14:textId="77777777" w:rsidR="00025FEB" w:rsidRPr="00D85A4F" w:rsidRDefault="00025FEB" w:rsidP="00025FEB"/>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7"/>
        <w:gridCol w:w="709"/>
        <w:gridCol w:w="7371"/>
        <w:gridCol w:w="2132"/>
      </w:tblGrid>
      <w:tr w:rsidR="00025FEB" w:rsidRPr="00D85A4F" w14:paraId="5BBFA441" w14:textId="77777777" w:rsidTr="00AD0359">
        <w:trPr>
          <w:cantSplit/>
          <w:trHeight w:val="253"/>
        </w:trPr>
        <w:tc>
          <w:tcPr>
            <w:tcW w:w="8647" w:type="dxa"/>
            <w:gridSpan w:val="3"/>
            <w:vAlign w:val="center"/>
          </w:tcPr>
          <w:p w14:paraId="7F3893E6" w14:textId="77777777" w:rsidR="00025FEB" w:rsidRPr="00D85A4F" w:rsidRDefault="00025FEB" w:rsidP="00AD0359">
            <w:pPr>
              <w:pageBreakBefore/>
              <w:ind w:left="-57"/>
              <w:rPr>
                <w:rFonts w:ascii="Arial" w:hAnsi="Arial" w:cs="Arial"/>
                <w:i/>
                <w:noProof/>
                <w:sz w:val="36"/>
                <w:szCs w:val="36"/>
                <w:lang w:eastAsia="en-NZ"/>
              </w:rPr>
            </w:pPr>
            <w:r w:rsidRPr="00D85A4F">
              <w:rPr>
                <w:rFonts w:ascii="Arial" w:hAnsi="Arial" w:cs="Arial"/>
                <w:b/>
                <w:sz w:val="36"/>
                <w:szCs w:val="36"/>
              </w:rPr>
              <w:lastRenderedPageBreak/>
              <w:t xml:space="preserve">Checklist for </w:t>
            </w:r>
            <w:r>
              <w:rPr>
                <w:rFonts w:ascii="Arial" w:hAnsi="Arial" w:cs="Arial"/>
                <w:b/>
                <w:sz w:val="36"/>
                <w:szCs w:val="36"/>
              </w:rPr>
              <w:t>m</w:t>
            </w:r>
            <w:r w:rsidRPr="00D85A4F">
              <w:rPr>
                <w:rFonts w:ascii="Arial" w:hAnsi="Arial" w:cs="Arial"/>
                <w:b/>
                <w:sz w:val="36"/>
                <w:szCs w:val="36"/>
              </w:rPr>
              <w:t>inisterial long leave</w:t>
            </w:r>
            <w:r w:rsidRPr="00D85A4F">
              <w:rPr>
                <w:rFonts w:ascii="Arial" w:hAnsi="Arial" w:cs="Arial"/>
                <w:b/>
                <w:sz w:val="36"/>
                <w:szCs w:val="36"/>
              </w:rPr>
              <w:br/>
            </w:r>
            <w:r w:rsidRPr="00D85A4F">
              <w:rPr>
                <w:rFonts w:ascii="Arial" w:hAnsi="Arial" w:cs="Arial"/>
                <w:sz w:val="28"/>
                <w:szCs w:val="28"/>
              </w:rPr>
              <w:t xml:space="preserve">Section 50 </w:t>
            </w:r>
            <w:r>
              <w:rPr>
                <w:rFonts w:ascii="Arial" w:hAnsi="Arial" w:cs="Arial"/>
                <w:sz w:val="28"/>
                <w:szCs w:val="28"/>
              </w:rPr>
              <w:t xml:space="preserve">of the </w:t>
            </w:r>
            <w:r w:rsidRPr="00D85A4F">
              <w:rPr>
                <w:rFonts w:ascii="Arial" w:hAnsi="Arial" w:cs="Arial"/>
                <w:sz w:val="28"/>
                <w:szCs w:val="28"/>
              </w:rPr>
              <w:t>Mental Health</w:t>
            </w:r>
            <w:r w:rsidRPr="00D85A4F">
              <w:rPr>
                <w:rFonts w:ascii="Arial" w:hAnsi="Arial" w:cs="Arial"/>
                <w:sz w:val="28"/>
                <w:szCs w:val="28"/>
              </w:rPr>
              <w:br/>
              <w:t>(Compulsory Assessment and Treatment) Act 1992</w:t>
            </w:r>
          </w:p>
        </w:tc>
        <w:tc>
          <w:tcPr>
            <w:tcW w:w="2132" w:type="dxa"/>
          </w:tcPr>
          <w:p w14:paraId="388EDCF6" w14:textId="77777777" w:rsidR="00025FEB" w:rsidRPr="00D85A4F" w:rsidRDefault="00025FEB" w:rsidP="00AD0359">
            <w:pPr>
              <w:ind w:right="-57"/>
              <w:jc w:val="right"/>
              <w:rPr>
                <w:rFonts w:ascii="Arial" w:hAnsi="Arial" w:cs="Arial"/>
                <w:noProof/>
                <w:sz w:val="36"/>
                <w:szCs w:val="36"/>
                <w:lang w:eastAsia="en-NZ"/>
              </w:rPr>
            </w:pPr>
            <w:r>
              <w:rPr>
                <w:noProof/>
              </w:rPr>
              <w:drawing>
                <wp:anchor distT="0" distB="0" distL="114300" distR="114300" simplePos="0" relativeHeight="251662336" behindDoc="0" locked="0" layoutInCell="1" allowOverlap="1" wp14:anchorId="64FEEB93" wp14:editId="63EFE523">
                  <wp:simplePos x="0" y="0"/>
                  <wp:positionH relativeFrom="column">
                    <wp:posOffset>-2540</wp:posOffset>
                  </wp:positionH>
                  <wp:positionV relativeFrom="paragraph">
                    <wp:posOffset>2540</wp:posOffset>
                  </wp:positionV>
                  <wp:extent cx="1519555" cy="718185"/>
                  <wp:effectExtent l="0" t="0" r="4445" b="5715"/>
                  <wp:wrapNone/>
                  <wp:docPr id="10" name="Picture 10"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inistry of Health 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5FEB" w:rsidRPr="00D85A4F" w14:paraId="302E9CF5"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79" w:type="dxa"/>
            <w:gridSpan w:val="4"/>
            <w:tcBorders>
              <w:top w:val="nil"/>
              <w:left w:val="nil"/>
              <w:bottom w:val="nil"/>
              <w:right w:val="nil"/>
            </w:tcBorders>
            <w:vAlign w:val="center"/>
          </w:tcPr>
          <w:p w14:paraId="620D381D" w14:textId="77777777" w:rsidR="00025FEB" w:rsidRPr="00D85A4F" w:rsidRDefault="00025FEB" w:rsidP="00AD0359">
            <w:pPr>
              <w:pStyle w:val="TableText"/>
              <w:spacing w:before="600" w:after="30"/>
              <w:ind w:left="-57"/>
              <w:rPr>
                <w:rFonts w:cs="Arial"/>
                <w:sz w:val="22"/>
                <w:szCs w:val="22"/>
              </w:rPr>
            </w:pPr>
            <w:r w:rsidRPr="00D85A4F">
              <w:rPr>
                <w:rFonts w:cs="Arial"/>
                <w:sz w:val="22"/>
                <w:szCs w:val="22"/>
              </w:rPr>
              <w:t>This application must include:</w:t>
            </w:r>
          </w:p>
        </w:tc>
      </w:tr>
      <w:tr w:rsidR="00025FEB" w:rsidRPr="00D85A4F" w14:paraId="623EA1C2"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0748367A"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785EA721" w14:textId="77777777" w:rsidR="00025FEB" w:rsidRPr="00D85A4F" w:rsidRDefault="00025FEB" w:rsidP="00AD0359">
            <w:pPr>
              <w:pStyle w:val="TableText"/>
              <w:spacing w:before="240"/>
              <w:rPr>
                <w:rFonts w:cs="Arial"/>
                <w:sz w:val="22"/>
                <w:szCs w:val="22"/>
              </w:rPr>
            </w:pPr>
            <w:r w:rsidRPr="00D85A4F">
              <w:rPr>
                <w:rFonts w:cs="Arial"/>
                <w:sz w:val="22"/>
                <w:szCs w:val="22"/>
              </w:rPr>
              <w:t>an up-to-date report from the responsible clinician, providing the following information:</w:t>
            </w:r>
          </w:p>
        </w:tc>
      </w:tr>
      <w:tr w:rsidR="00025FEB" w:rsidRPr="00D85A4F" w14:paraId="71A4AC35"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17D08A96" w14:textId="77777777" w:rsidR="00025FEB" w:rsidRPr="00D85A4F" w:rsidRDefault="00025FEB" w:rsidP="00AD0359">
            <w:pPr>
              <w:pStyle w:val="TableText"/>
              <w:ind w:left="-57"/>
            </w:pPr>
          </w:p>
        </w:tc>
        <w:tc>
          <w:tcPr>
            <w:tcW w:w="709" w:type="dxa"/>
            <w:tcBorders>
              <w:top w:val="nil"/>
              <w:left w:val="nil"/>
              <w:bottom w:val="nil"/>
              <w:right w:val="nil"/>
            </w:tcBorders>
            <w:vAlign w:val="center"/>
          </w:tcPr>
          <w:p w14:paraId="366160AE"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50C6B1ED" w14:textId="77777777" w:rsidR="00025FEB" w:rsidRPr="00D85A4F" w:rsidRDefault="00025FEB" w:rsidP="00AD0359">
            <w:pPr>
              <w:pStyle w:val="TableText"/>
              <w:rPr>
                <w:rFonts w:cs="Arial"/>
                <w:sz w:val="22"/>
                <w:szCs w:val="22"/>
              </w:rPr>
            </w:pPr>
            <w:r w:rsidRPr="00D85A4F">
              <w:rPr>
                <w:rFonts w:cs="Arial"/>
                <w:sz w:val="22"/>
                <w:szCs w:val="22"/>
              </w:rPr>
              <w:t>the patient’s legal status</w:t>
            </w:r>
          </w:p>
        </w:tc>
      </w:tr>
      <w:tr w:rsidR="00025FEB" w:rsidRPr="00D85A4F" w14:paraId="5D7F23CC"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556F68A9" w14:textId="77777777" w:rsidR="00025FEB" w:rsidRPr="00D85A4F" w:rsidRDefault="00025FEB" w:rsidP="00AD0359">
            <w:pPr>
              <w:pStyle w:val="TableText"/>
              <w:ind w:left="-57"/>
            </w:pPr>
          </w:p>
        </w:tc>
        <w:tc>
          <w:tcPr>
            <w:tcW w:w="709" w:type="dxa"/>
            <w:tcBorders>
              <w:top w:val="nil"/>
              <w:left w:val="nil"/>
              <w:bottom w:val="nil"/>
              <w:right w:val="nil"/>
            </w:tcBorders>
            <w:vAlign w:val="center"/>
          </w:tcPr>
          <w:p w14:paraId="2E0EFB87"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0FD4459C" w14:textId="77777777" w:rsidR="00025FEB" w:rsidRPr="00D85A4F" w:rsidRDefault="00025FEB" w:rsidP="00AD0359">
            <w:pPr>
              <w:pStyle w:val="TableText"/>
              <w:rPr>
                <w:rFonts w:cs="Arial"/>
                <w:sz w:val="22"/>
                <w:szCs w:val="22"/>
              </w:rPr>
            </w:pPr>
            <w:r w:rsidRPr="00D85A4F">
              <w:rPr>
                <w:rFonts w:cs="Arial"/>
                <w:sz w:val="22"/>
                <w:szCs w:val="22"/>
              </w:rPr>
              <w:t>a current mental state assessment</w:t>
            </w:r>
          </w:p>
        </w:tc>
      </w:tr>
      <w:tr w:rsidR="00025FEB" w:rsidRPr="00D85A4F" w14:paraId="6D87A7F3"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718D36CD" w14:textId="77777777" w:rsidR="00025FEB" w:rsidRPr="00D85A4F" w:rsidRDefault="00025FEB" w:rsidP="00AD0359">
            <w:pPr>
              <w:pStyle w:val="TableText"/>
              <w:ind w:left="-57"/>
            </w:pPr>
          </w:p>
        </w:tc>
        <w:tc>
          <w:tcPr>
            <w:tcW w:w="709" w:type="dxa"/>
            <w:tcBorders>
              <w:top w:val="nil"/>
              <w:left w:val="nil"/>
              <w:bottom w:val="nil"/>
              <w:right w:val="nil"/>
            </w:tcBorders>
            <w:vAlign w:val="center"/>
          </w:tcPr>
          <w:p w14:paraId="517C53AD"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29A301C5" w14:textId="77777777" w:rsidR="00025FEB" w:rsidRPr="00D85A4F" w:rsidRDefault="00025FEB" w:rsidP="00AD0359">
            <w:pPr>
              <w:pStyle w:val="TableText"/>
              <w:rPr>
                <w:rFonts w:cs="Arial"/>
                <w:sz w:val="22"/>
                <w:szCs w:val="22"/>
              </w:rPr>
            </w:pPr>
            <w:r w:rsidRPr="00D85A4F">
              <w:rPr>
                <w:rFonts w:cs="Arial"/>
                <w:sz w:val="22"/>
                <w:szCs w:val="22"/>
              </w:rPr>
              <w:t>justification of the leave request</w:t>
            </w:r>
          </w:p>
        </w:tc>
      </w:tr>
      <w:tr w:rsidR="00025FEB" w:rsidRPr="00D85A4F" w14:paraId="06B3B5C3"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0842F6C3" w14:textId="77777777" w:rsidR="00025FEB" w:rsidRPr="00D85A4F" w:rsidRDefault="00025FEB" w:rsidP="00AD0359">
            <w:pPr>
              <w:pStyle w:val="TableText"/>
              <w:ind w:left="-57"/>
            </w:pPr>
          </w:p>
        </w:tc>
        <w:tc>
          <w:tcPr>
            <w:tcW w:w="709" w:type="dxa"/>
            <w:tcBorders>
              <w:top w:val="nil"/>
              <w:left w:val="nil"/>
              <w:bottom w:val="nil"/>
              <w:right w:val="nil"/>
            </w:tcBorders>
            <w:vAlign w:val="center"/>
          </w:tcPr>
          <w:p w14:paraId="0C015675"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2A5E8226" w14:textId="77777777" w:rsidR="00025FEB" w:rsidRPr="00D85A4F" w:rsidRDefault="00025FEB" w:rsidP="00AD0359">
            <w:pPr>
              <w:pStyle w:val="TableText"/>
              <w:rPr>
                <w:rFonts w:cs="Arial"/>
                <w:sz w:val="22"/>
                <w:szCs w:val="22"/>
              </w:rPr>
            </w:pPr>
            <w:r w:rsidRPr="00D85A4F">
              <w:rPr>
                <w:rFonts w:cs="Arial"/>
                <w:sz w:val="22"/>
                <w:szCs w:val="22"/>
              </w:rPr>
              <w:t>a risk assessment and management plan for the patient while on leave, including flight risk</w:t>
            </w:r>
          </w:p>
        </w:tc>
      </w:tr>
      <w:tr w:rsidR="00025FEB" w:rsidRPr="00D85A4F" w14:paraId="6F8BB32D"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3750B808" w14:textId="77777777" w:rsidR="00025FEB" w:rsidRPr="00D85A4F" w:rsidRDefault="00025FEB" w:rsidP="00AD0359">
            <w:pPr>
              <w:pStyle w:val="TableText"/>
              <w:ind w:left="-57"/>
            </w:pPr>
          </w:p>
        </w:tc>
        <w:tc>
          <w:tcPr>
            <w:tcW w:w="709" w:type="dxa"/>
            <w:tcBorders>
              <w:top w:val="nil"/>
              <w:left w:val="nil"/>
              <w:bottom w:val="nil"/>
              <w:right w:val="nil"/>
            </w:tcBorders>
            <w:vAlign w:val="center"/>
          </w:tcPr>
          <w:p w14:paraId="2EB0DB9B"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51E594D6" w14:textId="77777777" w:rsidR="00025FEB" w:rsidRPr="00D85A4F" w:rsidRDefault="00025FEB" w:rsidP="00AD0359">
            <w:pPr>
              <w:pStyle w:val="TableText"/>
              <w:rPr>
                <w:rFonts w:cs="Arial"/>
                <w:sz w:val="22"/>
                <w:szCs w:val="22"/>
              </w:rPr>
            </w:pPr>
            <w:r w:rsidRPr="00D85A4F">
              <w:rPr>
                <w:rFonts w:cs="Arial"/>
                <w:sz w:val="22"/>
                <w:szCs w:val="22"/>
              </w:rPr>
              <w:t>the proposed conditions of leave</w:t>
            </w:r>
          </w:p>
        </w:tc>
      </w:tr>
      <w:tr w:rsidR="00025FEB" w:rsidRPr="00D85A4F" w14:paraId="34D8CFD6"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5D65B297" w14:textId="77777777" w:rsidR="00025FEB" w:rsidRPr="00D85A4F" w:rsidRDefault="00025FEB" w:rsidP="00AD0359">
            <w:pPr>
              <w:pStyle w:val="TableText"/>
              <w:ind w:left="-57"/>
            </w:pPr>
          </w:p>
        </w:tc>
        <w:tc>
          <w:tcPr>
            <w:tcW w:w="709" w:type="dxa"/>
            <w:tcBorders>
              <w:top w:val="nil"/>
              <w:left w:val="nil"/>
              <w:bottom w:val="nil"/>
              <w:right w:val="nil"/>
            </w:tcBorders>
            <w:vAlign w:val="center"/>
          </w:tcPr>
          <w:p w14:paraId="218144C4"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7737DAFB" w14:textId="77777777" w:rsidR="00025FEB" w:rsidRPr="00D85A4F" w:rsidRDefault="00025FEB" w:rsidP="00AD0359">
            <w:pPr>
              <w:pStyle w:val="TableText"/>
              <w:rPr>
                <w:rFonts w:cs="Arial"/>
                <w:sz w:val="22"/>
                <w:szCs w:val="22"/>
              </w:rPr>
            </w:pPr>
            <w:r w:rsidRPr="00D85A4F">
              <w:rPr>
                <w:rFonts w:cs="Arial"/>
                <w:sz w:val="22"/>
                <w:szCs w:val="22"/>
              </w:rPr>
              <w:t xml:space="preserve">a certificate, signed by two medical practitioners, stating that the patient is fit to be allowed to be absent from hospital (section 50(1) </w:t>
            </w:r>
            <w:r>
              <w:rPr>
                <w:rFonts w:cs="Arial"/>
                <w:sz w:val="22"/>
                <w:szCs w:val="22"/>
              </w:rPr>
              <w:t>of the Mental Health Act</w:t>
            </w:r>
            <w:r w:rsidRPr="00D85A4F">
              <w:rPr>
                <w:rFonts w:cs="Arial"/>
                <w:sz w:val="22"/>
                <w:szCs w:val="22"/>
              </w:rPr>
              <w:t>)</w:t>
            </w:r>
          </w:p>
        </w:tc>
      </w:tr>
      <w:tr w:rsidR="00025FEB" w:rsidRPr="00D85A4F" w14:paraId="11B7CFF1"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7CAA19EF" w14:textId="77777777" w:rsidR="00025FEB" w:rsidRPr="00D85A4F" w:rsidRDefault="00025FEB" w:rsidP="00AD0359">
            <w:pPr>
              <w:pStyle w:val="TableText"/>
              <w:ind w:left="-57"/>
            </w:pPr>
          </w:p>
        </w:tc>
        <w:tc>
          <w:tcPr>
            <w:tcW w:w="709" w:type="dxa"/>
            <w:tcBorders>
              <w:top w:val="nil"/>
              <w:left w:val="nil"/>
              <w:bottom w:val="nil"/>
              <w:right w:val="nil"/>
            </w:tcBorders>
            <w:vAlign w:val="center"/>
          </w:tcPr>
          <w:p w14:paraId="24B1D3D2"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5517EBA4" w14:textId="77777777" w:rsidR="00025FEB" w:rsidRPr="00D85A4F" w:rsidRDefault="00025FEB" w:rsidP="00AD0359">
            <w:pPr>
              <w:pStyle w:val="TableText"/>
              <w:rPr>
                <w:rFonts w:cs="Arial"/>
                <w:sz w:val="22"/>
                <w:szCs w:val="22"/>
              </w:rPr>
            </w:pPr>
            <w:r w:rsidRPr="00D85A4F">
              <w:rPr>
                <w:rFonts w:cs="Arial"/>
                <w:sz w:val="22"/>
                <w:szCs w:val="22"/>
              </w:rPr>
              <w:t>comment on issues concerning victims, where the views of victims are known (</w:t>
            </w:r>
            <w:r>
              <w:rPr>
                <w:rFonts w:cs="Arial"/>
                <w:sz w:val="22"/>
                <w:szCs w:val="22"/>
              </w:rPr>
              <w:t>for example</w:t>
            </w:r>
            <w:r w:rsidRPr="00D85A4F">
              <w:rPr>
                <w:rFonts w:cs="Arial"/>
                <w:sz w:val="22"/>
                <w:szCs w:val="22"/>
              </w:rPr>
              <w:t>, anticipated opposition to leave), the likelihood of the patient being in contact with victims during leave and steps that have been put in place to manage this</w:t>
            </w:r>
          </w:p>
        </w:tc>
      </w:tr>
      <w:tr w:rsidR="00025FEB" w:rsidRPr="00D85A4F" w14:paraId="61AB8B38"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53B11077"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4AD17CBF" w14:textId="77777777" w:rsidR="00025FEB" w:rsidRPr="00D85A4F" w:rsidRDefault="00025FEB" w:rsidP="00AD0359">
            <w:pPr>
              <w:pStyle w:val="TableText"/>
              <w:spacing w:before="240"/>
              <w:rPr>
                <w:rFonts w:cs="Arial"/>
                <w:sz w:val="22"/>
                <w:szCs w:val="22"/>
              </w:rPr>
            </w:pPr>
            <w:r w:rsidRPr="00D85A4F">
              <w:rPr>
                <w:rFonts w:cs="Arial"/>
                <w:sz w:val="22"/>
                <w:szCs w:val="22"/>
              </w:rPr>
              <w:t>reference to the most recent report from the SPRP.</w:t>
            </w:r>
          </w:p>
        </w:tc>
      </w:tr>
    </w:tbl>
    <w:p w14:paraId="0D08C966" w14:textId="77777777" w:rsidR="00025FEB" w:rsidRPr="00D85A4F" w:rsidRDefault="00025FEB" w:rsidP="00025FEB"/>
    <w:tbl>
      <w:tblPr>
        <w:tblStyle w:val="TableGrid"/>
        <w:tblW w:w="1077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7"/>
        <w:gridCol w:w="709"/>
        <w:gridCol w:w="7371"/>
        <w:gridCol w:w="2132"/>
      </w:tblGrid>
      <w:tr w:rsidR="00025FEB" w:rsidRPr="00D85A4F" w14:paraId="2679B692" w14:textId="77777777" w:rsidTr="00AD0359">
        <w:trPr>
          <w:cantSplit/>
          <w:trHeight w:val="253"/>
        </w:trPr>
        <w:tc>
          <w:tcPr>
            <w:tcW w:w="8647" w:type="dxa"/>
            <w:gridSpan w:val="3"/>
            <w:vAlign w:val="center"/>
          </w:tcPr>
          <w:p w14:paraId="252310AB" w14:textId="77777777" w:rsidR="00025FEB" w:rsidRPr="00D85A4F" w:rsidRDefault="00025FEB" w:rsidP="00AD0359">
            <w:pPr>
              <w:pageBreakBefore/>
              <w:ind w:left="-57"/>
              <w:rPr>
                <w:rFonts w:ascii="Arial" w:hAnsi="Arial" w:cs="Arial"/>
                <w:i/>
                <w:noProof/>
                <w:sz w:val="36"/>
                <w:szCs w:val="36"/>
                <w:lang w:eastAsia="en-NZ"/>
              </w:rPr>
            </w:pPr>
            <w:r w:rsidRPr="00D85A4F">
              <w:rPr>
                <w:rFonts w:ascii="Arial" w:hAnsi="Arial" w:cs="Arial"/>
                <w:b/>
                <w:sz w:val="36"/>
                <w:szCs w:val="36"/>
              </w:rPr>
              <w:lastRenderedPageBreak/>
              <w:t xml:space="preserve">Checklist for change of status application – patients acquitted on </w:t>
            </w:r>
            <w:r>
              <w:rPr>
                <w:rFonts w:ascii="Arial" w:hAnsi="Arial" w:cs="Arial"/>
                <w:b/>
                <w:sz w:val="36"/>
                <w:szCs w:val="36"/>
              </w:rPr>
              <w:t>account</w:t>
            </w:r>
            <w:r w:rsidRPr="00D85A4F">
              <w:rPr>
                <w:rFonts w:ascii="Arial" w:hAnsi="Arial" w:cs="Arial"/>
                <w:b/>
                <w:sz w:val="36"/>
                <w:szCs w:val="36"/>
              </w:rPr>
              <w:t xml:space="preserve"> of insanity</w:t>
            </w:r>
            <w:r w:rsidRPr="00D85A4F">
              <w:rPr>
                <w:rFonts w:ascii="Arial" w:hAnsi="Arial" w:cs="Arial"/>
                <w:b/>
                <w:sz w:val="36"/>
                <w:szCs w:val="36"/>
              </w:rPr>
              <w:br/>
            </w:r>
            <w:r w:rsidRPr="00D85A4F">
              <w:rPr>
                <w:rFonts w:ascii="Arial" w:hAnsi="Arial" w:cs="Arial"/>
                <w:sz w:val="28"/>
                <w:szCs w:val="28"/>
              </w:rPr>
              <w:t xml:space="preserve">Section 77 </w:t>
            </w:r>
            <w:r>
              <w:rPr>
                <w:rFonts w:ascii="Arial" w:hAnsi="Arial" w:cs="Arial"/>
                <w:sz w:val="28"/>
                <w:szCs w:val="28"/>
              </w:rPr>
              <w:t xml:space="preserve">of the </w:t>
            </w:r>
            <w:r w:rsidRPr="00D85A4F">
              <w:rPr>
                <w:rFonts w:ascii="Arial" w:hAnsi="Arial" w:cs="Arial"/>
                <w:sz w:val="28"/>
                <w:szCs w:val="28"/>
              </w:rPr>
              <w:t>Mental Health</w:t>
            </w:r>
            <w:r w:rsidRPr="00D85A4F">
              <w:rPr>
                <w:rFonts w:ascii="Arial" w:hAnsi="Arial" w:cs="Arial"/>
                <w:sz w:val="28"/>
                <w:szCs w:val="28"/>
              </w:rPr>
              <w:br/>
              <w:t>(Compulsory Assessment and Treatment) Act 1992</w:t>
            </w:r>
          </w:p>
        </w:tc>
        <w:tc>
          <w:tcPr>
            <w:tcW w:w="2132" w:type="dxa"/>
          </w:tcPr>
          <w:p w14:paraId="4D4335F4" w14:textId="77777777" w:rsidR="00025FEB" w:rsidRPr="00D85A4F" w:rsidRDefault="00025FEB" w:rsidP="00AD0359">
            <w:pPr>
              <w:ind w:right="-57"/>
              <w:jc w:val="right"/>
              <w:rPr>
                <w:rFonts w:ascii="Arial" w:hAnsi="Arial" w:cs="Arial"/>
                <w:noProof/>
                <w:sz w:val="36"/>
                <w:szCs w:val="36"/>
                <w:lang w:eastAsia="en-NZ"/>
              </w:rPr>
            </w:pPr>
            <w:r>
              <w:rPr>
                <w:noProof/>
              </w:rPr>
              <w:drawing>
                <wp:anchor distT="0" distB="0" distL="114300" distR="114300" simplePos="0" relativeHeight="251661312" behindDoc="0" locked="0" layoutInCell="1" allowOverlap="1" wp14:anchorId="7C065713" wp14:editId="1139C2EF">
                  <wp:simplePos x="0" y="0"/>
                  <wp:positionH relativeFrom="column">
                    <wp:posOffset>-2540</wp:posOffset>
                  </wp:positionH>
                  <wp:positionV relativeFrom="paragraph">
                    <wp:posOffset>2540</wp:posOffset>
                  </wp:positionV>
                  <wp:extent cx="1519555" cy="718185"/>
                  <wp:effectExtent l="0" t="0" r="4445" b="5715"/>
                  <wp:wrapNone/>
                  <wp:docPr id="9" name="Picture 9"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inistry of Health 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5FEB" w:rsidRPr="00D85A4F" w14:paraId="77703743"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79" w:type="dxa"/>
            <w:gridSpan w:val="4"/>
            <w:tcBorders>
              <w:top w:val="nil"/>
              <w:left w:val="nil"/>
              <w:bottom w:val="nil"/>
              <w:right w:val="nil"/>
            </w:tcBorders>
            <w:vAlign w:val="center"/>
          </w:tcPr>
          <w:p w14:paraId="265DCC38" w14:textId="77777777" w:rsidR="00025FEB" w:rsidRPr="00D85A4F" w:rsidRDefault="00025FEB" w:rsidP="00AD0359">
            <w:pPr>
              <w:pStyle w:val="TableText"/>
              <w:spacing w:before="600" w:after="30"/>
              <w:ind w:left="-57"/>
              <w:rPr>
                <w:rFonts w:cs="Arial"/>
                <w:sz w:val="22"/>
                <w:szCs w:val="22"/>
              </w:rPr>
            </w:pPr>
            <w:r w:rsidRPr="00D85A4F">
              <w:rPr>
                <w:rFonts w:cs="Arial"/>
                <w:sz w:val="22"/>
                <w:szCs w:val="22"/>
              </w:rPr>
              <w:t>This application must include:</w:t>
            </w:r>
          </w:p>
        </w:tc>
      </w:tr>
      <w:tr w:rsidR="00025FEB" w:rsidRPr="00D85A4F" w14:paraId="79A6B807"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tcPr>
          <w:p w14:paraId="27050B04"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07844DBB" w14:textId="77777777" w:rsidR="00025FEB" w:rsidRPr="00D85A4F" w:rsidRDefault="00025FEB" w:rsidP="00AD0359">
            <w:pPr>
              <w:pStyle w:val="TableText"/>
              <w:spacing w:before="240"/>
              <w:rPr>
                <w:rFonts w:cs="Arial"/>
                <w:sz w:val="22"/>
                <w:szCs w:val="22"/>
              </w:rPr>
            </w:pPr>
            <w:r w:rsidRPr="00D85A4F">
              <w:rPr>
                <w:sz w:val="22"/>
                <w:szCs w:val="22"/>
              </w:rPr>
              <w:t>a certificate of clinical review signed by the responsible clinician, stating their opinion in respect of the special patient</w:t>
            </w:r>
          </w:p>
        </w:tc>
      </w:tr>
      <w:tr w:rsidR="00025FEB" w:rsidRPr="00D85A4F" w14:paraId="61BA1EBA"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tcPr>
          <w:p w14:paraId="0BEECE1F"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63662C30" w14:textId="77777777" w:rsidR="00025FEB" w:rsidRPr="00D85A4F" w:rsidRDefault="00025FEB" w:rsidP="00AD0359">
            <w:pPr>
              <w:pStyle w:val="TableText"/>
              <w:spacing w:before="240"/>
              <w:rPr>
                <w:rFonts w:cs="Arial"/>
                <w:sz w:val="22"/>
                <w:szCs w:val="22"/>
              </w:rPr>
            </w:pPr>
            <w:r w:rsidRPr="00D85A4F">
              <w:rPr>
                <w:sz w:val="22"/>
                <w:szCs w:val="22"/>
              </w:rPr>
              <w:t>a letter requesting a change of legal status – this letter should be from the responsible clinician and endorsed by the DAMHS</w:t>
            </w:r>
          </w:p>
        </w:tc>
      </w:tr>
      <w:tr w:rsidR="00025FEB" w:rsidRPr="00D85A4F" w14:paraId="7051E773"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tcPr>
          <w:p w14:paraId="3C39B7FD"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0D542667" w14:textId="77777777" w:rsidR="00025FEB" w:rsidRPr="00D85A4F" w:rsidRDefault="00025FEB" w:rsidP="00AD0359">
            <w:pPr>
              <w:pStyle w:val="TableText"/>
              <w:spacing w:before="240"/>
              <w:rPr>
                <w:rFonts w:cs="Arial"/>
                <w:sz w:val="22"/>
                <w:szCs w:val="22"/>
              </w:rPr>
            </w:pPr>
            <w:r w:rsidRPr="00D85A4F">
              <w:rPr>
                <w:rFonts w:cs="Arial"/>
                <w:sz w:val="22"/>
                <w:szCs w:val="22"/>
              </w:rPr>
              <w:t>an up-to-date report from the responsible clinician, providing the following information:</w:t>
            </w:r>
          </w:p>
        </w:tc>
      </w:tr>
      <w:tr w:rsidR="00025FEB" w:rsidRPr="00D85A4F" w14:paraId="0F1C1C51"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11292329" w14:textId="77777777" w:rsidR="00025FEB" w:rsidRPr="00D85A4F" w:rsidRDefault="00025FEB" w:rsidP="00AD0359">
            <w:pPr>
              <w:pStyle w:val="TableText"/>
              <w:ind w:left="-57"/>
            </w:pPr>
          </w:p>
        </w:tc>
        <w:tc>
          <w:tcPr>
            <w:tcW w:w="709" w:type="dxa"/>
            <w:tcBorders>
              <w:top w:val="nil"/>
              <w:left w:val="nil"/>
              <w:bottom w:val="nil"/>
              <w:right w:val="nil"/>
            </w:tcBorders>
          </w:tcPr>
          <w:p w14:paraId="7236A373"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35295E86" w14:textId="77777777" w:rsidR="00025FEB" w:rsidRPr="00D85A4F" w:rsidRDefault="00025FEB" w:rsidP="00AD0359">
            <w:pPr>
              <w:pStyle w:val="TableText"/>
              <w:rPr>
                <w:rFonts w:cs="Arial"/>
                <w:sz w:val="22"/>
                <w:szCs w:val="22"/>
              </w:rPr>
            </w:pPr>
            <w:r w:rsidRPr="00D85A4F">
              <w:rPr>
                <w:rFonts w:cs="Arial"/>
                <w:sz w:val="22"/>
                <w:szCs w:val="22"/>
              </w:rPr>
              <w:t>a current mental state assessment</w:t>
            </w:r>
          </w:p>
        </w:tc>
      </w:tr>
      <w:tr w:rsidR="00025FEB" w:rsidRPr="00D85A4F" w14:paraId="3EFA10A8"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4476F68A" w14:textId="77777777" w:rsidR="00025FEB" w:rsidRPr="00D85A4F" w:rsidRDefault="00025FEB" w:rsidP="00AD0359">
            <w:pPr>
              <w:pStyle w:val="TableText"/>
              <w:ind w:left="-57"/>
            </w:pPr>
          </w:p>
        </w:tc>
        <w:tc>
          <w:tcPr>
            <w:tcW w:w="709" w:type="dxa"/>
            <w:tcBorders>
              <w:top w:val="nil"/>
              <w:left w:val="nil"/>
              <w:bottom w:val="nil"/>
              <w:right w:val="nil"/>
            </w:tcBorders>
          </w:tcPr>
          <w:p w14:paraId="22DCDEEE"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0E611F4A" w14:textId="77777777" w:rsidR="00025FEB" w:rsidRPr="00D85A4F" w:rsidRDefault="00025FEB" w:rsidP="00AD0359">
            <w:pPr>
              <w:pStyle w:val="TableText"/>
              <w:rPr>
                <w:rFonts w:cs="Arial"/>
                <w:sz w:val="22"/>
                <w:szCs w:val="22"/>
              </w:rPr>
            </w:pPr>
            <w:r w:rsidRPr="00D85A4F">
              <w:rPr>
                <w:rFonts w:cs="Arial"/>
                <w:sz w:val="22"/>
                <w:szCs w:val="22"/>
              </w:rPr>
              <w:t>a risk assessment and management plan</w:t>
            </w:r>
          </w:p>
        </w:tc>
      </w:tr>
      <w:tr w:rsidR="00025FEB" w:rsidRPr="00D85A4F" w14:paraId="42FE3F0B"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1A5DCE68" w14:textId="77777777" w:rsidR="00025FEB" w:rsidRPr="00D85A4F" w:rsidRDefault="00025FEB" w:rsidP="00AD0359">
            <w:pPr>
              <w:pStyle w:val="TableText"/>
              <w:ind w:left="-57"/>
            </w:pPr>
          </w:p>
        </w:tc>
        <w:tc>
          <w:tcPr>
            <w:tcW w:w="709" w:type="dxa"/>
            <w:tcBorders>
              <w:top w:val="nil"/>
              <w:left w:val="nil"/>
              <w:bottom w:val="nil"/>
              <w:right w:val="nil"/>
            </w:tcBorders>
          </w:tcPr>
          <w:p w14:paraId="1BC4294D"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4F712751" w14:textId="77777777" w:rsidR="00025FEB" w:rsidRPr="00D85A4F" w:rsidRDefault="00025FEB" w:rsidP="00AD0359">
            <w:pPr>
              <w:pStyle w:val="TableText"/>
              <w:rPr>
                <w:rFonts w:cs="Arial"/>
                <w:sz w:val="22"/>
                <w:szCs w:val="22"/>
              </w:rPr>
            </w:pPr>
            <w:r w:rsidRPr="00D85A4F">
              <w:rPr>
                <w:sz w:val="22"/>
                <w:szCs w:val="22"/>
              </w:rPr>
              <w:t>how the factors leading to the index offence have been addressed and the steps put in place to reduce the chance of future offending</w:t>
            </w:r>
          </w:p>
        </w:tc>
      </w:tr>
      <w:tr w:rsidR="00025FEB" w:rsidRPr="00D85A4F" w14:paraId="7D864A62"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2EC56310" w14:textId="77777777" w:rsidR="00025FEB" w:rsidRPr="00D85A4F" w:rsidRDefault="00025FEB" w:rsidP="00AD0359">
            <w:pPr>
              <w:pStyle w:val="TableText"/>
              <w:ind w:left="-57"/>
            </w:pPr>
          </w:p>
        </w:tc>
        <w:tc>
          <w:tcPr>
            <w:tcW w:w="709" w:type="dxa"/>
            <w:tcBorders>
              <w:top w:val="nil"/>
              <w:left w:val="nil"/>
              <w:bottom w:val="nil"/>
              <w:right w:val="nil"/>
            </w:tcBorders>
          </w:tcPr>
          <w:p w14:paraId="65761D06"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7F446291" w14:textId="77777777" w:rsidR="00025FEB" w:rsidRPr="00D85A4F" w:rsidRDefault="00025FEB" w:rsidP="00AD0359">
            <w:pPr>
              <w:pStyle w:val="TableText"/>
              <w:rPr>
                <w:rFonts w:cs="Arial"/>
                <w:sz w:val="22"/>
                <w:szCs w:val="22"/>
              </w:rPr>
            </w:pPr>
            <w:r w:rsidRPr="00D85A4F">
              <w:rPr>
                <w:sz w:val="22"/>
                <w:szCs w:val="22"/>
              </w:rPr>
              <w:t>specific comment on alcohol and drug use</w:t>
            </w:r>
          </w:p>
        </w:tc>
      </w:tr>
      <w:tr w:rsidR="00025FEB" w:rsidRPr="00D85A4F" w14:paraId="1D6313FA"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23E09F98" w14:textId="77777777" w:rsidR="00025FEB" w:rsidRPr="00D85A4F" w:rsidRDefault="00025FEB" w:rsidP="00AD0359">
            <w:pPr>
              <w:pStyle w:val="TableText"/>
              <w:ind w:left="-57"/>
            </w:pPr>
          </w:p>
        </w:tc>
        <w:tc>
          <w:tcPr>
            <w:tcW w:w="709" w:type="dxa"/>
            <w:tcBorders>
              <w:top w:val="nil"/>
              <w:left w:val="nil"/>
              <w:bottom w:val="nil"/>
              <w:right w:val="nil"/>
            </w:tcBorders>
          </w:tcPr>
          <w:p w14:paraId="7B5745C9"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5E1D195E" w14:textId="77777777" w:rsidR="00025FEB" w:rsidRPr="00D85A4F" w:rsidRDefault="00025FEB" w:rsidP="00AD0359">
            <w:pPr>
              <w:pStyle w:val="TableText"/>
              <w:rPr>
                <w:rFonts w:cs="Arial"/>
                <w:sz w:val="22"/>
                <w:szCs w:val="22"/>
              </w:rPr>
            </w:pPr>
            <w:r w:rsidRPr="00D85A4F">
              <w:rPr>
                <w:sz w:val="22"/>
                <w:szCs w:val="22"/>
              </w:rPr>
              <w:t>plans for the patient’s ongoing management by mental health services once they are no longer subject to special patient status, particularly if the patient may not continue to meet the criteria for compulsory treatment</w:t>
            </w:r>
          </w:p>
        </w:tc>
      </w:tr>
      <w:tr w:rsidR="00025FEB" w:rsidRPr="00D85A4F" w14:paraId="78F84DEA"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7D0215B7" w14:textId="77777777" w:rsidR="00025FEB" w:rsidRPr="00D85A4F" w:rsidRDefault="00025FEB" w:rsidP="00AD0359">
            <w:pPr>
              <w:pStyle w:val="TableText"/>
              <w:ind w:left="-57"/>
            </w:pPr>
          </w:p>
        </w:tc>
        <w:tc>
          <w:tcPr>
            <w:tcW w:w="709" w:type="dxa"/>
            <w:tcBorders>
              <w:top w:val="nil"/>
              <w:left w:val="nil"/>
              <w:bottom w:val="nil"/>
              <w:right w:val="nil"/>
            </w:tcBorders>
          </w:tcPr>
          <w:p w14:paraId="5407FAA6"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5127A52B" w14:textId="77777777" w:rsidR="00025FEB" w:rsidRPr="00D85A4F" w:rsidRDefault="00025FEB" w:rsidP="00AD0359">
            <w:pPr>
              <w:pStyle w:val="TableText"/>
              <w:rPr>
                <w:rFonts w:cs="Arial"/>
                <w:sz w:val="22"/>
                <w:szCs w:val="22"/>
              </w:rPr>
            </w:pPr>
            <w:r w:rsidRPr="00D85A4F">
              <w:rPr>
                <w:sz w:val="22"/>
                <w:szCs w:val="22"/>
              </w:rPr>
              <w:t>comment on issues concerning victims, where the views of victims are known</w:t>
            </w:r>
            <w:r w:rsidRPr="00D85A4F">
              <w:rPr>
                <w:sz w:val="22"/>
                <w:szCs w:val="22"/>
              </w:rPr>
              <w:br/>
              <w:t>(</w:t>
            </w:r>
            <w:r>
              <w:rPr>
                <w:sz w:val="22"/>
                <w:szCs w:val="22"/>
              </w:rPr>
              <w:t>for example</w:t>
            </w:r>
            <w:r w:rsidRPr="00D85A4F">
              <w:rPr>
                <w:sz w:val="22"/>
                <w:szCs w:val="22"/>
              </w:rPr>
              <w:t>, anticipated opposition to change of legal status), the likelihood of the patient being in contact with victims and steps that have been put in place to manage this</w:t>
            </w:r>
          </w:p>
        </w:tc>
      </w:tr>
      <w:tr w:rsidR="00025FEB" w:rsidRPr="00D85A4F" w14:paraId="7FFC7904"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68D20E67"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5D7F841F" w14:textId="77777777" w:rsidR="00025FEB" w:rsidRPr="00D85A4F" w:rsidRDefault="00025FEB" w:rsidP="00AD0359">
            <w:pPr>
              <w:pStyle w:val="TableText"/>
              <w:spacing w:before="240"/>
              <w:rPr>
                <w:rFonts w:cs="Arial"/>
                <w:sz w:val="22"/>
                <w:szCs w:val="22"/>
              </w:rPr>
            </w:pPr>
            <w:r w:rsidRPr="00D85A4F">
              <w:rPr>
                <w:rFonts w:cs="Arial"/>
                <w:sz w:val="22"/>
                <w:szCs w:val="22"/>
              </w:rPr>
              <w:t>reference to the most recent report from the SPRP.</w:t>
            </w:r>
          </w:p>
        </w:tc>
      </w:tr>
    </w:tbl>
    <w:p w14:paraId="13BB93E7" w14:textId="77777777" w:rsidR="00025FEB" w:rsidRPr="00D85A4F" w:rsidRDefault="00025FEB" w:rsidP="00025FEB"/>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7"/>
        <w:gridCol w:w="709"/>
        <w:gridCol w:w="7371"/>
        <w:gridCol w:w="2132"/>
      </w:tblGrid>
      <w:tr w:rsidR="00025FEB" w:rsidRPr="00D85A4F" w14:paraId="09E69CF8" w14:textId="77777777" w:rsidTr="00AD0359">
        <w:trPr>
          <w:cantSplit/>
          <w:trHeight w:val="253"/>
        </w:trPr>
        <w:tc>
          <w:tcPr>
            <w:tcW w:w="8647" w:type="dxa"/>
            <w:gridSpan w:val="3"/>
            <w:vAlign w:val="center"/>
          </w:tcPr>
          <w:p w14:paraId="1E25CBBA" w14:textId="77777777" w:rsidR="00025FEB" w:rsidRPr="00D85A4F" w:rsidRDefault="00025FEB" w:rsidP="00AD0359">
            <w:pPr>
              <w:pageBreakBefore/>
              <w:ind w:left="-57"/>
              <w:rPr>
                <w:rFonts w:ascii="Arial" w:hAnsi="Arial" w:cs="Arial"/>
                <w:i/>
                <w:noProof/>
                <w:sz w:val="36"/>
                <w:szCs w:val="36"/>
                <w:lang w:eastAsia="en-NZ"/>
              </w:rPr>
            </w:pPr>
            <w:r w:rsidRPr="00D85A4F">
              <w:rPr>
                <w:rFonts w:ascii="Arial" w:hAnsi="Arial" w:cs="Arial"/>
                <w:b/>
                <w:sz w:val="36"/>
                <w:szCs w:val="36"/>
              </w:rPr>
              <w:lastRenderedPageBreak/>
              <w:t>Checklist for change of status application – patients found unfit to stand trial</w:t>
            </w:r>
            <w:r w:rsidRPr="00D85A4F">
              <w:rPr>
                <w:rFonts w:ascii="Arial" w:hAnsi="Arial" w:cs="Arial"/>
                <w:b/>
                <w:sz w:val="36"/>
                <w:szCs w:val="36"/>
              </w:rPr>
              <w:br/>
            </w:r>
            <w:r w:rsidRPr="00D85A4F">
              <w:rPr>
                <w:rFonts w:ascii="Arial" w:hAnsi="Arial" w:cs="Arial"/>
                <w:sz w:val="28"/>
                <w:szCs w:val="28"/>
              </w:rPr>
              <w:t xml:space="preserve">Section 77 </w:t>
            </w:r>
            <w:r>
              <w:rPr>
                <w:rFonts w:ascii="Arial" w:hAnsi="Arial" w:cs="Arial"/>
                <w:sz w:val="28"/>
                <w:szCs w:val="28"/>
              </w:rPr>
              <w:t xml:space="preserve">of the </w:t>
            </w:r>
            <w:r w:rsidRPr="00D85A4F">
              <w:rPr>
                <w:rFonts w:ascii="Arial" w:hAnsi="Arial" w:cs="Arial"/>
                <w:sz w:val="28"/>
                <w:szCs w:val="28"/>
              </w:rPr>
              <w:t>Mental Health</w:t>
            </w:r>
            <w:r w:rsidRPr="00D85A4F">
              <w:rPr>
                <w:rFonts w:ascii="Arial" w:hAnsi="Arial" w:cs="Arial"/>
                <w:sz w:val="28"/>
                <w:szCs w:val="28"/>
              </w:rPr>
              <w:br/>
              <w:t>(Compulsory Assessment and Treatment) Act 1992</w:t>
            </w:r>
          </w:p>
        </w:tc>
        <w:tc>
          <w:tcPr>
            <w:tcW w:w="2132" w:type="dxa"/>
          </w:tcPr>
          <w:p w14:paraId="2B056B00" w14:textId="77777777" w:rsidR="00025FEB" w:rsidRPr="00D85A4F" w:rsidRDefault="00025FEB" w:rsidP="00AD0359">
            <w:pPr>
              <w:ind w:right="-57"/>
              <w:jc w:val="right"/>
              <w:rPr>
                <w:rFonts w:ascii="Arial" w:hAnsi="Arial" w:cs="Arial"/>
                <w:noProof/>
                <w:sz w:val="36"/>
                <w:szCs w:val="36"/>
                <w:lang w:eastAsia="en-NZ"/>
              </w:rPr>
            </w:pPr>
            <w:r>
              <w:rPr>
                <w:noProof/>
              </w:rPr>
              <w:drawing>
                <wp:anchor distT="0" distB="0" distL="114300" distR="114300" simplePos="0" relativeHeight="251660288" behindDoc="0" locked="0" layoutInCell="1" allowOverlap="1" wp14:anchorId="4326D701" wp14:editId="1A46A599">
                  <wp:simplePos x="0" y="0"/>
                  <wp:positionH relativeFrom="column">
                    <wp:posOffset>-2540</wp:posOffset>
                  </wp:positionH>
                  <wp:positionV relativeFrom="paragraph">
                    <wp:posOffset>2540</wp:posOffset>
                  </wp:positionV>
                  <wp:extent cx="1519555" cy="718185"/>
                  <wp:effectExtent l="0" t="0" r="4445" b="5715"/>
                  <wp:wrapNone/>
                  <wp:docPr id="8" name="Picture 8"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inistry of Health 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5FEB" w:rsidRPr="00D85A4F" w14:paraId="4F89895B"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79" w:type="dxa"/>
            <w:gridSpan w:val="4"/>
            <w:tcBorders>
              <w:top w:val="nil"/>
              <w:left w:val="nil"/>
              <w:bottom w:val="nil"/>
              <w:right w:val="nil"/>
            </w:tcBorders>
            <w:vAlign w:val="center"/>
          </w:tcPr>
          <w:p w14:paraId="6F2091E2" w14:textId="77777777" w:rsidR="00025FEB" w:rsidRPr="00D85A4F" w:rsidRDefault="00025FEB" w:rsidP="00AD0359">
            <w:pPr>
              <w:pStyle w:val="TableText"/>
              <w:spacing w:before="600" w:after="30"/>
              <w:ind w:left="-57"/>
              <w:rPr>
                <w:rFonts w:cs="Arial"/>
                <w:sz w:val="22"/>
                <w:szCs w:val="22"/>
              </w:rPr>
            </w:pPr>
            <w:r w:rsidRPr="00D85A4F">
              <w:rPr>
                <w:rFonts w:cs="Arial"/>
                <w:sz w:val="22"/>
                <w:szCs w:val="22"/>
              </w:rPr>
              <w:t>This application must include:</w:t>
            </w:r>
          </w:p>
        </w:tc>
      </w:tr>
      <w:tr w:rsidR="00025FEB" w:rsidRPr="00D85A4F" w14:paraId="6A8228BD"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tcPr>
          <w:p w14:paraId="6A674471"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16B9A1D5" w14:textId="77777777" w:rsidR="00025FEB" w:rsidRPr="00D85A4F" w:rsidRDefault="00025FEB" w:rsidP="00AD0359">
            <w:pPr>
              <w:pStyle w:val="TableText"/>
              <w:spacing w:before="240"/>
              <w:rPr>
                <w:rFonts w:cs="Arial"/>
                <w:sz w:val="22"/>
                <w:szCs w:val="22"/>
              </w:rPr>
            </w:pPr>
            <w:r w:rsidRPr="00D85A4F">
              <w:rPr>
                <w:sz w:val="22"/>
                <w:szCs w:val="22"/>
              </w:rPr>
              <w:t>a certificate of clinical review, signed by the responsible clinician, stating their opinion in respect of the special patient</w:t>
            </w:r>
          </w:p>
        </w:tc>
      </w:tr>
      <w:tr w:rsidR="00025FEB" w:rsidRPr="00D85A4F" w14:paraId="0141C1C2"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tcPr>
          <w:p w14:paraId="1E61DBFD"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2B414005" w14:textId="77777777" w:rsidR="00025FEB" w:rsidRPr="00D85A4F" w:rsidRDefault="00025FEB" w:rsidP="00AD0359">
            <w:pPr>
              <w:pStyle w:val="TableText"/>
              <w:spacing w:before="240"/>
              <w:rPr>
                <w:rFonts w:cs="Arial"/>
                <w:sz w:val="22"/>
                <w:szCs w:val="22"/>
              </w:rPr>
            </w:pPr>
            <w:r w:rsidRPr="00D85A4F">
              <w:rPr>
                <w:sz w:val="22"/>
                <w:szCs w:val="22"/>
              </w:rPr>
              <w:t>a letter requesting a change of legal status – this letter should be from the responsible clinician and endorsed by the DAMHS</w:t>
            </w:r>
          </w:p>
        </w:tc>
      </w:tr>
      <w:tr w:rsidR="00025FEB" w:rsidRPr="00D85A4F" w14:paraId="77E1D6A9"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tcPr>
          <w:p w14:paraId="52B2DCF5"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32D386A9" w14:textId="77777777" w:rsidR="00025FEB" w:rsidRPr="00D85A4F" w:rsidRDefault="00025FEB" w:rsidP="00AD0359">
            <w:pPr>
              <w:pStyle w:val="TableText"/>
              <w:spacing w:before="240"/>
              <w:rPr>
                <w:rFonts w:cs="Arial"/>
                <w:sz w:val="22"/>
                <w:szCs w:val="22"/>
              </w:rPr>
            </w:pPr>
            <w:r w:rsidRPr="00D85A4F">
              <w:rPr>
                <w:sz w:val="22"/>
                <w:szCs w:val="22"/>
              </w:rPr>
              <w:t>an up-to-date report from the responsible clinician, providing the following information:</w:t>
            </w:r>
          </w:p>
        </w:tc>
      </w:tr>
      <w:tr w:rsidR="00025FEB" w:rsidRPr="00D85A4F" w14:paraId="5E608710"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2DF5065C" w14:textId="77777777" w:rsidR="00025FEB" w:rsidRPr="00D85A4F" w:rsidRDefault="00025FEB" w:rsidP="00AD0359">
            <w:pPr>
              <w:pStyle w:val="TableText"/>
              <w:ind w:left="-57"/>
            </w:pPr>
          </w:p>
        </w:tc>
        <w:tc>
          <w:tcPr>
            <w:tcW w:w="709" w:type="dxa"/>
            <w:tcBorders>
              <w:top w:val="nil"/>
              <w:left w:val="nil"/>
              <w:bottom w:val="nil"/>
              <w:right w:val="nil"/>
            </w:tcBorders>
          </w:tcPr>
          <w:p w14:paraId="2C01BFBB"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5A252746" w14:textId="77777777" w:rsidR="00025FEB" w:rsidRPr="00D85A4F" w:rsidRDefault="00025FEB" w:rsidP="00AD0359">
            <w:pPr>
              <w:pStyle w:val="TableText"/>
              <w:rPr>
                <w:rFonts w:cs="Arial"/>
                <w:sz w:val="22"/>
                <w:szCs w:val="22"/>
              </w:rPr>
            </w:pPr>
            <w:r w:rsidRPr="00D85A4F">
              <w:rPr>
                <w:sz w:val="22"/>
                <w:szCs w:val="22"/>
              </w:rPr>
              <w:t>a current mental state assessment</w:t>
            </w:r>
          </w:p>
        </w:tc>
      </w:tr>
      <w:tr w:rsidR="00025FEB" w:rsidRPr="00D85A4F" w14:paraId="0CDE43A6"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382A5A76" w14:textId="77777777" w:rsidR="00025FEB" w:rsidRPr="00D85A4F" w:rsidRDefault="00025FEB" w:rsidP="00AD0359">
            <w:pPr>
              <w:pStyle w:val="TableText"/>
              <w:ind w:left="-57"/>
            </w:pPr>
          </w:p>
        </w:tc>
        <w:tc>
          <w:tcPr>
            <w:tcW w:w="709" w:type="dxa"/>
            <w:tcBorders>
              <w:top w:val="nil"/>
              <w:left w:val="nil"/>
              <w:bottom w:val="nil"/>
              <w:right w:val="nil"/>
            </w:tcBorders>
          </w:tcPr>
          <w:p w14:paraId="4BDD3F0D"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01C8BBEE" w14:textId="77777777" w:rsidR="00025FEB" w:rsidRPr="00D85A4F" w:rsidRDefault="00025FEB" w:rsidP="00AD0359">
            <w:pPr>
              <w:pStyle w:val="TableText"/>
              <w:rPr>
                <w:rFonts w:cs="Arial"/>
                <w:sz w:val="22"/>
                <w:szCs w:val="22"/>
              </w:rPr>
            </w:pPr>
            <w:r w:rsidRPr="00D85A4F">
              <w:rPr>
                <w:sz w:val="22"/>
                <w:szCs w:val="22"/>
              </w:rPr>
              <w:t>a risk assessment and management plan</w:t>
            </w:r>
          </w:p>
        </w:tc>
      </w:tr>
      <w:tr w:rsidR="00025FEB" w:rsidRPr="00D85A4F" w14:paraId="23847821"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45D5F4E6" w14:textId="77777777" w:rsidR="00025FEB" w:rsidRPr="00D85A4F" w:rsidRDefault="00025FEB" w:rsidP="00AD0359">
            <w:pPr>
              <w:pStyle w:val="TableText"/>
              <w:ind w:left="-57"/>
            </w:pPr>
          </w:p>
        </w:tc>
        <w:tc>
          <w:tcPr>
            <w:tcW w:w="709" w:type="dxa"/>
            <w:tcBorders>
              <w:top w:val="nil"/>
              <w:left w:val="nil"/>
              <w:bottom w:val="nil"/>
              <w:right w:val="nil"/>
            </w:tcBorders>
          </w:tcPr>
          <w:p w14:paraId="3C20F1DD"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56EB7F6E" w14:textId="77777777" w:rsidR="00025FEB" w:rsidRPr="00D85A4F" w:rsidRDefault="00025FEB" w:rsidP="00AD0359">
            <w:pPr>
              <w:pStyle w:val="TableText"/>
              <w:rPr>
                <w:rFonts w:cs="Arial"/>
                <w:sz w:val="22"/>
                <w:szCs w:val="22"/>
              </w:rPr>
            </w:pPr>
            <w:r w:rsidRPr="00D85A4F">
              <w:rPr>
                <w:sz w:val="22"/>
                <w:szCs w:val="22"/>
              </w:rPr>
              <w:t>how the factors leading to the index offence have been addressed and the steps put in place to reduce the chance of future offending</w:t>
            </w:r>
          </w:p>
        </w:tc>
      </w:tr>
      <w:tr w:rsidR="00025FEB" w:rsidRPr="00D85A4F" w14:paraId="688DD6BD"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2C01434F" w14:textId="77777777" w:rsidR="00025FEB" w:rsidRPr="00D85A4F" w:rsidRDefault="00025FEB" w:rsidP="00AD0359">
            <w:pPr>
              <w:pStyle w:val="TableText"/>
              <w:ind w:left="-57"/>
            </w:pPr>
          </w:p>
        </w:tc>
        <w:tc>
          <w:tcPr>
            <w:tcW w:w="709" w:type="dxa"/>
            <w:tcBorders>
              <w:top w:val="nil"/>
              <w:left w:val="nil"/>
              <w:bottom w:val="nil"/>
              <w:right w:val="nil"/>
            </w:tcBorders>
          </w:tcPr>
          <w:p w14:paraId="478005D1"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156BEDC8" w14:textId="77777777" w:rsidR="00025FEB" w:rsidRPr="00D85A4F" w:rsidRDefault="00025FEB" w:rsidP="00AD0359">
            <w:pPr>
              <w:pStyle w:val="TableText"/>
              <w:rPr>
                <w:rFonts w:cs="Arial"/>
                <w:sz w:val="22"/>
                <w:szCs w:val="22"/>
              </w:rPr>
            </w:pPr>
            <w:r w:rsidRPr="00D85A4F">
              <w:rPr>
                <w:sz w:val="22"/>
                <w:szCs w:val="22"/>
              </w:rPr>
              <w:t>comment on issues concerning victims, where the views of victims are known (</w:t>
            </w:r>
            <w:r>
              <w:rPr>
                <w:sz w:val="22"/>
                <w:szCs w:val="22"/>
              </w:rPr>
              <w:t>for example</w:t>
            </w:r>
            <w:r w:rsidRPr="00D85A4F">
              <w:rPr>
                <w:sz w:val="22"/>
                <w:szCs w:val="22"/>
              </w:rPr>
              <w:t>, anticipated opposition to change of legal status), the likelihood of the patient being in contact with victims and steps that have been put in place to manage this</w:t>
            </w:r>
          </w:p>
        </w:tc>
      </w:tr>
      <w:tr w:rsidR="00025FEB" w:rsidRPr="00D85A4F" w14:paraId="0148A12C"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2473FCA2" w14:textId="77777777" w:rsidR="00025FEB" w:rsidRPr="00D85A4F" w:rsidRDefault="00025FEB" w:rsidP="00AD0359">
            <w:pPr>
              <w:pStyle w:val="TableText"/>
              <w:ind w:left="-57"/>
            </w:pPr>
          </w:p>
        </w:tc>
        <w:tc>
          <w:tcPr>
            <w:tcW w:w="709" w:type="dxa"/>
            <w:tcBorders>
              <w:top w:val="nil"/>
              <w:left w:val="nil"/>
              <w:bottom w:val="nil"/>
              <w:right w:val="nil"/>
            </w:tcBorders>
          </w:tcPr>
          <w:p w14:paraId="10AFA2E1"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3D0844EA" w14:textId="77777777" w:rsidR="00025FEB" w:rsidRPr="00D85A4F" w:rsidRDefault="00025FEB" w:rsidP="00AD0359">
            <w:pPr>
              <w:pStyle w:val="TableText"/>
              <w:rPr>
                <w:rFonts w:cs="Arial"/>
                <w:sz w:val="22"/>
                <w:szCs w:val="22"/>
              </w:rPr>
            </w:pPr>
            <w:r w:rsidRPr="00D85A4F">
              <w:rPr>
                <w:sz w:val="22"/>
                <w:szCs w:val="22"/>
              </w:rPr>
              <w:t>specific comment on alcohol and drug use</w:t>
            </w:r>
          </w:p>
        </w:tc>
      </w:tr>
      <w:tr w:rsidR="00025FEB" w:rsidRPr="00D85A4F" w14:paraId="53592D82"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5A5BD87E" w14:textId="77777777" w:rsidR="00025FEB" w:rsidRPr="00D85A4F" w:rsidRDefault="00025FEB" w:rsidP="00AD0359">
            <w:pPr>
              <w:pStyle w:val="TableText"/>
              <w:ind w:left="-57"/>
            </w:pPr>
          </w:p>
        </w:tc>
        <w:tc>
          <w:tcPr>
            <w:tcW w:w="709" w:type="dxa"/>
            <w:tcBorders>
              <w:top w:val="nil"/>
              <w:left w:val="nil"/>
              <w:bottom w:val="nil"/>
              <w:right w:val="nil"/>
            </w:tcBorders>
          </w:tcPr>
          <w:p w14:paraId="108D4CDE"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17CA9F97" w14:textId="77777777" w:rsidR="00025FEB" w:rsidRPr="00D85A4F" w:rsidRDefault="00025FEB" w:rsidP="00AD0359">
            <w:pPr>
              <w:pStyle w:val="TableText"/>
              <w:rPr>
                <w:rFonts w:cs="Arial"/>
                <w:sz w:val="22"/>
                <w:szCs w:val="22"/>
              </w:rPr>
            </w:pPr>
            <w:r w:rsidRPr="00D85A4F">
              <w:rPr>
                <w:sz w:val="22"/>
                <w:szCs w:val="22"/>
              </w:rPr>
              <w:t>plans for the patient’s ongoing management by mental health services once they are no longer subject to special patient status, particularly if the patient may not continue to meet the criteria for compulsory treatment</w:t>
            </w:r>
          </w:p>
        </w:tc>
      </w:tr>
      <w:tr w:rsidR="00025FEB" w:rsidRPr="00D85A4F" w14:paraId="3B8C9351"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1F33C346" w14:textId="77777777" w:rsidR="00025FEB" w:rsidRPr="00D85A4F" w:rsidRDefault="00025FEB" w:rsidP="00AD0359">
            <w:pPr>
              <w:pStyle w:val="TableText"/>
              <w:ind w:left="-57"/>
            </w:pPr>
          </w:p>
        </w:tc>
        <w:tc>
          <w:tcPr>
            <w:tcW w:w="709" w:type="dxa"/>
            <w:tcBorders>
              <w:top w:val="nil"/>
              <w:left w:val="nil"/>
              <w:bottom w:val="nil"/>
              <w:right w:val="nil"/>
            </w:tcBorders>
          </w:tcPr>
          <w:p w14:paraId="1FD70F40"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1870D448" w14:textId="77777777" w:rsidR="00025FEB" w:rsidRPr="00D85A4F" w:rsidRDefault="00025FEB" w:rsidP="00AD0359">
            <w:pPr>
              <w:pStyle w:val="TableText"/>
              <w:rPr>
                <w:rFonts w:cs="Arial"/>
                <w:sz w:val="22"/>
                <w:szCs w:val="22"/>
              </w:rPr>
            </w:pPr>
            <w:r w:rsidRPr="00D85A4F">
              <w:rPr>
                <w:sz w:val="22"/>
                <w:szCs w:val="22"/>
              </w:rPr>
              <w:t>if the patient is likely to return to court, advice on whether they may have an insanity defence</w:t>
            </w:r>
          </w:p>
        </w:tc>
      </w:tr>
      <w:tr w:rsidR="00025FEB" w:rsidRPr="00D85A4F" w14:paraId="4012439E"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1AFC5701"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5DA28D44" w14:textId="77777777" w:rsidR="00025FEB" w:rsidRPr="00D85A4F" w:rsidRDefault="00025FEB" w:rsidP="00AD0359">
            <w:pPr>
              <w:pStyle w:val="TableText"/>
              <w:spacing w:before="240"/>
              <w:rPr>
                <w:rFonts w:cs="Arial"/>
                <w:sz w:val="22"/>
                <w:szCs w:val="22"/>
              </w:rPr>
            </w:pPr>
            <w:r w:rsidRPr="00D85A4F">
              <w:rPr>
                <w:sz w:val="22"/>
                <w:szCs w:val="22"/>
              </w:rPr>
              <w:t>reference to the most recent report from the SPRP.</w:t>
            </w:r>
          </w:p>
        </w:tc>
      </w:tr>
    </w:tbl>
    <w:p w14:paraId="17B8DD0B" w14:textId="77777777" w:rsidR="00025FEB" w:rsidRPr="00D85A4F" w:rsidRDefault="00025FEB" w:rsidP="00025FEB"/>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7"/>
        <w:gridCol w:w="709"/>
        <w:gridCol w:w="7371"/>
        <w:gridCol w:w="2132"/>
      </w:tblGrid>
      <w:tr w:rsidR="00025FEB" w:rsidRPr="00D85A4F" w14:paraId="0DEB378D" w14:textId="77777777" w:rsidTr="00AD0359">
        <w:trPr>
          <w:cantSplit/>
          <w:trHeight w:val="253"/>
        </w:trPr>
        <w:tc>
          <w:tcPr>
            <w:tcW w:w="8647" w:type="dxa"/>
            <w:gridSpan w:val="3"/>
            <w:vAlign w:val="center"/>
          </w:tcPr>
          <w:p w14:paraId="2A049DE7" w14:textId="77777777" w:rsidR="00025FEB" w:rsidRPr="00D85A4F" w:rsidRDefault="00025FEB" w:rsidP="00AD0359">
            <w:pPr>
              <w:pageBreakBefore/>
              <w:ind w:left="-57"/>
              <w:rPr>
                <w:rFonts w:ascii="Arial" w:hAnsi="Arial" w:cs="Arial"/>
                <w:i/>
                <w:noProof/>
                <w:sz w:val="36"/>
                <w:szCs w:val="36"/>
                <w:lang w:eastAsia="en-NZ"/>
              </w:rPr>
            </w:pPr>
            <w:r w:rsidRPr="00D85A4F">
              <w:rPr>
                <w:rFonts w:ascii="Arial" w:hAnsi="Arial" w:cs="Arial"/>
                <w:b/>
                <w:sz w:val="36"/>
                <w:szCs w:val="36"/>
              </w:rPr>
              <w:lastRenderedPageBreak/>
              <w:t>Checklist for change of status application – restricted patients</w:t>
            </w:r>
            <w:r w:rsidRPr="00D85A4F">
              <w:rPr>
                <w:rFonts w:ascii="Arial" w:hAnsi="Arial" w:cs="Arial"/>
                <w:b/>
                <w:sz w:val="36"/>
                <w:szCs w:val="36"/>
              </w:rPr>
              <w:br/>
            </w:r>
            <w:r w:rsidRPr="00D85A4F">
              <w:rPr>
                <w:rFonts w:ascii="Arial" w:hAnsi="Arial" w:cs="Arial"/>
                <w:sz w:val="28"/>
                <w:szCs w:val="28"/>
              </w:rPr>
              <w:t xml:space="preserve">Section 78 </w:t>
            </w:r>
            <w:r>
              <w:rPr>
                <w:rFonts w:ascii="Arial" w:hAnsi="Arial" w:cs="Arial"/>
                <w:sz w:val="28"/>
                <w:szCs w:val="28"/>
              </w:rPr>
              <w:t xml:space="preserve">of the </w:t>
            </w:r>
            <w:r w:rsidRPr="00D85A4F">
              <w:rPr>
                <w:rFonts w:ascii="Arial" w:hAnsi="Arial" w:cs="Arial"/>
                <w:sz w:val="28"/>
                <w:szCs w:val="28"/>
              </w:rPr>
              <w:t>Mental Health</w:t>
            </w:r>
            <w:r w:rsidRPr="00D85A4F">
              <w:rPr>
                <w:rFonts w:ascii="Arial" w:hAnsi="Arial" w:cs="Arial"/>
                <w:sz w:val="28"/>
                <w:szCs w:val="28"/>
              </w:rPr>
              <w:br/>
              <w:t>(Compulsory Assessment and Treatment) Act 1992</w:t>
            </w:r>
          </w:p>
        </w:tc>
        <w:tc>
          <w:tcPr>
            <w:tcW w:w="2132" w:type="dxa"/>
          </w:tcPr>
          <w:p w14:paraId="0E2A7585" w14:textId="77777777" w:rsidR="00025FEB" w:rsidRPr="00D85A4F" w:rsidRDefault="00025FEB" w:rsidP="00AD0359">
            <w:pPr>
              <w:ind w:right="-57"/>
              <w:jc w:val="right"/>
              <w:rPr>
                <w:rFonts w:ascii="Arial" w:hAnsi="Arial" w:cs="Arial"/>
                <w:noProof/>
                <w:sz w:val="36"/>
                <w:szCs w:val="36"/>
                <w:lang w:eastAsia="en-NZ"/>
              </w:rPr>
            </w:pPr>
            <w:r>
              <w:rPr>
                <w:noProof/>
              </w:rPr>
              <w:drawing>
                <wp:anchor distT="0" distB="0" distL="114300" distR="114300" simplePos="0" relativeHeight="251659264" behindDoc="0" locked="0" layoutInCell="1" allowOverlap="1" wp14:anchorId="2DADF88E" wp14:editId="4C96B1D3">
                  <wp:simplePos x="0" y="0"/>
                  <wp:positionH relativeFrom="column">
                    <wp:posOffset>-2540</wp:posOffset>
                  </wp:positionH>
                  <wp:positionV relativeFrom="paragraph">
                    <wp:posOffset>2540</wp:posOffset>
                  </wp:positionV>
                  <wp:extent cx="1519555" cy="718185"/>
                  <wp:effectExtent l="0" t="0" r="4445" b="5715"/>
                  <wp:wrapNone/>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istry of Health 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5FEB" w:rsidRPr="00D85A4F" w14:paraId="1AC850FA"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79" w:type="dxa"/>
            <w:gridSpan w:val="4"/>
            <w:tcBorders>
              <w:top w:val="nil"/>
              <w:left w:val="nil"/>
              <w:bottom w:val="nil"/>
              <w:right w:val="nil"/>
            </w:tcBorders>
            <w:vAlign w:val="center"/>
          </w:tcPr>
          <w:p w14:paraId="13BED399" w14:textId="77777777" w:rsidR="00025FEB" w:rsidRPr="00D85A4F" w:rsidRDefault="00025FEB" w:rsidP="00AD0359">
            <w:pPr>
              <w:pStyle w:val="TableText"/>
              <w:spacing w:before="600" w:after="30"/>
              <w:ind w:left="-57"/>
              <w:rPr>
                <w:rFonts w:cs="Arial"/>
                <w:sz w:val="22"/>
                <w:szCs w:val="22"/>
              </w:rPr>
            </w:pPr>
            <w:r w:rsidRPr="00D85A4F">
              <w:rPr>
                <w:rFonts w:cs="Arial"/>
                <w:sz w:val="22"/>
                <w:szCs w:val="22"/>
              </w:rPr>
              <w:t>This application must include:</w:t>
            </w:r>
          </w:p>
        </w:tc>
      </w:tr>
      <w:tr w:rsidR="00025FEB" w:rsidRPr="00D85A4F" w14:paraId="7538A405"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tcPr>
          <w:p w14:paraId="11D749BC"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0B346CA5" w14:textId="77777777" w:rsidR="00025FEB" w:rsidRPr="00D85A4F" w:rsidRDefault="00025FEB" w:rsidP="00AD0359">
            <w:pPr>
              <w:pStyle w:val="TableText"/>
              <w:spacing w:before="240"/>
              <w:rPr>
                <w:rFonts w:cs="Arial"/>
                <w:sz w:val="22"/>
                <w:szCs w:val="22"/>
              </w:rPr>
            </w:pPr>
            <w:r w:rsidRPr="00D85A4F">
              <w:rPr>
                <w:sz w:val="22"/>
                <w:szCs w:val="22"/>
              </w:rPr>
              <w:t>a certificate of clinical review, signed by the responsible clinician, stating their opinion in respect of the restricted patient</w:t>
            </w:r>
          </w:p>
        </w:tc>
      </w:tr>
      <w:tr w:rsidR="00025FEB" w:rsidRPr="00D85A4F" w14:paraId="1E6453D6"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tcPr>
          <w:p w14:paraId="18F948DB"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2E6CC8E9" w14:textId="77777777" w:rsidR="00025FEB" w:rsidRPr="00D85A4F" w:rsidRDefault="00025FEB" w:rsidP="00AD0359">
            <w:pPr>
              <w:pStyle w:val="TableText"/>
              <w:spacing w:before="240"/>
              <w:rPr>
                <w:rFonts w:cs="Arial"/>
                <w:sz w:val="22"/>
                <w:szCs w:val="22"/>
              </w:rPr>
            </w:pPr>
            <w:r w:rsidRPr="00D85A4F">
              <w:rPr>
                <w:sz w:val="22"/>
                <w:szCs w:val="22"/>
              </w:rPr>
              <w:t>a letter requesting a change of legal status – this letter should be from the responsible clinician and be endorsed by the DAMHS</w:t>
            </w:r>
          </w:p>
        </w:tc>
      </w:tr>
      <w:tr w:rsidR="00025FEB" w:rsidRPr="00D85A4F" w14:paraId="6005274F"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tcPr>
          <w:p w14:paraId="09F0ED45"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7ACB3034" w14:textId="77777777" w:rsidR="00025FEB" w:rsidRPr="00D85A4F" w:rsidRDefault="00025FEB" w:rsidP="00AD0359">
            <w:pPr>
              <w:pStyle w:val="TableText"/>
              <w:spacing w:before="240"/>
              <w:rPr>
                <w:rFonts w:cs="Arial"/>
                <w:sz w:val="22"/>
                <w:szCs w:val="22"/>
              </w:rPr>
            </w:pPr>
            <w:r w:rsidRPr="00D85A4F">
              <w:rPr>
                <w:sz w:val="22"/>
                <w:szCs w:val="22"/>
              </w:rPr>
              <w:t>an up-to-date report from the responsible clinician, providing the following information:</w:t>
            </w:r>
          </w:p>
        </w:tc>
      </w:tr>
      <w:tr w:rsidR="00025FEB" w:rsidRPr="00D85A4F" w14:paraId="7BCE6C27"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40C1FB9C" w14:textId="77777777" w:rsidR="00025FEB" w:rsidRPr="00D85A4F" w:rsidRDefault="00025FEB" w:rsidP="00AD0359">
            <w:pPr>
              <w:pStyle w:val="TableText"/>
              <w:ind w:left="-57"/>
            </w:pPr>
          </w:p>
        </w:tc>
        <w:tc>
          <w:tcPr>
            <w:tcW w:w="709" w:type="dxa"/>
            <w:tcBorders>
              <w:top w:val="nil"/>
              <w:left w:val="nil"/>
              <w:bottom w:val="nil"/>
              <w:right w:val="nil"/>
            </w:tcBorders>
          </w:tcPr>
          <w:p w14:paraId="6CDE5773"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28CDD76E" w14:textId="77777777" w:rsidR="00025FEB" w:rsidRPr="00D85A4F" w:rsidRDefault="00025FEB" w:rsidP="00AD0359">
            <w:pPr>
              <w:pStyle w:val="TableText"/>
              <w:rPr>
                <w:rFonts w:cs="Arial"/>
                <w:sz w:val="22"/>
                <w:szCs w:val="22"/>
              </w:rPr>
            </w:pPr>
            <w:r w:rsidRPr="00D85A4F">
              <w:rPr>
                <w:sz w:val="22"/>
                <w:szCs w:val="22"/>
              </w:rPr>
              <w:t>a current mental state assessment</w:t>
            </w:r>
          </w:p>
        </w:tc>
      </w:tr>
      <w:tr w:rsidR="00025FEB" w:rsidRPr="00D85A4F" w14:paraId="606CB82F"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3918022A" w14:textId="77777777" w:rsidR="00025FEB" w:rsidRPr="00D85A4F" w:rsidRDefault="00025FEB" w:rsidP="00AD0359">
            <w:pPr>
              <w:pStyle w:val="TableText"/>
              <w:ind w:left="-57"/>
            </w:pPr>
          </w:p>
        </w:tc>
        <w:tc>
          <w:tcPr>
            <w:tcW w:w="709" w:type="dxa"/>
            <w:tcBorders>
              <w:top w:val="nil"/>
              <w:left w:val="nil"/>
              <w:bottom w:val="nil"/>
              <w:right w:val="nil"/>
            </w:tcBorders>
          </w:tcPr>
          <w:p w14:paraId="6917D19C"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51D12B08" w14:textId="77777777" w:rsidR="00025FEB" w:rsidRPr="00D85A4F" w:rsidRDefault="00025FEB" w:rsidP="00AD0359">
            <w:pPr>
              <w:pStyle w:val="TableText"/>
              <w:rPr>
                <w:rFonts w:cs="Arial"/>
                <w:sz w:val="22"/>
                <w:szCs w:val="22"/>
              </w:rPr>
            </w:pPr>
            <w:r w:rsidRPr="00D85A4F">
              <w:rPr>
                <w:sz w:val="22"/>
                <w:szCs w:val="22"/>
              </w:rPr>
              <w:t>a risk assessment and management plan</w:t>
            </w:r>
          </w:p>
        </w:tc>
      </w:tr>
      <w:tr w:rsidR="00025FEB" w:rsidRPr="00D85A4F" w14:paraId="1DD205E3"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45E2BA97" w14:textId="77777777" w:rsidR="00025FEB" w:rsidRPr="00D85A4F" w:rsidRDefault="00025FEB" w:rsidP="00AD0359">
            <w:pPr>
              <w:pStyle w:val="TableText"/>
              <w:ind w:left="-57"/>
            </w:pPr>
          </w:p>
        </w:tc>
        <w:tc>
          <w:tcPr>
            <w:tcW w:w="709" w:type="dxa"/>
            <w:tcBorders>
              <w:top w:val="nil"/>
              <w:left w:val="nil"/>
              <w:bottom w:val="nil"/>
              <w:right w:val="nil"/>
            </w:tcBorders>
          </w:tcPr>
          <w:p w14:paraId="261D12B1"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4462CFFD" w14:textId="77777777" w:rsidR="00025FEB" w:rsidRPr="00D85A4F" w:rsidRDefault="00025FEB" w:rsidP="00AD0359">
            <w:pPr>
              <w:pStyle w:val="TableText"/>
              <w:rPr>
                <w:rFonts w:cs="Arial"/>
                <w:sz w:val="22"/>
                <w:szCs w:val="22"/>
              </w:rPr>
            </w:pPr>
            <w:r w:rsidRPr="00D85A4F">
              <w:rPr>
                <w:sz w:val="22"/>
                <w:szCs w:val="22"/>
              </w:rPr>
              <w:t>how the factors leading to restricted patient status have been addressed, and the steps put in place to reduce the danger presented by the patient</w:t>
            </w:r>
          </w:p>
        </w:tc>
      </w:tr>
      <w:tr w:rsidR="00025FEB" w:rsidRPr="00D85A4F" w14:paraId="65EFF1FC"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1D389B4D" w14:textId="77777777" w:rsidR="00025FEB" w:rsidRPr="00D85A4F" w:rsidRDefault="00025FEB" w:rsidP="00AD0359">
            <w:pPr>
              <w:pStyle w:val="TableText"/>
              <w:ind w:left="-57"/>
            </w:pPr>
          </w:p>
        </w:tc>
        <w:tc>
          <w:tcPr>
            <w:tcW w:w="709" w:type="dxa"/>
            <w:tcBorders>
              <w:top w:val="nil"/>
              <w:left w:val="nil"/>
              <w:bottom w:val="nil"/>
              <w:right w:val="nil"/>
            </w:tcBorders>
          </w:tcPr>
          <w:p w14:paraId="1FAA978A" w14:textId="77777777" w:rsidR="00025FEB" w:rsidRPr="00D85A4F" w:rsidRDefault="00025FEB" w:rsidP="00AD0359">
            <w:pPr>
              <w:pStyle w:val="TableText"/>
              <w:rPr>
                <w:rFonts w:cs="Arial"/>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9503" w:type="dxa"/>
            <w:gridSpan w:val="2"/>
            <w:tcBorders>
              <w:top w:val="nil"/>
              <w:left w:val="nil"/>
              <w:bottom w:val="nil"/>
              <w:right w:val="nil"/>
            </w:tcBorders>
            <w:vAlign w:val="center"/>
          </w:tcPr>
          <w:p w14:paraId="6E84564E" w14:textId="77777777" w:rsidR="00025FEB" w:rsidRPr="00D85A4F" w:rsidRDefault="00025FEB" w:rsidP="00AD0359">
            <w:pPr>
              <w:pStyle w:val="TableText"/>
              <w:rPr>
                <w:rFonts w:cs="Arial"/>
                <w:sz w:val="22"/>
                <w:szCs w:val="22"/>
              </w:rPr>
            </w:pPr>
            <w:r w:rsidRPr="00D85A4F">
              <w:rPr>
                <w:sz w:val="22"/>
                <w:szCs w:val="22"/>
              </w:rPr>
              <w:t>plans for the patient’s ongoing management by mental health services once they are no longer subject to restricted patient status, particularly if the patient may not continue to meet the criteria for compulsory treatment</w:t>
            </w:r>
          </w:p>
        </w:tc>
      </w:tr>
      <w:tr w:rsidR="00025FEB" w:rsidRPr="00D85A4F" w14:paraId="5FF38783" w14:textId="77777777" w:rsidTr="00AD0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left w:val="nil"/>
              <w:bottom w:val="nil"/>
              <w:right w:val="nil"/>
            </w:tcBorders>
            <w:vAlign w:val="center"/>
          </w:tcPr>
          <w:p w14:paraId="41232FEE" w14:textId="77777777" w:rsidR="00025FEB" w:rsidRPr="00D85A4F" w:rsidRDefault="00025FEB" w:rsidP="00AD0359">
            <w:pPr>
              <w:pStyle w:val="TableText"/>
              <w:spacing w:before="240"/>
              <w:ind w:left="-57"/>
              <w:rPr>
                <w:sz w:val="28"/>
                <w:szCs w:val="28"/>
              </w:rPr>
            </w:pPr>
            <w:r w:rsidRPr="00D85A4F">
              <w:rPr>
                <w:rFonts w:cs="Arial"/>
                <w:sz w:val="28"/>
                <w:szCs w:val="28"/>
              </w:rPr>
              <w:fldChar w:fldCharType="begin">
                <w:ffData>
                  <w:name w:val="Check2"/>
                  <w:enabled/>
                  <w:calcOnExit w:val="0"/>
                  <w:checkBox>
                    <w:sizeAuto/>
                    <w:default w:val="0"/>
                  </w:checkBox>
                </w:ffData>
              </w:fldChar>
            </w:r>
            <w:r w:rsidRPr="00D85A4F">
              <w:rPr>
                <w:rFonts w:cs="Arial"/>
                <w:sz w:val="28"/>
                <w:szCs w:val="28"/>
              </w:rPr>
              <w:instrText xml:space="preserve"> FORMCHECKBOX </w:instrText>
            </w:r>
            <w:r w:rsidR="000D2E1E">
              <w:rPr>
                <w:rFonts w:cs="Arial"/>
                <w:sz w:val="28"/>
                <w:szCs w:val="28"/>
              </w:rPr>
            </w:r>
            <w:r w:rsidR="000D2E1E">
              <w:rPr>
                <w:rFonts w:cs="Arial"/>
                <w:sz w:val="28"/>
                <w:szCs w:val="28"/>
              </w:rPr>
              <w:fldChar w:fldCharType="separate"/>
            </w:r>
            <w:r w:rsidRPr="00D85A4F">
              <w:rPr>
                <w:rFonts w:cs="Arial"/>
                <w:sz w:val="28"/>
                <w:szCs w:val="28"/>
              </w:rPr>
              <w:fldChar w:fldCharType="end"/>
            </w:r>
          </w:p>
        </w:tc>
        <w:tc>
          <w:tcPr>
            <w:tcW w:w="10212" w:type="dxa"/>
            <w:gridSpan w:val="3"/>
            <w:tcBorders>
              <w:top w:val="nil"/>
              <w:left w:val="nil"/>
              <w:bottom w:val="nil"/>
              <w:right w:val="nil"/>
            </w:tcBorders>
            <w:vAlign w:val="center"/>
          </w:tcPr>
          <w:p w14:paraId="7DF2A010" w14:textId="77777777" w:rsidR="00025FEB" w:rsidRPr="00D85A4F" w:rsidRDefault="00025FEB" w:rsidP="00AD0359">
            <w:pPr>
              <w:pStyle w:val="TableText"/>
              <w:spacing w:before="240"/>
              <w:rPr>
                <w:rFonts w:cs="Arial"/>
                <w:sz w:val="22"/>
                <w:szCs w:val="22"/>
              </w:rPr>
            </w:pPr>
            <w:r w:rsidRPr="00D85A4F">
              <w:rPr>
                <w:sz w:val="22"/>
                <w:szCs w:val="22"/>
              </w:rPr>
              <w:t>reference to the most recent report from the SPRP.</w:t>
            </w:r>
          </w:p>
        </w:tc>
      </w:tr>
    </w:tbl>
    <w:p w14:paraId="1CA2969E" w14:textId="77777777" w:rsidR="00025FEB" w:rsidRDefault="00025FEB" w:rsidP="00025FEB"/>
    <w:p w14:paraId="2478DFB3" w14:textId="77777777" w:rsidR="00025FEB" w:rsidRPr="004F0043" w:rsidRDefault="00025FEB" w:rsidP="00025FEB"/>
    <w:p w14:paraId="4C2AA7A0" w14:textId="77777777" w:rsidR="00025FEB" w:rsidRPr="004F0043" w:rsidRDefault="00025FEB" w:rsidP="00025FEB"/>
    <w:p w14:paraId="1B6D778C" w14:textId="77777777" w:rsidR="00025FEB" w:rsidRPr="004F0043" w:rsidRDefault="00025FEB" w:rsidP="00025FEB"/>
    <w:p w14:paraId="51900834" w14:textId="77777777" w:rsidR="00025FEB" w:rsidRDefault="00025FEB" w:rsidP="00025FEB">
      <w:pPr>
        <w:tabs>
          <w:tab w:val="left" w:pos="1390"/>
        </w:tabs>
        <w:sectPr w:rsidR="00025FEB" w:rsidSect="00D861A1">
          <w:headerReference w:type="even" r:id="rId40"/>
          <w:headerReference w:type="default" r:id="rId41"/>
          <w:footerReference w:type="even" r:id="rId42"/>
          <w:footerReference w:type="default" r:id="rId43"/>
          <w:headerReference w:type="first" r:id="rId44"/>
          <w:pgSz w:w="11907" w:h="16834" w:code="9"/>
          <w:pgMar w:top="425" w:right="567" w:bottom="425" w:left="567" w:header="284" w:footer="454" w:gutter="0"/>
          <w:cols w:space="720"/>
          <w:docGrid w:linePitch="286"/>
        </w:sectPr>
      </w:pPr>
      <w:r>
        <w:tab/>
      </w:r>
    </w:p>
    <w:p w14:paraId="1D97A4A2" w14:textId="77777777" w:rsidR="00025FEB" w:rsidRDefault="00025FEB" w:rsidP="00025FEB">
      <w:pPr>
        <w:tabs>
          <w:tab w:val="left" w:pos="1390"/>
        </w:tabs>
      </w:pPr>
    </w:p>
    <w:p w14:paraId="5D93AA59" w14:textId="77777777" w:rsidR="00025FEB" w:rsidRPr="00D85A4F" w:rsidRDefault="00025FEB" w:rsidP="00025FEB">
      <w:pPr>
        <w:ind w:right="567"/>
        <w:jc w:val="right"/>
        <w:rPr>
          <w:rFonts w:ascii="Arial" w:hAnsi="Arial" w:cs="Arial"/>
          <w:b/>
          <w:smallCaps/>
          <w:sz w:val="36"/>
          <w:szCs w:val="36"/>
        </w:rPr>
      </w:pPr>
      <w:r>
        <w:rPr>
          <w:noProof/>
        </w:rPr>
        <w:drawing>
          <wp:anchor distT="0" distB="0" distL="114300" distR="114300" simplePos="0" relativeHeight="251666432" behindDoc="0" locked="0" layoutInCell="1" allowOverlap="1" wp14:anchorId="587B716C" wp14:editId="167C58CD">
            <wp:simplePos x="0" y="0"/>
            <wp:positionH relativeFrom="margin">
              <wp:align>left</wp:align>
            </wp:positionH>
            <wp:positionV relativeFrom="paragraph">
              <wp:posOffset>-97378</wp:posOffset>
            </wp:positionV>
            <wp:extent cx="2149680" cy="1016000"/>
            <wp:effectExtent l="0" t="0" r="3175" b="0"/>
            <wp:wrapNone/>
            <wp:docPr id="15" name="Picture 1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inistry of Health logo"/>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155431" cy="10187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A4F">
        <w:rPr>
          <w:rFonts w:ascii="Arial" w:hAnsi="Arial" w:cs="Arial"/>
        </w:rPr>
        <w:t xml:space="preserve">   </w:t>
      </w:r>
      <w:r w:rsidRPr="00D85A4F">
        <w:rPr>
          <w:rFonts w:ascii="Arial" w:hAnsi="Arial" w:cs="Arial"/>
          <w:b/>
          <w:smallCaps/>
          <w:sz w:val="36"/>
          <w:szCs w:val="36"/>
        </w:rPr>
        <w:t>Director of Mental Health</w:t>
      </w:r>
    </w:p>
    <w:p w14:paraId="04FB0DD3" w14:textId="77777777" w:rsidR="00025FEB" w:rsidRPr="00D85A4F" w:rsidRDefault="00025FEB" w:rsidP="00025FEB">
      <w:pPr>
        <w:ind w:right="567"/>
        <w:rPr>
          <w:rFonts w:ascii="Arial" w:hAnsi="Arial" w:cs="Arial"/>
          <w:sz w:val="20"/>
        </w:rPr>
      </w:pPr>
    </w:p>
    <w:p w14:paraId="2E4E03F0" w14:textId="77777777" w:rsidR="00025FEB" w:rsidRPr="00D85A4F" w:rsidRDefault="00025FEB" w:rsidP="00025FEB">
      <w:pPr>
        <w:ind w:right="567"/>
        <w:jc w:val="right"/>
        <w:rPr>
          <w:rFonts w:ascii="Arial" w:hAnsi="Arial" w:cs="Arial"/>
          <w:b/>
        </w:rPr>
      </w:pPr>
      <w:r w:rsidRPr="00D85A4F">
        <w:rPr>
          <w:rFonts w:ascii="Arial" w:hAnsi="Arial" w:cs="Arial"/>
          <w:b/>
        </w:rPr>
        <w:t xml:space="preserve">Reportable </w:t>
      </w:r>
      <w:r>
        <w:rPr>
          <w:rFonts w:ascii="Arial" w:hAnsi="Arial" w:cs="Arial"/>
          <w:b/>
        </w:rPr>
        <w:t>e</w:t>
      </w:r>
      <w:r w:rsidRPr="00D85A4F">
        <w:rPr>
          <w:rFonts w:ascii="Arial" w:hAnsi="Arial" w:cs="Arial"/>
          <w:b/>
        </w:rPr>
        <w:t xml:space="preserve">vent </w:t>
      </w:r>
      <w:r>
        <w:rPr>
          <w:rFonts w:ascii="Arial" w:hAnsi="Arial" w:cs="Arial"/>
          <w:b/>
        </w:rPr>
        <w:t>n</w:t>
      </w:r>
      <w:r w:rsidRPr="00D85A4F">
        <w:rPr>
          <w:rFonts w:ascii="Arial" w:hAnsi="Arial" w:cs="Arial"/>
          <w:b/>
        </w:rPr>
        <w:t xml:space="preserve">otification </w:t>
      </w:r>
      <w:r>
        <w:rPr>
          <w:rFonts w:ascii="Arial" w:hAnsi="Arial" w:cs="Arial"/>
          <w:b/>
        </w:rPr>
        <w:t>f</w:t>
      </w:r>
      <w:r w:rsidRPr="00D85A4F">
        <w:rPr>
          <w:rFonts w:ascii="Arial" w:hAnsi="Arial" w:cs="Arial"/>
          <w:b/>
        </w:rPr>
        <w:t>orm</w:t>
      </w:r>
    </w:p>
    <w:p w14:paraId="01F9CF14" w14:textId="77777777" w:rsidR="00025FEB" w:rsidRPr="00D85A4F" w:rsidRDefault="00025FEB" w:rsidP="00025FEB">
      <w:pPr>
        <w:rPr>
          <w:rFonts w:ascii="Arial" w:hAnsi="Arial" w:cs="Arial"/>
          <w:sz w:val="20"/>
        </w:rPr>
      </w:pPr>
    </w:p>
    <w:p w14:paraId="6789F147" w14:textId="77777777" w:rsidR="00025FEB" w:rsidRPr="00D85A4F" w:rsidRDefault="00025FEB" w:rsidP="00025FEB">
      <w:pPr>
        <w:rPr>
          <w:rFonts w:ascii="Arial" w:hAnsi="Arial" w:cs="Arial"/>
          <w:sz w:val="20"/>
        </w:rPr>
      </w:pPr>
    </w:p>
    <w:tbl>
      <w:tblPr>
        <w:tblW w:w="10491" w:type="dxa"/>
        <w:tblCellSpacing w:w="28" w:type="dxa"/>
        <w:tblInd w:w="-262" w:type="dxa"/>
        <w:tblLayout w:type="fixed"/>
        <w:tblCellMar>
          <w:top w:w="57" w:type="dxa"/>
          <w:bottom w:w="57" w:type="dxa"/>
        </w:tblCellMar>
        <w:tblLook w:val="00A0" w:firstRow="1" w:lastRow="0" w:firstColumn="1" w:lastColumn="0" w:noHBand="0" w:noVBand="0"/>
      </w:tblPr>
      <w:tblGrid>
        <w:gridCol w:w="2127"/>
        <w:gridCol w:w="3159"/>
        <w:gridCol w:w="2520"/>
        <w:gridCol w:w="2685"/>
      </w:tblGrid>
      <w:tr w:rsidR="00025FEB" w:rsidRPr="00D85A4F" w14:paraId="63E99BBE" w14:textId="77777777" w:rsidTr="00AD0359">
        <w:trPr>
          <w:trHeight w:val="636"/>
          <w:tblCellSpacing w:w="28" w:type="dxa"/>
        </w:trPr>
        <w:tc>
          <w:tcPr>
            <w:tcW w:w="2043" w:type="dxa"/>
            <w:shd w:val="clear" w:color="auto" w:fill="auto"/>
          </w:tcPr>
          <w:p w14:paraId="31FA27C8" w14:textId="77777777" w:rsidR="00025FEB" w:rsidRPr="00D85A4F" w:rsidRDefault="00025FEB" w:rsidP="00AD0359">
            <w:pPr>
              <w:jc w:val="right"/>
              <w:rPr>
                <w:rFonts w:ascii="Arial" w:hAnsi="Arial" w:cs="Arial"/>
                <w:sz w:val="20"/>
              </w:rPr>
            </w:pPr>
            <w:r w:rsidRPr="00D85A4F">
              <w:rPr>
                <w:rFonts w:ascii="Arial" w:hAnsi="Arial" w:cs="Arial"/>
                <w:sz w:val="20"/>
              </w:rPr>
              <w:t xml:space="preserve">Reason for reporting this event*:                              </w:t>
            </w:r>
          </w:p>
        </w:tc>
        <w:tc>
          <w:tcPr>
            <w:tcW w:w="8280" w:type="dxa"/>
            <w:gridSpan w:val="3"/>
            <w:shd w:val="clear" w:color="auto" w:fill="auto"/>
          </w:tcPr>
          <w:p w14:paraId="64D4FF37" w14:textId="77777777" w:rsidR="00025FEB" w:rsidRDefault="00025FEB" w:rsidP="00AD0359">
            <w:pPr>
              <w:rPr>
                <w:rFonts w:ascii="Arial" w:hAnsi="Arial" w:cs="Arial"/>
                <w:sz w:val="20"/>
              </w:rPr>
            </w:pPr>
            <w:r w:rsidRPr="00D85A4F">
              <w:rPr>
                <w:rFonts w:ascii="Arial" w:hAnsi="Arial" w:cs="Arial"/>
                <w:sz w:val="20"/>
              </w:rPr>
              <w:fldChar w:fldCharType="begin">
                <w:ffData>
                  <w:name w:val="Check9"/>
                  <w:enabled/>
                  <w:calcOnExit w:val="0"/>
                  <w:checkBox>
                    <w:sizeAuto/>
                    <w:default w:val="0"/>
                    <w:checked w:val="0"/>
                  </w:checkBox>
                </w:ffData>
              </w:fldChar>
            </w:r>
            <w:r w:rsidRPr="00D85A4F">
              <w:rPr>
                <w:rFonts w:ascii="Arial" w:hAnsi="Arial" w:cs="Arial"/>
                <w:sz w:val="20"/>
              </w:rPr>
              <w:instrText xml:space="preserve"> FORMCHECKBOX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r>
              <w:rPr>
                <w:rFonts w:ascii="Arial" w:hAnsi="Arial" w:cs="Arial"/>
                <w:sz w:val="20"/>
              </w:rPr>
              <w:t>Section</w:t>
            </w:r>
            <w:r w:rsidRPr="00D85A4F">
              <w:rPr>
                <w:rFonts w:ascii="Arial" w:hAnsi="Arial" w:cs="Arial"/>
                <w:sz w:val="20"/>
              </w:rPr>
              <w:t xml:space="preserve">132 </w:t>
            </w:r>
            <w:r>
              <w:rPr>
                <w:rFonts w:ascii="Arial" w:hAnsi="Arial" w:cs="Arial"/>
                <w:sz w:val="20"/>
              </w:rPr>
              <w:t>d</w:t>
            </w:r>
            <w:r w:rsidRPr="00D85A4F">
              <w:rPr>
                <w:rFonts w:ascii="Arial" w:hAnsi="Arial" w:cs="Arial"/>
                <w:sz w:val="20"/>
              </w:rPr>
              <w:t xml:space="preserve">eath     </w:t>
            </w:r>
            <w:r w:rsidRPr="00D85A4F">
              <w:rPr>
                <w:rFonts w:ascii="Arial" w:hAnsi="Arial" w:cs="Arial"/>
                <w:sz w:val="20"/>
              </w:rPr>
              <w:fldChar w:fldCharType="begin">
                <w:ffData>
                  <w:name w:val="Check11"/>
                  <w:enabled/>
                  <w:calcOnExit w:val="0"/>
                  <w:checkBox>
                    <w:sizeAuto/>
                    <w:default w:val="0"/>
                    <w:checked w:val="0"/>
                  </w:checkBox>
                </w:ffData>
              </w:fldChar>
            </w:r>
            <w:r w:rsidRPr="00D85A4F">
              <w:rPr>
                <w:rFonts w:ascii="Arial" w:hAnsi="Arial" w:cs="Arial"/>
                <w:sz w:val="20"/>
              </w:rPr>
              <w:instrText xml:space="preserve"> FORMCHECKBOX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r w:rsidRPr="00D85A4F">
              <w:rPr>
                <w:rFonts w:ascii="Arial" w:hAnsi="Arial" w:cs="Arial"/>
                <w:sz w:val="20"/>
              </w:rPr>
              <w:t xml:space="preserve">Suspected </w:t>
            </w:r>
            <w:r>
              <w:rPr>
                <w:rFonts w:ascii="Arial" w:hAnsi="Arial" w:cs="Arial"/>
                <w:sz w:val="20"/>
              </w:rPr>
              <w:t>s</w:t>
            </w:r>
            <w:r w:rsidRPr="00D85A4F">
              <w:rPr>
                <w:rFonts w:ascii="Arial" w:hAnsi="Arial" w:cs="Arial"/>
                <w:sz w:val="20"/>
              </w:rPr>
              <w:t xml:space="preserve">uicide </w:t>
            </w:r>
            <w:r>
              <w:rPr>
                <w:rFonts w:ascii="Arial" w:hAnsi="Arial" w:cs="Arial"/>
                <w:sz w:val="20"/>
              </w:rPr>
              <w:t>of v</w:t>
            </w:r>
            <w:r w:rsidRPr="00C84E6C">
              <w:rPr>
                <w:rFonts w:ascii="Arial" w:hAnsi="Arial" w:cs="Arial"/>
                <w:sz w:val="20"/>
              </w:rPr>
              <w:t xml:space="preserve">oluntary </w:t>
            </w:r>
            <w:r>
              <w:rPr>
                <w:rFonts w:ascii="Arial" w:hAnsi="Arial" w:cs="Arial"/>
                <w:sz w:val="20"/>
              </w:rPr>
              <w:t>i</w:t>
            </w:r>
            <w:r w:rsidRPr="00C84E6C">
              <w:rPr>
                <w:rFonts w:ascii="Arial" w:hAnsi="Arial" w:cs="Arial"/>
                <w:sz w:val="20"/>
              </w:rPr>
              <w:t xml:space="preserve">npatient </w:t>
            </w:r>
          </w:p>
          <w:p w14:paraId="5A4FDFD5"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Check10"/>
                  <w:enabled/>
                  <w:calcOnExit w:val="0"/>
                  <w:checkBox>
                    <w:sizeAuto/>
                    <w:default w:val="0"/>
                  </w:checkBox>
                </w:ffData>
              </w:fldChar>
            </w:r>
            <w:r w:rsidRPr="00D85A4F">
              <w:rPr>
                <w:rFonts w:ascii="Arial" w:hAnsi="Arial" w:cs="Arial"/>
                <w:sz w:val="20"/>
              </w:rPr>
              <w:instrText xml:space="preserve"> FORMCHECKBOX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r w:rsidRPr="00D85A4F">
              <w:rPr>
                <w:rFonts w:ascii="Arial" w:hAnsi="Arial" w:cs="Arial"/>
                <w:sz w:val="20"/>
              </w:rPr>
              <w:t xml:space="preserve">Special </w:t>
            </w:r>
            <w:r>
              <w:rPr>
                <w:rFonts w:ascii="Arial" w:hAnsi="Arial" w:cs="Arial"/>
                <w:sz w:val="20"/>
              </w:rPr>
              <w:t>p</w:t>
            </w:r>
            <w:r w:rsidRPr="00D85A4F">
              <w:rPr>
                <w:rFonts w:ascii="Arial" w:hAnsi="Arial" w:cs="Arial"/>
                <w:sz w:val="20"/>
              </w:rPr>
              <w:t xml:space="preserve">atient </w:t>
            </w:r>
            <w:r>
              <w:rPr>
                <w:rFonts w:ascii="Arial" w:hAnsi="Arial" w:cs="Arial"/>
                <w:sz w:val="20"/>
              </w:rPr>
              <w:t>e</w:t>
            </w:r>
            <w:r w:rsidRPr="00D85A4F">
              <w:rPr>
                <w:rFonts w:ascii="Arial" w:hAnsi="Arial" w:cs="Arial"/>
                <w:sz w:val="20"/>
              </w:rPr>
              <w:t xml:space="preserve">vent     </w:t>
            </w:r>
            <w:r w:rsidRPr="00D85A4F">
              <w:rPr>
                <w:rFonts w:ascii="Arial" w:hAnsi="Arial" w:cs="Arial"/>
                <w:sz w:val="20"/>
              </w:rPr>
              <w:fldChar w:fldCharType="begin">
                <w:ffData>
                  <w:name w:val="Check11"/>
                  <w:enabled/>
                  <w:calcOnExit w:val="0"/>
                  <w:checkBox>
                    <w:sizeAuto/>
                    <w:default w:val="0"/>
                    <w:checked w:val="0"/>
                  </w:checkBox>
                </w:ffData>
              </w:fldChar>
            </w:r>
            <w:r w:rsidRPr="00D85A4F">
              <w:rPr>
                <w:rFonts w:ascii="Arial" w:hAnsi="Arial" w:cs="Arial"/>
                <w:sz w:val="20"/>
              </w:rPr>
              <w:instrText xml:space="preserve"> FORMCHECKBOX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r w:rsidRPr="00D85A4F">
              <w:rPr>
                <w:rFonts w:ascii="Arial" w:hAnsi="Arial" w:cs="Arial"/>
                <w:sz w:val="20"/>
              </w:rPr>
              <w:t xml:space="preserve">Media </w:t>
            </w:r>
            <w:r>
              <w:rPr>
                <w:rFonts w:ascii="Arial" w:hAnsi="Arial" w:cs="Arial"/>
                <w:sz w:val="20"/>
              </w:rPr>
              <w:t>a</w:t>
            </w:r>
            <w:r w:rsidRPr="00D85A4F">
              <w:rPr>
                <w:rFonts w:ascii="Arial" w:hAnsi="Arial" w:cs="Arial"/>
                <w:sz w:val="20"/>
              </w:rPr>
              <w:t xml:space="preserve">ttention                                                                                                                                                                   </w:t>
            </w:r>
          </w:p>
          <w:p w14:paraId="454ADC13" w14:textId="77777777" w:rsidR="00025FEB" w:rsidRPr="00D85A4F" w:rsidRDefault="00025FEB" w:rsidP="00AD0359">
            <w:pPr>
              <w:rPr>
                <w:rFonts w:ascii="Arial" w:hAnsi="Arial" w:cs="Arial"/>
                <w:sz w:val="20"/>
              </w:rPr>
            </w:pPr>
            <w:r w:rsidRPr="00D85A4F">
              <w:rPr>
                <w:rFonts w:ascii="Arial" w:hAnsi="Arial" w:cs="Arial"/>
                <w:sz w:val="20"/>
              </w:rPr>
              <w:t xml:space="preserve">                                  </w:t>
            </w:r>
          </w:p>
        </w:tc>
      </w:tr>
      <w:tr w:rsidR="00025FEB" w:rsidRPr="00D85A4F" w14:paraId="4060FEA5" w14:textId="77777777" w:rsidTr="00AD0359">
        <w:trPr>
          <w:tblCellSpacing w:w="28" w:type="dxa"/>
        </w:trPr>
        <w:tc>
          <w:tcPr>
            <w:tcW w:w="2043" w:type="dxa"/>
            <w:shd w:val="clear" w:color="auto" w:fill="auto"/>
          </w:tcPr>
          <w:p w14:paraId="1408B5DF" w14:textId="77777777" w:rsidR="00025FEB" w:rsidRPr="00D85A4F" w:rsidRDefault="00025FEB" w:rsidP="00AD0359">
            <w:pPr>
              <w:jc w:val="right"/>
              <w:rPr>
                <w:rFonts w:ascii="Arial" w:hAnsi="Arial" w:cs="Arial"/>
                <w:sz w:val="20"/>
              </w:rPr>
            </w:pPr>
            <w:r w:rsidRPr="00D85A4F">
              <w:rPr>
                <w:rFonts w:ascii="Arial" w:hAnsi="Arial" w:cs="Arial"/>
                <w:sz w:val="20"/>
              </w:rPr>
              <w:t>Event category:</w:t>
            </w:r>
          </w:p>
        </w:tc>
        <w:tc>
          <w:tcPr>
            <w:tcW w:w="8280" w:type="dxa"/>
            <w:gridSpan w:val="3"/>
            <w:shd w:val="clear" w:color="auto" w:fill="auto"/>
          </w:tcPr>
          <w:p w14:paraId="2D35EA6E" w14:textId="77777777" w:rsidR="00025FEB" w:rsidRPr="00D85A4F" w:rsidRDefault="00025FEB" w:rsidP="00AD0359">
            <w:pPr>
              <w:tabs>
                <w:tab w:val="left" w:pos="1154"/>
              </w:tabs>
              <w:rPr>
                <w:rFonts w:ascii="Arial" w:hAnsi="Arial" w:cs="Arial"/>
                <w:sz w:val="20"/>
              </w:rPr>
            </w:pPr>
            <w:r w:rsidRPr="00D85A4F">
              <w:rPr>
                <w:rFonts w:ascii="Arial" w:hAnsi="Arial" w:cs="Arial"/>
                <w:sz w:val="20"/>
              </w:rPr>
              <w:fldChar w:fldCharType="begin">
                <w:ffData>
                  <w:name w:val="Check1"/>
                  <w:enabled/>
                  <w:calcOnExit w:val="0"/>
                  <w:checkBox>
                    <w:sizeAuto/>
                    <w:default w:val="0"/>
                  </w:checkBox>
                </w:ffData>
              </w:fldChar>
            </w:r>
            <w:r w:rsidRPr="00D85A4F">
              <w:rPr>
                <w:rFonts w:ascii="Arial" w:hAnsi="Arial" w:cs="Arial"/>
                <w:sz w:val="20"/>
              </w:rPr>
              <w:instrText xml:space="preserve"> FORMCHECKBOX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r w:rsidRPr="00D85A4F">
              <w:rPr>
                <w:rFonts w:ascii="Arial" w:hAnsi="Arial" w:cs="Arial"/>
                <w:sz w:val="20"/>
              </w:rPr>
              <w:t xml:space="preserve">Death      </w:t>
            </w:r>
            <w:r w:rsidRPr="00D85A4F">
              <w:rPr>
                <w:rFonts w:ascii="Arial" w:hAnsi="Arial" w:cs="Arial"/>
                <w:sz w:val="20"/>
              </w:rPr>
              <w:fldChar w:fldCharType="begin">
                <w:ffData>
                  <w:name w:val="Check2"/>
                  <w:enabled/>
                  <w:calcOnExit w:val="0"/>
                  <w:checkBox>
                    <w:sizeAuto/>
                    <w:default w:val="0"/>
                  </w:checkBox>
                </w:ffData>
              </w:fldChar>
            </w:r>
            <w:r w:rsidRPr="00D85A4F">
              <w:rPr>
                <w:rFonts w:ascii="Arial" w:hAnsi="Arial" w:cs="Arial"/>
                <w:sz w:val="20"/>
              </w:rPr>
              <w:instrText xml:space="preserve"> FORMCHECKBOX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r w:rsidRPr="00D85A4F">
              <w:rPr>
                <w:rFonts w:ascii="Arial" w:hAnsi="Arial" w:cs="Arial"/>
                <w:sz w:val="20"/>
              </w:rPr>
              <w:t xml:space="preserve">Suspected </w:t>
            </w:r>
            <w:r>
              <w:rPr>
                <w:rFonts w:ascii="Arial" w:hAnsi="Arial" w:cs="Arial"/>
                <w:sz w:val="20"/>
              </w:rPr>
              <w:t>s</w:t>
            </w:r>
            <w:r w:rsidRPr="00D85A4F">
              <w:rPr>
                <w:rFonts w:ascii="Arial" w:hAnsi="Arial" w:cs="Arial"/>
                <w:sz w:val="20"/>
              </w:rPr>
              <w:t xml:space="preserve">uicide    </w:t>
            </w:r>
            <w:r w:rsidRPr="00D85A4F">
              <w:rPr>
                <w:rFonts w:ascii="Arial" w:hAnsi="Arial" w:cs="Arial"/>
                <w:sz w:val="20"/>
              </w:rPr>
              <w:fldChar w:fldCharType="begin">
                <w:ffData>
                  <w:name w:val="Check3"/>
                  <w:enabled/>
                  <w:calcOnExit w:val="0"/>
                  <w:checkBox>
                    <w:sizeAuto/>
                    <w:default w:val="0"/>
                  </w:checkBox>
                </w:ffData>
              </w:fldChar>
            </w:r>
            <w:r w:rsidRPr="00D85A4F">
              <w:rPr>
                <w:rFonts w:ascii="Arial" w:hAnsi="Arial" w:cs="Arial"/>
                <w:sz w:val="20"/>
              </w:rPr>
              <w:instrText xml:space="preserve"> FORMCHECKBOX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r w:rsidRPr="00D85A4F">
              <w:rPr>
                <w:rFonts w:ascii="Arial" w:hAnsi="Arial" w:cs="Arial"/>
                <w:sz w:val="20"/>
              </w:rPr>
              <w:t xml:space="preserve">Homicide                               </w:t>
            </w:r>
            <w:r w:rsidRPr="00D85A4F">
              <w:rPr>
                <w:rFonts w:ascii="Arial" w:hAnsi="Arial" w:cs="Arial"/>
                <w:sz w:val="20"/>
              </w:rPr>
              <w:fldChar w:fldCharType="begin">
                <w:ffData>
                  <w:name w:val="Check4"/>
                  <w:enabled/>
                  <w:calcOnExit w:val="0"/>
                  <w:checkBox>
                    <w:sizeAuto/>
                    <w:default w:val="0"/>
                  </w:checkBox>
                </w:ffData>
              </w:fldChar>
            </w:r>
            <w:r w:rsidRPr="00D85A4F">
              <w:rPr>
                <w:rFonts w:ascii="Arial" w:hAnsi="Arial" w:cs="Arial"/>
                <w:sz w:val="20"/>
              </w:rPr>
              <w:instrText xml:space="preserve"> FORMCHECKBOX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r w:rsidRPr="00D85A4F">
              <w:rPr>
                <w:rFonts w:ascii="Arial" w:hAnsi="Arial" w:cs="Arial"/>
                <w:sz w:val="20"/>
              </w:rPr>
              <w:t xml:space="preserve">Attempted </w:t>
            </w:r>
            <w:r>
              <w:rPr>
                <w:rFonts w:ascii="Arial" w:hAnsi="Arial" w:cs="Arial"/>
                <w:sz w:val="20"/>
              </w:rPr>
              <w:t>s</w:t>
            </w:r>
            <w:r w:rsidRPr="00D85A4F">
              <w:rPr>
                <w:rFonts w:ascii="Arial" w:hAnsi="Arial" w:cs="Arial"/>
                <w:sz w:val="20"/>
              </w:rPr>
              <w:t>uicide</w:t>
            </w:r>
          </w:p>
          <w:p w14:paraId="086F3D34"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Check5"/>
                  <w:enabled/>
                  <w:calcOnExit w:val="0"/>
                  <w:checkBox>
                    <w:sizeAuto/>
                    <w:default w:val="0"/>
                  </w:checkBox>
                </w:ffData>
              </w:fldChar>
            </w:r>
            <w:r w:rsidRPr="00D85A4F">
              <w:rPr>
                <w:rFonts w:ascii="Arial" w:hAnsi="Arial" w:cs="Arial"/>
                <w:sz w:val="20"/>
              </w:rPr>
              <w:instrText xml:space="preserve"> FORMCHECKBOX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r w:rsidRPr="00D85A4F">
              <w:rPr>
                <w:rFonts w:ascii="Arial" w:hAnsi="Arial" w:cs="Arial"/>
                <w:sz w:val="20"/>
              </w:rPr>
              <w:t xml:space="preserve">Assault    </w:t>
            </w:r>
            <w:r w:rsidRPr="00D85A4F">
              <w:rPr>
                <w:rFonts w:ascii="Arial" w:hAnsi="Arial" w:cs="Arial"/>
                <w:sz w:val="20"/>
              </w:rPr>
              <w:fldChar w:fldCharType="begin">
                <w:ffData>
                  <w:name w:val="Check6"/>
                  <w:enabled/>
                  <w:calcOnExit w:val="0"/>
                  <w:checkBox>
                    <w:sizeAuto/>
                    <w:default w:val="0"/>
                  </w:checkBox>
                </w:ffData>
              </w:fldChar>
            </w:r>
            <w:r w:rsidRPr="00D85A4F">
              <w:rPr>
                <w:rFonts w:ascii="Arial" w:hAnsi="Arial" w:cs="Arial"/>
                <w:sz w:val="20"/>
              </w:rPr>
              <w:instrText xml:space="preserve"> FORMCHECKBOX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r w:rsidRPr="00D85A4F">
              <w:rPr>
                <w:rFonts w:ascii="Arial" w:hAnsi="Arial" w:cs="Arial"/>
                <w:sz w:val="20"/>
              </w:rPr>
              <w:t xml:space="preserve">AWOL                       </w:t>
            </w:r>
            <w:r w:rsidRPr="00D85A4F">
              <w:rPr>
                <w:rFonts w:ascii="Arial" w:hAnsi="Arial" w:cs="Arial"/>
                <w:sz w:val="20"/>
              </w:rPr>
              <w:fldChar w:fldCharType="begin">
                <w:ffData>
                  <w:name w:val="Check7"/>
                  <w:enabled/>
                  <w:calcOnExit w:val="0"/>
                  <w:checkBox>
                    <w:sizeAuto/>
                    <w:default w:val="0"/>
                    <w:checked w:val="0"/>
                  </w:checkBox>
                </w:ffData>
              </w:fldChar>
            </w:r>
            <w:r w:rsidRPr="00D85A4F">
              <w:rPr>
                <w:rFonts w:ascii="Arial" w:hAnsi="Arial" w:cs="Arial"/>
                <w:sz w:val="20"/>
              </w:rPr>
              <w:instrText xml:space="preserve"> FORMCHECKBOX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r w:rsidRPr="00D85A4F">
              <w:rPr>
                <w:rFonts w:ascii="Arial" w:hAnsi="Arial" w:cs="Arial"/>
                <w:sz w:val="20"/>
              </w:rPr>
              <w:t xml:space="preserve">Breach of </w:t>
            </w:r>
            <w:r>
              <w:rPr>
                <w:rFonts w:ascii="Arial" w:hAnsi="Arial" w:cs="Arial"/>
                <w:sz w:val="20"/>
              </w:rPr>
              <w:t>l</w:t>
            </w:r>
            <w:r w:rsidRPr="00D85A4F">
              <w:rPr>
                <w:rFonts w:ascii="Arial" w:hAnsi="Arial" w:cs="Arial"/>
                <w:sz w:val="20"/>
              </w:rPr>
              <w:t xml:space="preserve">eave </w:t>
            </w:r>
            <w:r>
              <w:rPr>
                <w:rFonts w:ascii="Arial" w:hAnsi="Arial" w:cs="Arial"/>
                <w:sz w:val="20"/>
              </w:rPr>
              <w:t>c</w:t>
            </w:r>
            <w:r w:rsidRPr="00D85A4F">
              <w:rPr>
                <w:rFonts w:ascii="Arial" w:hAnsi="Arial" w:cs="Arial"/>
                <w:sz w:val="20"/>
              </w:rPr>
              <w:t xml:space="preserve">onditions  </w:t>
            </w:r>
            <w:r w:rsidRPr="00D85A4F">
              <w:rPr>
                <w:rFonts w:ascii="Arial" w:hAnsi="Arial" w:cs="Arial"/>
                <w:sz w:val="20"/>
              </w:rPr>
              <w:fldChar w:fldCharType="begin">
                <w:ffData>
                  <w:name w:val="Check8"/>
                  <w:enabled/>
                  <w:calcOnExit w:val="0"/>
                  <w:checkBox>
                    <w:sizeAuto/>
                    <w:default w:val="0"/>
                  </w:checkBox>
                </w:ffData>
              </w:fldChar>
            </w:r>
            <w:r w:rsidRPr="00D85A4F">
              <w:rPr>
                <w:rFonts w:ascii="Arial" w:hAnsi="Arial" w:cs="Arial"/>
                <w:sz w:val="20"/>
              </w:rPr>
              <w:instrText xml:space="preserve"> FORMCHECKBOX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r w:rsidRPr="00D85A4F">
              <w:rPr>
                <w:rFonts w:ascii="Arial" w:hAnsi="Arial" w:cs="Arial"/>
                <w:sz w:val="20"/>
              </w:rPr>
              <w:t>Other</w:t>
            </w:r>
          </w:p>
          <w:p w14:paraId="2E8BB30E" w14:textId="77777777" w:rsidR="00025FEB" w:rsidRPr="00D85A4F" w:rsidRDefault="00025FEB" w:rsidP="00AD0359">
            <w:pPr>
              <w:rPr>
                <w:rFonts w:ascii="Arial" w:hAnsi="Arial" w:cs="Arial"/>
                <w:sz w:val="20"/>
              </w:rPr>
            </w:pPr>
          </w:p>
        </w:tc>
      </w:tr>
      <w:tr w:rsidR="00025FEB" w:rsidRPr="00D85A4F" w14:paraId="3E984A1F" w14:textId="77777777" w:rsidTr="00AD0359">
        <w:trPr>
          <w:tblCellSpacing w:w="28" w:type="dxa"/>
        </w:trPr>
        <w:tc>
          <w:tcPr>
            <w:tcW w:w="2043" w:type="dxa"/>
            <w:shd w:val="clear" w:color="auto" w:fill="auto"/>
          </w:tcPr>
          <w:p w14:paraId="6415E29F" w14:textId="77777777" w:rsidR="00025FEB" w:rsidRPr="00D85A4F" w:rsidRDefault="00025FEB" w:rsidP="00AD0359">
            <w:pPr>
              <w:jc w:val="right"/>
              <w:rPr>
                <w:rFonts w:ascii="Arial" w:hAnsi="Arial" w:cs="Arial"/>
                <w:sz w:val="20"/>
              </w:rPr>
            </w:pPr>
            <w:proofErr w:type="spellStart"/>
            <w:r w:rsidRPr="00FF0552">
              <w:rPr>
                <w:rFonts w:ascii="Arial" w:hAnsi="Arial" w:cs="Arial"/>
                <w:sz w:val="20"/>
              </w:rPr>
              <w:t>Te</w:t>
            </w:r>
            <w:proofErr w:type="spellEnd"/>
            <w:r w:rsidRPr="00FF0552">
              <w:rPr>
                <w:rFonts w:ascii="Arial" w:hAnsi="Arial" w:cs="Arial"/>
                <w:sz w:val="20"/>
              </w:rPr>
              <w:t xml:space="preserve"> </w:t>
            </w:r>
            <w:proofErr w:type="spellStart"/>
            <w:r w:rsidRPr="00FF0552">
              <w:rPr>
                <w:rFonts w:ascii="Arial" w:hAnsi="Arial" w:cs="Arial"/>
                <w:sz w:val="20"/>
              </w:rPr>
              <w:t>Whatu</w:t>
            </w:r>
            <w:proofErr w:type="spellEnd"/>
            <w:r w:rsidRPr="00FF0552">
              <w:rPr>
                <w:rFonts w:ascii="Arial" w:hAnsi="Arial" w:cs="Arial"/>
                <w:sz w:val="20"/>
              </w:rPr>
              <w:t xml:space="preserve"> Ora health service</w:t>
            </w:r>
            <w:r>
              <w:rPr>
                <w:rFonts w:ascii="Arial" w:hAnsi="Arial" w:cs="Arial"/>
                <w:sz w:val="20"/>
              </w:rPr>
              <w:t xml:space="preserve"> </w:t>
            </w:r>
            <w:r w:rsidRPr="00D85A4F">
              <w:rPr>
                <w:rFonts w:ascii="Arial" w:hAnsi="Arial" w:cs="Arial"/>
                <w:sz w:val="20"/>
              </w:rPr>
              <w:t>responsible for care:</w:t>
            </w: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36A3D012"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dropdown_dhb"/>
                  <w:enabled/>
                  <w:calcOnExit w:val="0"/>
                  <w:ddList>
                    <w:listEntry w:val="          "/>
                    <w:listEntry w:val="Auckland DHB"/>
                    <w:listEntry w:val="Bay of Plenty DHB"/>
                    <w:listEntry w:val="Canterbury DHB "/>
                    <w:listEntry w:val="Capital and Coast DHB"/>
                    <w:listEntry w:val="Counties Manukau DHB"/>
                    <w:listEntry w:val="Hawkes Bay DHB"/>
                    <w:listEntry w:val="Hutt Valley DHB"/>
                    <w:listEntry w:val="Lakes DHB"/>
                    <w:listEntry w:val="Mid Central DHB"/>
                    <w:listEntry w:val="Nelson Marlborough DHB"/>
                    <w:listEntry w:val="Northland DHB"/>
                    <w:listEntry w:val="Otago DHB"/>
                    <w:listEntry w:val="South Canterbury DHB"/>
                    <w:listEntry w:val="Southland DHB"/>
                    <w:listEntry w:val="Tairawhiti DHB"/>
                    <w:listEntry w:val="Taranaki DHB"/>
                    <w:listEntry w:val="Waikato DHB"/>
                    <w:listEntry w:val="Wairarapa DHB"/>
                    <w:listEntry w:val="Waitemata DHB"/>
                    <w:listEntry w:val="West Coast DHB"/>
                    <w:listEntry w:val="Whanganui DHB"/>
                  </w:ddList>
                </w:ffData>
              </w:fldChar>
            </w:r>
            <w:r w:rsidRPr="00D85A4F">
              <w:rPr>
                <w:rFonts w:ascii="Arial" w:hAnsi="Arial" w:cs="Arial"/>
                <w:sz w:val="20"/>
              </w:rPr>
              <w:instrText xml:space="preserve"> FORMDROPDOWN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p>
        </w:tc>
        <w:tc>
          <w:tcPr>
            <w:tcW w:w="2464" w:type="dxa"/>
            <w:shd w:val="clear" w:color="auto" w:fill="auto"/>
          </w:tcPr>
          <w:p w14:paraId="45720201" w14:textId="77777777" w:rsidR="00025FEB" w:rsidRPr="00D85A4F" w:rsidRDefault="00025FEB" w:rsidP="00AD0359">
            <w:pPr>
              <w:jc w:val="right"/>
              <w:rPr>
                <w:rFonts w:ascii="Arial" w:hAnsi="Arial" w:cs="Arial"/>
                <w:sz w:val="20"/>
              </w:rPr>
            </w:pPr>
            <w:r w:rsidRPr="00D85A4F">
              <w:rPr>
                <w:rFonts w:ascii="Arial" w:hAnsi="Arial" w:cs="Arial"/>
                <w:sz w:val="20"/>
              </w:rPr>
              <w:t>Legal status</w:t>
            </w:r>
            <w:r>
              <w:rPr>
                <w:rFonts w:ascii="Arial" w:hAnsi="Arial" w:cs="Arial"/>
                <w:sz w:val="20"/>
              </w:rPr>
              <w:t xml:space="preserve"> – s</w:t>
            </w:r>
            <w:r w:rsidRPr="00D85A4F">
              <w:rPr>
                <w:rFonts w:ascii="Arial" w:hAnsi="Arial" w:cs="Arial"/>
                <w:sz w:val="20"/>
              </w:rPr>
              <w:t>tatute:</w:t>
            </w:r>
          </w:p>
          <w:p w14:paraId="41C3B46F" w14:textId="77777777" w:rsidR="00025FEB" w:rsidRPr="00D85A4F" w:rsidRDefault="00025FEB" w:rsidP="00AD0359">
            <w:pPr>
              <w:rPr>
                <w:rFonts w:ascii="Arial" w:hAnsi="Arial" w:cs="Arial"/>
                <w:sz w:val="16"/>
                <w:szCs w:val="16"/>
              </w:rPr>
            </w:pPr>
            <w:proofErr w:type="spellStart"/>
            <w:r w:rsidRPr="00D85A4F">
              <w:rPr>
                <w:rFonts w:ascii="Arial" w:hAnsi="Arial" w:cs="Arial"/>
                <w:sz w:val="16"/>
                <w:szCs w:val="16"/>
              </w:rPr>
              <w:t>Eg</w:t>
            </w:r>
            <w:proofErr w:type="spellEnd"/>
            <w:r w:rsidRPr="00D85A4F">
              <w:rPr>
                <w:rFonts w:ascii="Arial" w:hAnsi="Arial" w:cs="Arial"/>
                <w:sz w:val="16"/>
                <w:szCs w:val="16"/>
              </w:rPr>
              <w:t xml:space="preserve"> </w:t>
            </w:r>
            <w:r>
              <w:rPr>
                <w:rFonts w:ascii="Arial" w:hAnsi="Arial" w:cs="Arial"/>
                <w:sz w:val="16"/>
                <w:szCs w:val="16"/>
              </w:rPr>
              <w:t>Mental Health Act</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0BEDD886"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Dropdown1"/>
                  <w:enabled/>
                  <w:calcOnExit w:val="0"/>
                  <w:ddList>
                    <w:result w:val="2"/>
                    <w:listEntry w:val="MH(CAT) Act 1992"/>
                    <w:listEntry w:val="CP(MIP) Act 2003"/>
                    <w:listEntry w:val="         "/>
                  </w:ddList>
                </w:ffData>
              </w:fldChar>
            </w:r>
            <w:r w:rsidRPr="00D85A4F">
              <w:rPr>
                <w:rFonts w:ascii="Arial" w:hAnsi="Arial" w:cs="Arial"/>
                <w:sz w:val="20"/>
              </w:rPr>
              <w:instrText xml:space="preserve"> FORMDROPDOWN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p>
        </w:tc>
      </w:tr>
      <w:tr w:rsidR="00025FEB" w:rsidRPr="00D85A4F" w14:paraId="2A0000D8" w14:textId="77777777" w:rsidTr="00AD0359">
        <w:trPr>
          <w:tblCellSpacing w:w="28" w:type="dxa"/>
        </w:trPr>
        <w:tc>
          <w:tcPr>
            <w:tcW w:w="2043" w:type="dxa"/>
            <w:shd w:val="clear" w:color="auto" w:fill="auto"/>
          </w:tcPr>
          <w:p w14:paraId="73605F00" w14:textId="77777777" w:rsidR="00025FEB" w:rsidRPr="00D85A4F" w:rsidRDefault="00025FEB" w:rsidP="00AD0359">
            <w:pPr>
              <w:jc w:val="right"/>
              <w:rPr>
                <w:rFonts w:ascii="Arial" w:hAnsi="Arial" w:cs="Arial"/>
                <w:sz w:val="20"/>
              </w:rPr>
            </w:pPr>
            <w:r w:rsidRPr="00D85A4F">
              <w:rPr>
                <w:rFonts w:ascii="Arial" w:hAnsi="Arial" w:cs="Arial"/>
                <w:sz w:val="20"/>
              </w:rPr>
              <w:t>Overseeing DAMHS:</w:t>
            </w: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532977BD"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2"/>
                  <w:enabled/>
                  <w:calcOnExit w:val="0"/>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c>
          <w:tcPr>
            <w:tcW w:w="2464" w:type="dxa"/>
            <w:shd w:val="clear" w:color="auto" w:fill="auto"/>
          </w:tcPr>
          <w:p w14:paraId="78E3677F" w14:textId="77777777" w:rsidR="00025FEB" w:rsidRPr="00D85A4F" w:rsidRDefault="00025FEB" w:rsidP="00AD0359">
            <w:pPr>
              <w:jc w:val="right"/>
              <w:rPr>
                <w:rFonts w:ascii="Arial" w:hAnsi="Arial" w:cs="Arial"/>
                <w:sz w:val="20"/>
              </w:rPr>
            </w:pPr>
            <w:r w:rsidRPr="00D85A4F">
              <w:rPr>
                <w:rFonts w:ascii="Arial" w:hAnsi="Arial" w:cs="Arial"/>
                <w:sz w:val="20"/>
              </w:rPr>
              <w:t xml:space="preserve">Legal status </w:t>
            </w:r>
            <w:r>
              <w:rPr>
                <w:rFonts w:ascii="Arial" w:hAnsi="Arial" w:cs="Arial"/>
                <w:sz w:val="20"/>
              </w:rPr>
              <w:t>– s</w:t>
            </w:r>
            <w:r w:rsidRPr="00D85A4F">
              <w:rPr>
                <w:rFonts w:ascii="Arial" w:hAnsi="Arial" w:cs="Arial"/>
                <w:sz w:val="20"/>
              </w:rPr>
              <w:t>ection:</w:t>
            </w:r>
          </w:p>
          <w:p w14:paraId="47066B2C" w14:textId="77777777" w:rsidR="00025FEB" w:rsidRPr="00D85A4F" w:rsidRDefault="00025FEB" w:rsidP="00AD0359">
            <w:pPr>
              <w:rPr>
                <w:rFonts w:ascii="Arial" w:hAnsi="Arial" w:cs="Arial"/>
                <w:sz w:val="16"/>
                <w:szCs w:val="16"/>
              </w:rPr>
            </w:pPr>
            <w:proofErr w:type="spellStart"/>
            <w:r w:rsidRPr="00D85A4F">
              <w:rPr>
                <w:rFonts w:ascii="Arial" w:hAnsi="Arial" w:cs="Arial"/>
                <w:sz w:val="16"/>
                <w:szCs w:val="16"/>
              </w:rPr>
              <w:t>Eg</w:t>
            </w:r>
            <w:proofErr w:type="spellEnd"/>
            <w:r w:rsidRPr="00D85A4F">
              <w:rPr>
                <w:rFonts w:ascii="Arial" w:hAnsi="Arial" w:cs="Arial"/>
                <w:sz w:val="16"/>
                <w:szCs w:val="16"/>
              </w:rPr>
              <w:t xml:space="preserve"> </w:t>
            </w:r>
            <w:r>
              <w:rPr>
                <w:rFonts w:ascii="Arial" w:hAnsi="Arial" w:cs="Arial"/>
                <w:sz w:val="16"/>
                <w:szCs w:val="16"/>
              </w:rPr>
              <w:t xml:space="preserve">section </w:t>
            </w:r>
            <w:r w:rsidRPr="00D85A4F">
              <w:rPr>
                <w:rFonts w:ascii="Arial" w:hAnsi="Arial" w:cs="Arial"/>
                <w:sz w:val="16"/>
                <w:szCs w:val="16"/>
              </w:rPr>
              <w:t>30</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5C4A5086"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19"/>
                  <w:enabled/>
                  <w:calcOnExit w:val="0"/>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r>
      <w:tr w:rsidR="00025FEB" w:rsidRPr="00D85A4F" w14:paraId="633B3805" w14:textId="77777777" w:rsidTr="00AD0359">
        <w:trPr>
          <w:tblCellSpacing w:w="28" w:type="dxa"/>
        </w:trPr>
        <w:tc>
          <w:tcPr>
            <w:tcW w:w="2043" w:type="dxa"/>
            <w:shd w:val="clear" w:color="auto" w:fill="auto"/>
          </w:tcPr>
          <w:p w14:paraId="5D2D21FA" w14:textId="77777777" w:rsidR="00025FEB" w:rsidRPr="00D85A4F" w:rsidRDefault="00025FEB" w:rsidP="00AD0359">
            <w:pPr>
              <w:jc w:val="right"/>
              <w:rPr>
                <w:rFonts w:ascii="Arial" w:hAnsi="Arial" w:cs="Arial"/>
                <w:sz w:val="20"/>
              </w:rPr>
            </w:pPr>
            <w:r w:rsidRPr="00D85A4F">
              <w:rPr>
                <w:rFonts w:ascii="Arial" w:hAnsi="Arial" w:cs="Arial"/>
                <w:sz w:val="20"/>
              </w:rPr>
              <w:t>Date event occurred:</w:t>
            </w: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277D66E9"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3"/>
                  <w:enabled/>
                  <w:calcOnExit w:val="0"/>
                  <w:textInput>
                    <w:type w:val="date"/>
                    <w:format w:val="d/MM/yy"/>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c>
          <w:tcPr>
            <w:tcW w:w="2464" w:type="dxa"/>
            <w:shd w:val="clear" w:color="auto" w:fill="auto"/>
          </w:tcPr>
          <w:p w14:paraId="10E1D27D" w14:textId="77777777" w:rsidR="00025FEB" w:rsidRPr="00D85A4F" w:rsidRDefault="00025FEB" w:rsidP="00AD0359">
            <w:pPr>
              <w:jc w:val="right"/>
              <w:rPr>
                <w:rFonts w:ascii="Arial" w:hAnsi="Arial" w:cs="Arial"/>
                <w:sz w:val="20"/>
              </w:rPr>
            </w:pPr>
            <w:r w:rsidRPr="00D85A4F">
              <w:rPr>
                <w:rFonts w:ascii="Arial" w:hAnsi="Arial" w:cs="Arial"/>
                <w:sz w:val="20"/>
              </w:rPr>
              <w:t xml:space="preserve">Legal status </w:t>
            </w:r>
            <w:r>
              <w:rPr>
                <w:rFonts w:ascii="Arial" w:hAnsi="Arial" w:cs="Arial"/>
                <w:sz w:val="20"/>
              </w:rPr>
              <w:t>– l</w:t>
            </w:r>
            <w:r w:rsidRPr="00D85A4F">
              <w:rPr>
                <w:rFonts w:ascii="Arial" w:hAnsi="Arial" w:cs="Arial"/>
                <w:sz w:val="20"/>
              </w:rPr>
              <w:t>eave:</w:t>
            </w:r>
          </w:p>
          <w:p w14:paraId="4254B0B8" w14:textId="77777777" w:rsidR="00025FEB" w:rsidRPr="00D85A4F" w:rsidRDefault="00025FEB" w:rsidP="00AD0359">
            <w:pPr>
              <w:rPr>
                <w:rFonts w:ascii="Arial" w:hAnsi="Arial" w:cs="Arial"/>
                <w:sz w:val="16"/>
                <w:szCs w:val="16"/>
              </w:rPr>
            </w:pPr>
            <w:proofErr w:type="spellStart"/>
            <w:r w:rsidRPr="00D85A4F">
              <w:rPr>
                <w:rFonts w:ascii="Arial" w:hAnsi="Arial" w:cs="Arial"/>
                <w:sz w:val="16"/>
                <w:szCs w:val="16"/>
              </w:rPr>
              <w:t>Eg</w:t>
            </w:r>
            <w:proofErr w:type="spellEnd"/>
            <w:r w:rsidRPr="00D85A4F">
              <w:rPr>
                <w:rFonts w:ascii="Arial" w:hAnsi="Arial" w:cs="Arial"/>
                <w:sz w:val="16"/>
                <w:szCs w:val="16"/>
              </w:rPr>
              <w:t xml:space="preserve"> s</w:t>
            </w:r>
            <w:r>
              <w:rPr>
                <w:rFonts w:ascii="Arial" w:hAnsi="Arial" w:cs="Arial"/>
                <w:sz w:val="16"/>
                <w:szCs w:val="16"/>
              </w:rPr>
              <w:t xml:space="preserve">ection </w:t>
            </w:r>
            <w:r w:rsidRPr="00D85A4F">
              <w:rPr>
                <w:rFonts w:ascii="Arial" w:hAnsi="Arial" w:cs="Arial"/>
                <w:sz w:val="16"/>
                <w:szCs w:val="16"/>
              </w:rPr>
              <w:t>52</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460C5C3C"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20"/>
                  <w:enabled/>
                  <w:calcOnExit w:val="0"/>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r>
      <w:tr w:rsidR="00025FEB" w:rsidRPr="00D85A4F" w14:paraId="23519858" w14:textId="77777777" w:rsidTr="00AD0359">
        <w:trPr>
          <w:tblCellSpacing w:w="28" w:type="dxa"/>
        </w:trPr>
        <w:tc>
          <w:tcPr>
            <w:tcW w:w="2043" w:type="dxa"/>
            <w:shd w:val="clear" w:color="auto" w:fill="auto"/>
          </w:tcPr>
          <w:p w14:paraId="71E109EE" w14:textId="77777777" w:rsidR="00025FEB" w:rsidRPr="00D85A4F" w:rsidRDefault="00025FEB" w:rsidP="00AD0359">
            <w:pPr>
              <w:jc w:val="right"/>
              <w:rPr>
                <w:rFonts w:ascii="Arial" w:hAnsi="Arial" w:cs="Arial"/>
                <w:sz w:val="20"/>
              </w:rPr>
            </w:pPr>
            <w:r w:rsidRPr="00D85A4F">
              <w:rPr>
                <w:rFonts w:ascii="Arial" w:hAnsi="Arial" w:cs="Arial"/>
                <w:sz w:val="20"/>
              </w:rPr>
              <w:t>Narrative description of event*:</w:t>
            </w:r>
          </w:p>
          <w:p w14:paraId="6146E1CD" w14:textId="77777777" w:rsidR="00025FEB" w:rsidRPr="00D85A4F" w:rsidRDefault="00025FEB" w:rsidP="00AD0359">
            <w:pPr>
              <w:jc w:val="right"/>
              <w:rPr>
                <w:rFonts w:ascii="Arial" w:hAnsi="Arial" w:cs="Arial"/>
                <w:sz w:val="20"/>
              </w:rPr>
            </w:pPr>
          </w:p>
          <w:p w14:paraId="77515680" w14:textId="77777777" w:rsidR="00025FEB" w:rsidRPr="00D85A4F" w:rsidRDefault="00025FEB" w:rsidP="00AD0359">
            <w:pPr>
              <w:rPr>
                <w:rFonts w:ascii="Arial" w:hAnsi="Arial" w:cs="Arial"/>
                <w:sz w:val="20"/>
              </w:rPr>
            </w:pPr>
          </w:p>
        </w:tc>
        <w:tc>
          <w:tcPr>
            <w:tcW w:w="8280" w:type="dxa"/>
            <w:gridSpan w:val="3"/>
            <w:tcBorders>
              <w:top w:val="single" w:sz="4" w:space="0" w:color="auto"/>
              <w:left w:val="single" w:sz="4" w:space="0" w:color="auto"/>
              <w:bottom w:val="single" w:sz="4" w:space="0" w:color="auto"/>
              <w:right w:val="single" w:sz="4" w:space="0" w:color="auto"/>
            </w:tcBorders>
            <w:shd w:val="clear" w:color="auto" w:fill="auto"/>
          </w:tcPr>
          <w:p w14:paraId="06707553"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4"/>
                  <w:enabled/>
                  <w:calcOnExit w:val="0"/>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r>
      <w:tr w:rsidR="00025FEB" w:rsidRPr="00D85A4F" w14:paraId="632C001D" w14:textId="77777777" w:rsidTr="00AD0359">
        <w:trPr>
          <w:tblCellSpacing w:w="28" w:type="dxa"/>
        </w:trPr>
        <w:tc>
          <w:tcPr>
            <w:tcW w:w="2043" w:type="dxa"/>
            <w:shd w:val="clear" w:color="auto" w:fill="auto"/>
          </w:tcPr>
          <w:p w14:paraId="0C4E1B5F" w14:textId="77777777" w:rsidR="00025FEB" w:rsidRPr="00D85A4F" w:rsidRDefault="00025FEB" w:rsidP="00AD0359">
            <w:pPr>
              <w:jc w:val="right"/>
              <w:rPr>
                <w:rFonts w:ascii="Arial" w:hAnsi="Arial" w:cs="Arial"/>
                <w:sz w:val="20"/>
              </w:rPr>
            </w:pPr>
            <w:r w:rsidRPr="00D85A4F">
              <w:rPr>
                <w:rFonts w:ascii="Arial" w:hAnsi="Arial" w:cs="Arial"/>
                <w:sz w:val="20"/>
              </w:rPr>
              <w:t>First name:</w:t>
            </w:r>
          </w:p>
          <w:p w14:paraId="2B7CD638" w14:textId="77777777" w:rsidR="00025FEB" w:rsidRPr="00D85A4F" w:rsidRDefault="00025FEB" w:rsidP="00AD0359">
            <w:pPr>
              <w:jc w:val="right"/>
              <w:rPr>
                <w:rFonts w:ascii="Arial" w:hAnsi="Arial" w:cs="Arial"/>
                <w:sz w:val="20"/>
              </w:rPr>
            </w:pP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6F32D97D"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5"/>
                  <w:enabled/>
                  <w:calcOnExit w:val="0"/>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c>
          <w:tcPr>
            <w:tcW w:w="2464" w:type="dxa"/>
            <w:shd w:val="clear" w:color="auto" w:fill="auto"/>
          </w:tcPr>
          <w:p w14:paraId="0CCE84A1" w14:textId="77777777" w:rsidR="00025FEB" w:rsidRPr="00D85A4F" w:rsidRDefault="00025FEB" w:rsidP="00AD0359">
            <w:pPr>
              <w:jc w:val="right"/>
              <w:rPr>
                <w:rFonts w:ascii="Arial" w:hAnsi="Arial" w:cs="Arial"/>
                <w:sz w:val="20"/>
              </w:rPr>
            </w:pPr>
            <w:r w:rsidRPr="00D85A4F">
              <w:rPr>
                <w:rFonts w:ascii="Arial" w:hAnsi="Arial" w:cs="Arial"/>
                <w:sz w:val="20"/>
              </w:rPr>
              <w:t>NHI number:</w:t>
            </w:r>
          </w:p>
          <w:p w14:paraId="69C2BD79" w14:textId="77777777" w:rsidR="00025FEB" w:rsidRPr="00D85A4F" w:rsidRDefault="00025FEB" w:rsidP="00AD0359">
            <w:pPr>
              <w:jc w:val="right"/>
              <w:rPr>
                <w:rFonts w:ascii="Arial" w:hAnsi="Arial" w:cs="Arial"/>
                <w:sz w:val="20"/>
              </w:rPr>
            </w:pP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6EEBB281"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9"/>
                  <w:enabled/>
                  <w:calcOnExit w:val="0"/>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r>
      <w:tr w:rsidR="00025FEB" w:rsidRPr="00D85A4F" w14:paraId="67B28DE0" w14:textId="77777777" w:rsidTr="00AD0359">
        <w:trPr>
          <w:tblCellSpacing w:w="28" w:type="dxa"/>
        </w:trPr>
        <w:tc>
          <w:tcPr>
            <w:tcW w:w="2043" w:type="dxa"/>
            <w:shd w:val="clear" w:color="auto" w:fill="auto"/>
          </w:tcPr>
          <w:p w14:paraId="2A0D3F1D" w14:textId="77777777" w:rsidR="00025FEB" w:rsidRPr="00D85A4F" w:rsidRDefault="00025FEB" w:rsidP="00AD0359">
            <w:pPr>
              <w:jc w:val="right"/>
              <w:rPr>
                <w:rFonts w:ascii="Arial" w:hAnsi="Arial" w:cs="Arial"/>
                <w:sz w:val="20"/>
              </w:rPr>
            </w:pPr>
            <w:r w:rsidRPr="00D85A4F">
              <w:rPr>
                <w:rFonts w:ascii="Arial" w:hAnsi="Arial" w:cs="Arial"/>
                <w:sz w:val="20"/>
              </w:rPr>
              <w:t>Middle name(s):</w:t>
            </w:r>
          </w:p>
          <w:p w14:paraId="593B088F" w14:textId="77777777" w:rsidR="00025FEB" w:rsidRPr="00D85A4F" w:rsidRDefault="00025FEB" w:rsidP="00AD0359">
            <w:pPr>
              <w:jc w:val="right"/>
              <w:rPr>
                <w:rFonts w:ascii="Arial" w:hAnsi="Arial" w:cs="Arial"/>
                <w:sz w:val="20"/>
              </w:rPr>
            </w:pP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48C44BA9"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6"/>
                  <w:enabled/>
                  <w:calcOnExit w:val="0"/>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c>
          <w:tcPr>
            <w:tcW w:w="2464" w:type="dxa"/>
            <w:shd w:val="clear" w:color="auto" w:fill="auto"/>
          </w:tcPr>
          <w:p w14:paraId="2D9779F2" w14:textId="77777777" w:rsidR="00025FEB" w:rsidRPr="00D85A4F" w:rsidRDefault="00025FEB" w:rsidP="00AD0359">
            <w:pPr>
              <w:jc w:val="right"/>
              <w:rPr>
                <w:rFonts w:ascii="Arial" w:hAnsi="Arial" w:cs="Arial"/>
                <w:sz w:val="20"/>
              </w:rPr>
            </w:pPr>
            <w:r w:rsidRPr="00D85A4F">
              <w:rPr>
                <w:rFonts w:ascii="Arial" w:hAnsi="Arial" w:cs="Arial"/>
                <w:sz w:val="20"/>
              </w:rPr>
              <w:t>Date of birth:</w:t>
            </w:r>
          </w:p>
          <w:p w14:paraId="272E13CE" w14:textId="77777777" w:rsidR="00025FEB" w:rsidRPr="00D85A4F" w:rsidRDefault="00025FEB" w:rsidP="00AD0359">
            <w:pPr>
              <w:jc w:val="right"/>
              <w:rPr>
                <w:rFonts w:ascii="Arial" w:hAnsi="Arial" w:cs="Arial"/>
                <w:sz w:val="20"/>
              </w:rPr>
            </w:pP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2DBA85FA"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10"/>
                  <w:enabled/>
                  <w:calcOnExit w:val="0"/>
                  <w:textInput>
                    <w:type w:val="date"/>
                    <w:format w:val="d/MM/yyyy"/>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r>
      <w:tr w:rsidR="00025FEB" w:rsidRPr="00D85A4F" w14:paraId="78D04391" w14:textId="77777777" w:rsidTr="00AD0359">
        <w:trPr>
          <w:tblCellSpacing w:w="28" w:type="dxa"/>
        </w:trPr>
        <w:tc>
          <w:tcPr>
            <w:tcW w:w="2043" w:type="dxa"/>
            <w:shd w:val="clear" w:color="auto" w:fill="auto"/>
          </w:tcPr>
          <w:p w14:paraId="47F9C435" w14:textId="77777777" w:rsidR="00025FEB" w:rsidRPr="00D85A4F" w:rsidRDefault="00025FEB" w:rsidP="00AD0359">
            <w:pPr>
              <w:jc w:val="right"/>
              <w:rPr>
                <w:rFonts w:ascii="Arial" w:hAnsi="Arial" w:cs="Arial"/>
                <w:sz w:val="20"/>
              </w:rPr>
            </w:pPr>
            <w:r w:rsidRPr="00D85A4F">
              <w:rPr>
                <w:rFonts w:ascii="Arial" w:hAnsi="Arial" w:cs="Arial"/>
                <w:sz w:val="20"/>
              </w:rPr>
              <w:t>Last name:</w:t>
            </w:r>
          </w:p>
          <w:p w14:paraId="53E90C6E" w14:textId="77777777" w:rsidR="00025FEB" w:rsidRPr="00D85A4F" w:rsidRDefault="00025FEB" w:rsidP="00AD0359">
            <w:pPr>
              <w:jc w:val="right"/>
              <w:rPr>
                <w:rFonts w:ascii="Arial" w:hAnsi="Arial" w:cs="Arial"/>
                <w:sz w:val="20"/>
              </w:rPr>
            </w:pP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2E8EB65F"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7"/>
                  <w:enabled/>
                  <w:calcOnExit w:val="0"/>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c>
          <w:tcPr>
            <w:tcW w:w="2464" w:type="dxa"/>
            <w:shd w:val="clear" w:color="auto" w:fill="auto"/>
          </w:tcPr>
          <w:p w14:paraId="33F72F42" w14:textId="77777777" w:rsidR="00025FEB" w:rsidRPr="00D85A4F" w:rsidRDefault="00025FEB" w:rsidP="00AD0359">
            <w:pPr>
              <w:jc w:val="right"/>
              <w:rPr>
                <w:rFonts w:ascii="Arial" w:hAnsi="Arial" w:cs="Arial"/>
                <w:sz w:val="20"/>
              </w:rPr>
            </w:pPr>
            <w:r w:rsidRPr="00D85A4F">
              <w:rPr>
                <w:rFonts w:ascii="Arial" w:hAnsi="Arial" w:cs="Arial"/>
                <w:sz w:val="20"/>
              </w:rPr>
              <w:t>Gender:</w:t>
            </w:r>
          </w:p>
          <w:p w14:paraId="2CDCBB2A" w14:textId="77777777" w:rsidR="00025FEB" w:rsidRPr="00D85A4F" w:rsidRDefault="00025FEB" w:rsidP="00AD0359">
            <w:pPr>
              <w:jc w:val="right"/>
              <w:rPr>
                <w:rFonts w:ascii="Arial" w:hAnsi="Arial" w:cs="Arial"/>
                <w:sz w:val="20"/>
              </w:rPr>
            </w:pP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2B04F8F9"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Dropdown6"/>
                  <w:enabled/>
                  <w:calcOnExit w:val="0"/>
                  <w:ddList>
                    <w:listEntry w:val="        "/>
                    <w:listEntry w:val="Male"/>
                    <w:listEntry w:val="Female"/>
                    <w:listEntry w:val="Other"/>
                  </w:ddList>
                </w:ffData>
              </w:fldChar>
            </w:r>
            <w:r w:rsidRPr="00D85A4F">
              <w:rPr>
                <w:rFonts w:ascii="Arial" w:hAnsi="Arial" w:cs="Arial"/>
                <w:sz w:val="20"/>
              </w:rPr>
              <w:instrText xml:space="preserve"> FORMDROPDOWN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p>
        </w:tc>
      </w:tr>
      <w:tr w:rsidR="00025FEB" w:rsidRPr="00D85A4F" w14:paraId="6284DBA9" w14:textId="77777777" w:rsidTr="00AD0359">
        <w:trPr>
          <w:tblCellSpacing w:w="28" w:type="dxa"/>
        </w:trPr>
        <w:tc>
          <w:tcPr>
            <w:tcW w:w="2043" w:type="dxa"/>
            <w:shd w:val="clear" w:color="auto" w:fill="auto"/>
          </w:tcPr>
          <w:p w14:paraId="68BD0D15" w14:textId="77777777" w:rsidR="00025FEB" w:rsidRPr="00D85A4F" w:rsidRDefault="00025FEB" w:rsidP="00AD0359">
            <w:pPr>
              <w:jc w:val="right"/>
              <w:rPr>
                <w:rFonts w:ascii="Arial" w:hAnsi="Arial" w:cs="Arial"/>
                <w:sz w:val="20"/>
              </w:rPr>
            </w:pPr>
            <w:r w:rsidRPr="00D85A4F">
              <w:rPr>
                <w:rFonts w:ascii="Arial" w:hAnsi="Arial" w:cs="Arial"/>
                <w:sz w:val="20"/>
              </w:rPr>
              <w:t>Also known as:</w:t>
            </w: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37ABBEC3"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8"/>
                  <w:enabled/>
                  <w:calcOnExit w:val="0"/>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c>
          <w:tcPr>
            <w:tcW w:w="2464" w:type="dxa"/>
            <w:shd w:val="clear" w:color="auto" w:fill="auto"/>
          </w:tcPr>
          <w:p w14:paraId="52C21A67" w14:textId="77777777" w:rsidR="00025FEB" w:rsidRPr="00D85A4F" w:rsidRDefault="00025FEB" w:rsidP="00AD0359">
            <w:pPr>
              <w:jc w:val="right"/>
              <w:rPr>
                <w:rFonts w:ascii="Arial" w:hAnsi="Arial" w:cs="Arial"/>
                <w:sz w:val="20"/>
              </w:rPr>
            </w:pPr>
            <w:r w:rsidRPr="00D85A4F">
              <w:rPr>
                <w:rFonts w:ascii="Arial" w:hAnsi="Arial" w:cs="Arial"/>
                <w:sz w:val="20"/>
              </w:rPr>
              <w:t>Ethnicity:</w:t>
            </w:r>
          </w:p>
          <w:p w14:paraId="7B7BB9E8" w14:textId="77777777" w:rsidR="00025FEB" w:rsidRPr="00D85A4F" w:rsidRDefault="00025FEB" w:rsidP="00AD0359">
            <w:pPr>
              <w:jc w:val="right"/>
              <w:rPr>
                <w:rFonts w:ascii="Arial" w:hAnsi="Arial" w:cs="Arial"/>
                <w:sz w:val="20"/>
              </w:rPr>
            </w:pP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5497E6FA"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Dropdown4"/>
                  <w:enabled/>
                  <w:calcOnExit w:val="0"/>
                  <w:ddList>
                    <w:listEntry w:val="          "/>
                    <w:listEntry w:val="European"/>
                    <w:listEntry w:val="Maori"/>
                    <w:listEntry w:val="Pacific"/>
                    <w:listEntry w:val="Asian"/>
                    <w:listEntry w:val="Other"/>
                  </w:ddList>
                </w:ffData>
              </w:fldChar>
            </w:r>
            <w:r w:rsidRPr="00D85A4F">
              <w:rPr>
                <w:rFonts w:ascii="Arial" w:hAnsi="Arial" w:cs="Arial"/>
                <w:sz w:val="20"/>
              </w:rPr>
              <w:instrText xml:space="preserve"> FORMDROPDOWN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p>
        </w:tc>
      </w:tr>
      <w:tr w:rsidR="00025FEB" w:rsidRPr="00D85A4F" w14:paraId="7E1814C9" w14:textId="77777777" w:rsidTr="00AD0359">
        <w:trPr>
          <w:tblCellSpacing w:w="28" w:type="dxa"/>
        </w:trPr>
        <w:tc>
          <w:tcPr>
            <w:tcW w:w="2043" w:type="dxa"/>
            <w:shd w:val="clear" w:color="auto" w:fill="auto"/>
          </w:tcPr>
          <w:p w14:paraId="1DEBD03E" w14:textId="77777777" w:rsidR="00025FEB" w:rsidRPr="00D85A4F" w:rsidRDefault="00025FEB" w:rsidP="00AD0359">
            <w:pPr>
              <w:jc w:val="right"/>
              <w:rPr>
                <w:rFonts w:ascii="Arial" w:hAnsi="Arial" w:cs="Arial"/>
                <w:sz w:val="20"/>
              </w:rPr>
            </w:pPr>
            <w:r w:rsidRPr="00D85A4F">
              <w:rPr>
                <w:rFonts w:ascii="Arial" w:hAnsi="Arial" w:cs="Arial"/>
                <w:sz w:val="20"/>
              </w:rPr>
              <w:t>Diagnoses at time of event:</w:t>
            </w:r>
          </w:p>
        </w:tc>
        <w:tc>
          <w:tcPr>
            <w:tcW w:w="8280" w:type="dxa"/>
            <w:gridSpan w:val="3"/>
            <w:tcBorders>
              <w:top w:val="single" w:sz="4" w:space="0" w:color="auto"/>
              <w:left w:val="single" w:sz="4" w:space="0" w:color="auto"/>
              <w:bottom w:val="single" w:sz="4" w:space="0" w:color="auto"/>
              <w:right w:val="single" w:sz="4" w:space="0" w:color="auto"/>
            </w:tcBorders>
            <w:shd w:val="clear" w:color="auto" w:fill="auto"/>
          </w:tcPr>
          <w:p w14:paraId="7AA098EF"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12"/>
                  <w:enabled/>
                  <w:calcOnExit w:val="0"/>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r>
      <w:tr w:rsidR="00025FEB" w:rsidRPr="00D85A4F" w14:paraId="024936E5" w14:textId="77777777" w:rsidTr="00AD0359">
        <w:trPr>
          <w:tblCellSpacing w:w="28" w:type="dxa"/>
        </w:trPr>
        <w:tc>
          <w:tcPr>
            <w:tcW w:w="2043" w:type="dxa"/>
            <w:shd w:val="clear" w:color="auto" w:fill="auto"/>
          </w:tcPr>
          <w:p w14:paraId="7CE26EE8" w14:textId="77777777" w:rsidR="00025FEB" w:rsidRPr="00D85A4F" w:rsidRDefault="00025FEB" w:rsidP="00AD0359">
            <w:pPr>
              <w:jc w:val="right"/>
              <w:rPr>
                <w:rFonts w:ascii="Arial" w:hAnsi="Arial" w:cs="Arial"/>
                <w:sz w:val="20"/>
              </w:rPr>
            </w:pPr>
            <w:r w:rsidRPr="00D85A4F">
              <w:rPr>
                <w:rFonts w:ascii="Arial" w:hAnsi="Arial" w:cs="Arial"/>
                <w:sz w:val="20"/>
              </w:rPr>
              <w:t>Provisional cause of death*:</w:t>
            </w: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15C5BF48"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16"/>
                  <w:enabled/>
                  <w:calcOnExit w:val="0"/>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c>
          <w:tcPr>
            <w:tcW w:w="2464" w:type="dxa"/>
            <w:shd w:val="clear" w:color="auto" w:fill="auto"/>
          </w:tcPr>
          <w:p w14:paraId="5E47F084" w14:textId="77777777" w:rsidR="00025FEB" w:rsidRPr="00D85A4F" w:rsidRDefault="00025FEB" w:rsidP="00AD0359">
            <w:pPr>
              <w:jc w:val="right"/>
              <w:rPr>
                <w:rFonts w:ascii="Arial" w:hAnsi="Arial" w:cs="Arial"/>
                <w:sz w:val="20"/>
              </w:rPr>
            </w:pPr>
            <w:r w:rsidRPr="00D85A4F">
              <w:rPr>
                <w:rFonts w:ascii="Arial" w:hAnsi="Arial" w:cs="Arial"/>
                <w:sz w:val="20"/>
              </w:rPr>
              <w:t>Inpatient/</w:t>
            </w:r>
            <w:r>
              <w:rPr>
                <w:rFonts w:ascii="Arial" w:hAnsi="Arial" w:cs="Arial"/>
                <w:sz w:val="20"/>
              </w:rPr>
              <w:t>o</w:t>
            </w:r>
            <w:r w:rsidRPr="00D85A4F">
              <w:rPr>
                <w:rFonts w:ascii="Arial" w:hAnsi="Arial" w:cs="Arial"/>
                <w:sz w:val="20"/>
              </w:rPr>
              <w:t>utpatient:</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08E2DD1C"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Dropdown7"/>
                  <w:enabled/>
                  <w:calcOnExit w:val="0"/>
                  <w:ddList>
                    <w:listEntry w:val="          "/>
                    <w:listEntry w:val="Inpatient"/>
                    <w:listEntry w:val="Outpatient"/>
                  </w:ddList>
                </w:ffData>
              </w:fldChar>
            </w:r>
            <w:r w:rsidRPr="00D85A4F">
              <w:rPr>
                <w:rFonts w:ascii="Arial" w:hAnsi="Arial" w:cs="Arial"/>
                <w:sz w:val="20"/>
              </w:rPr>
              <w:instrText xml:space="preserve"> FORMDROPDOWN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p>
        </w:tc>
      </w:tr>
      <w:tr w:rsidR="00025FEB" w:rsidRPr="00D85A4F" w14:paraId="6E93C8D3" w14:textId="77777777" w:rsidTr="00AD0359">
        <w:trPr>
          <w:tblCellSpacing w:w="28" w:type="dxa"/>
        </w:trPr>
        <w:tc>
          <w:tcPr>
            <w:tcW w:w="2043" w:type="dxa"/>
            <w:shd w:val="clear" w:color="auto" w:fill="auto"/>
          </w:tcPr>
          <w:p w14:paraId="4DCB99C0" w14:textId="77777777" w:rsidR="00025FEB" w:rsidRPr="00D85A4F" w:rsidRDefault="00025FEB" w:rsidP="00AD0359">
            <w:pPr>
              <w:jc w:val="right"/>
              <w:rPr>
                <w:rFonts w:ascii="Arial" w:hAnsi="Arial" w:cs="Arial"/>
                <w:sz w:val="20"/>
              </w:rPr>
            </w:pPr>
            <w:r w:rsidRPr="00D85A4F">
              <w:rPr>
                <w:rFonts w:ascii="Arial" w:hAnsi="Arial" w:cs="Arial"/>
                <w:sz w:val="20"/>
              </w:rPr>
              <w:t>Provisional mode of death*:</w:t>
            </w: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16D63B30"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17"/>
                  <w:enabled/>
                  <w:calcOnExit w:val="0"/>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c>
          <w:tcPr>
            <w:tcW w:w="2464" w:type="dxa"/>
            <w:shd w:val="clear" w:color="auto" w:fill="auto"/>
          </w:tcPr>
          <w:p w14:paraId="33A96227" w14:textId="77777777" w:rsidR="00025FEB" w:rsidRPr="00D85A4F" w:rsidRDefault="00025FEB" w:rsidP="00AD0359">
            <w:pPr>
              <w:jc w:val="right"/>
              <w:rPr>
                <w:rFonts w:ascii="Arial" w:hAnsi="Arial" w:cs="Arial"/>
                <w:sz w:val="20"/>
              </w:rPr>
            </w:pPr>
            <w:r w:rsidRPr="00D85A4F">
              <w:rPr>
                <w:rFonts w:ascii="Arial" w:hAnsi="Arial" w:cs="Arial"/>
                <w:sz w:val="20"/>
              </w:rPr>
              <w:t>Date of last contact with mental health services*:</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0427311D"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14"/>
                  <w:enabled/>
                  <w:calcOnExit w:val="0"/>
                  <w:textInput>
                    <w:type w:val="date"/>
                    <w:format w:val="d/MM/yyyy"/>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r>
      <w:tr w:rsidR="00025FEB" w:rsidRPr="00D85A4F" w14:paraId="02F43D66" w14:textId="77777777" w:rsidTr="00AD0359">
        <w:trPr>
          <w:tblCellSpacing w:w="28" w:type="dxa"/>
        </w:trPr>
        <w:tc>
          <w:tcPr>
            <w:tcW w:w="2043" w:type="dxa"/>
            <w:shd w:val="clear" w:color="auto" w:fill="auto"/>
          </w:tcPr>
          <w:p w14:paraId="368C35B2" w14:textId="77777777" w:rsidR="00025FEB" w:rsidRPr="00D85A4F" w:rsidRDefault="00025FEB" w:rsidP="00AD0359">
            <w:pPr>
              <w:jc w:val="right"/>
              <w:rPr>
                <w:rFonts w:ascii="Arial" w:hAnsi="Arial" w:cs="Arial"/>
                <w:sz w:val="20"/>
              </w:rPr>
            </w:pPr>
            <w:r w:rsidRPr="00D85A4F">
              <w:rPr>
                <w:rFonts w:ascii="Arial" w:hAnsi="Arial" w:cs="Arial"/>
                <w:sz w:val="20"/>
              </w:rPr>
              <w:t>Location where event occurred:</w:t>
            </w:r>
          </w:p>
        </w:tc>
        <w:tc>
          <w:tcPr>
            <w:tcW w:w="3103" w:type="dxa"/>
            <w:tcBorders>
              <w:top w:val="single" w:sz="4" w:space="0" w:color="auto"/>
              <w:left w:val="single" w:sz="4" w:space="0" w:color="auto"/>
              <w:bottom w:val="single" w:sz="4" w:space="0" w:color="auto"/>
              <w:right w:val="single" w:sz="4" w:space="0" w:color="auto"/>
            </w:tcBorders>
            <w:shd w:val="clear" w:color="auto" w:fill="auto"/>
          </w:tcPr>
          <w:p w14:paraId="3BF4CEFF"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Dropdown5"/>
                  <w:enabled/>
                  <w:calcOnExit w:val="0"/>
                  <w:ddList>
                    <w:listEntry w:val="           "/>
                    <w:listEntry w:val="Community"/>
                    <w:listEntry w:val="Supported Accommodation"/>
                    <w:listEntry w:val="Hospital"/>
                    <w:listEntry w:val="Forensic Unit"/>
                    <w:listEntry w:val="Other Medical location"/>
                    <w:listEntry w:val="Prison"/>
                    <w:listEntry w:val="Other"/>
                  </w:ddList>
                </w:ffData>
              </w:fldChar>
            </w:r>
            <w:r w:rsidRPr="00D85A4F">
              <w:rPr>
                <w:rFonts w:ascii="Arial" w:hAnsi="Arial" w:cs="Arial"/>
                <w:sz w:val="20"/>
              </w:rPr>
              <w:instrText xml:space="preserve"> FORMDROPDOWN </w:instrText>
            </w:r>
            <w:r w:rsidR="000D2E1E">
              <w:rPr>
                <w:rFonts w:ascii="Arial" w:hAnsi="Arial" w:cs="Arial"/>
                <w:sz w:val="20"/>
              </w:rPr>
            </w:r>
            <w:r w:rsidR="000D2E1E">
              <w:rPr>
                <w:rFonts w:ascii="Arial" w:hAnsi="Arial" w:cs="Arial"/>
                <w:sz w:val="20"/>
              </w:rPr>
              <w:fldChar w:fldCharType="separate"/>
            </w:r>
            <w:r w:rsidRPr="00D85A4F">
              <w:rPr>
                <w:rFonts w:ascii="Arial" w:hAnsi="Arial" w:cs="Arial"/>
                <w:sz w:val="20"/>
              </w:rPr>
              <w:fldChar w:fldCharType="end"/>
            </w:r>
          </w:p>
        </w:tc>
        <w:tc>
          <w:tcPr>
            <w:tcW w:w="2464" w:type="dxa"/>
            <w:shd w:val="clear" w:color="auto" w:fill="auto"/>
          </w:tcPr>
          <w:p w14:paraId="39B5E49A" w14:textId="77777777" w:rsidR="00025FEB" w:rsidRPr="00D85A4F" w:rsidRDefault="00025FEB" w:rsidP="00AD0359">
            <w:pPr>
              <w:jc w:val="right"/>
              <w:rPr>
                <w:rFonts w:ascii="Arial" w:hAnsi="Arial" w:cs="Arial"/>
                <w:sz w:val="20"/>
              </w:rPr>
            </w:pPr>
            <w:r w:rsidRPr="00D85A4F">
              <w:rPr>
                <w:rFonts w:ascii="Arial" w:hAnsi="Arial" w:cs="Arial"/>
                <w:sz w:val="20"/>
              </w:rPr>
              <w:t>Mental health service responsible for care:</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120FCB3A"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15"/>
                  <w:enabled/>
                  <w:calcOnExit w:val="0"/>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r>
      <w:tr w:rsidR="00025FEB" w:rsidRPr="00D85A4F" w14:paraId="0DAA3E78" w14:textId="77777777" w:rsidTr="00AD0359">
        <w:trPr>
          <w:tblCellSpacing w:w="28" w:type="dxa"/>
        </w:trPr>
        <w:tc>
          <w:tcPr>
            <w:tcW w:w="2043" w:type="dxa"/>
            <w:shd w:val="clear" w:color="auto" w:fill="auto"/>
          </w:tcPr>
          <w:p w14:paraId="6EE436E9" w14:textId="77777777" w:rsidR="00025FEB" w:rsidRPr="00D85A4F" w:rsidRDefault="00025FEB" w:rsidP="00AD0359">
            <w:pPr>
              <w:jc w:val="right"/>
              <w:rPr>
                <w:rFonts w:ascii="Arial" w:hAnsi="Arial" w:cs="Arial"/>
                <w:sz w:val="20"/>
              </w:rPr>
            </w:pPr>
            <w:r w:rsidRPr="00D85A4F">
              <w:rPr>
                <w:rFonts w:ascii="Arial" w:hAnsi="Arial" w:cs="Arial"/>
                <w:sz w:val="20"/>
              </w:rPr>
              <w:t>Other comments or notes:</w:t>
            </w:r>
          </w:p>
          <w:p w14:paraId="441B8614" w14:textId="77777777" w:rsidR="00025FEB" w:rsidRPr="00D85A4F" w:rsidRDefault="00025FEB" w:rsidP="00AD0359">
            <w:pPr>
              <w:jc w:val="right"/>
              <w:rPr>
                <w:rFonts w:ascii="Arial" w:hAnsi="Arial" w:cs="Arial"/>
                <w:sz w:val="20"/>
              </w:rPr>
            </w:pPr>
          </w:p>
        </w:tc>
        <w:tc>
          <w:tcPr>
            <w:tcW w:w="8280" w:type="dxa"/>
            <w:gridSpan w:val="3"/>
            <w:tcBorders>
              <w:top w:val="single" w:sz="4" w:space="0" w:color="auto"/>
              <w:left w:val="single" w:sz="4" w:space="0" w:color="auto"/>
              <w:bottom w:val="single" w:sz="4" w:space="0" w:color="auto"/>
              <w:right w:val="single" w:sz="4" w:space="0" w:color="auto"/>
            </w:tcBorders>
            <w:shd w:val="clear" w:color="auto" w:fill="auto"/>
          </w:tcPr>
          <w:p w14:paraId="6EF37A5D" w14:textId="77777777" w:rsidR="00025FEB" w:rsidRPr="00D85A4F" w:rsidRDefault="00025FEB" w:rsidP="00AD0359">
            <w:pPr>
              <w:rPr>
                <w:rFonts w:ascii="Arial" w:hAnsi="Arial" w:cs="Arial"/>
                <w:sz w:val="20"/>
              </w:rPr>
            </w:pPr>
            <w:r w:rsidRPr="00D85A4F">
              <w:rPr>
                <w:rFonts w:ascii="Arial" w:hAnsi="Arial" w:cs="Arial"/>
                <w:sz w:val="20"/>
              </w:rPr>
              <w:fldChar w:fldCharType="begin">
                <w:ffData>
                  <w:name w:val="Text18"/>
                  <w:enabled/>
                  <w:calcOnExit w:val="0"/>
                  <w:textInput/>
                </w:ffData>
              </w:fldChar>
            </w:r>
            <w:r w:rsidRPr="00D85A4F">
              <w:rPr>
                <w:rFonts w:ascii="Arial" w:hAnsi="Arial" w:cs="Arial"/>
                <w:sz w:val="20"/>
              </w:rPr>
              <w:instrText xml:space="preserve"> FORMTEXT </w:instrText>
            </w:r>
            <w:r w:rsidRPr="00D85A4F">
              <w:rPr>
                <w:rFonts w:ascii="Arial" w:hAnsi="Arial" w:cs="Arial"/>
                <w:sz w:val="20"/>
              </w:rPr>
            </w:r>
            <w:r w:rsidRPr="00D85A4F">
              <w:rPr>
                <w:rFonts w:ascii="Arial" w:hAnsi="Arial" w:cs="Arial"/>
                <w:sz w:val="20"/>
              </w:rPr>
              <w:fldChar w:fldCharType="separate"/>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noProof/>
                <w:sz w:val="20"/>
              </w:rPr>
              <w:t> </w:t>
            </w:r>
            <w:r w:rsidRPr="00D85A4F">
              <w:rPr>
                <w:rFonts w:ascii="Arial" w:hAnsi="Arial" w:cs="Arial"/>
                <w:sz w:val="20"/>
              </w:rPr>
              <w:fldChar w:fldCharType="end"/>
            </w:r>
          </w:p>
        </w:tc>
      </w:tr>
    </w:tbl>
    <w:p w14:paraId="572B3EA9" w14:textId="77777777" w:rsidR="00025FEB" w:rsidRPr="00D85A4F" w:rsidRDefault="00025FEB" w:rsidP="00025FEB">
      <w:pPr>
        <w:rPr>
          <w:rFonts w:ascii="Arial" w:hAnsi="Arial" w:cs="Arial"/>
          <w:sz w:val="20"/>
        </w:rPr>
      </w:pPr>
    </w:p>
    <w:p w14:paraId="310FB4A9" w14:textId="77777777" w:rsidR="00025FEB" w:rsidRPr="00D85A4F" w:rsidRDefault="00025FEB" w:rsidP="00025FEB">
      <w:pPr>
        <w:rPr>
          <w:rFonts w:ascii="Arial" w:hAnsi="Arial" w:cs="Arial"/>
          <w:sz w:val="20"/>
        </w:rPr>
      </w:pPr>
      <w:r w:rsidRPr="00D85A4F">
        <w:rPr>
          <w:rFonts w:ascii="Arial" w:hAnsi="Arial" w:cs="Arial"/>
          <w:sz w:val="20"/>
        </w:rPr>
        <w:t>* Further discussion of this item is on the next page.</w:t>
      </w:r>
    </w:p>
    <w:p w14:paraId="42927403" w14:textId="77777777" w:rsidR="00025FEB" w:rsidRDefault="00025FEB" w:rsidP="00025FEB">
      <w:pPr>
        <w:tabs>
          <w:tab w:val="left" w:pos="1390"/>
        </w:tabs>
      </w:pPr>
    </w:p>
    <w:p w14:paraId="07796EE9" w14:textId="77777777" w:rsidR="00025FEB" w:rsidRDefault="00025FEB" w:rsidP="00025FEB">
      <w:pPr>
        <w:tabs>
          <w:tab w:val="left" w:pos="1390"/>
        </w:tabs>
        <w:sectPr w:rsidR="00025FEB" w:rsidSect="008F5176">
          <w:pgSz w:w="11907" w:h="16834" w:code="9"/>
          <w:pgMar w:top="425" w:right="567" w:bottom="425" w:left="567" w:header="284" w:footer="397" w:gutter="0"/>
          <w:cols w:space="720"/>
          <w:docGrid w:linePitch="286"/>
        </w:sectPr>
      </w:pPr>
      <w:r>
        <w:tab/>
      </w:r>
    </w:p>
    <w:p w14:paraId="22B2C2B2" w14:textId="261B3A40" w:rsidR="00025FEB" w:rsidRDefault="00025FEB" w:rsidP="007A6F61">
      <w:pPr>
        <w:tabs>
          <w:tab w:val="left" w:pos="1390"/>
        </w:tabs>
        <w:ind w:left="567"/>
      </w:pPr>
      <w:r>
        <w:rPr>
          <w:noProof/>
        </w:rPr>
        <w:lastRenderedPageBreak/>
        <w:drawing>
          <wp:anchor distT="0" distB="0" distL="114300" distR="114300" simplePos="0" relativeHeight="251667456" behindDoc="0" locked="0" layoutInCell="1" allowOverlap="1" wp14:anchorId="2F16BF65" wp14:editId="32DB0C5F">
            <wp:simplePos x="0" y="0"/>
            <wp:positionH relativeFrom="margin">
              <wp:posOffset>309880</wp:posOffset>
            </wp:positionH>
            <wp:positionV relativeFrom="paragraph">
              <wp:posOffset>7059</wp:posOffset>
            </wp:positionV>
            <wp:extent cx="2109374" cy="996950"/>
            <wp:effectExtent l="0" t="0" r="5715" b="0"/>
            <wp:wrapNone/>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09374"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3EAC6" w14:textId="77777777" w:rsidR="00025FEB" w:rsidRPr="00D85A4F" w:rsidRDefault="00025FEB" w:rsidP="00025FEB">
      <w:pPr>
        <w:ind w:left="567" w:right="1134"/>
        <w:jc w:val="right"/>
        <w:rPr>
          <w:rFonts w:ascii="Arial" w:hAnsi="Arial" w:cs="Arial"/>
          <w:b/>
          <w:smallCaps/>
          <w:sz w:val="36"/>
          <w:szCs w:val="36"/>
        </w:rPr>
      </w:pPr>
      <w:r w:rsidRPr="00D85A4F">
        <w:rPr>
          <w:rFonts w:ascii="Arial" w:hAnsi="Arial" w:cs="Arial"/>
        </w:rPr>
        <w:t xml:space="preserve">   </w:t>
      </w:r>
      <w:r w:rsidRPr="00D85A4F">
        <w:rPr>
          <w:rFonts w:ascii="Arial" w:hAnsi="Arial" w:cs="Arial"/>
          <w:b/>
          <w:smallCaps/>
          <w:sz w:val="36"/>
          <w:szCs w:val="36"/>
        </w:rPr>
        <w:t>Director of Mental Health</w:t>
      </w:r>
    </w:p>
    <w:p w14:paraId="48B28C0A" w14:textId="77777777" w:rsidR="00025FEB" w:rsidRPr="00D85A4F" w:rsidRDefault="00025FEB" w:rsidP="00025FEB">
      <w:pPr>
        <w:ind w:left="567" w:right="1134"/>
        <w:rPr>
          <w:rFonts w:ascii="Arial" w:hAnsi="Arial" w:cs="Arial"/>
          <w:sz w:val="20"/>
        </w:rPr>
      </w:pPr>
    </w:p>
    <w:p w14:paraId="04B33ADF" w14:textId="77777777" w:rsidR="00025FEB" w:rsidRPr="00D85A4F" w:rsidRDefault="00025FEB" w:rsidP="00025FEB">
      <w:pPr>
        <w:ind w:left="567" w:right="1134"/>
        <w:jc w:val="right"/>
        <w:rPr>
          <w:rFonts w:ascii="Arial" w:hAnsi="Arial" w:cs="Arial"/>
          <w:b/>
        </w:rPr>
      </w:pPr>
      <w:r w:rsidRPr="00D85A4F">
        <w:rPr>
          <w:rFonts w:ascii="Arial" w:hAnsi="Arial" w:cs="Arial"/>
          <w:b/>
        </w:rPr>
        <w:t>Reportable Event Notification Form</w:t>
      </w:r>
    </w:p>
    <w:p w14:paraId="6AE62B51" w14:textId="77777777" w:rsidR="00025FEB" w:rsidRPr="00D85A4F" w:rsidRDefault="00025FEB" w:rsidP="00025FEB">
      <w:pPr>
        <w:ind w:left="567" w:right="1134"/>
        <w:rPr>
          <w:rFonts w:ascii="Arial" w:hAnsi="Arial" w:cs="Arial"/>
          <w:sz w:val="20"/>
        </w:rPr>
      </w:pPr>
    </w:p>
    <w:p w14:paraId="1B18A602" w14:textId="77777777" w:rsidR="00025FEB" w:rsidRPr="00D85A4F" w:rsidRDefault="00025FEB" w:rsidP="00025FEB">
      <w:pPr>
        <w:ind w:left="567" w:right="1134"/>
        <w:rPr>
          <w:rFonts w:ascii="Arial" w:hAnsi="Arial" w:cs="Arial"/>
          <w:sz w:val="20"/>
        </w:rPr>
      </w:pPr>
    </w:p>
    <w:p w14:paraId="1BA55DA4" w14:textId="77777777" w:rsidR="00025FEB" w:rsidRPr="00D85A4F" w:rsidRDefault="00025FEB" w:rsidP="00025FEB">
      <w:pPr>
        <w:ind w:left="567" w:right="1134"/>
        <w:rPr>
          <w:rFonts w:ascii="Arial" w:hAnsi="Arial" w:cs="Arial"/>
          <w:sz w:val="20"/>
        </w:rPr>
      </w:pPr>
    </w:p>
    <w:p w14:paraId="320617EC" w14:textId="77777777" w:rsidR="00025FEB" w:rsidRDefault="00025FEB" w:rsidP="00025FEB">
      <w:pPr>
        <w:ind w:left="567" w:right="1134"/>
        <w:rPr>
          <w:rFonts w:ascii="Arial" w:hAnsi="Arial" w:cs="Arial"/>
          <w:sz w:val="20"/>
        </w:rPr>
      </w:pPr>
      <w:r w:rsidRPr="00D85A4F">
        <w:rPr>
          <w:rFonts w:ascii="Arial" w:hAnsi="Arial" w:cs="Arial"/>
          <w:sz w:val="20"/>
        </w:rPr>
        <w:t xml:space="preserve">This form is the first step of the event process overseen by the Director of Mental Health. It must be completed and sent to the Director within </w:t>
      </w:r>
      <w:r w:rsidRPr="00D85A4F">
        <w:rPr>
          <w:rFonts w:ascii="Arial" w:hAnsi="Arial" w:cs="Arial"/>
          <w:b/>
          <w:sz w:val="20"/>
        </w:rPr>
        <w:t>14 days</w:t>
      </w:r>
      <w:r w:rsidRPr="00D85A4F">
        <w:rPr>
          <w:rFonts w:ascii="Arial" w:hAnsi="Arial" w:cs="Arial"/>
          <w:sz w:val="20"/>
        </w:rPr>
        <w:t xml:space="preserve"> of an event occurring, for all events that meet the Director’s reporting criteria. Depending on the nature of the event, the Director may also require the following documents:</w:t>
      </w:r>
    </w:p>
    <w:p w14:paraId="2ED08D2E" w14:textId="77777777" w:rsidR="00025FEB" w:rsidRPr="00BE4B1B" w:rsidRDefault="00025FEB" w:rsidP="00025FEB">
      <w:pPr>
        <w:pStyle w:val="ListParagraph"/>
        <w:numPr>
          <w:ilvl w:val="0"/>
          <w:numId w:val="23"/>
        </w:numPr>
        <w:spacing w:before="90" w:after="90" w:line="276" w:lineRule="auto"/>
        <w:ind w:left="993" w:right="1134" w:hanging="426"/>
        <w:rPr>
          <w:rFonts w:cs="Arial"/>
          <w:sz w:val="20"/>
        </w:rPr>
      </w:pPr>
      <w:r w:rsidRPr="00BE4B1B">
        <w:rPr>
          <w:rFonts w:cs="Arial"/>
          <w:sz w:val="20"/>
        </w:rPr>
        <w:t>notification and details of any media coverage and your response</w:t>
      </w:r>
    </w:p>
    <w:p w14:paraId="11C4EC64" w14:textId="77777777" w:rsidR="00025FEB" w:rsidRPr="00D85A4F" w:rsidRDefault="00025FEB" w:rsidP="00025FEB">
      <w:pPr>
        <w:pStyle w:val="ListParagraph"/>
        <w:numPr>
          <w:ilvl w:val="0"/>
          <w:numId w:val="23"/>
        </w:numPr>
        <w:spacing w:before="90" w:after="90" w:line="276" w:lineRule="auto"/>
        <w:ind w:left="993" w:right="1134" w:hanging="426"/>
        <w:rPr>
          <w:rFonts w:cs="Arial"/>
          <w:sz w:val="20"/>
        </w:rPr>
      </w:pPr>
      <w:r>
        <w:rPr>
          <w:rFonts w:cs="Arial"/>
          <w:sz w:val="20"/>
        </w:rPr>
        <w:t>i</w:t>
      </w:r>
      <w:r w:rsidRPr="00D85A4F">
        <w:rPr>
          <w:rFonts w:cs="Arial"/>
          <w:sz w:val="20"/>
        </w:rPr>
        <w:t>nternal adverse event review report</w:t>
      </w:r>
    </w:p>
    <w:p w14:paraId="4AAD612A" w14:textId="77777777" w:rsidR="00025FEB" w:rsidRDefault="00025FEB" w:rsidP="00025FEB">
      <w:pPr>
        <w:pStyle w:val="ListParagraph"/>
        <w:numPr>
          <w:ilvl w:val="0"/>
          <w:numId w:val="23"/>
        </w:numPr>
        <w:spacing w:before="90" w:after="90" w:line="276" w:lineRule="auto"/>
        <w:ind w:left="993" w:right="1134" w:hanging="426"/>
        <w:rPr>
          <w:rFonts w:cs="Arial"/>
          <w:sz w:val="20"/>
        </w:rPr>
      </w:pPr>
      <w:r>
        <w:rPr>
          <w:rFonts w:cs="Arial"/>
          <w:sz w:val="20"/>
        </w:rPr>
        <w:t>e</w:t>
      </w:r>
      <w:r w:rsidRPr="00D85A4F">
        <w:rPr>
          <w:rFonts w:cs="Arial"/>
          <w:sz w:val="20"/>
        </w:rPr>
        <w:t>xternal adverse event review report</w:t>
      </w:r>
    </w:p>
    <w:p w14:paraId="787561DE" w14:textId="77777777" w:rsidR="00025FEB" w:rsidRDefault="00025FEB" w:rsidP="00025FEB">
      <w:pPr>
        <w:pStyle w:val="ListParagraph"/>
        <w:numPr>
          <w:ilvl w:val="0"/>
          <w:numId w:val="23"/>
        </w:numPr>
        <w:spacing w:before="90" w:after="90" w:line="276" w:lineRule="auto"/>
        <w:ind w:left="993" w:right="1134" w:hanging="426"/>
        <w:rPr>
          <w:rFonts w:cs="Arial"/>
          <w:sz w:val="20"/>
        </w:rPr>
      </w:pPr>
      <w:r>
        <w:rPr>
          <w:rFonts w:cs="Arial"/>
          <w:sz w:val="20"/>
        </w:rPr>
        <w:t>c</w:t>
      </w:r>
      <w:r w:rsidRPr="00D85A4F">
        <w:rPr>
          <w:rFonts w:cs="Arial"/>
          <w:sz w:val="20"/>
        </w:rPr>
        <w:t>oroner’s report confirming cause of death</w:t>
      </w:r>
    </w:p>
    <w:p w14:paraId="4A388B24" w14:textId="77777777" w:rsidR="00025FEB" w:rsidRPr="00BE4B1B" w:rsidRDefault="00025FEB" w:rsidP="00025FEB">
      <w:pPr>
        <w:pStyle w:val="ListParagraph"/>
        <w:numPr>
          <w:ilvl w:val="0"/>
          <w:numId w:val="23"/>
        </w:numPr>
        <w:spacing w:before="90" w:after="90" w:line="276" w:lineRule="auto"/>
        <w:ind w:left="993" w:right="1134" w:hanging="426"/>
        <w:rPr>
          <w:rFonts w:cs="Arial"/>
          <w:sz w:val="20"/>
        </w:rPr>
      </w:pPr>
      <w:r w:rsidRPr="00BE4B1B">
        <w:rPr>
          <w:rFonts w:cs="Arial"/>
          <w:sz w:val="20"/>
        </w:rPr>
        <w:t>inquiry/investigation documents (for example, under section 75 or 95 or as required by the Health and Disability Commissioner or a coroner</w:t>
      </w:r>
    </w:p>
    <w:p w14:paraId="763EC9E7" w14:textId="77777777" w:rsidR="00025FEB" w:rsidRDefault="00025FEB" w:rsidP="00025FEB">
      <w:pPr>
        <w:pStyle w:val="ListParagraph"/>
        <w:numPr>
          <w:ilvl w:val="0"/>
          <w:numId w:val="23"/>
        </w:numPr>
        <w:spacing w:before="90" w:after="90" w:line="276" w:lineRule="auto"/>
        <w:ind w:left="993" w:right="1134" w:hanging="426"/>
        <w:rPr>
          <w:rFonts w:cs="Arial"/>
          <w:sz w:val="20"/>
        </w:rPr>
      </w:pPr>
      <w:r w:rsidRPr="00D85A4F">
        <w:rPr>
          <w:rFonts w:cs="Arial"/>
          <w:sz w:val="20"/>
        </w:rPr>
        <w:t>Audit documents detailing the implementation of recommendations from the above reports.</w:t>
      </w:r>
    </w:p>
    <w:p w14:paraId="61D49D59" w14:textId="77777777" w:rsidR="00025FEB" w:rsidRPr="00D85A4F" w:rsidRDefault="00025FEB" w:rsidP="00025FEB">
      <w:pPr>
        <w:ind w:left="567" w:right="1134"/>
        <w:rPr>
          <w:rFonts w:ascii="Arial" w:hAnsi="Arial" w:cs="Arial"/>
          <w:sz w:val="20"/>
        </w:rPr>
      </w:pPr>
    </w:p>
    <w:p w14:paraId="34A5580B" w14:textId="77777777" w:rsidR="00025FEB" w:rsidRPr="00D85A4F" w:rsidRDefault="00025FEB" w:rsidP="00025FEB">
      <w:pPr>
        <w:ind w:left="567" w:right="1134"/>
        <w:rPr>
          <w:rFonts w:ascii="Arial" w:hAnsi="Arial" w:cs="Arial"/>
          <w:b/>
          <w:sz w:val="20"/>
        </w:rPr>
      </w:pPr>
      <w:r w:rsidRPr="00D85A4F">
        <w:rPr>
          <w:rFonts w:ascii="Arial" w:hAnsi="Arial" w:cs="Arial"/>
          <w:b/>
          <w:sz w:val="20"/>
        </w:rPr>
        <w:t>Reason for reporting this event</w:t>
      </w:r>
    </w:p>
    <w:p w14:paraId="462F6960" w14:textId="77777777" w:rsidR="00025FEB" w:rsidRPr="00D85A4F" w:rsidRDefault="00025FEB" w:rsidP="00025FEB">
      <w:pPr>
        <w:ind w:left="567" w:right="1134"/>
        <w:rPr>
          <w:rFonts w:ascii="Arial" w:hAnsi="Arial" w:cs="Arial"/>
          <w:sz w:val="20"/>
        </w:rPr>
      </w:pPr>
      <w:r w:rsidRPr="00D85A4F">
        <w:rPr>
          <w:rFonts w:ascii="Arial" w:hAnsi="Arial" w:cs="Arial"/>
          <w:sz w:val="20"/>
        </w:rPr>
        <w:t>Since 2013, DAMHS</w:t>
      </w:r>
      <w:r>
        <w:rPr>
          <w:rFonts w:ascii="Arial" w:hAnsi="Arial" w:cs="Arial"/>
          <w:sz w:val="20"/>
        </w:rPr>
        <w:t>s</w:t>
      </w:r>
      <w:r w:rsidRPr="00D85A4F">
        <w:rPr>
          <w:rFonts w:ascii="Arial" w:hAnsi="Arial" w:cs="Arial"/>
          <w:sz w:val="20"/>
        </w:rPr>
        <w:t xml:space="preserve"> have been required to advise the Director of four types of events:</w:t>
      </w:r>
    </w:p>
    <w:p w14:paraId="23EA5760" w14:textId="77777777" w:rsidR="00025FEB" w:rsidRPr="00D85A4F" w:rsidRDefault="00025FEB" w:rsidP="00025FEB">
      <w:pPr>
        <w:numPr>
          <w:ilvl w:val="0"/>
          <w:numId w:val="24"/>
        </w:numPr>
        <w:spacing w:before="90"/>
        <w:ind w:left="993" w:right="1134" w:hanging="426"/>
        <w:rPr>
          <w:rFonts w:ascii="Arial" w:hAnsi="Arial" w:cs="Arial"/>
          <w:sz w:val="20"/>
        </w:rPr>
      </w:pPr>
      <w:r>
        <w:rPr>
          <w:rFonts w:ascii="Arial" w:hAnsi="Arial" w:cs="Arial"/>
          <w:sz w:val="20"/>
        </w:rPr>
        <w:t>n</w:t>
      </w:r>
      <w:r w:rsidRPr="00D85A4F">
        <w:rPr>
          <w:rFonts w:ascii="Arial" w:hAnsi="Arial" w:cs="Arial"/>
          <w:sz w:val="20"/>
        </w:rPr>
        <w:t xml:space="preserve">otifications of patient deaths in accordance with </w:t>
      </w:r>
      <w:r w:rsidRPr="00C84E6C">
        <w:rPr>
          <w:rFonts w:ascii="Arial" w:hAnsi="Arial" w:cs="Arial"/>
          <w:bCs/>
          <w:sz w:val="20"/>
        </w:rPr>
        <w:t>section 132</w:t>
      </w:r>
      <w:r w:rsidRPr="00D85A4F">
        <w:rPr>
          <w:rFonts w:ascii="Arial" w:hAnsi="Arial" w:cs="Arial"/>
          <w:sz w:val="20"/>
        </w:rPr>
        <w:t xml:space="preserve"> </w:t>
      </w:r>
      <w:r>
        <w:rPr>
          <w:rFonts w:ascii="Arial" w:hAnsi="Arial" w:cs="Arial"/>
          <w:sz w:val="20"/>
        </w:rPr>
        <w:t>of the Mental Health Act</w:t>
      </w:r>
      <w:r w:rsidRPr="00D85A4F">
        <w:rPr>
          <w:rFonts w:ascii="Arial" w:hAnsi="Arial" w:cs="Arial"/>
          <w:sz w:val="20"/>
        </w:rPr>
        <w:t>. Patients are further defined as a person required to undergo assessment under s</w:t>
      </w:r>
      <w:r>
        <w:rPr>
          <w:rFonts w:ascii="Arial" w:hAnsi="Arial" w:cs="Arial"/>
          <w:sz w:val="20"/>
        </w:rPr>
        <w:t xml:space="preserve">ection </w:t>
      </w:r>
      <w:r w:rsidRPr="00D85A4F">
        <w:rPr>
          <w:rFonts w:ascii="Arial" w:hAnsi="Arial" w:cs="Arial"/>
          <w:sz w:val="20"/>
        </w:rPr>
        <w:t>11 or 13</w:t>
      </w:r>
      <w:r>
        <w:rPr>
          <w:rFonts w:ascii="Arial" w:hAnsi="Arial" w:cs="Arial"/>
          <w:sz w:val="20"/>
        </w:rPr>
        <w:t>,</w:t>
      </w:r>
      <w:r w:rsidRPr="00D85A4F">
        <w:rPr>
          <w:rFonts w:ascii="Arial" w:hAnsi="Arial" w:cs="Arial"/>
          <w:sz w:val="20"/>
        </w:rPr>
        <w:t xml:space="preserve"> a person subject to a compulsory treatment order</w:t>
      </w:r>
      <w:r>
        <w:rPr>
          <w:rFonts w:ascii="Arial" w:hAnsi="Arial" w:cs="Arial"/>
          <w:sz w:val="20"/>
        </w:rPr>
        <w:t>,</w:t>
      </w:r>
      <w:r w:rsidRPr="00D85A4F">
        <w:rPr>
          <w:rFonts w:ascii="Arial" w:hAnsi="Arial" w:cs="Arial"/>
          <w:sz w:val="20"/>
        </w:rPr>
        <w:t xml:space="preserve"> or a special patient</w:t>
      </w:r>
    </w:p>
    <w:p w14:paraId="7026CCFF" w14:textId="77777777" w:rsidR="00025FEB" w:rsidRPr="00D85A4F" w:rsidRDefault="00025FEB" w:rsidP="00025FEB">
      <w:pPr>
        <w:numPr>
          <w:ilvl w:val="0"/>
          <w:numId w:val="24"/>
        </w:numPr>
        <w:spacing w:before="90"/>
        <w:ind w:left="993" w:right="1134" w:hanging="426"/>
        <w:rPr>
          <w:rFonts w:ascii="Arial" w:hAnsi="Arial" w:cs="Arial"/>
          <w:sz w:val="20"/>
        </w:rPr>
      </w:pPr>
      <w:r>
        <w:rPr>
          <w:rFonts w:ascii="Arial" w:hAnsi="Arial" w:cs="Arial"/>
          <w:sz w:val="20"/>
        </w:rPr>
        <w:t>t</w:t>
      </w:r>
      <w:r w:rsidRPr="00D85A4F">
        <w:rPr>
          <w:rFonts w:ascii="Arial" w:hAnsi="Arial" w:cs="Arial"/>
          <w:sz w:val="20"/>
        </w:rPr>
        <w:t xml:space="preserve">he death of a </w:t>
      </w:r>
      <w:r w:rsidRPr="00C84E6C">
        <w:rPr>
          <w:rFonts w:ascii="Arial" w:hAnsi="Arial" w:cs="Arial"/>
          <w:bCs/>
          <w:sz w:val="20"/>
        </w:rPr>
        <w:t>voluntary patient</w:t>
      </w:r>
      <w:r w:rsidRPr="00D85A4F">
        <w:rPr>
          <w:rFonts w:ascii="Arial" w:hAnsi="Arial" w:cs="Arial"/>
          <w:sz w:val="20"/>
        </w:rPr>
        <w:t xml:space="preserve"> in an inpatient unit by </w:t>
      </w:r>
      <w:r w:rsidRPr="00C84E6C">
        <w:rPr>
          <w:rFonts w:ascii="Arial" w:hAnsi="Arial" w:cs="Arial"/>
          <w:bCs/>
          <w:sz w:val="20"/>
        </w:rPr>
        <w:t>suspected suicide</w:t>
      </w:r>
    </w:p>
    <w:p w14:paraId="1B934BA6" w14:textId="77777777" w:rsidR="00025FEB" w:rsidRPr="00D85A4F" w:rsidRDefault="00025FEB" w:rsidP="00025FEB">
      <w:pPr>
        <w:numPr>
          <w:ilvl w:val="0"/>
          <w:numId w:val="24"/>
        </w:numPr>
        <w:spacing w:before="90"/>
        <w:ind w:left="993" w:right="1134" w:hanging="426"/>
        <w:rPr>
          <w:rFonts w:ascii="Arial" w:hAnsi="Arial" w:cs="Arial"/>
          <w:sz w:val="20"/>
        </w:rPr>
      </w:pPr>
      <w:r>
        <w:rPr>
          <w:rFonts w:ascii="Arial" w:hAnsi="Arial" w:cs="Arial"/>
          <w:sz w:val="20"/>
        </w:rPr>
        <w:t>a</w:t>
      </w:r>
      <w:r w:rsidRPr="00D85A4F">
        <w:rPr>
          <w:rFonts w:ascii="Arial" w:hAnsi="Arial" w:cs="Arial"/>
          <w:sz w:val="20"/>
        </w:rPr>
        <w:t xml:space="preserve">dverse events involving </w:t>
      </w:r>
      <w:r w:rsidRPr="00C84E6C">
        <w:rPr>
          <w:rFonts w:ascii="Arial" w:hAnsi="Arial" w:cs="Arial"/>
          <w:bCs/>
          <w:sz w:val="20"/>
        </w:rPr>
        <w:t>special patients</w:t>
      </w:r>
      <w:r>
        <w:rPr>
          <w:rFonts w:ascii="Arial" w:hAnsi="Arial" w:cs="Arial"/>
          <w:sz w:val="20"/>
        </w:rPr>
        <w:t xml:space="preserve">, including </w:t>
      </w:r>
      <w:r w:rsidRPr="00D85A4F">
        <w:rPr>
          <w:rFonts w:ascii="Arial" w:hAnsi="Arial" w:cs="Arial"/>
          <w:sz w:val="20"/>
        </w:rPr>
        <w:t xml:space="preserve">attempted suicide, </w:t>
      </w:r>
      <w:r>
        <w:rPr>
          <w:rFonts w:ascii="Arial" w:hAnsi="Arial" w:cs="Arial"/>
          <w:sz w:val="20"/>
        </w:rPr>
        <w:t>absence without leave</w:t>
      </w:r>
      <w:r w:rsidRPr="00D85A4F">
        <w:rPr>
          <w:rFonts w:ascii="Arial" w:hAnsi="Arial" w:cs="Arial"/>
          <w:sz w:val="20"/>
        </w:rPr>
        <w:t>, assault and breach of leave conditions (</w:t>
      </w:r>
      <w:r>
        <w:rPr>
          <w:rFonts w:ascii="Arial" w:hAnsi="Arial" w:cs="Arial"/>
          <w:sz w:val="20"/>
        </w:rPr>
        <w:t>for example, in terms of</w:t>
      </w:r>
      <w:r w:rsidRPr="00D85A4F">
        <w:rPr>
          <w:rFonts w:ascii="Arial" w:hAnsi="Arial" w:cs="Arial"/>
          <w:sz w:val="20"/>
        </w:rPr>
        <w:t xml:space="preserve"> alcohol use)</w:t>
      </w:r>
    </w:p>
    <w:p w14:paraId="7CC9E044" w14:textId="77777777" w:rsidR="00025FEB" w:rsidRPr="00D85A4F" w:rsidRDefault="00025FEB" w:rsidP="00025FEB">
      <w:pPr>
        <w:numPr>
          <w:ilvl w:val="0"/>
          <w:numId w:val="24"/>
        </w:numPr>
        <w:spacing w:before="90"/>
        <w:ind w:left="993" w:right="1134" w:hanging="426"/>
        <w:rPr>
          <w:rFonts w:ascii="Arial" w:hAnsi="Arial" w:cs="Arial"/>
          <w:sz w:val="20"/>
        </w:rPr>
      </w:pPr>
      <w:r>
        <w:rPr>
          <w:rFonts w:ascii="Arial" w:hAnsi="Arial" w:cs="Arial"/>
          <w:sz w:val="20"/>
        </w:rPr>
        <w:t>a</w:t>
      </w:r>
      <w:r w:rsidRPr="00D85A4F">
        <w:rPr>
          <w:rFonts w:ascii="Arial" w:hAnsi="Arial" w:cs="Arial"/>
          <w:sz w:val="20"/>
        </w:rPr>
        <w:t xml:space="preserve">dverse events likely to draw </w:t>
      </w:r>
      <w:r w:rsidRPr="00C84E6C">
        <w:rPr>
          <w:rFonts w:ascii="Arial" w:hAnsi="Arial" w:cs="Arial"/>
          <w:bCs/>
          <w:sz w:val="20"/>
        </w:rPr>
        <w:t>media attention</w:t>
      </w:r>
      <w:r w:rsidRPr="00D85A4F">
        <w:rPr>
          <w:rFonts w:ascii="Arial" w:hAnsi="Arial" w:cs="Arial"/>
          <w:sz w:val="20"/>
        </w:rPr>
        <w:t>.</w:t>
      </w:r>
    </w:p>
    <w:p w14:paraId="67AD7D0C" w14:textId="77777777" w:rsidR="00025FEB" w:rsidRPr="00D85A4F" w:rsidRDefault="00025FEB" w:rsidP="00025FEB">
      <w:pPr>
        <w:ind w:left="567" w:right="1134"/>
        <w:rPr>
          <w:rFonts w:ascii="Arial" w:hAnsi="Arial" w:cs="Arial"/>
          <w:sz w:val="20"/>
        </w:rPr>
      </w:pPr>
    </w:p>
    <w:p w14:paraId="05A32861" w14:textId="77777777" w:rsidR="00025FEB" w:rsidRPr="00D85A4F" w:rsidRDefault="00025FEB" w:rsidP="00025FEB">
      <w:pPr>
        <w:ind w:left="567" w:right="1134"/>
        <w:rPr>
          <w:rFonts w:ascii="Arial" w:hAnsi="Arial" w:cs="Arial"/>
          <w:sz w:val="20"/>
        </w:rPr>
      </w:pPr>
      <w:r w:rsidRPr="00D85A4F">
        <w:rPr>
          <w:rFonts w:ascii="Arial Mäori" w:hAnsi="Arial Mäori" w:cs="Arial Mäori"/>
          <w:color w:val="000000"/>
          <w:sz w:val="20"/>
          <w:lang w:eastAsia="en-NZ"/>
        </w:rPr>
        <w:t xml:space="preserve">Please note that </w:t>
      </w:r>
      <w:r>
        <w:rPr>
          <w:rFonts w:ascii="Arial Mäori" w:hAnsi="Arial Mäori" w:cs="Arial Mäori"/>
          <w:color w:val="000000"/>
          <w:sz w:val="20"/>
          <w:lang w:eastAsia="en-NZ"/>
        </w:rPr>
        <w:t xml:space="preserve">there may be </w:t>
      </w:r>
      <w:r w:rsidRPr="00D85A4F">
        <w:rPr>
          <w:rFonts w:ascii="Arial Mäori" w:hAnsi="Arial Mäori" w:cs="Arial Mäori"/>
          <w:color w:val="000000"/>
          <w:sz w:val="20"/>
          <w:lang w:eastAsia="en-NZ"/>
        </w:rPr>
        <w:t>other report</w:t>
      </w:r>
      <w:r>
        <w:rPr>
          <w:rFonts w:ascii="Arial Mäori" w:hAnsi="Arial Mäori" w:cs="Arial Mäori"/>
          <w:color w:val="000000"/>
          <w:sz w:val="20"/>
          <w:lang w:eastAsia="en-NZ"/>
        </w:rPr>
        <w:t>ing requirements</w:t>
      </w:r>
      <w:r w:rsidRPr="00D85A4F">
        <w:rPr>
          <w:rFonts w:ascii="Arial Mäori" w:hAnsi="Arial Mäori" w:cs="Arial Mäori"/>
          <w:color w:val="000000"/>
          <w:sz w:val="20"/>
          <w:lang w:eastAsia="en-NZ"/>
        </w:rPr>
        <w:t xml:space="preserve"> (such as the Health Quality </w:t>
      </w:r>
      <w:r>
        <w:rPr>
          <w:rFonts w:ascii="Arial Mäori" w:hAnsi="Arial Mäori" w:cs="Arial Mäori"/>
          <w:color w:val="000000"/>
          <w:sz w:val="20"/>
          <w:lang w:eastAsia="en-NZ"/>
        </w:rPr>
        <w:t>&amp;</w:t>
      </w:r>
      <w:r w:rsidRPr="00D85A4F">
        <w:rPr>
          <w:rFonts w:ascii="Arial Mäori" w:hAnsi="Arial Mäori" w:cs="Arial Mäori"/>
          <w:color w:val="000000"/>
          <w:sz w:val="20"/>
          <w:lang w:eastAsia="en-NZ"/>
        </w:rPr>
        <w:t xml:space="preserve"> Safety Commission reporting) not connected to the Office of the Director of Mental Health and Addiction Services.</w:t>
      </w:r>
    </w:p>
    <w:p w14:paraId="5F50BDBE" w14:textId="77777777" w:rsidR="00025FEB" w:rsidRPr="00D85A4F" w:rsidRDefault="00025FEB" w:rsidP="00025FEB">
      <w:pPr>
        <w:ind w:left="567" w:right="1134"/>
        <w:rPr>
          <w:rFonts w:ascii="Arial" w:hAnsi="Arial" w:cs="Arial"/>
          <w:sz w:val="20"/>
        </w:rPr>
      </w:pPr>
    </w:p>
    <w:p w14:paraId="378C1E2E" w14:textId="77777777" w:rsidR="00025FEB" w:rsidRPr="00D85A4F" w:rsidRDefault="00025FEB" w:rsidP="00025FEB">
      <w:pPr>
        <w:ind w:left="567" w:right="1134"/>
        <w:rPr>
          <w:rFonts w:ascii="Arial" w:hAnsi="Arial" w:cs="Arial"/>
          <w:b/>
          <w:sz w:val="20"/>
        </w:rPr>
      </w:pPr>
      <w:r w:rsidRPr="00D85A4F">
        <w:rPr>
          <w:rFonts w:ascii="Arial" w:hAnsi="Arial" w:cs="Arial"/>
          <w:b/>
          <w:sz w:val="20"/>
        </w:rPr>
        <w:t>Narrative description of the event</w:t>
      </w:r>
    </w:p>
    <w:p w14:paraId="156EA3BB" w14:textId="77777777" w:rsidR="00025FEB" w:rsidRPr="00D85A4F" w:rsidRDefault="00025FEB" w:rsidP="00025FEB">
      <w:pPr>
        <w:ind w:left="567" w:right="1134"/>
        <w:rPr>
          <w:rFonts w:ascii="Arial" w:hAnsi="Arial" w:cs="Arial"/>
          <w:sz w:val="20"/>
        </w:rPr>
      </w:pPr>
      <w:r w:rsidRPr="00D85A4F">
        <w:rPr>
          <w:rFonts w:ascii="Arial" w:hAnsi="Arial" w:cs="Arial"/>
          <w:sz w:val="20"/>
        </w:rPr>
        <w:t>This is a brief description only, outlining what has happened and including any significant points that may not be captured elsewhere in the form.</w:t>
      </w:r>
    </w:p>
    <w:p w14:paraId="508BE851" w14:textId="77777777" w:rsidR="00025FEB" w:rsidRPr="00D85A4F" w:rsidRDefault="00025FEB" w:rsidP="00025FEB">
      <w:pPr>
        <w:ind w:left="567" w:right="1134"/>
        <w:rPr>
          <w:rFonts w:ascii="Arial" w:hAnsi="Arial" w:cs="Arial"/>
          <w:sz w:val="20"/>
        </w:rPr>
      </w:pPr>
    </w:p>
    <w:p w14:paraId="225C4BC9" w14:textId="77777777" w:rsidR="00025FEB" w:rsidRPr="00D85A4F" w:rsidRDefault="00025FEB" w:rsidP="00025FEB">
      <w:pPr>
        <w:ind w:left="567" w:right="1134"/>
        <w:rPr>
          <w:rFonts w:ascii="Arial" w:hAnsi="Arial" w:cs="Arial"/>
          <w:b/>
          <w:sz w:val="20"/>
        </w:rPr>
      </w:pPr>
      <w:r w:rsidRPr="00D85A4F">
        <w:rPr>
          <w:rFonts w:ascii="Arial" w:hAnsi="Arial" w:cs="Arial"/>
          <w:b/>
          <w:sz w:val="20"/>
        </w:rPr>
        <w:t>Date of last contact with mental health services</w:t>
      </w:r>
    </w:p>
    <w:p w14:paraId="49D42820" w14:textId="77777777" w:rsidR="00025FEB" w:rsidRPr="00D85A4F" w:rsidRDefault="00025FEB" w:rsidP="00025FEB">
      <w:pPr>
        <w:ind w:left="567" w:right="1134"/>
        <w:rPr>
          <w:rFonts w:ascii="Arial" w:hAnsi="Arial" w:cs="Arial"/>
          <w:sz w:val="20"/>
        </w:rPr>
      </w:pPr>
      <w:r w:rsidRPr="00D85A4F">
        <w:rPr>
          <w:rFonts w:ascii="Arial" w:hAnsi="Arial" w:cs="Arial"/>
          <w:sz w:val="20"/>
        </w:rPr>
        <w:t>This contact may be face to face or by telephone.</w:t>
      </w:r>
    </w:p>
    <w:p w14:paraId="6B141FC0" w14:textId="77777777" w:rsidR="00025FEB" w:rsidRPr="00D85A4F" w:rsidRDefault="00025FEB" w:rsidP="00025FEB">
      <w:pPr>
        <w:ind w:left="567" w:right="1134"/>
        <w:rPr>
          <w:rFonts w:ascii="Arial" w:hAnsi="Arial" w:cs="Arial"/>
          <w:sz w:val="20"/>
        </w:rPr>
      </w:pPr>
    </w:p>
    <w:p w14:paraId="7E12F791" w14:textId="77777777" w:rsidR="00025FEB" w:rsidRPr="00D85A4F" w:rsidRDefault="00025FEB" w:rsidP="00025FEB">
      <w:pPr>
        <w:ind w:left="567" w:right="1134"/>
        <w:rPr>
          <w:rFonts w:ascii="Arial" w:hAnsi="Arial" w:cs="Arial"/>
          <w:b/>
          <w:sz w:val="20"/>
        </w:rPr>
      </w:pPr>
      <w:r w:rsidRPr="00D85A4F">
        <w:rPr>
          <w:rFonts w:ascii="Arial" w:hAnsi="Arial" w:cs="Arial"/>
          <w:b/>
          <w:sz w:val="20"/>
        </w:rPr>
        <w:t xml:space="preserve">Cause and </w:t>
      </w:r>
      <w:r>
        <w:rPr>
          <w:rFonts w:ascii="Arial" w:hAnsi="Arial" w:cs="Arial"/>
          <w:b/>
          <w:sz w:val="20"/>
        </w:rPr>
        <w:t>m</w:t>
      </w:r>
      <w:r w:rsidRPr="00D85A4F">
        <w:rPr>
          <w:rFonts w:ascii="Arial" w:hAnsi="Arial" w:cs="Arial"/>
          <w:b/>
          <w:sz w:val="20"/>
        </w:rPr>
        <w:t xml:space="preserve">ode of </w:t>
      </w:r>
      <w:r>
        <w:rPr>
          <w:rFonts w:ascii="Arial" w:hAnsi="Arial" w:cs="Arial"/>
          <w:b/>
          <w:sz w:val="20"/>
        </w:rPr>
        <w:t>d</w:t>
      </w:r>
      <w:r w:rsidRPr="00D85A4F">
        <w:rPr>
          <w:rFonts w:ascii="Arial" w:hAnsi="Arial" w:cs="Arial"/>
          <w:b/>
          <w:sz w:val="20"/>
        </w:rPr>
        <w:t>eath</w:t>
      </w:r>
    </w:p>
    <w:p w14:paraId="38B06864" w14:textId="77777777" w:rsidR="00025FEB" w:rsidRPr="00F464DD" w:rsidRDefault="00025FEB" w:rsidP="00025FEB">
      <w:pPr>
        <w:ind w:left="567" w:right="1134"/>
        <w:rPr>
          <w:rFonts w:ascii="Arial" w:hAnsi="Arial" w:cs="Arial"/>
          <w:sz w:val="20"/>
        </w:rPr>
      </w:pPr>
      <w:r w:rsidRPr="00D85A4F">
        <w:rPr>
          <w:rFonts w:ascii="Arial" w:hAnsi="Arial" w:cs="Arial"/>
          <w:sz w:val="20"/>
        </w:rPr>
        <w:t xml:space="preserve">The provisional cause and mode of death provided with this form must always be followed up with a definitive cause of death provided by a </w:t>
      </w:r>
      <w:r>
        <w:rPr>
          <w:rFonts w:ascii="Arial" w:hAnsi="Arial" w:cs="Arial"/>
          <w:sz w:val="20"/>
        </w:rPr>
        <w:t>c</w:t>
      </w:r>
      <w:r w:rsidRPr="00D85A4F">
        <w:rPr>
          <w:rFonts w:ascii="Arial" w:hAnsi="Arial" w:cs="Arial"/>
          <w:sz w:val="20"/>
        </w:rPr>
        <w:t>oroner’s finding or medical certificate.</w:t>
      </w:r>
    </w:p>
    <w:p w14:paraId="62A1A1C3" w14:textId="77777777" w:rsidR="00025FEB" w:rsidRDefault="00025FEB" w:rsidP="00025FEB">
      <w:pPr>
        <w:ind w:left="567"/>
      </w:pPr>
    </w:p>
    <w:p w14:paraId="6DC7A315" w14:textId="77777777" w:rsidR="00025FEB" w:rsidRDefault="00025FEB" w:rsidP="00025FEB">
      <w:pPr>
        <w:ind w:left="567"/>
      </w:pPr>
    </w:p>
    <w:p w14:paraId="1EC85664" w14:textId="77777777" w:rsidR="00025FEB" w:rsidRDefault="00025FEB" w:rsidP="00025FEB">
      <w:pPr>
        <w:sectPr w:rsidR="00025FEB" w:rsidSect="004F0043">
          <w:pgSz w:w="11907" w:h="16834" w:code="9"/>
          <w:pgMar w:top="1134" w:right="567" w:bottom="1134" w:left="567" w:header="284" w:footer="397" w:gutter="0"/>
          <w:cols w:space="720"/>
          <w:docGrid w:linePitch="286"/>
        </w:sectPr>
      </w:pPr>
    </w:p>
    <w:p w14:paraId="06A6F440" w14:textId="77777777" w:rsidR="00025FEB" w:rsidRDefault="00025FEB" w:rsidP="00025FEB"/>
    <w:p w14:paraId="4DF4FE63" w14:textId="77777777" w:rsidR="00025FEB" w:rsidRPr="00D85A4F" w:rsidRDefault="00025FEB" w:rsidP="00025FEB">
      <w:pPr>
        <w:ind w:left="567"/>
        <w:rPr>
          <w:rFonts w:ascii="Arial" w:hAnsi="Arial" w:cs="Arial"/>
          <w:b/>
          <w:sz w:val="36"/>
          <w:szCs w:val="36"/>
        </w:rPr>
      </w:pPr>
      <w:r w:rsidRPr="00D85A4F">
        <w:rPr>
          <w:rFonts w:ascii="Arial" w:hAnsi="Arial" w:cs="Arial"/>
          <w:b/>
          <w:sz w:val="36"/>
          <w:szCs w:val="36"/>
        </w:rPr>
        <w:t xml:space="preserve">Emergency </w:t>
      </w:r>
      <w:r>
        <w:rPr>
          <w:rFonts w:ascii="Arial" w:hAnsi="Arial" w:cs="Arial"/>
          <w:b/>
          <w:sz w:val="36"/>
          <w:szCs w:val="36"/>
        </w:rPr>
        <w:t>b</w:t>
      </w:r>
      <w:r w:rsidRPr="00D85A4F">
        <w:rPr>
          <w:rFonts w:ascii="Arial" w:hAnsi="Arial" w:cs="Arial"/>
          <w:b/>
          <w:sz w:val="36"/>
          <w:szCs w:val="36"/>
        </w:rPr>
        <w:t xml:space="preserve">order </w:t>
      </w:r>
      <w:r>
        <w:rPr>
          <w:rFonts w:ascii="Arial" w:hAnsi="Arial" w:cs="Arial"/>
          <w:b/>
          <w:sz w:val="36"/>
          <w:szCs w:val="36"/>
        </w:rPr>
        <w:t>a</w:t>
      </w:r>
      <w:r w:rsidRPr="00D85A4F">
        <w:rPr>
          <w:rFonts w:ascii="Arial" w:hAnsi="Arial" w:cs="Arial"/>
          <w:b/>
          <w:sz w:val="36"/>
          <w:szCs w:val="36"/>
        </w:rPr>
        <w:t>lert</w:t>
      </w:r>
    </w:p>
    <w:p w14:paraId="4ACFEC36" w14:textId="77777777" w:rsidR="00025FEB" w:rsidRPr="00D85A4F" w:rsidRDefault="00025FEB" w:rsidP="00025FEB">
      <w:pPr>
        <w:ind w:left="-57"/>
        <w:rPr>
          <w:rFonts w:cs="Arial"/>
          <w:b/>
          <w:sz w:val="32"/>
          <w:szCs w:val="32"/>
        </w:rPr>
      </w:pPr>
    </w:p>
    <w:p w14:paraId="25A5C210" w14:textId="77777777" w:rsidR="00025FEB" w:rsidRPr="00D85A4F" w:rsidRDefault="00025FEB" w:rsidP="00025FEB">
      <w:pPr>
        <w:ind w:left="-57"/>
        <w:rPr>
          <w:rFonts w:cs="Arial"/>
          <w:b/>
          <w:sz w:val="32"/>
          <w:szCs w:val="3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4990"/>
      </w:tblGrid>
      <w:tr w:rsidR="00025FEB" w:rsidRPr="00D85A4F" w14:paraId="00562EA6" w14:textId="77777777" w:rsidTr="00AD0359">
        <w:trPr>
          <w:cantSplit/>
        </w:trPr>
        <w:tc>
          <w:tcPr>
            <w:tcW w:w="9214" w:type="dxa"/>
            <w:gridSpan w:val="2"/>
            <w:shd w:val="clear" w:color="auto" w:fill="auto"/>
          </w:tcPr>
          <w:p w14:paraId="6312AF9C" w14:textId="77777777" w:rsidR="00025FEB" w:rsidRPr="00BE4B1B" w:rsidRDefault="00025FEB" w:rsidP="00AD0359">
            <w:pPr>
              <w:pStyle w:val="TableText"/>
              <w:rPr>
                <w:rFonts w:ascii="Arial" w:hAnsi="Arial" w:cs="Arial"/>
                <w:color w:val="162A70"/>
              </w:rPr>
            </w:pPr>
            <w:r w:rsidRPr="00BE4B1B">
              <w:rPr>
                <w:rFonts w:ascii="Arial" w:hAnsi="Arial" w:cs="Arial"/>
                <w:w w:val="105"/>
              </w:rPr>
              <w:t>To: Customs</w:t>
            </w:r>
            <w:r w:rsidRPr="00BE4B1B">
              <w:rPr>
                <w:rFonts w:ascii="Arial" w:hAnsi="Arial" w:cs="Arial"/>
                <w:spacing w:val="3"/>
                <w:w w:val="105"/>
              </w:rPr>
              <w:t xml:space="preserve"> </w:t>
            </w:r>
            <w:r w:rsidRPr="00BE4B1B">
              <w:rPr>
                <w:rFonts w:ascii="Arial" w:hAnsi="Arial" w:cs="Arial"/>
                <w:color w:val="010101"/>
                <w:spacing w:val="-19"/>
                <w:w w:val="105"/>
              </w:rPr>
              <w:t>I</w:t>
            </w:r>
            <w:r w:rsidRPr="00BE4B1B">
              <w:rPr>
                <w:rFonts w:ascii="Arial" w:hAnsi="Arial" w:cs="Arial"/>
                <w:w w:val="105"/>
              </w:rPr>
              <w:t>ntegrated</w:t>
            </w:r>
            <w:r w:rsidRPr="00BE4B1B">
              <w:rPr>
                <w:rFonts w:ascii="Arial" w:hAnsi="Arial" w:cs="Arial"/>
                <w:spacing w:val="-17"/>
                <w:w w:val="105"/>
              </w:rPr>
              <w:t xml:space="preserve"> </w:t>
            </w:r>
            <w:r w:rsidRPr="00BE4B1B">
              <w:rPr>
                <w:rFonts w:ascii="Arial" w:hAnsi="Arial" w:cs="Arial"/>
                <w:w w:val="105"/>
              </w:rPr>
              <w:t>Targeting</w:t>
            </w:r>
            <w:r w:rsidRPr="00BE4B1B">
              <w:rPr>
                <w:rFonts w:ascii="Arial" w:hAnsi="Arial" w:cs="Arial"/>
                <w:spacing w:val="1"/>
                <w:w w:val="105"/>
              </w:rPr>
              <w:t xml:space="preserve"> </w:t>
            </w:r>
            <w:r w:rsidRPr="00BE4B1B">
              <w:rPr>
                <w:rFonts w:ascii="Arial" w:hAnsi="Arial" w:cs="Arial"/>
                <w:w w:val="105"/>
              </w:rPr>
              <w:t>and</w:t>
            </w:r>
            <w:r w:rsidRPr="00BE4B1B">
              <w:rPr>
                <w:rFonts w:ascii="Arial" w:hAnsi="Arial" w:cs="Arial"/>
                <w:spacing w:val="-8"/>
                <w:w w:val="105"/>
              </w:rPr>
              <w:t xml:space="preserve"> </w:t>
            </w:r>
            <w:r w:rsidRPr="00BE4B1B">
              <w:rPr>
                <w:rFonts w:ascii="Arial" w:hAnsi="Arial" w:cs="Arial"/>
                <w:w w:val="105"/>
              </w:rPr>
              <w:t>Operations</w:t>
            </w:r>
            <w:r w:rsidRPr="00BE4B1B">
              <w:rPr>
                <w:rFonts w:ascii="Arial" w:hAnsi="Arial" w:cs="Arial"/>
                <w:spacing w:val="8"/>
                <w:w w:val="105"/>
              </w:rPr>
              <w:t xml:space="preserve"> </w:t>
            </w:r>
            <w:r w:rsidRPr="00BE4B1B">
              <w:rPr>
                <w:rFonts w:ascii="Arial" w:hAnsi="Arial" w:cs="Arial"/>
                <w:w w:val="105"/>
              </w:rPr>
              <w:t>Ce</w:t>
            </w:r>
            <w:r w:rsidRPr="00BE4B1B">
              <w:rPr>
                <w:rFonts w:ascii="Arial" w:hAnsi="Arial" w:cs="Arial"/>
                <w:spacing w:val="-13"/>
                <w:w w:val="105"/>
              </w:rPr>
              <w:t>n</w:t>
            </w:r>
            <w:r w:rsidRPr="00BE4B1B">
              <w:rPr>
                <w:rFonts w:ascii="Arial" w:hAnsi="Arial" w:cs="Arial"/>
                <w:color w:val="010101"/>
                <w:spacing w:val="10"/>
                <w:w w:val="105"/>
              </w:rPr>
              <w:t>t</w:t>
            </w:r>
            <w:r w:rsidRPr="00BE4B1B">
              <w:rPr>
                <w:rFonts w:ascii="Arial" w:hAnsi="Arial" w:cs="Arial"/>
                <w:w w:val="105"/>
              </w:rPr>
              <w:t>re</w:t>
            </w:r>
            <w:r w:rsidRPr="00BE4B1B">
              <w:rPr>
                <w:rFonts w:ascii="Arial" w:hAnsi="Arial" w:cs="Arial"/>
                <w:spacing w:val="-16"/>
                <w:w w:val="105"/>
              </w:rPr>
              <w:t xml:space="preserve"> </w:t>
            </w:r>
            <w:r w:rsidRPr="00BE4B1B">
              <w:rPr>
                <w:rFonts w:ascii="Arial" w:hAnsi="Arial" w:cs="Arial"/>
                <w:color w:val="242B28"/>
                <w:spacing w:val="-1"/>
                <w:w w:val="105"/>
              </w:rPr>
              <w:t>(</w:t>
            </w:r>
            <w:r w:rsidRPr="00BE4B1B">
              <w:rPr>
                <w:rFonts w:ascii="Arial" w:hAnsi="Arial" w:cs="Arial"/>
                <w:color w:val="010101"/>
                <w:spacing w:val="-12"/>
                <w:w w:val="105"/>
              </w:rPr>
              <w:t>I</w:t>
            </w:r>
            <w:r w:rsidRPr="00BE4B1B">
              <w:rPr>
                <w:rFonts w:ascii="Arial" w:hAnsi="Arial" w:cs="Arial"/>
                <w:w w:val="105"/>
              </w:rPr>
              <w:t>TOC)</w:t>
            </w:r>
            <w:r w:rsidRPr="00BE4B1B">
              <w:rPr>
                <w:rFonts w:ascii="Arial" w:hAnsi="Arial" w:cs="Arial"/>
                <w:w w:val="105"/>
              </w:rPr>
              <w:br/>
            </w:r>
            <w:r w:rsidRPr="00BE4B1B">
              <w:rPr>
                <w:rFonts w:ascii="Arial" w:hAnsi="Arial" w:cs="Arial"/>
              </w:rPr>
              <w:t>0508</w:t>
            </w:r>
            <w:r w:rsidRPr="00BE4B1B">
              <w:rPr>
                <w:rFonts w:ascii="Arial" w:hAnsi="Arial" w:cs="Arial"/>
                <w:spacing w:val="40"/>
              </w:rPr>
              <w:t xml:space="preserve"> </w:t>
            </w:r>
            <w:r w:rsidRPr="00BE4B1B">
              <w:rPr>
                <w:rFonts w:ascii="Arial" w:hAnsi="Arial" w:cs="Arial"/>
              </w:rPr>
              <w:t>ITOC</w:t>
            </w:r>
            <w:r w:rsidRPr="00BE4B1B">
              <w:rPr>
                <w:rFonts w:ascii="Arial" w:hAnsi="Arial" w:cs="Arial"/>
                <w:spacing w:val="14"/>
              </w:rPr>
              <w:t xml:space="preserve"> </w:t>
            </w:r>
            <w:r w:rsidRPr="00BE4B1B">
              <w:rPr>
                <w:rFonts w:ascii="Arial" w:hAnsi="Arial" w:cs="Arial"/>
              </w:rPr>
              <w:t>OPS</w:t>
            </w:r>
            <w:r w:rsidRPr="00BE4B1B">
              <w:rPr>
                <w:rFonts w:ascii="Arial" w:hAnsi="Arial" w:cs="Arial"/>
                <w:spacing w:val="24"/>
              </w:rPr>
              <w:t xml:space="preserve"> </w:t>
            </w:r>
            <w:r w:rsidRPr="00BE4B1B">
              <w:rPr>
                <w:rFonts w:ascii="Arial" w:hAnsi="Arial" w:cs="Arial"/>
                <w:color w:val="242B28"/>
              </w:rPr>
              <w:t>(0508</w:t>
            </w:r>
            <w:r w:rsidRPr="00BE4B1B">
              <w:rPr>
                <w:rFonts w:ascii="Arial" w:hAnsi="Arial" w:cs="Arial"/>
                <w:color w:val="242B28"/>
                <w:spacing w:val="18"/>
              </w:rPr>
              <w:t xml:space="preserve"> </w:t>
            </w:r>
            <w:r w:rsidRPr="00BE4B1B">
              <w:rPr>
                <w:rFonts w:ascii="Arial" w:hAnsi="Arial" w:cs="Arial"/>
                <w:color w:val="242B28"/>
              </w:rPr>
              <w:t>4862</w:t>
            </w:r>
            <w:r w:rsidRPr="00BE4B1B">
              <w:rPr>
                <w:rFonts w:ascii="Arial" w:hAnsi="Arial" w:cs="Arial"/>
                <w:color w:val="242B28"/>
                <w:spacing w:val="26"/>
              </w:rPr>
              <w:t xml:space="preserve"> </w:t>
            </w:r>
            <w:r w:rsidRPr="00BE4B1B">
              <w:rPr>
                <w:rFonts w:ascii="Arial" w:hAnsi="Arial" w:cs="Arial"/>
              </w:rPr>
              <w:t>677)</w:t>
            </w:r>
            <w:r w:rsidRPr="00BE4B1B">
              <w:rPr>
                <w:rFonts w:ascii="Arial" w:hAnsi="Arial" w:cs="Arial"/>
              </w:rPr>
              <w:br/>
            </w:r>
            <w:r w:rsidRPr="00BE4B1B">
              <w:rPr>
                <w:rFonts w:ascii="Arial" w:hAnsi="Arial" w:cs="Arial"/>
                <w:color w:val="162A70"/>
              </w:rPr>
              <w:t>ITOCOperationsCentre@customs</w:t>
            </w:r>
            <w:r w:rsidRPr="00BE4B1B">
              <w:rPr>
                <w:rFonts w:ascii="Arial" w:hAnsi="Arial" w:cs="Arial"/>
                <w:color w:val="3F486B"/>
              </w:rPr>
              <w:t>.</w:t>
            </w:r>
            <w:r w:rsidRPr="00BE4B1B">
              <w:rPr>
                <w:rFonts w:ascii="Arial" w:hAnsi="Arial" w:cs="Arial"/>
                <w:color w:val="162A70"/>
              </w:rPr>
              <w:t>govt.nz</w:t>
            </w:r>
          </w:p>
          <w:p w14:paraId="5EE7DEAB" w14:textId="77777777" w:rsidR="00025FEB" w:rsidRPr="00BE4B1B" w:rsidRDefault="00025FEB" w:rsidP="00AD0359">
            <w:pPr>
              <w:pStyle w:val="TableText"/>
              <w:rPr>
                <w:rFonts w:ascii="Arial" w:hAnsi="Arial" w:cs="Arial"/>
              </w:rPr>
            </w:pPr>
            <w:r w:rsidRPr="00BE4B1B">
              <w:rPr>
                <w:rFonts w:ascii="Arial" w:hAnsi="Arial" w:cs="Arial"/>
              </w:rPr>
              <w:t xml:space="preserve">Request to </w:t>
            </w:r>
            <w:r w:rsidRPr="00BE4B1B">
              <w:rPr>
                <w:rFonts w:ascii="Arial" w:hAnsi="Arial" w:cs="Arial"/>
                <w:b/>
                <w:w w:val="105"/>
              </w:rPr>
              <w:t>put</w:t>
            </w:r>
            <w:r w:rsidRPr="00BE4B1B">
              <w:rPr>
                <w:rFonts w:ascii="Arial" w:hAnsi="Arial" w:cs="Arial"/>
                <w:b/>
                <w:spacing w:val="-8"/>
                <w:w w:val="105"/>
              </w:rPr>
              <w:t xml:space="preserve"> </w:t>
            </w:r>
            <w:r w:rsidRPr="00BE4B1B">
              <w:rPr>
                <w:rFonts w:ascii="Arial" w:hAnsi="Arial" w:cs="Arial"/>
                <w:b/>
                <w:w w:val="105"/>
              </w:rPr>
              <w:t>an</w:t>
            </w:r>
            <w:r w:rsidRPr="00BE4B1B">
              <w:rPr>
                <w:rFonts w:ascii="Arial" w:hAnsi="Arial" w:cs="Arial"/>
                <w:b/>
                <w:spacing w:val="-12"/>
                <w:w w:val="105"/>
              </w:rPr>
              <w:t xml:space="preserve"> </w:t>
            </w:r>
            <w:r w:rsidRPr="00BE4B1B">
              <w:rPr>
                <w:rFonts w:ascii="Arial" w:hAnsi="Arial" w:cs="Arial"/>
                <w:b/>
                <w:w w:val="105"/>
              </w:rPr>
              <w:t>emergency</w:t>
            </w:r>
            <w:r w:rsidRPr="00BE4B1B">
              <w:rPr>
                <w:rFonts w:ascii="Arial" w:hAnsi="Arial" w:cs="Arial"/>
                <w:b/>
                <w:spacing w:val="16"/>
                <w:w w:val="105"/>
              </w:rPr>
              <w:t xml:space="preserve"> </w:t>
            </w:r>
            <w:r w:rsidRPr="00BE4B1B">
              <w:rPr>
                <w:rFonts w:ascii="Arial" w:hAnsi="Arial" w:cs="Arial"/>
                <w:b/>
                <w:w w:val="105"/>
              </w:rPr>
              <w:t>alert</w:t>
            </w:r>
            <w:r w:rsidRPr="00BE4B1B">
              <w:rPr>
                <w:rFonts w:ascii="Arial" w:hAnsi="Arial" w:cs="Arial"/>
                <w:b/>
                <w:spacing w:val="3"/>
                <w:w w:val="105"/>
              </w:rPr>
              <w:t xml:space="preserve"> in place</w:t>
            </w:r>
            <w:r w:rsidRPr="00BE4B1B">
              <w:rPr>
                <w:rFonts w:ascii="Arial" w:hAnsi="Arial" w:cs="Arial"/>
                <w:spacing w:val="3"/>
                <w:w w:val="105"/>
              </w:rPr>
              <w:t xml:space="preserve"> </w:t>
            </w:r>
            <w:r w:rsidRPr="00BE4B1B">
              <w:rPr>
                <w:rFonts w:ascii="Arial" w:hAnsi="Arial" w:cs="Arial"/>
                <w:w w:val="105"/>
              </w:rPr>
              <w:t>for</w:t>
            </w:r>
            <w:r w:rsidRPr="00BE4B1B">
              <w:rPr>
                <w:rFonts w:ascii="Arial" w:hAnsi="Arial" w:cs="Arial"/>
                <w:spacing w:val="-14"/>
                <w:w w:val="105"/>
              </w:rPr>
              <w:t xml:space="preserve"> </w:t>
            </w:r>
            <w:r w:rsidRPr="00BE4B1B">
              <w:rPr>
                <w:rFonts w:ascii="Arial" w:hAnsi="Arial" w:cs="Arial"/>
                <w:w w:val="105"/>
              </w:rPr>
              <w:t>this</w:t>
            </w:r>
            <w:r w:rsidRPr="00BE4B1B">
              <w:rPr>
                <w:rFonts w:ascii="Arial" w:hAnsi="Arial" w:cs="Arial"/>
                <w:spacing w:val="1"/>
                <w:w w:val="105"/>
              </w:rPr>
              <w:t xml:space="preserve"> </w:t>
            </w:r>
            <w:r w:rsidRPr="00BE4B1B">
              <w:rPr>
                <w:rFonts w:ascii="Arial" w:hAnsi="Arial" w:cs="Arial"/>
                <w:w w:val="105"/>
              </w:rPr>
              <w:t>special</w:t>
            </w:r>
            <w:r w:rsidRPr="00BE4B1B">
              <w:rPr>
                <w:rFonts w:ascii="Arial" w:hAnsi="Arial" w:cs="Arial"/>
                <w:spacing w:val="2"/>
                <w:w w:val="105"/>
              </w:rPr>
              <w:t xml:space="preserve"> </w:t>
            </w:r>
            <w:proofErr w:type="gramStart"/>
            <w:r w:rsidRPr="00BE4B1B">
              <w:rPr>
                <w:rFonts w:ascii="Arial" w:hAnsi="Arial" w:cs="Arial"/>
                <w:color w:val="242B28"/>
                <w:spacing w:val="-2"/>
                <w:w w:val="105"/>
              </w:rPr>
              <w:t>patient, or</w:t>
            </w:r>
            <w:proofErr w:type="gramEnd"/>
            <w:r w:rsidRPr="00BE4B1B">
              <w:rPr>
                <w:rFonts w:ascii="Arial" w:hAnsi="Arial" w:cs="Arial"/>
                <w:color w:val="242B28"/>
                <w:spacing w:val="-2"/>
                <w:w w:val="105"/>
              </w:rPr>
              <w:t xml:space="preserve"> </w:t>
            </w:r>
            <w:r w:rsidRPr="00BE4B1B">
              <w:rPr>
                <w:rFonts w:ascii="Arial" w:hAnsi="Arial" w:cs="Arial"/>
                <w:b/>
                <w:w w:val="105"/>
              </w:rPr>
              <w:t>remove</w:t>
            </w:r>
            <w:r w:rsidRPr="00BE4B1B">
              <w:rPr>
                <w:rFonts w:ascii="Arial" w:hAnsi="Arial" w:cs="Arial"/>
                <w:b/>
                <w:spacing w:val="-15"/>
                <w:w w:val="105"/>
              </w:rPr>
              <w:t xml:space="preserve"> </w:t>
            </w:r>
            <w:r w:rsidRPr="00BE4B1B">
              <w:rPr>
                <w:rFonts w:ascii="Arial" w:hAnsi="Arial" w:cs="Arial"/>
                <w:b/>
                <w:w w:val="105"/>
              </w:rPr>
              <w:t>the</w:t>
            </w:r>
            <w:r w:rsidRPr="00BE4B1B">
              <w:rPr>
                <w:rFonts w:ascii="Arial" w:hAnsi="Arial" w:cs="Arial"/>
                <w:b/>
                <w:spacing w:val="-4"/>
                <w:w w:val="105"/>
              </w:rPr>
              <w:t xml:space="preserve"> </w:t>
            </w:r>
            <w:r w:rsidRPr="00BE4B1B">
              <w:rPr>
                <w:rFonts w:ascii="Arial" w:hAnsi="Arial" w:cs="Arial"/>
                <w:b/>
                <w:w w:val="105"/>
              </w:rPr>
              <w:t>emergency</w:t>
            </w:r>
            <w:r w:rsidRPr="00BE4B1B">
              <w:rPr>
                <w:rFonts w:ascii="Arial" w:hAnsi="Arial" w:cs="Arial"/>
                <w:b/>
                <w:spacing w:val="14"/>
                <w:w w:val="105"/>
              </w:rPr>
              <w:t xml:space="preserve"> </w:t>
            </w:r>
            <w:r w:rsidRPr="00BE4B1B">
              <w:rPr>
                <w:rFonts w:ascii="Arial" w:hAnsi="Arial" w:cs="Arial"/>
                <w:b/>
                <w:w w:val="105"/>
              </w:rPr>
              <w:t>border</w:t>
            </w:r>
            <w:r w:rsidRPr="00BE4B1B">
              <w:rPr>
                <w:rFonts w:ascii="Arial" w:hAnsi="Arial" w:cs="Arial"/>
                <w:b/>
                <w:spacing w:val="-2"/>
                <w:w w:val="105"/>
              </w:rPr>
              <w:t xml:space="preserve"> al</w:t>
            </w:r>
            <w:r w:rsidRPr="00BE4B1B">
              <w:rPr>
                <w:rFonts w:ascii="Arial" w:hAnsi="Arial" w:cs="Arial"/>
                <w:b/>
                <w:spacing w:val="-1"/>
                <w:w w:val="105"/>
              </w:rPr>
              <w:t>ert</w:t>
            </w:r>
            <w:r w:rsidRPr="00BE4B1B">
              <w:rPr>
                <w:rFonts w:ascii="Arial" w:hAnsi="Arial" w:cs="Arial"/>
                <w:spacing w:val="-19"/>
                <w:w w:val="105"/>
              </w:rPr>
              <w:t xml:space="preserve"> </w:t>
            </w:r>
            <w:r w:rsidRPr="00BE4B1B">
              <w:rPr>
                <w:rFonts w:ascii="Arial" w:hAnsi="Arial" w:cs="Arial"/>
                <w:w w:val="105"/>
              </w:rPr>
              <w:t>for</w:t>
            </w:r>
            <w:r w:rsidRPr="00BE4B1B">
              <w:rPr>
                <w:rFonts w:ascii="Arial" w:hAnsi="Arial" w:cs="Arial"/>
                <w:spacing w:val="-9"/>
                <w:w w:val="105"/>
              </w:rPr>
              <w:t xml:space="preserve"> </w:t>
            </w:r>
            <w:r w:rsidRPr="00BE4B1B">
              <w:rPr>
                <w:rFonts w:ascii="Arial" w:hAnsi="Arial" w:cs="Arial"/>
                <w:w w:val="105"/>
              </w:rPr>
              <w:t>this</w:t>
            </w:r>
            <w:r w:rsidRPr="00BE4B1B">
              <w:rPr>
                <w:rFonts w:ascii="Arial" w:hAnsi="Arial" w:cs="Arial"/>
                <w:spacing w:val="5"/>
                <w:w w:val="105"/>
              </w:rPr>
              <w:t xml:space="preserve"> </w:t>
            </w:r>
            <w:r w:rsidRPr="00BE4B1B">
              <w:rPr>
                <w:rFonts w:ascii="Arial" w:hAnsi="Arial" w:cs="Arial"/>
                <w:w w:val="105"/>
              </w:rPr>
              <w:t>special</w:t>
            </w:r>
            <w:r w:rsidRPr="00BE4B1B">
              <w:rPr>
                <w:rFonts w:ascii="Arial" w:hAnsi="Arial" w:cs="Arial"/>
                <w:spacing w:val="-9"/>
                <w:w w:val="105"/>
              </w:rPr>
              <w:t xml:space="preserve"> </w:t>
            </w:r>
            <w:r w:rsidRPr="00BE4B1B">
              <w:rPr>
                <w:rFonts w:ascii="Arial" w:hAnsi="Arial" w:cs="Arial"/>
                <w:spacing w:val="-2"/>
                <w:w w:val="105"/>
              </w:rPr>
              <w:t>pati</w:t>
            </w:r>
            <w:r w:rsidRPr="00BE4B1B">
              <w:rPr>
                <w:rFonts w:ascii="Arial" w:hAnsi="Arial" w:cs="Arial"/>
                <w:spacing w:val="-3"/>
                <w:w w:val="105"/>
              </w:rPr>
              <w:t>ent</w:t>
            </w:r>
            <w:r w:rsidRPr="00BE4B1B">
              <w:rPr>
                <w:rFonts w:ascii="Arial" w:hAnsi="Arial" w:cs="Arial"/>
                <w:spacing w:val="-7"/>
                <w:w w:val="105"/>
              </w:rPr>
              <w:t xml:space="preserve"> </w:t>
            </w:r>
            <w:r w:rsidRPr="00BE4B1B">
              <w:rPr>
                <w:rFonts w:ascii="Arial" w:hAnsi="Arial" w:cs="Arial"/>
                <w:w w:val="105"/>
              </w:rPr>
              <w:t>and</w:t>
            </w:r>
            <w:r w:rsidRPr="00BE4B1B">
              <w:rPr>
                <w:rFonts w:ascii="Arial" w:hAnsi="Arial" w:cs="Arial"/>
                <w:spacing w:val="-11"/>
                <w:w w:val="105"/>
              </w:rPr>
              <w:t xml:space="preserve"> </w:t>
            </w:r>
            <w:r w:rsidRPr="00BE4B1B">
              <w:rPr>
                <w:rFonts w:ascii="Arial" w:hAnsi="Arial" w:cs="Arial"/>
                <w:w w:val="105"/>
              </w:rPr>
              <w:t>destroy</w:t>
            </w:r>
            <w:r w:rsidRPr="00BE4B1B">
              <w:rPr>
                <w:rFonts w:ascii="Arial" w:hAnsi="Arial" w:cs="Arial"/>
                <w:spacing w:val="28"/>
                <w:w w:val="102"/>
              </w:rPr>
              <w:t xml:space="preserve"> </w:t>
            </w:r>
            <w:r w:rsidRPr="00BE4B1B">
              <w:rPr>
                <w:rFonts w:ascii="Arial" w:hAnsi="Arial" w:cs="Arial"/>
                <w:w w:val="105"/>
              </w:rPr>
              <w:t>any</w:t>
            </w:r>
            <w:r w:rsidRPr="00BE4B1B">
              <w:rPr>
                <w:rFonts w:ascii="Arial" w:hAnsi="Arial" w:cs="Arial"/>
                <w:spacing w:val="-3"/>
                <w:w w:val="105"/>
              </w:rPr>
              <w:t xml:space="preserve"> </w:t>
            </w:r>
            <w:r w:rsidRPr="00BE4B1B">
              <w:rPr>
                <w:rFonts w:ascii="Arial" w:hAnsi="Arial" w:cs="Arial"/>
                <w:color w:val="010101"/>
                <w:spacing w:val="-20"/>
                <w:w w:val="105"/>
              </w:rPr>
              <w:t>i</w:t>
            </w:r>
            <w:r w:rsidRPr="00BE4B1B">
              <w:rPr>
                <w:rFonts w:ascii="Arial" w:hAnsi="Arial" w:cs="Arial"/>
                <w:w w:val="105"/>
              </w:rPr>
              <w:t>den</w:t>
            </w:r>
            <w:r w:rsidRPr="00BE4B1B">
              <w:rPr>
                <w:rFonts w:ascii="Arial" w:hAnsi="Arial" w:cs="Arial"/>
                <w:spacing w:val="15"/>
                <w:w w:val="105"/>
              </w:rPr>
              <w:t>t</w:t>
            </w:r>
            <w:r w:rsidRPr="00BE4B1B">
              <w:rPr>
                <w:rFonts w:ascii="Arial" w:hAnsi="Arial" w:cs="Arial"/>
                <w:color w:val="010101"/>
                <w:spacing w:val="-20"/>
                <w:w w:val="105"/>
              </w:rPr>
              <w:t>i</w:t>
            </w:r>
            <w:r w:rsidRPr="00BE4B1B">
              <w:rPr>
                <w:rFonts w:ascii="Arial" w:hAnsi="Arial" w:cs="Arial"/>
                <w:color w:val="242B28"/>
                <w:w w:val="105"/>
              </w:rPr>
              <w:t>ty</w:t>
            </w:r>
            <w:r w:rsidRPr="00BE4B1B">
              <w:rPr>
                <w:rFonts w:ascii="Arial" w:hAnsi="Arial" w:cs="Arial"/>
                <w:color w:val="242B28"/>
                <w:spacing w:val="4"/>
                <w:w w:val="105"/>
              </w:rPr>
              <w:t xml:space="preserve"> </w:t>
            </w:r>
            <w:r w:rsidRPr="00BE4B1B">
              <w:rPr>
                <w:rFonts w:ascii="Arial" w:hAnsi="Arial" w:cs="Arial"/>
                <w:color w:val="010101"/>
                <w:spacing w:val="-11"/>
                <w:w w:val="105"/>
              </w:rPr>
              <w:t>i</w:t>
            </w:r>
            <w:r w:rsidRPr="00BE4B1B">
              <w:rPr>
                <w:rFonts w:ascii="Arial" w:hAnsi="Arial" w:cs="Arial"/>
                <w:w w:val="105"/>
              </w:rPr>
              <w:t>nformation</w:t>
            </w:r>
            <w:r w:rsidRPr="00BE4B1B">
              <w:rPr>
                <w:rFonts w:ascii="Arial" w:hAnsi="Arial" w:cs="Arial"/>
                <w:spacing w:val="1"/>
                <w:w w:val="105"/>
              </w:rPr>
              <w:t xml:space="preserve"> </w:t>
            </w:r>
            <w:r w:rsidRPr="00BE4B1B">
              <w:rPr>
                <w:rFonts w:ascii="Arial" w:hAnsi="Arial" w:cs="Arial"/>
                <w:color w:val="242B28"/>
                <w:w w:val="105"/>
              </w:rPr>
              <w:t>solely</w:t>
            </w:r>
            <w:r w:rsidRPr="00BE4B1B">
              <w:rPr>
                <w:rFonts w:ascii="Arial" w:hAnsi="Arial" w:cs="Arial"/>
                <w:color w:val="242B28"/>
                <w:spacing w:val="5"/>
                <w:w w:val="105"/>
              </w:rPr>
              <w:t xml:space="preserve"> </w:t>
            </w:r>
            <w:r w:rsidRPr="00BE4B1B">
              <w:rPr>
                <w:rFonts w:ascii="Arial" w:hAnsi="Arial" w:cs="Arial"/>
                <w:w w:val="105"/>
              </w:rPr>
              <w:t>re</w:t>
            </w:r>
            <w:r w:rsidRPr="00BE4B1B">
              <w:rPr>
                <w:rFonts w:ascii="Arial" w:hAnsi="Arial" w:cs="Arial"/>
                <w:spacing w:val="-13"/>
                <w:w w:val="105"/>
              </w:rPr>
              <w:t>l</w:t>
            </w:r>
            <w:r w:rsidRPr="00BE4B1B">
              <w:rPr>
                <w:rFonts w:ascii="Arial" w:hAnsi="Arial" w:cs="Arial"/>
                <w:w w:val="105"/>
              </w:rPr>
              <w:t>at</w:t>
            </w:r>
            <w:r w:rsidRPr="00BE4B1B">
              <w:rPr>
                <w:rFonts w:ascii="Arial" w:hAnsi="Arial" w:cs="Arial"/>
                <w:spacing w:val="2"/>
                <w:w w:val="105"/>
              </w:rPr>
              <w:t>i</w:t>
            </w:r>
            <w:r w:rsidRPr="00BE4B1B">
              <w:rPr>
                <w:rFonts w:ascii="Arial" w:hAnsi="Arial" w:cs="Arial"/>
                <w:w w:val="105"/>
              </w:rPr>
              <w:t>ng</w:t>
            </w:r>
            <w:r w:rsidRPr="00BE4B1B">
              <w:rPr>
                <w:rFonts w:ascii="Arial" w:hAnsi="Arial" w:cs="Arial"/>
                <w:spacing w:val="-23"/>
                <w:w w:val="105"/>
              </w:rPr>
              <w:t xml:space="preserve"> </w:t>
            </w:r>
            <w:r w:rsidRPr="00BE4B1B">
              <w:rPr>
                <w:rFonts w:ascii="Arial" w:hAnsi="Arial" w:cs="Arial"/>
                <w:w w:val="105"/>
              </w:rPr>
              <w:t>to</w:t>
            </w:r>
            <w:r w:rsidRPr="00BE4B1B">
              <w:rPr>
                <w:rFonts w:ascii="Arial" w:hAnsi="Arial" w:cs="Arial"/>
                <w:spacing w:val="-14"/>
                <w:w w:val="105"/>
              </w:rPr>
              <w:t xml:space="preserve"> </w:t>
            </w:r>
            <w:r w:rsidRPr="00BE4B1B">
              <w:rPr>
                <w:rFonts w:ascii="Arial" w:hAnsi="Arial" w:cs="Arial"/>
                <w:w w:val="105"/>
              </w:rPr>
              <w:t>the</w:t>
            </w:r>
            <w:r w:rsidRPr="00BE4B1B">
              <w:rPr>
                <w:rFonts w:ascii="Arial" w:hAnsi="Arial" w:cs="Arial"/>
                <w:spacing w:val="7"/>
                <w:w w:val="105"/>
              </w:rPr>
              <w:t xml:space="preserve"> </w:t>
            </w:r>
            <w:r w:rsidRPr="00BE4B1B">
              <w:rPr>
                <w:rFonts w:ascii="Arial" w:hAnsi="Arial" w:cs="Arial"/>
                <w:w w:val="105"/>
              </w:rPr>
              <w:t>planned border</w:t>
            </w:r>
            <w:r w:rsidRPr="00BE4B1B">
              <w:rPr>
                <w:rFonts w:ascii="Arial" w:hAnsi="Arial" w:cs="Arial"/>
                <w:spacing w:val="-5"/>
                <w:w w:val="105"/>
              </w:rPr>
              <w:t xml:space="preserve"> </w:t>
            </w:r>
            <w:r w:rsidRPr="00BE4B1B">
              <w:rPr>
                <w:rFonts w:ascii="Arial" w:hAnsi="Arial" w:cs="Arial"/>
                <w:w w:val="105"/>
              </w:rPr>
              <w:t>alert</w:t>
            </w:r>
            <w:r w:rsidRPr="00BE4B1B">
              <w:rPr>
                <w:rFonts w:ascii="Arial" w:hAnsi="Arial" w:cs="Arial"/>
                <w:spacing w:val="-9"/>
                <w:w w:val="105"/>
              </w:rPr>
              <w:t xml:space="preserve"> (i</w:t>
            </w:r>
            <w:r w:rsidRPr="00BE4B1B">
              <w:rPr>
                <w:rFonts w:ascii="Arial" w:hAnsi="Arial" w:cs="Arial"/>
                <w:w w:val="105"/>
              </w:rPr>
              <w:t>ncluding</w:t>
            </w:r>
            <w:r w:rsidRPr="00BE4B1B">
              <w:rPr>
                <w:rFonts w:ascii="Arial" w:hAnsi="Arial" w:cs="Arial"/>
                <w:spacing w:val="-20"/>
                <w:w w:val="105"/>
              </w:rPr>
              <w:t xml:space="preserve"> </w:t>
            </w:r>
            <w:r w:rsidRPr="00BE4B1B">
              <w:rPr>
                <w:rFonts w:ascii="Arial" w:hAnsi="Arial" w:cs="Arial"/>
                <w:w w:val="105"/>
              </w:rPr>
              <w:t>any</w:t>
            </w:r>
            <w:r w:rsidRPr="00BE4B1B">
              <w:rPr>
                <w:rFonts w:ascii="Arial" w:hAnsi="Arial" w:cs="Arial"/>
                <w:spacing w:val="-20"/>
                <w:w w:val="105"/>
              </w:rPr>
              <w:t xml:space="preserve"> </w:t>
            </w:r>
            <w:r w:rsidRPr="00BE4B1B">
              <w:rPr>
                <w:rFonts w:ascii="Arial" w:hAnsi="Arial" w:cs="Arial"/>
                <w:w w:val="105"/>
              </w:rPr>
              <w:t>photograph).</w:t>
            </w:r>
          </w:p>
        </w:tc>
      </w:tr>
      <w:tr w:rsidR="00025FEB" w:rsidRPr="00D85A4F" w14:paraId="07038186" w14:textId="77777777" w:rsidTr="00AD0359">
        <w:trPr>
          <w:cantSplit/>
        </w:trPr>
        <w:tc>
          <w:tcPr>
            <w:tcW w:w="4224" w:type="dxa"/>
            <w:shd w:val="clear" w:color="auto" w:fill="auto"/>
          </w:tcPr>
          <w:p w14:paraId="054858B2" w14:textId="77777777" w:rsidR="00025FEB" w:rsidRPr="00BE4B1B" w:rsidRDefault="00025FEB" w:rsidP="00AD0359">
            <w:pPr>
              <w:pStyle w:val="TableText"/>
              <w:rPr>
                <w:rFonts w:ascii="Arial" w:hAnsi="Arial" w:cs="Arial"/>
              </w:rPr>
            </w:pPr>
            <w:r w:rsidRPr="00BE4B1B">
              <w:rPr>
                <w:rFonts w:ascii="Arial" w:hAnsi="Arial" w:cs="Arial"/>
              </w:rPr>
              <w:t>Status</w:t>
            </w:r>
          </w:p>
        </w:tc>
        <w:tc>
          <w:tcPr>
            <w:tcW w:w="4990" w:type="dxa"/>
            <w:shd w:val="clear" w:color="auto" w:fill="auto"/>
          </w:tcPr>
          <w:p w14:paraId="437F5598" w14:textId="77777777" w:rsidR="00025FEB" w:rsidRPr="00BE4B1B" w:rsidRDefault="00025FEB" w:rsidP="00AD0359">
            <w:pPr>
              <w:pStyle w:val="TableText"/>
              <w:rPr>
                <w:rFonts w:ascii="Arial" w:eastAsia="Arial" w:hAnsi="Arial" w:cs="Arial"/>
                <w:color w:val="B8CCE4" w:themeColor="accent1" w:themeTint="66"/>
              </w:rPr>
            </w:pPr>
            <w:r w:rsidRPr="00BE4B1B">
              <w:rPr>
                <w:rFonts w:ascii="Arial" w:eastAsia="Arial" w:hAnsi="Arial" w:cs="Arial"/>
                <w:color w:val="B8CCE4" w:themeColor="accent1" w:themeTint="66"/>
              </w:rPr>
              <w:t>Mental health special patient</w:t>
            </w:r>
          </w:p>
        </w:tc>
      </w:tr>
      <w:tr w:rsidR="00025FEB" w:rsidRPr="00D85A4F" w14:paraId="7DC1CBC2" w14:textId="77777777" w:rsidTr="00AD0359">
        <w:trPr>
          <w:cantSplit/>
        </w:trPr>
        <w:tc>
          <w:tcPr>
            <w:tcW w:w="4224" w:type="dxa"/>
            <w:shd w:val="clear" w:color="auto" w:fill="auto"/>
          </w:tcPr>
          <w:p w14:paraId="2C8CA216" w14:textId="77777777" w:rsidR="00025FEB" w:rsidRPr="00BE4B1B" w:rsidRDefault="00025FEB" w:rsidP="00AD0359">
            <w:pPr>
              <w:pStyle w:val="TableText"/>
              <w:rPr>
                <w:rFonts w:ascii="Arial" w:hAnsi="Arial" w:cs="Arial"/>
              </w:rPr>
            </w:pPr>
            <w:r w:rsidRPr="00BE4B1B">
              <w:rPr>
                <w:rFonts w:ascii="Arial" w:hAnsi="Arial" w:cs="Arial"/>
              </w:rPr>
              <w:t>Action required</w:t>
            </w:r>
          </w:p>
        </w:tc>
        <w:tc>
          <w:tcPr>
            <w:tcW w:w="4990" w:type="dxa"/>
            <w:shd w:val="clear" w:color="auto" w:fill="auto"/>
          </w:tcPr>
          <w:p w14:paraId="2A32E682" w14:textId="77777777" w:rsidR="00025FEB" w:rsidRPr="00BE4B1B" w:rsidRDefault="00025FEB" w:rsidP="00AD0359">
            <w:pPr>
              <w:pStyle w:val="TableText"/>
              <w:rPr>
                <w:rFonts w:ascii="Arial" w:eastAsia="Arial" w:hAnsi="Arial" w:cs="Arial"/>
                <w:color w:val="B8CCE4" w:themeColor="accent1" w:themeTint="66"/>
              </w:rPr>
            </w:pPr>
            <w:r w:rsidRPr="00BE4B1B">
              <w:rPr>
                <w:rFonts w:ascii="Arial" w:eastAsia="Arial" w:hAnsi="Arial" w:cs="Arial"/>
                <w:color w:val="B8CCE4" w:themeColor="accent1" w:themeTint="66"/>
              </w:rPr>
              <w:t>Place/remove an emergency border alert</w:t>
            </w:r>
          </w:p>
        </w:tc>
      </w:tr>
      <w:tr w:rsidR="00025FEB" w:rsidRPr="00D85A4F" w14:paraId="317B4CDC" w14:textId="77777777" w:rsidTr="00AD0359">
        <w:trPr>
          <w:cantSplit/>
        </w:trPr>
        <w:tc>
          <w:tcPr>
            <w:tcW w:w="4224" w:type="dxa"/>
            <w:shd w:val="clear" w:color="auto" w:fill="auto"/>
          </w:tcPr>
          <w:p w14:paraId="0EB2DD12" w14:textId="77777777" w:rsidR="00025FEB" w:rsidRPr="00BE4B1B" w:rsidRDefault="00025FEB" w:rsidP="00AD0359">
            <w:pPr>
              <w:pStyle w:val="TableText"/>
              <w:rPr>
                <w:rFonts w:ascii="Arial" w:hAnsi="Arial" w:cs="Arial"/>
              </w:rPr>
            </w:pPr>
            <w:r w:rsidRPr="00BE4B1B">
              <w:rPr>
                <w:rFonts w:ascii="Arial" w:hAnsi="Arial" w:cs="Arial"/>
              </w:rPr>
              <w:t xml:space="preserve">Name and number of </w:t>
            </w:r>
            <w:proofErr w:type="gramStart"/>
            <w:r w:rsidRPr="00BE4B1B">
              <w:rPr>
                <w:rFonts w:ascii="Arial" w:hAnsi="Arial" w:cs="Arial"/>
              </w:rPr>
              <w:t>person</w:t>
            </w:r>
            <w:proofErr w:type="gramEnd"/>
            <w:r w:rsidRPr="00BE4B1B">
              <w:rPr>
                <w:rFonts w:ascii="Arial" w:hAnsi="Arial" w:cs="Arial"/>
              </w:rPr>
              <w:t xml:space="preserve"> who should be called if alert triggered</w:t>
            </w:r>
          </w:p>
        </w:tc>
        <w:tc>
          <w:tcPr>
            <w:tcW w:w="4990" w:type="dxa"/>
            <w:shd w:val="clear" w:color="auto" w:fill="auto"/>
          </w:tcPr>
          <w:p w14:paraId="7ED7BE4C" w14:textId="77777777" w:rsidR="00025FEB" w:rsidRPr="00BE4B1B" w:rsidRDefault="00025FEB" w:rsidP="00AD0359">
            <w:pPr>
              <w:pStyle w:val="TableText"/>
              <w:rPr>
                <w:rFonts w:ascii="Arial" w:eastAsia="Arial" w:hAnsi="Arial" w:cs="Arial"/>
                <w:color w:val="B8CCE4" w:themeColor="accent1" w:themeTint="66"/>
              </w:rPr>
            </w:pPr>
            <w:r w:rsidRPr="00BE4B1B">
              <w:rPr>
                <w:rFonts w:ascii="Arial" w:eastAsia="Arial" w:hAnsi="Arial" w:cs="Arial"/>
                <w:color w:val="B8CCE4" w:themeColor="accent1" w:themeTint="66"/>
              </w:rPr>
              <w:t>Director of Mental Health</w:t>
            </w:r>
          </w:p>
          <w:p w14:paraId="35AC63BE" w14:textId="77777777" w:rsidR="00025FEB" w:rsidRPr="00BE4B1B" w:rsidRDefault="00025FEB" w:rsidP="00AD0359">
            <w:pPr>
              <w:pStyle w:val="TableText"/>
              <w:rPr>
                <w:rFonts w:ascii="Arial" w:eastAsia="Arial" w:hAnsi="Arial" w:cs="Arial"/>
                <w:color w:val="B8CCE4" w:themeColor="accent1" w:themeTint="66"/>
              </w:rPr>
            </w:pPr>
            <w:r w:rsidRPr="00BE4B1B">
              <w:rPr>
                <w:rFonts w:ascii="Arial" w:eastAsia="Arial" w:hAnsi="Arial" w:cs="Arial"/>
                <w:color w:val="B8CCE4" w:themeColor="accent1" w:themeTint="66"/>
              </w:rPr>
              <w:t>Director of Area Mental Health Services</w:t>
            </w:r>
          </w:p>
        </w:tc>
      </w:tr>
      <w:tr w:rsidR="00025FEB" w:rsidRPr="00D85A4F" w14:paraId="605DDD07" w14:textId="77777777" w:rsidTr="00AD0359">
        <w:trPr>
          <w:cantSplit/>
        </w:trPr>
        <w:tc>
          <w:tcPr>
            <w:tcW w:w="4224" w:type="dxa"/>
            <w:shd w:val="clear" w:color="auto" w:fill="auto"/>
          </w:tcPr>
          <w:p w14:paraId="62406FC8" w14:textId="77777777" w:rsidR="00025FEB" w:rsidRPr="00BE4B1B" w:rsidRDefault="00025FEB" w:rsidP="00AD0359">
            <w:pPr>
              <w:pStyle w:val="TableText"/>
              <w:rPr>
                <w:rFonts w:ascii="Arial" w:hAnsi="Arial" w:cs="Arial"/>
              </w:rPr>
            </w:pPr>
            <w:r w:rsidRPr="00BE4B1B">
              <w:rPr>
                <w:rFonts w:ascii="Arial" w:hAnsi="Arial" w:cs="Arial"/>
              </w:rPr>
              <w:t>Patient’s name registered at birth or when on first entering the country</w:t>
            </w:r>
          </w:p>
        </w:tc>
        <w:tc>
          <w:tcPr>
            <w:tcW w:w="4990" w:type="dxa"/>
            <w:shd w:val="clear" w:color="auto" w:fill="auto"/>
          </w:tcPr>
          <w:p w14:paraId="5D0D4005" w14:textId="77777777" w:rsidR="00025FEB" w:rsidRPr="00BE4B1B" w:rsidRDefault="00025FEB" w:rsidP="00AD0359">
            <w:pPr>
              <w:pStyle w:val="TableText"/>
              <w:rPr>
                <w:rFonts w:ascii="Arial" w:eastAsia="Arial" w:hAnsi="Arial" w:cs="Arial"/>
              </w:rPr>
            </w:pPr>
          </w:p>
        </w:tc>
      </w:tr>
      <w:tr w:rsidR="00025FEB" w:rsidRPr="00D85A4F" w14:paraId="63EFD501" w14:textId="77777777" w:rsidTr="00AD0359">
        <w:trPr>
          <w:cantSplit/>
        </w:trPr>
        <w:tc>
          <w:tcPr>
            <w:tcW w:w="4224" w:type="dxa"/>
            <w:shd w:val="clear" w:color="auto" w:fill="auto"/>
          </w:tcPr>
          <w:p w14:paraId="0BF52DE3" w14:textId="77777777" w:rsidR="00025FEB" w:rsidRPr="00BE4B1B" w:rsidRDefault="00025FEB" w:rsidP="00AD0359">
            <w:pPr>
              <w:pStyle w:val="TableText"/>
              <w:rPr>
                <w:rFonts w:ascii="Arial" w:hAnsi="Arial" w:cs="Arial"/>
              </w:rPr>
            </w:pPr>
            <w:r w:rsidRPr="00BE4B1B">
              <w:rPr>
                <w:rFonts w:ascii="Arial" w:hAnsi="Arial" w:cs="Arial"/>
              </w:rPr>
              <w:t xml:space="preserve">Date of birth </w:t>
            </w:r>
          </w:p>
        </w:tc>
        <w:sdt>
          <w:sdtPr>
            <w:rPr>
              <w:rFonts w:ascii="Arial" w:eastAsia="Arial" w:hAnsi="Arial" w:cs="Arial"/>
            </w:rPr>
            <w:id w:val="650648250"/>
            <w:placeholder>
              <w:docPart w:val="2A5162B895084E64BF086D7A7D33E730"/>
            </w:placeholder>
            <w:showingPlcHdr/>
            <w:date>
              <w:dateFormat w:val="d/MM/yyyy"/>
              <w:lid w:val="en-NZ"/>
              <w:storeMappedDataAs w:val="dateTime"/>
              <w:calendar w:val="gregorian"/>
            </w:date>
          </w:sdtPr>
          <w:sdtEndPr/>
          <w:sdtContent>
            <w:tc>
              <w:tcPr>
                <w:tcW w:w="4990" w:type="dxa"/>
                <w:shd w:val="clear" w:color="auto" w:fill="auto"/>
              </w:tcPr>
              <w:p w14:paraId="57EE16DC" w14:textId="77777777" w:rsidR="00025FEB" w:rsidRPr="00BE4B1B" w:rsidRDefault="00025FEB" w:rsidP="00AD0359">
                <w:pPr>
                  <w:pStyle w:val="TableText"/>
                  <w:rPr>
                    <w:rFonts w:ascii="Arial" w:eastAsia="Arial" w:hAnsi="Arial" w:cs="Arial"/>
                  </w:rPr>
                </w:pPr>
                <w:r w:rsidRPr="00BE4B1B">
                  <w:rPr>
                    <w:rStyle w:val="PlaceholderText"/>
                    <w:rFonts w:ascii="Arial" w:hAnsi="Arial" w:cs="Arial"/>
                  </w:rPr>
                  <w:t>Click or tap to enter a date.</w:t>
                </w:r>
              </w:p>
            </w:tc>
          </w:sdtContent>
        </w:sdt>
      </w:tr>
      <w:tr w:rsidR="00025FEB" w:rsidRPr="00D85A4F" w14:paraId="6CC3909A" w14:textId="77777777" w:rsidTr="00AD0359">
        <w:trPr>
          <w:cantSplit/>
        </w:trPr>
        <w:tc>
          <w:tcPr>
            <w:tcW w:w="4224" w:type="dxa"/>
            <w:shd w:val="clear" w:color="auto" w:fill="auto"/>
          </w:tcPr>
          <w:p w14:paraId="02CB7477" w14:textId="77777777" w:rsidR="00025FEB" w:rsidRPr="00BE4B1B" w:rsidRDefault="00025FEB" w:rsidP="00AD0359">
            <w:pPr>
              <w:pStyle w:val="TableText"/>
              <w:rPr>
                <w:rFonts w:ascii="Arial" w:hAnsi="Arial" w:cs="Arial"/>
              </w:rPr>
            </w:pPr>
            <w:r w:rsidRPr="00BE4B1B">
              <w:rPr>
                <w:rFonts w:ascii="Arial" w:hAnsi="Arial" w:cs="Arial"/>
              </w:rPr>
              <w:t>Place of birth (if known)</w:t>
            </w:r>
          </w:p>
        </w:tc>
        <w:tc>
          <w:tcPr>
            <w:tcW w:w="4990" w:type="dxa"/>
            <w:shd w:val="clear" w:color="auto" w:fill="auto"/>
          </w:tcPr>
          <w:p w14:paraId="523F9853" w14:textId="77777777" w:rsidR="00025FEB" w:rsidRPr="00BE4B1B" w:rsidRDefault="00025FEB" w:rsidP="00AD0359">
            <w:pPr>
              <w:pStyle w:val="TableText"/>
              <w:rPr>
                <w:rFonts w:ascii="Arial" w:eastAsia="Arial" w:hAnsi="Arial" w:cs="Arial"/>
              </w:rPr>
            </w:pPr>
          </w:p>
        </w:tc>
      </w:tr>
      <w:tr w:rsidR="00025FEB" w:rsidRPr="00D85A4F" w14:paraId="0179498A" w14:textId="77777777" w:rsidTr="00AD0359">
        <w:trPr>
          <w:cantSplit/>
        </w:trPr>
        <w:tc>
          <w:tcPr>
            <w:tcW w:w="4224" w:type="dxa"/>
            <w:shd w:val="clear" w:color="auto" w:fill="auto"/>
          </w:tcPr>
          <w:p w14:paraId="258F5CBB" w14:textId="77777777" w:rsidR="00025FEB" w:rsidRPr="00BE4B1B" w:rsidRDefault="00025FEB" w:rsidP="00AD0359">
            <w:pPr>
              <w:pStyle w:val="TableText"/>
              <w:rPr>
                <w:rFonts w:ascii="Arial" w:hAnsi="Arial" w:cs="Arial"/>
              </w:rPr>
            </w:pPr>
            <w:r w:rsidRPr="00BE4B1B">
              <w:rPr>
                <w:rFonts w:ascii="Arial" w:hAnsi="Arial" w:cs="Arial"/>
              </w:rPr>
              <w:t>Surname</w:t>
            </w:r>
          </w:p>
        </w:tc>
        <w:tc>
          <w:tcPr>
            <w:tcW w:w="4990" w:type="dxa"/>
            <w:shd w:val="clear" w:color="auto" w:fill="auto"/>
          </w:tcPr>
          <w:p w14:paraId="07E54449" w14:textId="77777777" w:rsidR="00025FEB" w:rsidRPr="00BE4B1B" w:rsidRDefault="00025FEB" w:rsidP="00AD0359">
            <w:pPr>
              <w:pStyle w:val="TableText"/>
              <w:rPr>
                <w:rFonts w:ascii="Arial" w:eastAsia="Arial" w:hAnsi="Arial" w:cs="Arial"/>
              </w:rPr>
            </w:pPr>
          </w:p>
        </w:tc>
      </w:tr>
      <w:tr w:rsidR="00025FEB" w:rsidRPr="00D85A4F" w14:paraId="28EFBFF3" w14:textId="77777777" w:rsidTr="00AD0359">
        <w:trPr>
          <w:cantSplit/>
        </w:trPr>
        <w:tc>
          <w:tcPr>
            <w:tcW w:w="4224" w:type="dxa"/>
            <w:shd w:val="clear" w:color="auto" w:fill="auto"/>
          </w:tcPr>
          <w:p w14:paraId="2506DC45" w14:textId="77777777" w:rsidR="00025FEB" w:rsidRPr="00BE4B1B" w:rsidRDefault="00025FEB" w:rsidP="00AD0359">
            <w:pPr>
              <w:pStyle w:val="TableText"/>
              <w:rPr>
                <w:rFonts w:ascii="Arial" w:hAnsi="Arial" w:cs="Arial"/>
              </w:rPr>
            </w:pPr>
            <w:r w:rsidRPr="00BE4B1B">
              <w:rPr>
                <w:rFonts w:ascii="Arial" w:hAnsi="Arial" w:cs="Arial"/>
              </w:rPr>
              <w:t>First name</w:t>
            </w:r>
          </w:p>
        </w:tc>
        <w:tc>
          <w:tcPr>
            <w:tcW w:w="4990" w:type="dxa"/>
            <w:shd w:val="clear" w:color="auto" w:fill="auto"/>
          </w:tcPr>
          <w:p w14:paraId="133D1232" w14:textId="77777777" w:rsidR="00025FEB" w:rsidRPr="00BE4B1B" w:rsidRDefault="00025FEB" w:rsidP="00AD0359">
            <w:pPr>
              <w:pStyle w:val="TableText"/>
              <w:rPr>
                <w:rFonts w:ascii="Arial" w:eastAsia="Arial" w:hAnsi="Arial" w:cs="Arial"/>
              </w:rPr>
            </w:pPr>
          </w:p>
        </w:tc>
      </w:tr>
      <w:tr w:rsidR="00025FEB" w:rsidRPr="00D85A4F" w14:paraId="43440976" w14:textId="77777777" w:rsidTr="00AD0359">
        <w:trPr>
          <w:cantSplit/>
        </w:trPr>
        <w:tc>
          <w:tcPr>
            <w:tcW w:w="4224" w:type="dxa"/>
            <w:shd w:val="clear" w:color="auto" w:fill="auto"/>
          </w:tcPr>
          <w:p w14:paraId="10A39CD1" w14:textId="77777777" w:rsidR="00025FEB" w:rsidRPr="00BE4B1B" w:rsidRDefault="00025FEB" w:rsidP="00AD0359">
            <w:pPr>
              <w:pStyle w:val="TableText"/>
              <w:rPr>
                <w:rFonts w:ascii="Arial" w:hAnsi="Arial" w:cs="Arial"/>
              </w:rPr>
            </w:pPr>
            <w:r w:rsidRPr="00BE4B1B">
              <w:rPr>
                <w:rFonts w:ascii="Arial" w:hAnsi="Arial" w:cs="Arial"/>
              </w:rPr>
              <w:t>Middle name(s)</w:t>
            </w:r>
          </w:p>
        </w:tc>
        <w:tc>
          <w:tcPr>
            <w:tcW w:w="4990" w:type="dxa"/>
            <w:shd w:val="clear" w:color="auto" w:fill="auto"/>
          </w:tcPr>
          <w:p w14:paraId="6FC3BD5A" w14:textId="77777777" w:rsidR="00025FEB" w:rsidRPr="00BE4B1B" w:rsidRDefault="00025FEB" w:rsidP="00AD0359">
            <w:pPr>
              <w:pStyle w:val="TableText"/>
              <w:rPr>
                <w:rFonts w:ascii="Arial" w:eastAsia="Arial" w:hAnsi="Arial" w:cs="Arial"/>
              </w:rPr>
            </w:pPr>
          </w:p>
        </w:tc>
      </w:tr>
      <w:tr w:rsidR="00025FEB" w:rsidRPr="00D85A4F" w14:paraId="7C31F916" w14:textId="77777777" w:rsidTr="00AD0359">
        <w:trPr>
          <w:cantSplit/>
        </w:trPr>
        <w:tc>
          <w:tcPr>
            <w:tcW w:w="4224" w:type="dxa"/>
            <w:shd w:val="clear" w:color="auto" w:fill="auto"/>
          </w:tcPr>
          <w:p w14:paraId="242BDB58" w14:textId="77777777" w:rsidR="00025FEB" w:rsidRPr="00BE4B1B" w:rsidRDefault="00025FEB" w:rsidP="00AD0359">
            <w:pPr>
              <w:pStyle w:val="TableText"/>
              <w:rPr>
                <w:rFonts w:ascii="Arial" w:hAnsi="Arial" w:cs="Arial"/>
              </w:rPr>
            </w:pPr>
            <w:r w:rsidRPr="00BE4B1B">
              <w:rPr>
                <w:rFonts w:ascii="Arial" w:hAnsi="Arial" w:cs="Arial"/>
              </w:rPr>
              <w:t>Alias(es)</w:t>
            </w:r>
          </w:p>
        </w:tc>
        <w:tc>
          <w:tcPr>
            <w:tcW w:w="4990" w:type="dxa"/>
            <w:shd w:val="clear" w:color="auto" w:fill="auto"/>
          </w:tcPr>
          <w:p w14:paraId="418A92E3" w14:textId="77777777" w:rsidR="00025FEB" w:rsidRPr="00BE4B1B" w:rsidRDefault="00025FEB" w:rsidP="00AD0359">
            <w:pPr>
              <w:pStyle w:val="TableText"/>
              <w:rPr>
                <w:rFonts w:ascii="Arial" w:eastAsia="Arial" w:hAnsi="Arial" w:cs="Arial"/>
              </w:rPr>
            </w:pPr>
          </w:p>
        </w:tc>
      </w:tr>
      <w:tr w:rsidR="00025FEB" w:rsidRPr="00D85A4F" w14:paraId="43B9A249" w14:textId="77777777" w:rsidTr="00AD0359">
        <w:trPr>
          <w:cantSplit/>
        </w:trPr>
        <w:tc>
          <w:tcPr>
            <w:tcW w:w="4224" w:type="dxa"/>
            <w:shd w:val="clear" w:color="auto" w:fill="auto"/>
          </w:tcPr>
          <w:p w14:paraId="242DAD0A" w14:textId="77777777" w:rsidR="00025FEB" w:rsidRPr="00BE4B1B" w:rsidRDefault="00025FEB" w:rsidP="00AD0359">
            <w:pPr>
              <w:pStyle w:val="TableText"/>
              <w:rPr>
                <w:rFonts w:ascii="Arial" w:hAnsi="Arial" w:cs="Arial"/>
              </w:rPr>
            </w:pPr>
            <w:r w:rsidRPr="00BE4B1B">
              <w:rPr>
                <w:rFonts w:ascii="Arial" w:hAnsi="Arial" w:cs="Arial"/>
              </w:rPr>
              <w:t>Gender</w:t>
            </w:r>
          </w:p>
        </w:tc>
        <w:tc>
          <w:tcPr>
            <w:tcW w:w="4990" w:type="dxa"/>
            <w:shd w:val="clear" w:color="auto" w:fill="auto"/>
          </w:tcPr>
          <w:p w14:paraId="07542FC7" w14:textId="77777777" w:rsidR="00025FEB" w:rsidRPr="00BE4B1B" w:rsidRDefault="00025FEB" w:rsidP="00AD0359">
            <w:pPr>
              <w:pStyle w:val="TableText"/>
              <w:rPr>
                <w:rFonts w:ascii="Arial" w:eastAsia="Arial" w:hAnsi="Arial" w:cs="Arial"/>
              </w:rPr>
            </w:pPr>
          </w:p>
        </w:tc>
      </w:tr>
      <w:tr w:rsidR="00025FEB" w:rsidRPr="00D85A4F" w14:paraId="7161E932" w14:textId="77777777" w:rsidTr="00AD0359">
        <w:trPr>
          <w:cantSplit/>
        </w:trPr>
        <w:tc>
          <w:tcPr>
            <w:tcW w:w="4224" w:type="dxa"/>
            <w:shd w:val="clear" w:color="auto" w:fill="auto"/>
          </w:tcPr>
          <w:p w14:paraId="43939ED0" w14:textId="77777777" w:rsidR="00025FEB" w:rsidRPr="00BE4B1B" w:rsidRDefault="00025FEB" w:rsidP="00AD0359">
            <w:pPr>
              <w:pStyle w:val="TableText"/>
              <w:rPr>
                <w:rFonts w:ascii="Arial" w:hAnsi="Arial" w:cs="Arial"/>
              </w:rPr>
            </w:pPr>
            <w:r w:rsidRPr="00BE4B1B">
              <w:rPr>
                <w:rFonts w:ascii="Arial" w:hAnsi="Arial" w:cs="Arial"/>
              </w:rPr>
              <w:t>Last known address</w:t>
            </w:r>
          </w:p>
        </w:tc>
        <w:tc>
          <w:tcPr>
            <w:tcW w:w="4990" w:type="dxa"/>
            <w:shd w:val="clear" w:color="auto" w:fill="auto"/>
          </w:tcPr>
          <w:p w14:paraId="114078AB" w14:textId="77777777" w:rsidR="00025FEB" w:rsidRPr="00BE4B1B" w:rsidRDefault="00025FEB" w:rsidP="00AD0359">
            <w:pPr>
              <w:pStyle w:val="TableText"/>
              <w:rPr>
                <w:rFonts w:ascii="Arial" w:eastAsia="Arial" w:hAnsi="Arial" w:cs="Arial"/>
              </w:rPr>
            </w:pPr>
          </w:p>
        </w:tc>
      </w:tr>
      <w:tr w:rsidR="00025FEB" w:rsidRPr="00D85A4F" w14:paraId="7EBD16D6" w14:textId="77777777" w:rsidTr="00AD0359">
        <w:trPr>
          <w:cantSplit/>
        </w:trPr>
        <w:tc>
          <w:tcPr>
            <w:tcW w:w="4224" w:type="dxa"/>
            <w:shd w:val="clear" w:color="auto" w:fill="auto"/>
          </w:tcPr>
          <w:p w14:paraId="543C2264" w14:textId="77777777" w:rsidR="00025FEB" w:rsidRPr="00BE4B1B" w:rsidRDefault="00025FEB" w:rsidP="00AD0359">
            <w:pPr>
              <w:pStyle w:val="TableText"/>
              <w:rPr>
                <w:rFonts w:ascii="Arial" w:hAnsi="Arial" w:cs="Arial"/>
              </w:rPr>
            </w:pPr>
            <w:r w:rsidRPr="00BE4B1B">
              <w:rPr>
                <w:rFonts w:ascii="Arial" w:hAnsi="Arial" w:cs="Arial"/>
              </w:rPr>
              <w:t>Photograph attached</w:t>
            </w:r>
          </w:p>
        </w:tc>
        <w:tc>
          <w:tcPr>
            <w:tcW w:w="4990" w:type="dxa"/>
            <w:shd w:val="clear" w:color="auto" w:fill="auto"/>
          </w:tcPr>
          <w:p w14:paraId="220040A7" w14:textId="77777777" w:rsidR="00025FEB" w:rsidRPr="00BE4B1B" w:rsidRDefault="00025FEB" w:rsidP="00AD0359">
            <w:pPr>
              <w:pStyle w:val="TableText"/>
              <w:rPr>
                <w:rFonts w:ascii="Arial" w:eastAsia="Arial" w:hAnsi="Arial" w:cs="Arial"/>
              </w:rPr>
            </w:pPr>
          </w:p>
        </w:tc>
      </w:tr>
      <w:tr w:rsidR="00025FEB" w:rsidRPr="00D85A4F" w14:paraId="4AF8E3DA" w14:textId="77777777" w:rsidTr="00AD0359">
        <w:trPr>
          <w:cantSplit/>
        </w:trPr>
        <w:tc>
          <w:tcPr>
            <w:tcW w:w="4224" w:type="dxa"/>
            <w:shd w:val="clear" w:color="auto" w:fill="auto"/>
          </w:tcPr>
          <w:p w14:paraId="37221D95" w14:textId="77777777" w:rsidR="00025FEB" w:rsidRPr="00BE4B1B" w:rsidRDefault="00025FEB" w:rsidP="00AD0359">
            <w:pPr>
              <w:pStyle w:val="TableText"/>
              <w:rPr>
                <w:rFonts w:ascii="Arial" w:hAnsi="Arial" w:cs="Arial"/>
              </w:rPr>
            </w:pPr>
            <w:r w:rsidRPr="00BE4B1B">
              <w:rPr>
                <w:rFonts w:ascii="Arial" w:hAnsi="Arial" w:cs="Arial"/>
              </w:rPr>
              <w:t>Photograph taken on</w:t>
            </w:r>
          </w:p>
        </w:tc>
        <w:sdt>
          <w:sdtPr>
            <w:rPr>
              <w:rFonts w:ascii="Arial" w:eastAsia="Arial" w:hAnsi="Arial" w:cs="Arial"/>
            </w:rPr>
            <w:id w:val="869257132"/>
            <w:placeholder>
              <w:docPart w:val="2A5162B895084E64BF086D7A7D33E730"/>
            </w:placeholder>
            <w:showingPlcHdr/>
            <w:date>
              <w:dateFormat w:val="d/MM/yyyy"/>
              <w:lid w:val="en-NZ"/>
              <w:storeMappedDataAs w:val="dateTime"/>
              <w:calendar w:val="gregorian"/>
            </w:date>
          </w:sdtPr>
          <w:sdtEndPr/>
          <w:sdtContent>
            <w:tc>
              <w:tcPr>
                <w:tcW w:w="4990" w:type="dxa"/>
                <w:shd w:val="clear" w:color="auto" w:fill="auto"/>
              </w:tcPr>
              <w:p w14:paraId="32D5B120" w14:textId="77777777" w:rsidR="00025FEB" w:rsidRPr="00BE4B1B" w:rsidRDefault="00025FEB" w:rsidP="00AD0359">
                <w:pPr>
                  <w:pStyle w:val="TableText"/>
                  <w:rPr>
                    <w:rFonts w:ascii="Arial" w:eastAsia="Arial" w:hAnsi="Arial" w:cs="Arial"/>
                  </w:rPr>
                </w:pPr>
                <w:r w:rsidRPr="00BE4B1B">
                  <w:rPr>
                    <w:rStyle w:val="PlaceholderText"/>
                    <w:rFonts w:ascii="Arial" w:hAnsi="Arial" w:cs="Arial"/>
                  </w:rPr>
                  <w:t>Click or tap to enter a date.</w:t>
                </w:r>
              </w:p>
            </w:tc>
          </w:sdtContent>
        </w:sdt>
      </w:tr>
    </w:tbl>
    <w:p w14:paraId="494A0A1F" w14:textId="77777777" w:rsidR="00025FEB" w:rsidRPr="00D85A4F" w:rsidRDefault="00025FEB" w:rsidP="00025FEB">
      <w:pPr>
        <w:rPr>
          <w:rFonts w:eastAsia="Arial"/>
        </w:rPr>
      </w:pPr>
    </w:p>
    <w:p w14:paraId="38731EA1" w14:textId="77777777" w:rsidR="00025FEB" w:rsidRDefault="00025FEB" w:rsidP="00025FEB">
      <w:pPr>
        <w:tabs>
          <w:tab w:val="left" w:pos="1172"/>
        </w:tabs>
      </w:pPr>
    </w:p>
    <w:p w14:paraId="336AD863" w14:textId="77777777" w:rsidR="00025FEB" w:rsidRPr="00BE4B1B" w:rsidRDefault="00025FEB" w:rsidP="00025FEB">
      <w:pPr>
        <w:tabs>
          <w:tab w:val="left" w:pos="1172"/>
        </w:tabs>
        <w:sectPr w:rsidR="00025FEB" w:rsidRPr="00BE4B1B" w:rsidSect="00BE4B1B">
          <w:pgSz w:w="11907" w:h="16834" w:code="9"/>
          <w:pgMar w:top="1134" w:right="567" w:bottom="1134" w:left="567" w:header="284" w:footer="510" w:gutter="0"/>
          <w:cols w:space="720"/>
          <w:docGrid w:linePitch="286"/>
        </w:sectPr>
      </w:pPr>
      <w:r>
        <w:tab/>
      </w:r>
    </w:p>
    <w:p w14:paraId="24FC15E6" w14:textId="77777777" w:rsidR="00025FEB" w:rsidRPr="00025FEB" w:rsidRDefault="00025FEB" w:rsidP="00025FEB">
      <w:pPr>
        <w:pStyle w:val="Heading1-nonumbering"/>
        <w:rPr>
          <w:sz w:val="60"/>
          <w:szCs w:val="60"/>
        </w:rPr>
      </w:pPr>
      <w:bookmarkStart w:id="300" w:name="_Toc112862092"/>
      <w:bookmarkStart w:id="301" w:name="_Toc116484633"/>
      <w:r w:rsidRPr="00025FEB">
        <w:rPr>
          <w:sz w:val="60"/>
          <w:szCs w:val="60"/>
        </w:rPr>
        <w:lastRenderedPageBreak/>
        <w:t>Appendix 2: Special patient escaped or absent without leave: incident process</w:t>
      </w:r>
      <w:bookmarkEnd w:id="300"/>
      <w:bookmarkEnd w:id="301"/>
    </w:p>
    <w:tbl>
      <w:tblPr>
        <w:tblStyle w:val="TableGrid"/>
        <w:tblpPr w:leftFromText="180" w:rightFromText="180" w:vertAnchor="text" w:horzAnchor="margin" w:tblpXSpec="center" w:tblpY="1"/>
        <w:tblW w:w="9785" w:type="dxa"/>
        <w:tblInd w:w="0" w:type="dxa"/>
        <w:tblLayout w:type="fixed"/>
        <w:tblLook w:val="04A0" w:firstRow="1" w:lastRow="0" w:firstColumn="1" w:lastColumn="0" w:noHBand="0" w:noVBand="1"/>
      </w:tblPr>
      <w:tblGrid>
        <w:gridCol w:w="9785"/>
      </w:tblGrid>
      <w:tr w:rsidR="00025FEB" w:rsidRPr="00D85A4F" w14:paraId="4E2807BF" w14:textId="77777777" w:rsidTr="7CB9D73B">
        <w:trPr>
          <w:cantSplit/>
        </w:trPr>
        <w:tc>
          <w:tcPr>
            <w:tcW w:w="9785" w:type="dxa"/>
            <w:tcBorders>
              <w:bottom w:val="single" w:sz="4" w:space="0" w:color="auto"/>
            </w:tcBorders>
          </w:tcPr>
          <w:p w14:paraId="75E0DA6A" w14:textId="77777777" w:rsidR="00025FEB" w:rsidRPr="00D85A4F" w:rsidRDefault="00025FEB" w:rsidP="00AD0359">
            <w:pPr>
              <w:pStyle w:val="TableText"/>
              <w:jc w:val="center"/>
            </w:pPr>
            <w:r w:rsidRPr="00D85A4F">
              <w:t>A special patient escapes or is AWOL</w:t>
            </w:r>
          </w:p>
        </w:tc>
      </w:tr>
      <w:tr w:rsidR="00025FEB" w:rsidRPr="00D85A4F" w14:paraId="46D15E6E" w14:textId="77777777" w:rsidTr="7CB9D73B">
        <w:trPr>
          <w:cantSplit/>
        </w:trPr>
        <w:tc>
          <w:tcPr>
            <w:tcW w:w="9785" w:type="dxa"/>
            <w:tcBorders>
              <w:left w:val="nil"/>
              <w:right w:val="nil"/>
            </w:tcBorders>
          </w:tcPr>
          <w:p w14:paraId="70BE124F" w14:textId="77777777" w:rsidR="00025FEB" w:rsidRPr="00D85A4F" w:rsidRDefault="00025FEB" w:rsidP="00AD0359">
            <w:pPr>
              <w:pStyle w:val="TableText"/>
              <w:jc w:val="center"/>
            </w:pPr>
            <w:r w:rsidRPr="00D85A4F">
              <w:rPr>
                <w:noProof/>
                <w:lang w:eastAsia="en-NZ"/>
              </w:rPr>
              <mc:AlternateContent>
                <mc:Choice Requires="wps">
                  <w:drawing>
                    <wp:inline distT="0" distB="0" distL="0" distR="0" wp14:anchorId="5CE6C05E" wp14:editId="71A0AC28">
                      <wp:extent cx="241069" cy="152400"/>
                      <wp:effectExtent l="38100" t="0" r="26035" b="38100"/>
                      <wp:docPr id="111" name="Down Arrow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69" cy="152400"/>
                              </a:xfrm>
                              <a:prstGeom prst="downArrow">
                                <a:avLst/>
                              </a:prstGeom>
                              <a:solidFill>
                                <a:sysClr val="window" lastClr="FFFFFF">
                                  <a:lumMod val="8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w14:anchorId="7C406647">
                    <v:shapetype id="_x0000_t67" coordsize="21600,21600" o:spt="67" adj="16200,5400" path="m0@0l@1@0@1,0@2,0@2@0,21600@0,10800,21600xe" w14:anchorId="4502BFE4">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11" style="width:19pt;height:12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d9d9d9" strokecolor="windowText"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">
                      <v:path arrowok="t"/>
                      <w10:anchorlock/>
                    </v:shape>
                  </w:pict>
                </mc:Fallback>
              </mc:AlternateContent>
            </w:r>
          </w:p>
        </w:tc>
      </w:tr>
      <w:tr w:rsidR="00025FEB" w:rsidRPr="00D85A4F" w14:paraId="1D0F4699" w14:textId="77777777" w:rsidTr="7CB9D73B">
        <w:trPr>
          <w:cantSplit/>
        </w:trPr>
        <w:tc>
          <w:tcPr>
            <w:tcW w:w="9785" w:type="dxa"/>
            <w:tcBorders>
              <w:bottom w:val="single" w:sz="4" w:space="0" w:color="auto"/>
            </w:tcBorders>
          </w:tcPr>
          <w:p w14:paraId="69207401" w14:textId="77777777" w:rsidR="00025FEB" w:rsidRPr="00D85A4F" w:rsidRDefault="00025FEB" w:rsidP="00AD0359">
            <w:pPr>
              <w:pStyle w:val="TableText"/>
              <w:jc w:val="center"/>
            </w:pPr>
            <w:r w:rsidRPr="00D85A4F">
              <w:t>A</w:t>
            </w:r>
            <w:r>
              <w:t>n a</w:t>
            </w:r>
            <w:r w:rsidRPr="00D85A4F">
              <w:t xml:space="preserve">ppropriate staff member assesses </w:t>
            </w:r>
            <w:r>
              <w:t xml:space="preserve">the safety </w:t>
            </w:r>
            <w:r w:rsidRPr="00D85A4F">
              <w:t xml:space="preserve">risk to </w:t>
            </w:r>
            <w:r>
              <w:t xml:space="preserve">the </w:t>
            </w:r>
            <w:r w:rsidRPr="00D85A4F">
              <w:t xml:space="preserve">special patient or </w:t>
            </w:r>
            <w:r>
              <w:t xml:space="preserve">the </w:t>
            </w:r>
            <w:r w:rsidRPr="00D85A4F">
              <w:t xml:space="preserve">public and calls </w:t>
            </w:r>
            <w:r>
              <w:t>p</w:t>
            </w:r>
            <w:r w:rsidRPr="00D85A4F">
              <w:t>olice on 111</w:t>
            </w:r>
            <w:r w:rsidRPr="00D85A4F">
              <w:br/>
              <w:t>(the initial phone call)</w:t>
            </w:r>
          </w:p>
        </w:tc>
      </w:tr>
      <w:tr w:rsidR="00025FEB" w:rsidRPr="00D85A4F" w14:paraId="137E3985" w14:textId="77777777" w:rsidTr="7CB9D73B">
        <w:trPr>
          <w:cantSplit/>
        </w:trPr>
        <w:tc>
          <w:tcPr>
            <w:tcW w:w="9785" w:type="dxa"/>
            <w:tcBorders>
              <w:left w:val="nil"/>
              <w:right w:val="nil"/>
            </w:tcBorders>
          </w:tcPr>
          <w:p w14:paraId="6E141533" w14:textId="77777777" w:rsidR="00025FEB" w:rsidRPr="00D85A4F" w:rsidRDefault="00025FEB" w:rsidP="00AD0359">
            <w:pPr>
              <w:pStyle w:val="TableText"/>
              <w:jc w:val="center"/>
            </w:pPr>
            <w:r w:rsidRPr="00D85A4F">
              <w:rPr>
                <w:noProof/>
                <w:lang w:eastAsia="en-NZ"/>
              </w:rPr>
              <mc:AlternateContent>
                <mc:Choice Requires="wps">
                  <w:drawing>
                    <wp:inline distT="0" distB="0" distL="0" distR="0" wp14:anchorId="010BE6F5" wp14:editId="3BF97809">
                      <wp:extent cx="241069" cy="152400"/>
                      <wp:effectExtent l="38100" t="0" r="26035" b="38100"/>
                      <wp:docPr id="124" name="Down Arrow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69" cy="152400"/>
                              </a:xfrm>
                              <a:prstGeom prst="downArrow">
                                <a:avLst/>
                              </a:prstGeom>
                              <a:solidFill>
                                <a:sysClr val="window" lastClr="FFFFFF">
                                  <a:lumMod val="8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w14:anchorId="41088EF1">
                    <v:shape id="Down Arrow 124" style="width:19pt;height:12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d9d9d9" strokecolor="windowText"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" w14:anchorId="773510A0">
                      <v:path arrowok="t"/>
                      <w10:anchorlock/>
                    </v:shape>
                  </w:pict>
                </mc:Fallback>
              </mc:AlternateContent>
            </w:r>
          </w:p>
        </w:tc>
      </w:tr>
      <w:tr w:rsidR="00025FEB" w:rsidRPr="00D85A4F" w14:paraId="5423EF85" w14:textId="77777777" w:rsidTr="7CB9D73B">
        <w:trPr>
          <w:cantSplit/>
        </w:trPr>
        <w:tc>
          <w:tcPr>
            <w:tcW w:w="9785" w:type="dxa"/>
          </w:tcPr>
          <w:p w14:paraId="6C715DAF" w14:textId="77777777" w:rsidR="00025FEB" w:rsidRPr="00D85A4F" w:rsidRDefault="00025FEB" w:rsidP="00AD0359">
            <w:pPr>
              <w:pStyle w:val="TableText"/>
              <w:jc w:val="center"/>
            </w:pPr>
            <w:r w:rsidRPr="00D85A4F">
              <w:t>In that initial phone call</w:t>
            </w:r>
            <w:r>
              <w:t>,</w:t>
            </w:r>
            <w:r w:rsidRPr="00D85A4F">
              <w:t xml:space="preserve"> </w:t>
            </w:r>
            <w:r>
              <w:t xml:space="preserve">the </w:t>
            </w:r>
            <w:r w:rsidRPr="00D85A4F">
              <w:t xml:space="preserve">staff member discusses with </w:t>
            </w:r>
            <w:r>
              <w:t>p</w:t>
            </w:r>
            <w:r w:rsidRPr="00D85A4F">
              <w:t>olice how to approach the patient</w:t>
            </w:r>
            <w:r>
              <w:t>,</w:t>
            </w:r>
            <w:r w:rsidRPr="00D85A4F">
              <w:br/>
            </w:r>
            <w:r>
              <w:t xml:space="preserve">and gives relevant </w:t>
            </w:r>
            <w:r w:rsidRPr="00D85A4F">
              <w:t>comment</w:t>
            </w:r>
            <w:r>
              <w:t>ary</w:t>
            </w:r>
            <w:r w:rsidRPr="00D85A4F">
              <w:t xml:space="preserve"> on the safety of the patient, the public or particular </w:t>
            </w:r>
            <w:r>
              <w:t>people</w:t>
            </w:r>
          </w:p>
        </w:tc>
      </w:tr>
      <w:tr w:rsidR="00025FEB" w:rsidRPr="00D85A4F" w14:paraId="3CF617F6" w14:textId="77777777" w:rsidTr="7CB9D73B">
        <w:trPr>
          <w:cantSplit/>
        </w:trPr>
        <w:tc>
          <w:tcPr>
            <w:tcW w:w="9785" w:type="dxa"/>
            <w:tcBorders>
              <w:left w:val="nil"/>
              <w:right w:val="nil"/>
            </w:tcBorders>
          </w:tcPr>
          <w:p w14:paraId="01A89F5B" w14:textId="77777777" w:rsidR="00025FEB" w:rsidRPr="00D85A4F" w:rsidRDefault="00025FEB" w:rsidP="00AD0359">
            <w:pPr>
              <w:pStyle w:val="TableText"/>
              <w:jc w:val="center"/>
            </w:pPr>
            <w:r w:rsidRPr="00D85A4F">
              <w:rPr>
                <w:noProof/>
                <w:lang w:eastAsia="en-NZ"/>
              </w:rPr>
              <mc:AlternateContent>
                <mc:Choice Requires="wps">
                  <w:drawing>
                    <wp:inline distT="0" distB="0" distL="0" distR="0" wp14:anchorId="04F1CF83" wp14:editId="6C7ED4B2">
                      <wp:extent cx="241069" cy="152400"/>
                      <wp:effectExtent l="38100" t="0" r="26035" b="38100"/>
                      <wp:docPr id="125" name="Down Arrow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69" cy="152400"/>
                              </a:xfrm>
                              <a:prstGeom prst="downArrow">
                                <a:avLst/>
                              </a:prstGeom>
                              <a:solidFill>
                                <a:sysClr val="window" lastClr="FFFFFF">
                                  <a:lumMod val="8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w14:anchorId="650CA5F2">
                    <v:shape id="Down Arrow 125" style="width:19pt;height:12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d9d9d9" strokecolor="windowText"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" w14:anchorId="7D2D75FB">
                      <v:path arrowok="t"/>
                      <w10:anchorlock/>
                    </v:shape>
                  </w:pict>
                </mc:Fallback>
              </mc:AlternateContent>
            </w:r>
          </w:p>
        </w:tc>
      </w:tr>
      <w:tr w:rsidR="00025FEB" w:rsidRPr="00D85A4F" w14:paraId="12591A34" w14:textId="77777777" w:rsidTr="7CB9D73B">
        <w:trPr>
          <w:cantSplit/>
        </w:trPr>
        <w:tc>
          <w:tcPr>
            <w:tcW w:w="9785" w:type="dxa"/>
          </w:tcPr>
          <w:p w14:paraId="48021129" w14:textId="62D5AC19" w:rsidR="00025FEB" w:rsidRPr="00D85A4F" w:rsidRDefault="7CB9D73B" w:rsidP="00AD0359">
            <w:pPr>
              <w:pStyle w:val="TableText"/>
              <w:jc w:val="center"/>
            </w:pPr>
            <w:r>
              <w:t>The staff member provides police with information requested by them and gives the name, landline,</w:t>
            </w:r>
            <w:r w:rsidR="00025FEB">
              <w:br/>
            </w:r>
            <w:r>
              <w:t xml:space="preserve">and mobile number of the main contact person in a health service provided by </w:t>
            </w:r>
            <w:proofErr w:type="spellStart"/>
            <w:r>
              <w:t>Te</w:t>
            </w:r>
            <w:proofErr w:type="spellEnd"/>
            <w:r>
              <w:t xml:space="preserve"> </w:t>
            </w:r>
            <w:proofErr w:type="spellStart"/>
            <w:r>
              <w:t>Whatu</w:t>
            </w:r>
            <w:proofErr w:type="spellEnd"/>
            <w:r>
              <w:t xml:space="preserve"> Ora. After the initial phone call, the staff member emails the police the details and an accompanying photograph</w:t>
            </w:r>
          </w:p>
        </w:tc>
      </w:tr>
      <w:tr w:rsidR="00025FEB" w:rsidRPr="00D85A4F" w14:paraId="1408E512" w14:textId="77777777" w:rsidTr="7CB9D73B">
        <w:trPr>
          <w:cantSplit/>
        </w:trPr>
        <w:tc>
          <w:tcPr>
            <w:tcW w:w="9785" w:type="dxa"/>
            <w:tcBorders>
              <w:left w:val="nil"/>
              <w:right w:val="nil"/>
            </w:tcBorders>
          </w:tcPr>
          <w:p w14:paraId="7F4EFB3A" w14:textId="77777777" w:rsidR="00025FEB" w:rsidRPr="00D85A4F" w:rsidRDefault="00025FEB" w:rsidP="00AD0359">
            <w:pPr>
              <w:pStyle w:val="TableText"/>
              <w:jc w:val="center"/>
            </w:pPr>
            <w:r w:rsidRPr="00D85A4F">
              <w:rPr>
                <w:noProof/>
                <w:lang w:eastAsia="en-NZ"/>
              </w:rPr>
              <mc:AlternateContent>
                <mc:Choice Requires="wps">
                  <w:drawing>
                    <wp:inline distT="0" distB="0" distL="0" distR="0" wp14:anchorId="1851E5EC" wp14:editId="58B2B24A">
                      <wp:extent cx="241069" cy="152400"/>
                      <wp:effectExtent l="38100" t="0" r="26035" b="38100"/>
                      <wp:docPr id="126" name="Down Arrow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69" cy="152400"/>
                              </a:xfrm>
                              <a:prstGeom prst="downArrow">
                                <a:avLst/>
                              </a:prstGeom>
                              <a:solidFill>
                                <a:sysClr val="window" lastClr="FFFFFF">
                                  <a:lumMod val="8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w14:anchorId="72033D2F">
                    <v:shape id="Down Arrow 126" style="width:19pt;height:12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d9d9d9" strokecolor="windowText"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" w14:anchorId="0B76DB18">
                      <v:path arrowok="t"/>
                      <w10:anchorlock/>
                    </v:shape>
                  </w:pict>
                </mc:Fallback>
              </mc:AlternateContent>
            </w:r>
          </w:p>
        </w:tc>
      </w:tr>
      <w:tr w:rsidR="00025FEB" w:rsidRPr="00D85A4F" w14:paraId="6237AAB5" w14:textId="77777777" w:rsidTr="7CB9D73B">
        <w:trPr>
          <w:cantSplit/>
        </w:trPr>
        <w:tc>
          <w:tcPr>
            <w:tcW w:w="9785" w:type="dxa"/>
          </w:tcPr>
          <w:p w14:paraId="3448A6E7" w14:textId="77777777" w:rsidR="00025FEB" w:rsidRPr="00D85A4F" w:rsidRDefault="00025FEB" w:rsidP="00AD0359">
            <w:pPr>
              <w:pStyle w:val="TableText"/>
              <w:jc w:val="center"/>
            </w:pPr>
            <w:r>
              <w:t xml:space="preserve">The </w:t>
            </w:r>
            <w:r w:rsidRPr="00D85A4F">
              <w:t xml:space="preserve">staff member records the event number given by </w:t>
            </w:r>
            <w:r>
              <w:t>p</w:t>
            </w:r>
            <w:r w:rsidRPr="00D85A4F">
              <w:t>olice</w:t>
            </w:r>
            <w:r>
              <w:t>,</w:t>
            </w:r>
            <w:r w:rsidRPr="00D85A4F">
              <w:t xml:space="preserve"> as this will be used in further communication,</w:t>
            </w:r>
            <w:r w:rsidRPr="00D85A4F">
              <w:br/>
            </w:r>
            <w:r w:rsidRPr="00D85A4F">
              <w:rPr>
                <w:rFonts w:cs="Arial"/>
              </w:rPr>
              <w:t xml:space="preserve">and records who to liaise with in </w:t>
            </w:r>
            <w:r>
              <w:rPr>
                <w:rFonts w:cs="Arial"/>
              </w:rPr>
              <w:t>the p</w:t>
            </w:r>
            <w:r w:rsidRPr="00D85A4F">
              <w:rPr>
                <w:rFonts w:cs="Arial"/>
              </w:rPr>
              <w:t>olice after this point (which will vary in each area)</w:t>
            </w:r>
          </w:p>
        </w:tc>
      </w:tr>
      <w:tr w:rsidR="00025FEB" w:rsidRPr="00D85A4F" w14:paraId="7511B9A9" w14:textId="77777777" w:rsidTr="7CB9D73B">
        <w:trPr>
          <w:cantSplit/>
        </w:trPr>
        <w:tc>
          <w:tcPr>
            <w:tcW w:w="9785" w:type="dxa"/>
            <w:tcBorders>
              <w:left w:val="nil"/>
              <w:right w:val="nil"/>
            </w:tcBorders>
          </w:tcPr>
          <w:p w14:paraId="0C9CC3D7" w14:textId="77777777" w:rsidR="00025FEB" w:rsidRPr="00D85A4F" w:rsidRDefault="00025FEB" w:rsidP="00AD0359">
            <w:pPr>
              <w:pStyle w:val="TableText"/>
              <w:jc w:val="center"/>
            </w:pPr>
            <w:r w:rsidRPr="00D85A4F">
              <w:rPr>
                <w:noProof/>
                <w:lang w:eastAsia="en-NZ"/>
              </w:rPr>
              <mc:AlternateContent>
                <mc:Choice Requires="wps">
                  <w:drawing>
                    <wp:inline distT="0" distB="0" distL="0" distR="0" wp14:anchorId="0B0C79A6" wp14:editId="5A6EA403">
                      <wp:extent cx="241069" cy="152400"/>
                      <wp:effectExtent l="38100" t="0" r="26035" b="38100"/>
                      <wp:docPr id="127" name="Down Arrow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69" cy="152400"/>
                              </a:xfrm>
                              <a:prstGeom prst="downArrow">
                                <a:avLst/>
                              </a:prstGeom>
                              <a:solidFill>
                                <a:sysClr val="window" lastClr="FFFFFF">
                                  <a:lumMod val="8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w14:anchorId="123BFD74">
                    <v:shape id="Down Arrow 127" style="width:19pt;height:12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d9d9d9" strokecolor="windowText"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" w14:anchorId="145F66BB">
                      <v:path arrowok="t"/>
                      <w10:anchorlock/>
                    </v:shape>
                  </w:pict>
                </mc:Fallback>
              </mc:AlternateContent>
            </w:r>
          </w:p>
        </w:tc>
      </w:tr>
      <w:tr w:rsidR="00025FEB" w:rsidRPr="00D85A4F" w14:paraId="30DE1BF3" w14:textId="77777777" w:rsidTr="7CB9D73B">
        <w:trPr>
          <w:cantSplit/>
        </w:trPr>
        <w:tc>
          <w:tcPr>
            <w:tcW w:w="9785" w:type="dxa"/>
          </w:tcPr>
          <w:p w14:paraId="440C8F31" w14:textId="77777777" w:rsidR="00025FEB" w:rsidRPr="00D85A4F" w:rsidRDefault="00025FEB" w:rsidP="00AD0359">
            <w:pPr>
              <w:pStyle w:val="TableText"/>
              <w:jc w:val="center"/>
            </w:pPr>
            <w:r>
              <w:t xml:space="preserve">The </w:t>
            </w:r>
            <w:r w:rsidRPr="00D85A4F">
              <w:t xml:space="preserve">staff member then immediately calls </w:t>
            </w:r>
            <w:r>
              <w:t xml:space="preserve">the </w:t>
            </w:r>
            <w:r w:rsidRPr="00D85A4F">
              <w:t>DAMHS</w:t>
            </w:r>
          </w:p>
        </w:tc>
      </w:tr>
      <w:tr w:rsidR="00025FEB" w:rsidRPr="00D85A4F" w14:paraId="47C06A53" w14:textId="77777777" w:rsidTr="7CB9D73B">
        <w:trPr>
          <w:cantSplit/>
        </w:trPr>
        <w:tc>
          <w:tcPr>
            <w:tcW w:w="9785" w:type="dxa"/>
            <w:tcBorders>
              <w:left w:val="nil"/>
              <w:right w:val="nil"/>
            </w:tcBorders>
          </w:tcPr>
          <w:p w14:paraId="53E30840" w14:textId="77777777" w:rsidR="00025FEB" w:rsidRPr="00D85A4F" w:rsidRDefault="00025FEB" w:rsidP="00AD0359">
            <w:pPr>
              <w:pStyle w:val="TableText"/>
              <w:jc w:val="center"/>
            </w:pPr>
            <w:r w:rsidRPr="00D85A4F">
              <w:rPr>
                <w:noProof/>
                <w:lang w:eastAsia="en-NZ"/>
              </w:rPr>
              <mc:AlternateContent>
                <mc:Choice Requires="wps">
                  <w:drawing>
                    <wp:inline distT="0" distB="0" distL="0" distR="0" wp14:anchorId="370D97F2" wp14:editId="6196ECD7">
                      <wp:extent cx="241069" cy="152400"/>
                      <wp:effectExtent l="38100" t="0" r="26035" b="38100"/>
                      <wp:docPr id="128" name="Down Arrow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69" cy="152400"/>
                              </a:xfrm>
                              <a:prstGeom prst="downArrow">
                                <a:avLst/>
                              </a:prstGeom>
                              <a:solidFill>
                                <a:sysClr val="window" lastClr="FFFFFF">
                                  <a:lumMod val="8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w14:anchorId="6DF67C14">
                    <v:shape id="Down Arrow 128" style="width:19pt;height:12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d9d9d9" strokecolor="windowText"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" w14:anchorId="60BC7BA0">
                      <v:path arrowok="t"/>
                      <w10:anchorlock/>
                    </v:shape>
                  </w:pict>
                </mc:Fallback>
              </mc:AlternateContent>
            </w:r>
          </w:p>
        </w:tc>
      </w:tr>
      <w:tr w:rsidR="00025FEB" w:rsidRPr="00D85A4F" w14:paraId="2C0C9DC9" w14:textId="77777777" w:rsidTr="7CB9D73B">
        <w:trPr>
          <w:cantSplit/>
        </w:trPr>
        <w:tc>
          <w:tcPr>
            <w:tcW w:w="9785" w:type="dxa"/>
          </w:tcPr>
          <w:p w14:paraId="3BBBBB48" w14:textId="77777777" w:rsidR="00025FEB" w:rsidRPr="00D85A4F" w:rsidRDefault="00025FEB" w:rsidP="00AD0359">
            <w:pPr>
              <w:pStyle w:val="TableText"/>
              <w:jc w:val="center"/>
            </w:pPr>
            <w:r>
              <w:t xml:space="preserve">The </w:t>
            </w:r>
            <w:r w:rsidRPr="00D85A4F">
              <w:t xml:space="preserve">DAMHS checks to see whether there are any registered victims associated with </w:t>
            </w:r>
            <w:r>
              <w:t>the</w:t>
            </w:r>
            <w:r w:rsidRPr="00D85A4F">
              <w:t xml:space="preserve"> special patient</w:t>
            </w:r>
            <w:r>
              <w:t>,</w:t>
            </w:r>
            <w:r w:rsidRPr="00D85A4F">
              <w:br/>
              <w:t>notifies the victims appropriately and places a border alert (</w:t>
            </w:r>
            <w:r>
              <w:t xml:space="preserve">by calling </w:t>
            </w:r>
            <w:r w:rsidRPr="00D85A4F">
              <w:t>0508 ITOC OPS</w:t>
            </w:r>
            <w:r>
              <w:t xml:space="preserve"> </w:t>
            </w:r>
            <w:r w:rsidRPr="00036006">
              <w:t>0508 4862 677</w:t>
            </w:r>
            <w:r w:rsidRPr="00D85A4F">
              <w:t>)</w:t>
            </w:r>
          </w:p>
        </w:tc>
      </w:tr>
      <w:tr w:rsidR="00025FEB" w:rsidRPr="00D85A4F" w14:paraId="6316CA58" w14:textId="77777777" w:rsidTr="7CB9D73B">
        <w:trPr>
          <w:cantSplit/>
        </w:trPr>
        <w:tc>
          <w:tcPr>
            <w:tcW w:w="9785" w:type="dxa"/>
            <w:tcBorders>
              <w:left w:val="nil"/>
              <w:right w:val="nil"/>
            </w:tcBorders>
          </w:tcPr>
          <w:p w14:paraId="7B0DFFAF" w14:textId="77777777" w:rsidR="00025FEB" w:rsidRPr="00D85A4F" w:rsidRDefault="00025FEB" w:rsidP="00AD0359">
            <w:pPr>
              <w:pStyle w:val="TableText"/>
              <w:jc w:val="center"/>
            </w:pPr>
            <w:r w:rsidRPr="00D85A4F">
              <w:rPr>
                <w:noProof/>
                <w:lang w:eastAsia="en-NZ"/>
              </w:rPr>
              <mc:AlternateContent>
                <mc:Choice Requires="wps">
                  <w:drawing>
                    <wp:inline distT="0" distB="0" distL="0" distR="0" wp14:anchorId="31E8D09D" wp14:editId="7608E791">
                      <wp:extent cx="241069" cy="152400"/>
                      <wp:effectExtent l="38100" t="0" r="26035" b="38100"/>
                      <wp:docPr id="129" name="Down Arrow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69" cy="152400"/>
                              </a:xfrm>
                              <a:prstGeom prst="downArrow">
                                <a:avLst/>
                              </a:prstGeom>
                              <a:solidFill>
                                <a:sysClr val="window" lastClr="FFFFFF">
                                  <a:lumMod val="8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w14:anchorId="21F19328">
                    <v:shape id="Down Arrow 129" style="width:19pt;height:12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d9d9d9" strokecolor="windowText"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" w14:anchorId="5C7E4EF0">
                      <v:path arrowok="t"/>
                      <w10:anchorlock/>
                    </v:shape>
                  </w:pict>
                </mc:Fallback>
              </mc:AlternateContent>
            </w:r>
          </w:p>
        </w:tc>
      </w:tr>
      <w:tr w:rsidR="00025FEB" w:rsidRPr="00D85A4F" w14:paraId="2798EEE4" w14:textId="77777777" w:rsidTr="7CB9D73B">
        <w:trPr>
          <w:cantSplit/>
        </w:trPr>
        <w:tc>
          <w:tcPr>
            <w:tcW w:w="9785" w:type="dxa"/>
          </w:tcPr>
          <w:p w14:paraId="7C5D6FDA" w14:textId="77777777" w:rsidR="00025FEB" w:rsidRPr="00D85A4F" w:rsidRDefault="00025FEB" w:rsidP="00AD0359">
            <w:pPr>
              <w:pStyle w:val="TableText"/>
              <w:jc w:val="center"/>
            </w:pPr>
            <w:r>
              <w:t xml:space="preserve">The </w:t>
            </w:r>
            <w:r w:rsidRPr="00D85A4F">
              <w:t xml:space="preserve">DAMHS makes </w:t>
            </w:r>
            <w:r>
              <w:t xml:space="preserve">an </w:t>
            </w:r>
            <w:r w:rsidRPr="00D85A4F">
              <w:t xml:space="preserve">immediate cell phone call to </w:t>
            </w:r>
            <w:r>
              <w:t xml:space="preserve">the </w:t>
            </w:r>
            <w:r w:rsidRPr="00D85A4F">
              <w:t>Director or Deputy Director of Mental Health and</w:t>
            </w:r>
            <w:r w:rsidRPr="00D85A4F">
              <w:br/>
              <w:t xml:space="preserve">provides them with information of the incident as given to </w:t>
            </w:r>
            <w:r>
              <w:t>p</w:t>
            </w:r>
            <w:r w:rsidRPr="00D85A4F">
              <w:t>olice, any flight risk assessment or information,</w:t>
            </w:r>
            <w:r w:rsidRPr="00D85A4F">
              <w:br/>
              <w:t xml:space="preserve">the </w:t>
            </w:r>
            <w:r>
              <w:t>p</w:t>
            </w:r>
            <w:r w:rsidRPr="00D85A4F">
              <w:t xml:space="preserve">olice event number, any registered victims notification process that has occurred </w:t>
            </w:r>
            <w:r>
              <w:t xml:space="preserve">and </w:t>
            </w:r>
            <w:r w:rsidRPr="00D85A4F">
              <w:t xml:space="preserve">any border alert that has been </w:t>
            </w:r>
            <w:r>
              <w:t>placed;</w:t>
            </w:r>
            <w:r w:rsidRPr="00D85A4F">
              <w:br/>
            </w:r>
            <w:r>
              <w:t xml:space="preserve">the DAMHS </w:t>
            </w:r>
            <w:r w:rsidRPr="00D85A4F">
              <w:t>cross</w:t>
            </w:r>
            <w:r>
              <w:t>-</w:t>
            </w:r>
            <w:r w:rsidRPr="00D85A4F">
              <w:t xml:space="preserve">checks victims’ details with Office of the Director </w:t>
            </w:r>
          </w:p>
        </w:tc>
      </w:tr>
      <w:tr w:rsidR="00025FEB" w:rsidRPr="00D85A4F" w14:paraId="01EFF999" w14:textId="77777777" w:rsidTr="7CB9D73B">
        <w:trPr>
          <w:cantSplit/>
        </w:trPr>
        <w:tc>
          <w:tcPr>
            <w:tcW w:w="9785" w:type="dxa"/>
            <w:tcBorders>
              <w:left w:val="nil"/>
              <w:right w:val="nil"/>
            </w:tcBorders>
          </w:tcPr>
          <w:p w14:paraId="31115B80" w14:textId="77777777" w:rsidR="00025FEB" w:rsidRPr="00D85A4F" w:rsidRDefault="00025FEB" w:rsidP="00AD0359">
            <w:pPr>
              <w:pStyle w:val="TableText"/>
              <w:jc w:val="center"/>
            </w:pPr>
            <w:r w:rsidRPr="00D85A4F">
              <w:rPr>
                <w:noProof/>
                <w:lang w:eastAsia="en-NZ"/>
              </w:rPr>
              <mc:AlternateContent>
                <mc:Choice Requires="wps">
                  <w:drawing>
                    <wp:inline distT="0" distB="0" distL="0" distR="0" wp14:anchorId="1D3A677C" wp14:editId="4EA8A25B">
                      <wp:extent cx="241069" cy="152400"/>
                      <wp:effectExtent l="38100" t="0" r="26035" b="38100"/>
                      <wp:docPr id="130" name="Down Arrow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69" cy="152400"/>
                              </a:xfrm>
                              <a:prstGeom prst="downArrow">
                                <a:avLst/>
                              </a:prstGeom>
                              <a:solidFill>
                                <a:sysClr val="window" lastClr="FFFFFF">
                                  <a:lumMod val="8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w14:anchorId="1B9BC2DF">
                    <v:shape id="Down Arrow 130" style="width:19pt;height:12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d9d9d9" strokecolor="windowText"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" w14:anchorId="162273A5">
                      <v:path arrowok="t"/>
                      <w10:anchorlock/>
                    </v:shape>
                  </w:pict>
                </mc:Fallback>
              </mc:AlternateContent>
            </w:r>
          </w:p>
        </w:tc>
      </w:tr>
      <w:tr w:rsidR="00025FEB" w:rsidRPr="00D85A4F" w14:paraId="3648E498" w14:textId="77777777" w:rsidTr="7CB9D73B">
        <w:trPr>
          <w:cantSplit/>
        </w:trPr>
        <w:tc>
          <w:tcPr>
            <w:tcW w:w="9785" w:type="dxa"/>
          </w:tcPr>
          <w:p w14:paraId="6E47099E" w14:textId="3A383810" w:rsidR="00025FEB" w:rsidRPr="00D85A4F" w:rsidRDefault="7CB9D73B" w:rsidP="00AD0359">
            <w:pPr>
              <w:pStyle w:val="TableText"/>
              <w:jc w:val="center"/>
            </w:pPr>
            <w:r>
              <w:t>The Office of the Director acknowledges the advice, informs the Director-General of Health and/or the Minister’s Office,</w:t>
            </w:r>
            <w:r w:rsidR="00025FEB">
              <w:br/>
            </w:r>
            <w:r>
              <w:t>cross-checks victims’ details with the police, imposes emergency passport measures,</w:t>
            </w:r>
            <w:r w:rsidR="00025FEB">
              <w:br/>
            </w:r>
            <w:r>
              <w:t xml:space="preserve">advises MFAT if the special patient is a foreign national, checks whether </w:t>
            </w:r>
            <w:proofErr w:type="spellStart"/>
            <w:r>
              <w:t>Te</w:t>
            </w:r>
            <w:proofErr w:type="spellEnd"/>
            <w:r>
              <w:t xml:space="preserve"> </w:t>
            </w:r>
            <w:proofErr w:type="spellStart"/>
            <w:r>
              <w:t>Whatu</w:t>
            </w:r>
            <w:proofErr w:type="spellEnd"/>
            <w:r>
              <w:t xml:space="preserve"> Ora health service has a media strategy,</w:t>
            </w:r>
            <w:r w:rsidR="00025FEB">
              <w:br/>
            </w:r>
            <w:r>
              <w:t>advises Ministry of Health media staff as appropriate, and confirms any actions immediately with the DAMHS and police</w:t>
            </w:r>
          </w:p>
        </w:tc>
      </w:tr>
      <w:tr w:rsidR="00025FEB" w:rsidRPr="00D85A4F" w14:paraId="4922B867" w14:textId="77777777" w:rsidTr="7CB9D73B">
        <w:trPr>
          <w:cantSplit/>
        </w:trPr>
        <w:tc>
          <w:tcPr>
            <w:tcW w:w="9785" w:type="dxa"/>
            <w:tcBorders>
              <w:left w:val="nil"/>
              <w:right w:val="nil"/>
            </w:tcBorders>
          </w:tcPr>
          <w:p w14:paraId="25765EE2" w14:textId="77777777" w:rsidR="00025FEB" w:rsidRPr="00D85A4F" w:rsidRDefault="00025FEB" w:rsidP="00AD0359">
            <w:pPr>
              <w:pStyle w:val="TableText"/>
              <w:jc w:val="center"/>
            </w:pPr>
            <w:r w:rsidRPr="00D85A4F">
              <w:rPr>
                <w:noProof/>
                <w:lang w:eastAsia="en-NZ"/>
              </w:rPr>
              <mc:AlternateContent>
                <mc:Choice Requires="wps">
                  <w:drawing>
                    <wp:inline distT="0" distB="0" distL="0" distR="0" wp14:anchorId="03DA6FF1" wp14:editId="3669607D">
                      <wp:extent cx="241069" cy="152400"/>
                      <wp:effectExtent l="38100" t="0" r="26035" b="38100"/>
                      <wp:docPr id="131" name="Down Arrow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69" cy="152400"/>
                              </a:xfrm>
                              <a:prstGeom prst="downArrow">
                                <a:avLst/>
                              </a:prstGeom>
                              <a:solidFill>
                                <a:sysClr val="window" lastClr="FFFFFF">
                                  <a:lumMod val="8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w14:anchorId="29A26A5B">
                    <v:shape id="Down Arrow 131" style="width:19pt;height:12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d9d9d9" strokecolor="windowText"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" w14:anchorId="1427E7F2">
                      <v:path arrowok="t"/>
                      <w10:anchorlock/>
                    </v:shape>
                  </w:pict>
                </mc:Fallback>
              </mc:AlternateContent>
            </w:r>
          </w:p>
        </w:tc>
      </w:tr>
    </w:tbl>
    <w:p w14:paraId="54091904" w14:textId="77777777" w:rsidR="00025FEB" w:rsidRDefault="00025FEB" w:rsidP="00025FEB"/>
    <w:tbl>
      <w:tblPr>
        <w:tblStyle w:val="TableGrid"/>
        <w:tblpPr w:leftFromText="180" w:rightFromText="180" w:vertAnchor="text" w:horzAnchor="margin" w:tblpXSpec="center" w:tblpY="1"/>
        <w:tblW w:w="9785" w:type="dxa"/>
        <w:tblInd w:w="0" w:type="dxa"/>
        <w:tblLayout w:type="fixed"/>
        <w:tblLook w:val="04A0" w:firstRow="1" w:lastRow="0" w:firstColumn="1" w:lastColumn="0" w:noHBand="0" w:noVBand="1"/>
      </w:tblPr>
      <w:tblGrid>
        <w:gridCol w:w="9785"/>
      </w:tblGrid>
      <w:tr w:rsidR="00025FEB" w:rsidRPr="00D85A4F" w14:paraId="4689E3B9" w14:textId="77777777" w:rsidTr="00AD0359">
        <w:trPr>
          <w:cantSplit/>
        </w:trPr>
        <w:tc>
          <w:tcPr>
            <w:tcW w:w="9785" w:type="dxa"/>
          </w:tcPr>
          <w:p w14:paraId="7C1180DF" w14:textId="77777777" w:rsidR="00025FEB" w:rsidRPr="00D85A4F" w:rsidRDefault="00025FEB" w:rsidP="00AD0359">
            <w:pPr>
              <w:pStyle w:val="TableText"/>
              <w:jc w:val="center"/>
            </w:pPr>
            <w:r w:rsidRPr="00D85A4F">
              <w:t xml:space="preserve">Police (or </w:t>
            </w:r>
            <w:r>
              <w:t>an</w:t>
            </w:r>
            <w:r w:rsidRPr="00D85A4F">
              <w:t xml:space="preserve">other person as specified in </w:t>
            </w:r>
            <w:r>
              <w:t>s</w:t>
            </w:r>
            <w:r w:rsidRPr="00D85A4F">
              <w:t>ection 53) retake the patient to the facility</w:t>
            </w:r>
            <w:r w:rsidRPr="00D85A4F">
              <w:br/>
              <w:t xml:space="preserve">from which </w:t>
            </w:r>
            <w:r>
              <w:t xml:space="preserve">they </w:t>
            </w:r>
            <w:r w:rsidRPr="00D85A4F">
              <w:t>escaped or was on leave from (prior to the leave being cancelled or expiring);</w:t>
            </w:r>
            <w:r w:rsidRPr="00D85A4F">
              <w:br/>
              <w:t>if the place of return is unclear or not easily reached</w:t>
            </w:r>
            <w:r>
              <w:t>,</w:t>
            </w:r>
            <w:r w:rsidRPr="00D85A4F">
              <w:t xml:space="preserve"> </w:t>
            </w:r>
            <w:r>
              <w:t>p</w:t>
            </w:r>
            <w:r w:rsidRPr="00D85A4F">
              <w:t xml:space="preserve">olice (or </w:t>
            </w:r>
            <w:r>
              <w:t>an</w:t>
            </w:r>
            <w:r w:rsidRPr="00D85A4F">
              <w:t xml:space="preserve">other person) should call the main </w:t>
            </w:r>
            <w:proofErr w:type="spellStart"/>
            <w:r w:rsidRPr="00EC4D90">
              <w:t>Te</w:t>
            </w:r>
            <w:proofErr w:type="spellEnd"/>
            <w:r w:rsidRPr="00EC4D90">
              <w:t xml:space="preserve"> </w:t>
            </w:r>
            <w:proofErr w:type="spellStart"/>
            <w:r w:rsidRPr="00EC4D90">
              <w:t>Whatu</w:t>
            </w:r>
            <w:proofErr w:type="spellEnd"/>
            <w:r w:rsidRPr="00EC4D90">
              <w:t xml:space="preserve"> Ora </w:t>
            </w:r>
            <w:r w:rsidRPr="00EC4D90">
              <w:lastRenderedPageBreak/>
              <w:t>health service</w:t>
            </w:r>
            <w:r>
              <w:t xml:space="preserve"> </w:t>
            </w:r>
            <w:r w:rsidRPr="00D85A4F">
              <w:t>contact point,</w:t>
            </w:r>
            <w:r w:rsidRPr="00D85A4F">
              <w:br/>
              <w:t xml:space="preserve">who will liaise with </w:t>
            </w:r>
            <w:r>
              <w:t xml:space="preserve">the </w:t>
            </w:r>
            <w:r w:rsidRPr="00D85A4F">
              <w:t xml:space="preserve">DAMHS regarding which facility to return the special patient to </w:t>
            </w:r>
          </w:p>
        </w:tc>
      </w:tr>
      <w:tr w:rsidR="00025FEB" w:rsidRPr="00D85A4F" w14:paraId="085058DE" w14:textId="77777777" w:rsidTr="00AD0359">
        <w:trPr>
          <w:cantSplit/>
        </w:trPr>
        <w:tc>
          <w:tcPr>
            <w:tcW w:w="9785" w:type="dxa"/>
            <w:tcBorders>
              <w:left w:val="nil"/>
              <w:right w:val="nil"/>
            </w:tcBorders>
          </w:tcPr>
          <w:p w14:paraId="32F1FBA9" w14:textId="77777777" w:rsidR="00025FEB" w:rsidRPr="00D85A4F" w:rsidRDefault="00025FEB" w:rsidP="00AD0359">
            <w:pPr>
              <w:pStyle w:val="TableText"/>
              <w:jc w:val="center"/>
            </w:pPr>
            <w:r w:rsidRPr="00D85A4F">
              <w:rPr>
                <w:noProof/>
                <w:lang w:eastAsia="en-NZ"/>
              </w:rPr>
              <w:lastRenderedPageBreak/>
              <mc:AlternateContent>
                <mc:Choice Requires="wps">
                  <w:drawing>
                    <wp:inline distT="0" distB="0" distL="0" distR="0" wp14:anchorId="570D2929" wp14:editId="03A776AD">
                      <wp:extent cx="241069" cy="152400"/>
                      <wp:effectExtent l="38100" t="0" r="26035" b="38100"/>
                      <wp:docPr id="132" name="Down Arrow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69" cy="152400"/>
                              </a:xfrm>
                              <a:prstGeom prst="downArrow">
                                <a:avLst/>
                              </a:prstGeom>
                              <a:solidFill>
                                <a:sysClr val="window" lastClr="FFFFFF">
                                  <a:lumMod val="8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w14:anchorId="17C8E38A">
                    <v:shape id="Down Arrow 132" style="width:19pt;height:12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d9d9d9" strokecolor="windowText"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" w14:anchorId="58DB1857">
                      <v:path arrowok="t"/>
                      <w10:anchorlock/>
                    </v:shape>
                  </w:pict>
                </mc:Fallback>
              </mc:AlternateContent>
            </w:r>
          </w:p>
        </w:tc>
      </w:tr>
      <w:tr w:rsidR="00025FEB" w:rsidRPr="00D85A4F" w14:paraId="4B68A6E7" w14:textId="77777777" w:rsidTr="00AD0359">
        <w:trPr>
          <w:cantSplit/>
        </w:trPr>
        <w:tc>
          <w:tcPr>
            <w:tcW w:w="9785" w:type="dxa"/>
          </w:tcPr>
          <w:p w14:paraId="0D6DE14B" w14:textId="77777777" w:rsidR="00025FEB" w:rsidRPr="00D85A4F" w:rsidRDefault="00025FEB" w:rsidP="00AD0359">
            <w:pPr>
              <w:pStyle w:val="TableText"/>
              <w:jc w:val="center"/>
            </w:pPr>
            <w:r>
              <w:t xml:space="preserve">The </w:t>
            </w:r>
            <w:r w:rsidRPr="00D85A4F">
              <w:t xml:space="preserve">DAMHS keeps the </w:t>
            </w:r>
            <w:r>
              <w:t xml:space="preserve">Office of the Director </w:t>
            </w:r>
            <w:r w:rsidRPr="00D85A4F">
              <w:t>informed of progress and places a phone call to the Director or Deputy Director</w:t>
            </w:r>
            <w:r w:rsidRPr="00D85A4F">
              <w:br/>
              <w:t xml:space="preserve">as soon as the special patient is retaken, </w:t>
            </w:r>
            <w:r>
              <w:t>giving</w:t>
            </w:r>
            <w:r w:rsidRPr="00D85A4F">
              <w:t xml:space="preserve"> relevant information</w:t>
            </w:r>
            <w:r>
              <w:t>,</w:t>
            </w:r>
            <w:r w:rsidRPr="00D85A4F">
              <w:t xml:space="preserve"> including </w:t>
            </w:r>
            <w:r>
              <w:t xml:space="preserve">on </w:t>
            </w:r>
            <w:r w:rsidRPr="00D85A4F">
              <w:t>the special patient’s health and welfare</w:t>
            </w:r>
          </w:p>
        </w:tc>
      </w:tr>
      <w:tr w:rsidR="00025FEB" w:rsidRPr="00D85A4F" w14:paraId="5A45E413" w14:textId="77777777" w:rsidTr="00AD0359">
        <w:trPr>
          <w:cantSplit/>
        </w:trPr>
        <w:tc>
          <w:tcPr>
            <w:tcW w:w="9785" w:type="dxa"/>
            <w:tcBorders>
              <w:left w:val="nil"/>
              <w:right w:val="nil"/>
            </w:tcBorders>
          </w:tcPr>
          <w:p w14:paraId="08D7CFA7" w14:textId="77777777" w:rsidR="00025FEB" w:rsidRPr="00D85A4F" w:rsidRDefault="00025FEB" w:rsidP="00AD0359">
            <w:pPr>
              <w:pStyle w:val="TableText"/>
              <w:jc w:val="center"/>
            </w:pPr>
            <w:r w:rsidRPr="00D85A4F">
              <w:rPr>
                <w:noProof/>
                <w:lang w:eastAsia="en-NZ"/>
              </w:rPr>
              <mc:AlternateContent>
                <mc:Choice Requires="wps">
                  <w:drawing>
                    <wp:inline distT="0" distB="0" distL="0" distR="0" wp14:anchorId="6D0F55EE" wp14:editId="4A808777">
                      <wp:extent cx="241069" cy="152400"/>
                      <wp:effectExtent l="38100" t="0" r="26035" b="38100"/>
                      <wp:docPr id="133" name="Down Arrow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69" cy="152400"/>
                              </a:xfrm>
                              <a:prstGeom prst="downArrow">
                                <a:avLst/>
                              </a:prstGeom>
                              <a:solidFill>
                                <a:sysClr val="window" lastClr="FFFFFF">
                                  <a:lumMod val="8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w14:anchorId="6DF178A9">
                    <v:shape id="Down Arrow 133" style="width:19pt;height:12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d9d9d9" strokecolor="windowText"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" w14:anchorId="53D985F7">
                      <v:path arrowok="t"/>
                      <w10:anchorlock/>
                    </v:shape>
                  </w:pict>
                </mc:Fallback>
              </mc:AlternateContent>
            </w:r>
          </w:p>
        </w:tc>
      </w:tr>
      <w:tr w:rsidR="00025FEB" w:rsidRPr="00D85A4F" w14:paraId="5F230327" w14:textId="77777777" w:rsidTr="00AD0359">
        <w:trPr>
          <w:cantSplit/>
        </w:trPr>
        <w:tc>
          <w:tcPr>
            <w:tcW w:w="9785" w:type="dxa"/>
          </w:tcPr>
          <w:p w14:paraId="464BA5C3" w14:textId="77777777" w:rsidR="00025FEB" w:rsidRPr="00D85A4F" w:rsidRDefault="00025FEB" w:rsidP="00AD0359">
            <w:pPr>
              <w:pStyle w:val="TableText"/>
              <w:jc w:val="center"/>
            </w:pPr>
            <w:r>
              <w:t xml:space="preserve">The </w:t>
            </w:r>
            <w:r w:rsidRPr="00D85A4F">
              <w:t xml:space="preserve">DAMHS or </w:t>
            </w:r>
            <w:r>
              <w:t xml:space="preserve">a </w:t>
            </w:r>
            <w:r w:rsidRPr="00D85A4F">
              <w:t xml:space="preserve">delegated staff member calls </w:t>
            </w:r>
            <w:r>
              <w:t>the p</w:t>
            </w:r>
            <w:r w:rsidRPr="00D85A4F">
              <w:t>olice and advises of the special patient’s return</w:t>
            </w:r>
            <w:r>
              <w:t>,</w:t>
            </w:r>
            <w:r w:rsidRPr="00D85A4F">
              <w:t xml:space="preserve"> and takes off the border alert</w:t>
            </w:r>
            <w:r w:rsidRPr="00D85A4F">
              <w:br/>
              <w:t>(</w:t>
            </w:r>
            <w:r>
              <w:t xml:space="preserve">by calling </w:t>
            </w:r>
            <w:r w:rsidRPr="00D85A4F">
              <w:t>0508 ITOC OPS</w:t>
            </w:r>
            <w:r>
              <w:t xml:space="preserve"> </w:t>
            </w:r>
            <w:r w:rsidRPr="005101DF">
              <w:t>0508 4862 677</w:t>
            </w:r>
            <w:r w:rsidRPr="00D85A4F">
              <w:t>)</w:t>
            </w:r>
          </w:p>
        </w:tc>
      </w:tr>
      <w:tr w:rsidR="00025FEB" w:rsidRPr="00D85A4F" w14:paraId="02EF0143" w14:textId="77777777" w:rsidTr="00AD0359">
        <w:trPr>
          <w:cantSplit/>
        </w:trPr>
        <w:tc>
          <w:tcPr>
            <w:tcW w:w="9785" w:type="dxa"/>
            <w:tcBorders>
              <w:left w:val="nil"/>
              <w:right w:val="nil"/>
            </w:tcBorders>
          </w:tcPr>
          <w:p w14:paraId="5D3CDCC9" w14:textId="77777777" w:rsidR="00025FEB" w:rsidRPr="00D85A4F" w:rsidRDefault="00025FEB" w:rsidP="00AD0359">
            <w:pPr>
              <w:pStyle w:val="TableText"/>
              <w:jc w:val="center"/>
            </w:pPr>
            <w:r w:rsidRPr="00D85A4F">
              <w:rPr>
                <w:noProof/>
                <w:lang w:eastAsia="en-NZ"/>
              </w:rPr>
              <mc:AlternateContent>
                <mc:Choice Requires="wps">
                  <w:drawing>
                    <wp:inline distT="0" distB="0" distL="0" distR="0" wp14:anchorId="0E4BBF04" wp14:editId="3FD9B80C">
                      <wp:extent cx="241069" cy="152400"/>
                      <wp:effectExtent l="38100" t="0" r="26035" b="38100"/>
                      <wp:docPr id="134" name="Down Arrow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69" cy="152400"/>
                              </a:xfrm>
                              <a:prstGeom prst="downArrow">
                                <a:avLst/>
                              </a:prstGeom>
                              <a:solidFill>
                                <a:sysClr val="window" lastClr="FFFFFF">
                                  <a:lumMod val="8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w14:anchorId="119D6E17">
                    <v:shape id="Down Arrow 134" style="width:19pt;height:12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d9d9d9" strokecolor="windowText"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" w14:anchorId="7B25728D">
                      <v:path arrowok="t"/>
                      <w10:anchorlock/>
                    </v:shape>
                  </w:pict>
                </mc:Fallback>
              </mc:AlternateContent>
            </w:r>
          </w:p>
        </w:tc>
      </w:tr>
      <w:tr w:rsidR="00025FEB" w:rsidRPr="00D85A4F" w14:paraId="50BF6E2C" w14:textId="77777777" w:rsidTr="00AD0359">
        <w:trPr>
          <w:cantSplit/>
        </w:trPr>
        <w:tc>
          <w:tcPr>
            <w:tcW w:w="9785" w:type="dxa"/>
          </w:tcPr>
          <w:p w14:paraId="26100C95" w14:textId="77777777" w:rsidR="00025FEB" w:rsidRPr="00D85A4F" w:rsidRDefault="00025FEB" w:rsidP="00AD0359">
            <w:pPr>
              <w:pStyle w:val="TableText"/>
              <w:jc w:val="center"/>
            </w:pPr>
            <w:r>
              <w:t xml:space="preserve">The Office of the Director </w:t>
            </w:r>
            <w:r w:rsidRPr="00D85A4F">
              <w:t xml:space="preserve">advises </w:t>
            </w:r>
            <w:r>
              <w:t xml:space="preserve">the </w:t>
            </w:r>
            <w:r w:rsidRPr="00D85A4F">
              <w:t>Director-General of Health and Minister, removes passport measures</w:t>
            </w:r>
            <w:r w:rsidRPr="00D85A4F">
              <w:br/>
              <w:t>and advises MFAT of the special patient’s return if they are a foreign national</w:t>
            </w:r>
          </w:p>
        </w:tc>
      </w:tr>
      <w:tr w:rsidR="00025FEB" w:rsidRPr="00D85A4F" w14:paraId="2082FB75" w14:textId="77777777" w:rsidTr="00AD0359">
        <w:trPr>
          <w:cantSplit/>
        </w:trPr>
        <w:tc>
          <w:tcPr>
            <w:tcW w:w="9785" w:type="dxa"/>
            <w:tcBorders>
              <w:left w:val="nil"/>
              <w:right w:val="nil"/>
            </w:tcBorders>
          </w:tcPr>
          <w:p w14:paraId="5AF267BF" w14:textId="77777777" w:rsidR="00025FEB" w:rsidRPr="00D85A4F" w:rsidRDefault="00025FEB" w:rsidP="00AD0359">
            <w:pPr>
              <w:pStyle w:val="TableText"/>
              <w:jc w:val="center"/>
            </w:pPr>
            <w:r w:rsidRPr="00D85A4F">
              <w:rPr>
                <w:noProof/>
                <w:lang w:eastAsia="en-NZ"/>
              </w:rPr>
              <mc:AlternateContent>
                <mc:Choice Requires="wps">
                  <w:drawing>
                    <wp:inline distT="0" distB="0" distL="0" distR="0" wp14:anchorId="0D8A0BDC" wp14:editId="1E7679B4">
                      <wp:extent cx="241069" cy="152400"/>
                      <wp:effectExtent l="38100" t="0" r="26035" b="38100"/>
                      <wp:docPr id="135" name="Down Arrow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069" cy="152400"/>
                              </a:xfrm>
                              <a:prstGeom prst="downArrow">
                                <a:avLst/>
                              </a:prstGeom>
                              <a:solidFill>
                                <a:sysClr val="window" lastClr="FFFFFF">
                                  <a:lumMod val="8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adec="http://schemas.microsoft.com/office/drawing/2017/decorative">
                  <w:pict w14:anchorId="2220CAC2">
                    <v:shape id="Down Arrow 135" style="width:19pt;height:12pt;visibility:visible;mso-wrap-style:square;mso-left-percent:-10001;mso-top-percent:-10001;mso-position-horizontal:absolute;mso-position-horizontal-relative:char;mso-position-vertical:absolute;mso-position-vertical-relative:line;mso-left-percent:-10001;mso-top-percent:-10001;v-text-anchor:middle" alt="&quot;&quot;" o:spid="_x0000_s1026" fillcolor="#d9d9d9" strokecolor="windowText" strokeweight=".5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" w14:anchorId="58A33511">
                      <v:path arrowok="t"/>
                      <w10:anchorlock/>
                    </v:shape>
                  </w:pict>
                </mc:Fallback>
              </mc:AlternateContent>
            </w:r>
          </w:p>
        </w:tc>
      </w:tr>
      <w:tr w:rsidR="00025FEB" w:rsidRPr="00D85A4F" w14:paraId="71A2CA84" w14:textId="77777777" w:rsidTr="00AD0359">
        <w:trPr>
          <w:cantSplit/>
        </w:trPr>
        <w:tc>
          <w:tcPr>
            <w:tcW w:w="9785" w:type="dxa"/>
          </w:tcPr>
          <w:p w14:paraId="5BF56EA6" w14:textId="77777777" w:rsidR="00025FEB" w:rsidRPr="00D85A4F" w:rsidRDefault="00025FEB" w:rsidP="00AD0359">
            <w:pPr>
              <w:pStyle w:val="TableText"/>
              <w:jc w:val="center"/>
            </w:pPr>
            <w:r>
              <w:t xml:space="preserve">The </w:t>
            </w:r>
            <w:r w:rsidRPr="00D85A4F">
              <w:t xml:space="preserve">DAMHS sends </w:t>
            </w:r>
            <w:proofErr w:type="gramStart"/>
            <w:r>
              <w:t xml:space="preserve">a </w:t>
            </w:r>
            <w:r w:rsidRPr="00D85A4F">
              <w:t>reportable events</w:t>
            </w:r>
            <w:proofErr w:type="gramEnd"/>
            <w:r w:rsidRPr="00D85A4F">
              <w:t xml:space="preserve"> form to </w:t>
            </w:r>
            <w:r>
              <w:t xml:space="preserve">the Office of the Director </w:t>
            </w:r>
            <w:r w:rsidRPr="00D85A4F">
              <w:t xml:space="preserve">and completes </w:t>
            </w:r>
            <w:r>
              <w:t xml:space="preserve">an </w:t>
            </w:r>
            <w:r w:rsidRPr="00D85A4F">
              <w:t xml:space="preserve">internal review and </w:t>
            </w:r>
            <w:r>
              <w:t xml:space="preserve">an </w:t>
            </w:r>
            <w:r w:rsidRPr="00D85A4F">
              <w:t xml:space="preserve">external review </w:t>
            </w:r>
            <w:r>
              <w:t>(</w:t>
            </w:r>
            <w:r w:rsidRPr="00D85A4F">
              <w:t>where one is required</w:t>
            </w:r>
            <w:r>
              <w:t>)</w:t>
            </w:r>
          </w:p>
        </w:tc>
      </w:tr>
    </w:tbl>
    <w:p w14:paraId="0D401F98" w14:textId="77777777" w:rsidR="00025FEB" w:rsidRPr="003353F3" w:rsidRDefault="00025FEB" w:rsidP="00025FEB">
      <w:bookmarkStart w:id="302" w:name="_Toc10554001"/>
      <w:bookmarkEnd w:id="8"/>
    </w:p>
    <w:bookmarkEnd w:id="302"/>
    <w:p w14:paraId="7E87757B" w14:textId="77777777" w:rsidR="00C5711F" w:rsidRPr="00C5711F" w:rsidRDefault="00C5711F" w:rsidP="00025FEB"/>
    <w:sectPr w:rsidR="00C5711F" w:rsidRPr="00C5711F" w:rsidSect="003353F3">
      <w:footerReference w:type="even" r:id="rId47"/>
      <w:footerReference w:type="default" r:id="rId48"/>
      <w:pgSz w:w="11907" w:h="16834" w:code="9"/>
      <w:pgMar w:top="1418" w:right="1558"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7092" w14:textId="77777777" w:rsidR="000D2E1E" w:rsidRDefault="000D2E1E">
      <w:r>
        <w:separator/>
      </w:r>
    </w:p>
    <w:p w14:paraId="6CDC5E96" w14:textId="77777777" w:rsidR="000D2E1E" w:rsidRDefault="000D2E1E"/>
  </w:endnote>
  <w:endnote w:type="continuationSeparator" w:id="0">
    <w:p w14:paraId="078FBE9E" w14:textId="77777777" w:rsidR="000D2E1E" w:rsidRDefault="000D2E1E">
      <w:r>
        <w:continuationSeparator/>
      </w:r>
    </w:p>
    <w:p w14:paraId="3090787C" w14:textId="77777777" w:rsidR="000D2E1E" w:rsidRDefault="000D2E1E"/>
  </w:endnote>
  <w:endnote w:type="continuationNotice" w:id="1">
    <w:p w14:paraId="6EEBE70D" w14:textId="77777777" w:rsidR="000D2E1E" w:rsidRDefault="000D2E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BF" w14:textId="66374AAE" w:rsidR="008052A9" w:rsidRPr="00581136" w:rsidRDefault="008052A9" w:rsidP="005A79E5">
    <w:pPr>
      <w:pStyle w:val="Footer"/>
      <w:pBdr>
        <w:bottom w:val="single" w:sz="4" w:space="1" w:color="auto"/>
      </w:pBdr>
      <w:tabs>
        <w:tab w:val="right" w:pos="9639"/>
      </w:tabs>
      <w:rPr>
        <w:b/>
      </w:rPr>
    </w:pPr>
    <w:r w:rsidRPr="00581136">
      <w:rPr>
        <w:b/>
      </w:rPr>
      <w:t xml:space="preserve">Released </w:t>
    </w:r>
    <w:r w:rsidR="00D3124A">
      <w:rPr>
        <w:b/>
      </w:rPr>
      <w:t>2022</w:t>
    </w:r>
    <w:r w:rsidRPr="00581136">
      <w:rPr>
        <w:b/>
      </w:rPr>
      <w:tab/>
      <w:t>health.govt.nz</w:t>
    </w:r>
  </w:p>
  <w:p w14:paraId="7E878EC0" w14:textId="77777777" w:rsidR="008052A9" w:rsidRPr="005A79E5" w:rsidRDefault="008052A9">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5"/>
    </w:tblGrid>
    <w:tr w:rsidR="008B1D59" w14:paraId="1AC8DD8C" w14:textId="77777777" w:rsidTr="00D861A1">
      <w:trPr>
        <w:cantSplit/>
      </w:trPr>
      <w:tc>
        <w:tcPr>
          <w:tcW w:w="851" w:type="dxa"/>
          <w:vAlign w:val="center"/>
        </w:tcPr>
        <w:p w14:paraId="5AFBB2A5" w14:textId="77777777" w:rsidR="008B1D59" w:rsidRPr="00931466" w:rsidRDefault="003F3BCA" w:rsidP="00D861A1">
          <w:pPr>
            <w:pStyle w:val="Footer"/>
            <w:ind w:left="185" w:hanging="185"/>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8505" w:type="dxa"/>
          <w:vAlign w:val="center"/>
        </w:tcPr>
        <w:p w14:paraId="050137DD" w14:textId="77777777" w:rsidR="008B1D59" w:rsidRDefault="003F3BCA" w:rsidP="000D58DD">
          <w:pPr>
            <w:pStyle w:val="RectoFooter"/>
            <w:jc w:val="left"/>
          </w:pPr>
          <w:r w:rsidRPr="00EE6EE1">
            <w:t>SPECIAL PATIENTS AND RESTRICTED PATIENTS: GUIDELINES FOR REGIONAL FORENSIC MENTAL HEALTH SERVICES</w:t>
          </w:r>
        </w:p>
      </w:tc>
    </w:tr>
  </w:tbl>
  <w:p w14:paraId="26E8098B" w14:textId="77777777" w:rsidR="008B1D59" w:rsidRPr="00571223" w:rsidRDefault="000D2E1E"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gridCol w:w="709"/>
    </w:tblGrid>
    <w:tr w:rsidR="008B1D59" w14:paraId="28A54494" w14:textId="77777777" w:rsidTr="00D861A1">
      <w:trPr>
        <w:cantSplit/>
      </w:trPr>
      <w:tc>
        <w:tcPr>
          <w:tcW w:w="8222" w:type="dxa"/>
          <w:vAlign w:val="center"/>
        </w:tcPr>
        <w:p w14:paraId="0790C0D5" w14:textId="77777777" w:rsidR="008B1D59" w:rsidRDefault="003F3BCA" w:rsidP="00D861A1">
          <w:pPr>
            <w:pStyle w:val="RectoFooter"/>
          </w:pPr>
          <w:r w:rsidRPr="00121607">
            <w:t>Special Patients and Restricted Patients: Guidelines for Regional Forensic Mental Health Services</w:t>
          </w:r>
        </w:p>
      </w:tc>
      <w:tc>
        <w:tcPr>
          <w:tcW w:w="709" w:type="dxa"/>
          <w:vAlign w:val="center"/>
        </w:tcPr>
        <w:p w14:paraId="5742618D" w14:textId="77777777" w:rsidR="008B1D59" w:rsidRPr="00931466" w:rsidRDefault="003F3BCA" w:rsidP="00D861A1">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674499E3" w14:textId="77777777" w:rsidR="008B1D59" w:rsidRPr="00D861A1" w:rsidRDefault="000D2E1E" w:rsidP="00D861A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C1" w14:textId="77777777" w:rsidR="008052A9" w:rsidRDefault="008052A9"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C2" w14:textId="77777777" w:rsidR="008052A9" w:rsidRDefault="008052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8052A9" w14:paraId="7E878EC7" w14:textId="77777777" w:rsidTr="00D662F8">
      <w:trPr>
        <w:cantSplit/>
      </w:trPr>
      <w:tc>
        <w:tcPr>
          <w:tcW w:w="709" w:type="dxa"/>
          <w:vAlign w:val="center"/>
        </w:tcPr>
        <w:p w14:paraId="7E878EC5" w14:textId="77777777" w:rsidR="008052A9" w:rsidRPr="00931466" w:rsidRDefault="008052A9"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7E878EC6" w14:textId="6CBA16C7" w:rsidR="008052A9" w:rsidRDefault="00025FEB" w:rsidP="0069770E">
          <w:pPr>
            <w:pStyle w:val="RectoFooter"/>
            <w:jc w:val="left"/>
          </w:pPr>
          <w:r w:rsidRPr="00025FEB">
            <w:t>SPECIAL PATIENTS AND RESTRICTED PATIENTS: GUIDELINES FOR REGIONAL FORENSIC MENTAL HEALTH SERVICES</w:t>
          </w:r>
        </w:p>
      </w:tc>
    </w:tr>
  </w:tbl>
  <w:p w14:paraId="7E878EC8" w14:textId="77777777" w:rsidR="008052A9" w:rsidRPr="00571223" w:rsidRDefault="008052A9"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8052A9" w14:paraId="7E878ECB" w14:textId="77777777" w:rsidTr="006E2886">
      <w:trPr>
        <w:cantSplit/>
      </w:trPr>
      <w:tc>
        <w:tcPr>
          <w:tcW w:w="8080" w:type="dxa"/>
          <w:vAlign w:val="center"/>
        </w:tcPr>
        <w:p w14:paraId="7E878EC9" w14:textId="0D33683B" w:rsidR="008052A9" w:rsidRDefault="00025FEB" w:rsidP="000C3DE6">
          <w:pPr>
            <w:pStyle w:val="RectoFooter"/>
          </w:pPr>
          <w:r w:rsidRPr="00025FEB">
            <w:t>SPECIAL PATIENTS AND RESTRICTED PATIENTS: GUIDELINES FOR REGIONAL FORENSIC MENTAL HEALTH SERVICES</w:t>
          </w:r>
        </w:p>
      </w:tc>
      <w:tc>
        <w:tcPr>
          <w:tcW w:w="709" w:type="dxa"/>
          <w:vAlign w:val="center"/>
        </w:tcPr>
        <w:p w14:paraId="7E878ECA" w14:textId="77777777" w:rsidR="008052A9" w:rsidRPr="00931466" w:rsidRDefault="008052A9"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E878ECC" w14:textId="77777777" w:rsidR="008052A9" w:rsidRPr="00581EB8" w:rsidRDefault="008052A9"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05"/>
    </w:tblGrid>
    <w:tr w:rsidR="00025FEB" w14:paraId="3E2A88E0" w14:textId="77777777" w:rsidTr="00BE4B1B">
      <w:trPr>
        <w:cantSplit/>
      </w:trPr>
      <w:tc>
        <w:tcPr>
          <w:tcW w:w="675" w:type="dxa"/>
          <w:vAlign w:val="center"/>
        </w:tcPr>
        <w:p w14:paraId="53F33354" w14:textId="77777777" w:rsidR="00025FEB" w:rsidRPr="00931466" w:rsidRDefault="00025FEB"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8505" w:type="dxa"/>
          <w:vAlign w:val="center"/>
        </w:tcPr>
        <w:p w14:paraId="3404FB54" w14:textId="77777777" w:rsidR="00025FEB" w:rsidRDefault="00025FEB" w:rsidP="000D58DD">
          <w:pPr>
            <w:pStyle w:val="RectoFooter"/>
            <w:jc w:val="left"/>
          </w:pPr>
          <w:r w:rsidRPr="00EE6EE1">
            <w:t>SPECIAL PATIENTS AND RESTRICTED PATIENTS: GUIDELINES FOR REGIONAL FORENSIC MENTAL HEALTH SERVICES</w:t>
          </w:r>
        </w:p>
      </w:tc>
    </w:tr>
  </w:tbl>
  <w:p w14:paraId="00D1DE88" w14:textId="77777777" w:rsidR="00025FEB" w:rsidRPr="00571223" w:rsidRDefault="00025FEB"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025FEB" w14:paraId="4C952477" w14:textId="77777777" w:rsidTr="00D662F8">
      <w:trPr>
        <w:cantSplit/>
      </w:trPr>
      <w:tc>
        <w:tcPr>
          <w:tcW w:w="8080" w:type="dxa"/>
          <w:vAlign w:val="center"/>
        </w:tcPr>
        <w:p w14:paraId="1814738D" w14:textId="77777777" w:rsidR="00025FEB" w:rsidRDefault="00025FEB" w:rsidP="00931466">
          <w:pPr>
            <w:pStyle w:val="RectoFooter"/>
          </w:pPr>
          <w:r w:rsidRPr="00121607">
            <w:t>Special Patients and Restricted Patients: Guidelines for Regional Forensic Mental Health Services</w:t>
          </w:r>
        </w:p>
      </w:tc>
      <w:tc>
        <w:tcPr>
          <w:tcW w:w="709" w:type="dxa"/>
          <w:vAlign w:val="center"/>
        </w:tcPr>
        <w:p w14:paraId="63A1ADCB" w14:textId="77777777" w:rsidR="00025FEB" w:rsidRPr="00931466" w:rsidRDefault="00025FEB"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10A4D7FA" w14:textId="77777777" w:rsidR="00025FEB" w:rsidRPr="00581EB8" w:rsidRDefault="00025FEB"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5"/>
    </w:tblGrid>
    <w:tr w:rsidR="00025FEB" w14:paraId="76C11469" w14:textId="77777777" w:rsidTr="00D861A1">
      <w:trPr>
        <w:cantSplit/>
      </w:trPr>
      <w:tc>
        <w:tcPr>
          <w:tcW w:w="851" w:type="dxa"/>
          <w:vAlign w:val="center"/>
        </w:tcPr>
        <w:p w14:paraId="7E602018" w14:textId="77777777" w:rsidR="00025FEB" w:rsidRPr="00931466" w:rsidRDefault="00025FEB" w:rsidP="00D861A1">
          <w:pPr>
            <w:pStyle w:val="Footer"/>
            <w:ind w:left="185" w:hanging="185"/>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8505" w:type="dxa"/>
          <w:vAlign w:val="center"/>
        </w:tcPr>
        <w:p w14:paraId="48BC316E" w14:textId="77777777" w:rsidR="00025FEB" w:rsidRDefault="00025FEB" w:rsidP="000D58DD">
          <w:pPr>
            <w:pStyle w:val="RectoFooter"/>
            <w:jc w:val="left"/>
          </w:pPr>
          <w:r w:rsidRPr="00EE6EE1">
            <w:t>SPECIAL PATIENTS AND RESTRICTED PATIENTS: GUIDELINES FOR REGIONAL FORENSIC MENTAL HEALTH SERVICES</w:t>
          </w:r>
        </w:p>
      </w:tc>
    </w:tr>
  </w:tbl>
  <w:p w14:paraId="6838FCF9" w14:textId="77777777" w:rsidR="00025FEB" w:rsidRPr="00571223" w:rsidRDefault="00025FEB"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gridCol w:w="709"/>
    </w:tblGrid>
    <w:tr w:rsidR="00025FEB" w14:paraId="11F9EAE7" w14:textId="77777777" w:rsidTr="00D861A1">
      <w:trPr>
        <w:cantSplit/>
      </w:trPr>
      <w:tc>
        <w:tcPr>
          <w:tcW w:w="9639" w:type="dxa"/>
          <w:vAlign w:val="center"/>
        </w:tcPr>
        <w:p w14:paraId="5CE3AA6A" w14:textId="77777777" w:rsidR="00025FEB" w:rsidRDefault="00025FEB" w:rsidP="00D861A1">
          <w:pPr>
            <w:pStyle w:val="RectoFooter"/>
          </w:pPr>
          <w:r w:rsidRPr="00121607">
            <w:t>Special Patients and Restricted Patients: Guidelines for Regional Forensic Mental Health Services</w:t>
          </w:r>
        </w:p>
      </w:tc>
      <w:tc>
        <w:tcPr>
          <w:tcW w:w="709" w:type="dxa"/>
          <w:vAlign w:val="center"/>
        </w:tcPr>
        <w:p w14:paraId="250D8026" w14:textId="77777777" w:rsidR="00025FEB" w:rsidRPr="00931466" w:rsidRDefault="00025FEB" w:rsidP="00D861A1">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3BB56321" w14:textId="77777777" w:rsidR="00025FEB" w:rsidRPr="00D861A1" w:rsidRDefault="00025FEB" w:rsidP="00D861A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34844" w14:textId="77777777" w:rsidR="000D2E1E" w:rsidRPr="00A26E6B" w:rsidRDefault="000D2E1E" w:rsidP="00A26E6B"/>
  </w:footnote>
  <w:footnote w:type="continuationSeparator" w:id="0">
    <w:p w14:paraId="4FA1B341" w14:textId="77777777" w:rsidR="000D2E1E" w:rsidRDefault="000D2E1E">
      <w:r>
        <w:continuationSeparator/>
      </w:r>
    </w:p>
    <w:p w14:paraId="0966AD84" w14:textId="77777777" w:rsidR="000D2E1E" w:rsidRDefault="000D2E1E"/>
  </w:footnote>
  <w:footnote w:type="continuationNotice" w:id="1">
    <w:p w14:paraId="0C37BDFB" w14:textId="77777777" w:rsidR="000D2E1E" w:rsidRDefault="000D2E1E"/>
  </w:footnote>
  <w:footnote w:id="2">
    <w:p w14:paraId="7F732254" w14:textId="77777777" w:rsidR="00025FEB" w:rsidRPr="00121607" w:rsidRDefault="00025FEB" w:rsidP="00025FEB">
      <w:pPr>
        <w:pStyle w:val="FootnoteText"/>
        <w:rPr>
          <w:lang w:val="en-US"/>
        </w:rPr>
      </w:pPr>
      <w:r>
        <w:rPr>
          <w:rStyle w:val="FootnoteReference"/>
        </w:rPr>
        <w:footnoteRef/>
      </w:r>
      <w:r>
        <w:t xml:space="preserve"> </w:t>
      </w:r>
      <w:r w:rsidRPr="00121607">
        <w:t>Specific guidelines for District Inspectors are available on the Ministry of Health website</w:t>
      </w:r>
    </w:p>
  </w:footnote>
  <w:footnote w:id="3">
    <w:p w14:paraId="0DC88573" w14:textId="6192C508" w:rsidR="00AF40A0" w:rsidRPr="00AF40A0" w:rsidRDefault="00025FEB" w:rsidP="00AF40A0">
      <w:pPr>
        <w:pStyle w:val="FootnoteText"/>
        <w:rPr>
          <w:highlight w:val="yellow"/>
        </w:rPr>
      </w:pPr>
      <w:r>
        <w:rPr>
          <w:rStyle w:val="FootnoteReference"/>
        </w:rPr>
        <w:footnoteRef/>
      </w:r>
      <w:r>
        <w:t xml:space="preserve"> </w:t>
      </w:r>
      <w:r w:rsidR="00AF40A0" w:rsidRPr="00140223">
        <w:t xml:space="preserve">Ministry of Health. 2021. </w:t>
      </w:r>
      <w:r w:rsidR="00AF40A0" w:rsidRPr="00140223">
        <w:rPr>
          <w:i/>
        </w:rPr>
        <w:t>Office of the Director of Mental Health and Addiction Services 2020 Regulatory Report</w:t>
      </w:r>
      <w:r w:rsidR="00AF40A0" w:rsidRPr="00140223">
        <w:t>. Wellington: Ministry of Health.</w:t>
      </w:r>
    </w:p>
    <w:p w14:paraId="028AA548" w14:textId="502E43AA" w:rsidR="00025FEB" w:rsidRPr="00983E53" w:rsidRDefault="00025FEB" w:rsidP="00025FEB">
      <w:pPr>
        <w:pStyle w:val="FootnoteText"/>
        <w:rPr>
          <w:lang w:val="en-US"/>
        </w:rPr>
      </w:pPr>
    </w:p>
  </w:footnote>
  <w:footnote w:id="4">
    <w:p w14:paraId="1BF362ED" w14:textId="77777777" w:rsidR="00025FEB" w:rsidRDefault="00025FEB" w:rsidP="00025FEB">
      <w:pPr>
        <w:pStyle w:val="FootnoteText"/>
      </w:pPr>
      <w:r>
        <w:rPr>
          <w:rStyle w:val="FootnoteReference"/>
        </w:rPr>
        <w:footnoteRef/>
      </w:r>
      <w:r>
        <w:t xml:space="preserve"> </w:t>
      </w:r>
      <w:r w:rsidRPr="00EE2F19">
        <w:t>PRIMHD</w:t>
      </w:r>
      <w:r>
        <w:t xml:space="preserve"> </w:t>
      </w:r>
      <w:r w:rsidRPr="00EE2F19">
        <w:t>Ministry of Health single national mental health and addiction information collection of service activity and outcomes data for health consumers.</w:t>
      </w:r>
    </w:p>
  </w:footnote>
  <w:footnote w:id="5">
    <w:p w14:paraId="6326EABB" w14:textId="77777777" w:rsidR="00025FEB" w:rsidRPr="00176028" w:rsidRDefault="00025FEB" w:rsidP="00025FEB">
      <w:pPr>
        <w:pStyle w:val="FootnoteText"/>
      </w:pPr>
      <w:r w:rsidRPr="00F31792">
        <w:rPr>
          <w:rStyle w:val="FootnoteReference"/>
        </w:rPr>
        <w:footnoteRef/>
      </w:r>
      <w:r>
        <w:tab/>
      </w:r>
      <w:r w:rsidRPr="00531427">
        <w:t>Historical-</w:t>
      </w:r>
      <w:r w:rsidRPr="00444A00">
        <w:t>Clinical-Ris</w:t>
      </w:r>
      <w:r w:rsidRPr="00531427">
        <w:t>k Management-20. This is a set of structured professional judgement guidelines designed to assist comprehensive, management-oriented evaluations of violence risk.</w:t>
      </w:r>
    </w:p>
  </w:footnote>
  <w:footnote w:id="6">
    <w:p w14:paraId="6707F9A3" w14:textId="77777777" w:rsidR="00025FEB" w:rsidRPr="0068471F" w:rsidRDefault="00025FEB" w:rsidP="00025FEB">
      <w:pPr>
        <w:pStyle w:val="FootnoteText"/>
      </w:pPr>
      <w:r w:rsidRPr="00F31792">
        <w:rPr>
          <w:rStyle w:val="FootnoteReference"/>
        </w:rPr>
        <w:footnoteRef/>
      </w:r>
      <w:r>
        <w:tab/>
      </w:r>
      <w:r w:rsidRPr="0068471F">
        <w:t>Short Term Assessment of Risk and Treatability</w:t>
      </w:r>
      <w:r>
        <w:t>. This is</w:t>
      </w:r>
      <w:r w:rsidRPr="0068471F">
        <w:t xml:space="preserve"> </w:t>
      </w:r>
      <w:r>
        <w:t>a</w:t>
      </w:r>
      <w:r w:rsidRPr="0068471F">
        <w:t xml:space="preserve"> 20-item clinical guide for </w:t>
      </w:r>
      <w:r>
        <w:t xml:space="preserve">the dynamic </w:t>
      </w:r>
      <w:r w:rsidRPr="0068471F">
        <w:t>assessment of seven risk domains (violence to others, suicide, self-harm, self-neglect, unauthori</w:t>
      </w:r>
      <w:r>
        <w:t>s</w:t>
      </w:r>
      <w:r w:rsidRPr="0068471F">
        <w:t>ed absence, substance use and victimi</w:t>
      </w:r>
      <w:r>
        <w:t>s</w:t>
      </w:r>
      <w:r w:rsidRPr="0068471F">
        <w:t>ation).</w:t>
      </w:r>
    </w:p>
  </w:footnote>
  <w:footnote w:id="7">
    <w:p w14:paraId="3800C160" w14:textId="77777777" w:rsidR="00025FEB" w:rsidRDefault="00025FEB" w:rsidP="00025FEB">
      <w:pPr>
        <w:pStyle w:val="FootnoteText"/>
      </w:pPr>
      <w:r w:rsidRPr="00F31792">
        <w:rPr>
          <w:rStyle w:val="FootnoteReference"/>
        </w:rPr>
        <w:footnoteRef/>
      </w:r>
      <w:r>
        <w:tab/>
        <w:t>Dangerousness, Understanding, Recovery and Urgency Manual: structured professional judgement instruments for admission triage, urgency, treatment completion and recovery assessments.</w:t>
      </w:r>
    </w:p>
  </w:footnote>
  <w:footnote w:id="8">
    <w:p w14:paraId="10074D94" w14:textId="77777777" w:rsidR="00025FEB" w:rsidRPr="008750BF" w:rsidRDefault="00025FEB" w:rsidP="00025FEB">
      <w:pPr>
        <w:pStyle w:val="FootnoteText"/>
      </w:pPr>
      <w:r w:rsidRPr="0074176A">
        <w:rPr>
          <w:rStyle w:val="FootnoteReference"/>
        </w:rPr>
        <w:footnoteRef/>
      </w:r>
      <w:r w:rsidRPr="0074176A">
        <w:tab/>
      </w:r>
      <w:r>
        <w:t xml:space="preserve">See </w:t>
      </w:r>
      <w:r w:rsidRPr="0074176A">
        <w:t xml:space="preserve">part 11.1 of the </w:t>
      </w:r>
      <w:r w:rsidRPr="0074176A">
        <w:rPr>
          <w:i/>
        </w:rPr>
        <w:t>Guidelines to the Mental Health (Compulsory Assessment and Treatment) Act 1992</w:t>
      </w:r>
      <w:r>
        <w:rPr>
          <w:i/>
        </w:rPr>
        <w:t xml:space="preserve"> </w:t>
      </w:r>
      <w:r>
        <w:rPr>
          <w:iCs/>
        </w:rPr>
        <w:t>(Ministry of Health 2020a)</w:t>
      </w:r>
      <w:r w:rsidRPr="0074176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D3124A" w14:paraId="07872C25" w14:textId="77777777" w:rsidTr="00AD0359">
      <w:trPr>
        <w:cantSplit/>
      </w:trPr>
      <w:tc>
        <w:tcPr>
          <w:tcW w:w="5210" w:type="dxa"/>
          <w:vAlign w:val="center"/>
        </w:tcPr>
        <w:p w14:paraId="4CDF9A95" w14:textId="77777777" w:rsidR="00D3124A" w:rsidRDefault="00D3124A" w:rsidP="00D3124A">
          <w:pPr>
            <w:pStyle w:val="Header"/>
          </w:pPr>
          <w:bookmarkStart w:id="0" w:name="_Hlk110933925"/>
          <w:r>
            <w:rPr>
              <w:noProof/>
              <w:lang w:eastAsia="en-NZ"/>
            </w:rPr>
            <w:drawing>
              <wp:inline distT="0" distB="0" distL="0" distR="0" wp14:anchorId="67B54ED9" wp14:editId="754A0BE5">
                <wp:extent cx="2294626" cy="542925"/>
                <wp:effectExtent l="0" t="0" r="0" b="0"/>
                <wp:docPr id="7" name="Picture 7"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93A2AC2" w14:textId="77777777" w:rsidR="00D3124A" w:rsidRDefault="00D3124A" w:rsidP="00D3124A">
          <w:pPr>
            <w:pStyle w:val="Header"/>
            <w:jc w:val="right"/>
          </w:pPr>
          <w:r>
            <w:rPr>
              <w:noProof/>
            </w:rPr>
            <w:drawing>
              <wp:anchor distT="0" distB="0" distL="114300" distR="114300" simplePos="0" relativeHeight="251659264" behindDoc="0" locked="0" layoutInCell="1" allowOverlap="1" wp14:anchorId="311E554E" wp14:editId="34B73D96">
                <wp:simplePos x="0" y="0"/>
                <wp:positionH relativeFrom="column">
                  <wp:posOffset>1362710</wp:posOffset>
                </wp:positionH>
                <wp:positionV relativeFrom="paragraph">
                  <wp:posOffset>-1905</wp:posOffset>
                </wp:positionV>
                <wp:extent cx="1519555" cy="718185"/>
                <wp:effectExtent l="0" t="0" r="4445"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7E878EBE" w14:textId="77777777" w:rsidR="008052A9" w:rsidRDefault="00805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C3" w14:textId="77777777" w:rsidR="008052A9" w:rsidRDefault="008052A9"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8EC4" w14:textId="77777777" w:rsidR="008052A9" w:rsidRDefault="008052A9"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E81B" w14:textId="77777777" w:rsidR="00025FEB" w:rsidRDefault="00025FE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6781" w14:textId="77777777" w:rsidR="00025FEB" w:rsidRDefault="00025F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8658" w14:textId="77777777" w:rsidR="00025FEB" w:rsidRDefault="00025F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7537" w14:textId="77777777" w:rsidR="00025FEB" w:rsidRDefault="00025FEB">
    <w:pPr>
      <w:pStyle w:val="Header"/>
    </w:pPr>
  </w:p>
</w:hdr>
</file>

<file path=word/intelligence2.xml><?xml version="1.0" encoding="utf-8"?>
<int2:intelligence xmlns:int2="http://schemas.microsoft.com/office/intelligence/2020/intelligence">
  <int2:observations>
    <int2:textHash int2:hashCode="RmgKZl0ISEoohg" int2:id="Usw7i2pK">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AA39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A1250"/>
    <w:multiLevelType w:val="multilevel"/>
    <w:tmpl w:val="B8F875CC"/>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D817C7"/>
    <w:multiLevelType w:val="multilevel"/>
    <w:tmpl w:val="BA8AC590"/>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15:restartNumberingAfterBreak="0">
    <w:nsid w:val="0A7856CB"/>
    <w:multiLevelType w:val="hybridMultilevel"/>
    <w:tmpl w:val="E2F67C0E"/>
    <w:lvl w:ilvl="0" w:tplc="B8E47C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E20DE"/>
    <w:multiLevelType w:val="hybridMultilevel"/>
    <w:tmpl w:val="363E3E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3DC7796"/>
    <w:multiLevelType w:val="multilevel"/>
    <w:tmpl w:val="38243F0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7711B7"/>
    <w:multiLevelType w:val="multilevel"/>
    <w:tmpl w:val="E4A64D26"/>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92" w:hanging="432"/>
      </w:pPr>
      <w:rPr>
        <w:rFonts w:hint="default"/>
        <w:color w:val="0A6AB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EE4957"/>
    <w:multiLevelType w:val="hybridMultilevel"/>
    <w:tmpl w:val="90966ED4"/>
    <w:lvl w:ilvl="0" w:tplc="1B1EAD1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A872EF8"/>
    <w:multiLevelType w:val="multilevel"/>
    <w:tmpl w:val="1DE08D5E"/>
    <w:lvl w:ilvl="0">
      <w:start w:val="3"/>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5B10E85"/>
    <w:multiLevelType w:val="hybridMultilevel"/>
    <w:tmpl w:val="66822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EA1C11"/>
    <w:multiLevelType w:val="multilevel"/>
    <w:tmpl w:val="A420CE14"/>
    <w:lvl w:ilvl="0">
      <w:start w:val="3"/>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1"/>
      <w:numFmt w:val="decimal"/>
      <w:pStyle w:val="Heading3Numbered"/>
      <w:lvlText w:val="%2.%1.1"/>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A201064"/>
    <w:multiLevelType w:val="hybridMultilevel"/>
    <w:tmpl w:val="1470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C5A1A8E"/>
    <w:multiLevelType w:val="multilevel"/>
    <w:tmpl w:val="1F2C2248"/>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A4A95"/>
    <w:multiLevelType w:val="hybridMultilevel"/>
    <w:tmpl w:val="0B1697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3700005"/>
    <w:multiLevelType w:val="hybridMultilevel"/>
    <w:tmpl w:val="D45458CE"/>
    <w:lvl w:ilvl="0" w:tplc="1B00569A">
      <w:start w:val="3"/>
      <w:numFmt w:val="bullet"/>
      <w:lvlText w:val="-"/>
      <w:lvlJc w:val="left"/>
      <w:pPr>
        <w:tabs>
          <w:tab w:val="num" w:pos="2880"/>
        </w:tabs>
        <w:ind w:left="2880" w:hanging="360"/>
      </w:pPr>
      <w:rPr>
        <w:rFonts w:ascii="Times New Roman" w:eastAsia="Times New Roman" w:hAnsi="Times New Roman" w:cs="Times New Roman" w:hint="default"/>
      </w:rPr>
    </w:lvl>
    <w:lvl w:ilvl="1" w:tplc="1B00569A">
      <w:start w:val="3"/>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D8018DD"/>
    <w:multiLevelType w:val="hybridMultilevel"/>
    <w:tmpl w:val="1346CCD2"/>
    <w:lvl w:ilvl="0" w:tplc="0C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4461B6"/>
    <w:multiLevelType w:val="hybridMultilevel"/>
    <w:tmpl w:val="4BE4CCBE"/>
    <w:lvl w:ilvl="0" w:tplc="2B70E1D6">
      <w:start w:val="1"/>
      <w:numFmt w:val="lowerRoman"/>
      <w:lvlText w:val="(%1)"/>
      <w:lvlJc w:val="left"/>
      <w:pPr>
        <w:ind w:left="720" w:hanging="360"/>
      </w:pPr>
      <w:rPr>
        <w:rFonts w:ascii="Segoe UI" w:hAnsi="Segoe UI" w:cs="Segoe UI" w:hint="default"/>
        <w:sz w:val="21"/>
        <w:szCs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6CF34E5"/>
    <w:multiLevelType w:val="hybridMultilevel"/>
    <w:tmpl w:val="F9C0D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22"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1"/>
  </w:num>
  <w:num w:numId="2">
    <w:abstractNumId w:val="14"/>
  </w:num>
  <w:num w:numId="3">
    <w:abstractNumId w:val="15"/>
  </w:num>
  <w:num w:numId="4">
    <w:abstractNumId w:val="3"/>
  </w:num>
  <w:num w:numId="5">
    <w:abstractNumId w:val="2"/>
  </w:num>
  <w:num w:numId="6">
    <w:abstractNumId w:val="13"/>
  </w:num>
  <w:num w:numId="7">
    <w:abstractNumId w:val="12"/>
  </w:num>
  <w:num w:numId="8">
    <w:abstractNumId w:val="16"/>
  </w:num>
  <w:num w:numId="9">
    <w:abstractNumId w:val="10"/>
  </w:num>
  <w:num w:numId="10">
    <w:abstractNumId w:val="20"/>
  </w:num>
  <w:num w:numId="11">
    <w:abstractNumId w:val="21"/>
  </w:num>
  <w:num w:numId="12">
    <w:abstractNumId w:val="0"/>
  </w:num>
  <w:num w:numId="13">
    <w:abstractNumId w:val="5"/>
  </w:num>
  <w:num w:numId="14">
    <w:abstractNumId w:val="1"/>
  </w:num>
  <w:num w:numId="15">
    <w:abstractNumId w:val="22"/>
  </w:num>
  <w:num w:numId="16">
    <w:abstractNumId w:val="6"/>
  </w:num>
  <w:num w:numId="17">
    <w:abstractNumId w:val="7"/>
  </w:num>
  <w:num w:numId="18">
    <w:abstractNumId w:val="11"/>
  </w:num>
  <w:num w:numId="19">
    <w:abstractNumId w:val="9"/>
  </w:num>
  <w:num w:numId="20">
    <w:abstractNumId w:val="19"/>
  </w:num>
  <w:num w:numId="21">
    <w:abstractNumId w:val="17"/>
  </w:num>
  <w:num w:numId="22">
    <w:abstractNumId w:val="4"/>
  </w:num>
  <w:num w:numId="23">
    <w:abstractNumId w:val="8"/>
  </w:num>
  <w:num w:numId="2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2FE3"/>
    <w:rsid w:val="00005BB5"/>
    <w:rsid w:val="00006658"/>
    <w:rsid w:val="00006986"/>
    <w:rsid w:val="00006CF1"/>
    <w:rsid w:val="00007EC9"/>
    <w:rsid w:val="000137DD"/>
    <w:rsid w:val="00014CB9"/>
    <w:rsid w:val="00016E56"/>
    <w:rsid w:val="0002455C"/>
    <w:rsid w:val="00024B5E"/>
    <w:rsid w:val="00025A6F"/>
    <w:rsid w:val="00025FEB"/>
    <w:rsid w:val="0002618D"/>
    <w:rsid w:val="00026F0F"/>
    <w:rsid w:val="00030B26"/>
    <w:rsid w:val="00030E84"/>
    <w:rsid w:val="00031BAD"/>
    <w:rsid w:val="00032C0A"/>
    <w:rsid w:val="000331C1"/>
    <w:rsid w:val="00033F89"/>
    <w:rsid w:val="00034591"/>
    <w:rsid w:val="00035257"/>
    <w:rsid w:val="00035D68"/>
    <w:rsid w:val="00035D6C"/>
    <w:rsid w:val="00036027"/>
    <w:rsid w:val="0003632D"/>
    <w:rsid w:val="000419A9"/>
    <w:rsid w:val="00045613"/>
    <w:rsid w:val="00047899"/>
    <w:rsid w:val="00050EBF"/>
    <w:rsid w:val="00053435"/>
    <w:rsid w:val="00053921"/>
    <w:rsid w:val="00054B44"/>
    <w:rsid w:val="00054FBE"/>
    <w:rsid w:val="000573D8"/>
    <w:rsid w:val="0006006B"/>
    <w:rsid w:val="0006228D"/>
    <w:rsid w:val="00062C0E"/>
    <w:rsid w:val="0006501B"/>
    <w:rsid w:val="00065E1C"/>
    <w:rsid w:val="000717E9"/>
    <w:rsid w:val="00072BD6"/>
    <w:rsid w:val="00073066"/>
    <w:rsid w:val="00074F20"/>
    <w:rsid w:val="00075ACF"/>
    <w:rsid w:val="00075B78"/>
    <w:rsid w:val="000763E9"/>
    <w:rsid w:val="00076910"/>
    <w:rsid w:val="00077B3F"/>
    <w:rsid w:val="00080707"/>
    <w:rsid w:val="00082B11"/>
    <w:rsid w:val="00082CD6"/>
    <w:rsid w:val="00083426"/>
    <w:rsid w:val="0008437D"/>
    <w:rsid w:val="00085AFE"/>
    <w:rsid w:val="000874D0"/>
    <w:rsid w:val="00087DE2"/>
    <w:rsid w:val="00090F4D"/>
    <w:rsid w:val="00094800"/>
    <w:rsid w:val="00095DA2"/>
    <w:rsid w:val="000A0158"/>
    <w:rsid w:val="000A038C"/>
    <w:rsid w:val="000A3395"/>
    <w:rsid w:val="000A373D"/>
    <w:rsid w:val="000A41ED"/>
    <w:rsid w:val="000A55E6"/>
    <w:rsid w:val="000A6B86"/>
    <w:rsid w:val="000B0730"/>
    <w:rsid w:val="000B174E"/>
    <w:rsid w:val="000B26F9"/>
    <w:rsid w:val="000B33BB"/>
    <w:rsid w:val="000B47C6"/>
    <w:rsid w:val="000B4F6A"/>
    <w:rsid w:val="000B7325"/>
    <w:rsid w:val="000C3DE6"/>
    <w:rsid w:val="000D064E"/>
    <w:rsid w:val="000D12E3"/>
    <w:rsid w:val="000D19F4"/>
    <w:rsid w:val="000D2E1E"/>
    <w:rsid w:val="000D3C83"/>
    <w:rsid w:val="000D422D"/>
    <w:rsid w:val="000D58DD"/>
    <w:rsid w:val="000E34D1"/>
    <w:rsid w:val="000E4719"/>
    <w:rsid w:val="000E473A"/>
    <w:rsid w:val="000E5CEF"/>
    <w:rsid w:val="000F1F42"/>
    <w:rsid w:val="000F2AE2"/>
    <w:rsid w:val="000F2BFF"/>
    <w:rsid w:val="000F2C22"/>
    <w:rsid w:val="000F69B3"/>
    <w:rsid w:val="00101FAD"/>
    <w:rsid w:val="00102063"/>
    <w:rsid w:val="00102AD7"/>
    <w:rsid w:val="0010541C"/>
    <w:rsid w:val="00105770"/>
    <w:rsid w:val="00105E3F"/>
    <w:rsid w:val="00106F93"/>
    <w:rsid w:val="00111D50"/>
    <w:rsid w:val="00113B8E"/>
    <w:rsid w:val="00117E49"/>
    <w:rsid w:val="00117F59"/>
    <w:rsid w:val="0012053C"/>
    <w:rsid w:val="00122363"/>
    <w:rsid w:val="00125D45"/>
    <w:rsid w:val="00127E42"/>
    <w:rsid w:val="001313B3"/>
    <w:rsid w:val="00133E4B"/>
    <w:rsid w:val="0013418F"/>
    <w:rsid w:val="001342C7"/>
    <w:rsid w:val="0013585C"/>
    <w:rsid w:val="00140223"/>
    <w:rsid w:val="00142261"/>
    <w:rsid w:val="00142954"/>
    <w:rsid w:val="00142A20"/>
    <w:rsid w:val="00142F2E"/>
    <w:rsid w:val="001460E0"/>
    <w:rsid w:val="00146AED"/>
    <w:rsid w:val="001472F0"/>
    <w:rsid w:val="00147EE2"/>
    <w:rsid w:val="00147F71"/>
    <w:rsid w:val="00150A6E"/>
    <w:rsid w:val="00151EB5"/>
    <w:rsid w:val="0016304B"/>
    <w:rsid w:val="0016318F"/>
    <w:rsid w:val="0016468A"/>
    <w:rsid w:val="001676A9"/>
    <w:rsid w:val="0017070E"/>
    <w:rsid w:val="00174F02"/>
    <w:rsid w:val="0017525F"/>
    <w:rsid w:val="00175397"/>
    <w:rsid w:val="00182192"/>
    <w:rsid w:val="00182345"/>
    <w:rsid w:val="00182A4C"/>
    <w:rsid w:val="0018376C"/>
    <w:rsid w:val="00184C63"/>
    <w:rsid w:val="00185BB9"/>
    <w:rsid w:val="0018662D"/>
    <w:rsid w:val="00190D3C"/>
    <w:rsid w:val="00192B84"/>
    <w:rsid w:val="001941EC"/>
    <w:rsid w:val="0019735F"/>
    <w:rsid w:val="00197427"/>
    <w:rsid w:val="001A21B4"/>
    <w:rsid w:val="001A28DB"/>
    <w:rsid w:val="001A5CF5"/>
    <w:rsid w:val="001A79D5"/>
    <w:rsid w:val="001B10A4"/>
    <w:rsid w:val="001B2832"/>
    <w:rsid w:val="001B39D2"/>
    <w:rsid w:val="001B4BF8"/>
    <w:rsid w:val="001B7B14"/>
    <w:rsid w:val="001C25C2"/>
    <w:rsid w:val="001C2A0D"/>
    <w:rsid w:val="001C4326"/>
    <w:rsid w:val="001C48F1"/>
    <w:rsid w:val="001C5A86"/>
    <w:rsid w:val="001C665E"/>
    <w:rsid w:val="001C7407"/>
    <w:rsid w:val="001D0C73"/>
    <w:rsid w:val="001D1A0D"/>
    <w:rsid w:val="001D3541"/>
    <w:rsid w:val="001D3E4E"/>
    <w:rsid w:val="001E18BF"/>
    <w:rsid w:val="001E1AB7"/>
    <w:rsid w:val="001E254A"/>
    <w:rsid w:val="001E4339"/>
    <w:rsid w:val="001E4E57"/>
    <w:rsid w:val="001E7386"/>
    <w:rsid w:val="001F009E"/>
    <w:rsid w:val="001F2B19"/>
    <w:rsid w:val="001F45A7"/>
    <w:rsid w:val="001F5E27"/>
    <w:rsid w:val="001F6067"/>
    <w:rsid w:val="0020027C"/>
    <w:rsid w:val="00201A01"/>
    <w:rsid w:val="00202942"/>
    <w:rsid w:val="00205D71"/>
    <w:rsid w:val="002065D0"/>
    <w:rsid w:val="0020754B"/>
    <w:rsid w:val="002104D3"/>
    <w:rsid w:val="00210E5F"/>
    <w:rsid w:val="002121DA"/>
    <w:rsid w:val="00213A33"/>
    <w:rsid w:val="00215CA8"/>
    <w:rsid w:val="0021763B"/>
    <w:rsid w:val="0022452B"/>
    <w:rsid w:val="00225986"/>
    <w:rsid w:val="00226A16"/>
    <w:rsid w:val="00231B42"/>
    <w:rsid w:val="00232903"/>
    <w:rsid w:val="00232CBC"/>
    <w:rsid w:val="00232E9F"/>
    <w:rsid w:val="00234BDC"/>
    <w:rsid w:val="00234C7D"/>
    <w:rsid w:val="00236CCC"/>
    <w:rsid w:val="002437F6"/>
    <w:rsid w:val="00245748"/>
    <w:rsid w:val="002457B1"/>
    <w:rsid w:val="00245F9E"/>
    <w:rsid w:val="00246DB1"/>
    <w:rsid w:val="00246EAB"/>
    <w:rsid w:val="00247207"/>
    <w:rsid w:val="002476B5"/>
    <w:rsid w:val="00250493"/>
    <w:rsid w:val="00250903"/>
    <w:rsid w:val="002520CC"/>
    <w:rsid w:val="002525A8"/>
    <w:rsid w:val="00253ECF"/>
    <w:rsid w:val="00254044"/>
    <w:rsid w:val="002546A1"/>
    <w:rsid w:val="00255801"/>
    <w:rsid w:val="00256400"/>
    <w:rsid w:val="002575E8"/>
    <w:rsid w:val="00257EF1"/>
    <w:rsid w:val="00260203"/>
    <w:rsid w:val="00261C60"/>
    <w:rsid w:val="00261F6A"/>
    <w:rsid w:val="002628F4"/>
    <w:rsid w:val="00262B35"/>
    <w:rsid w:val="002653D8"/>
    <w:rsid w:val="00266402"/>
    <w:rsid w:val="00267B38"/>
    <w:rsid w:val="002735D4"/>
    <w:rsid w:val="00274DD1"/>
    <w:rsid w:val="00275D08"/>
    <w:rsid w:val="00280AFB"/>
    <w:rsid w:val="00281C33"/>
    <w:rsid w:val="002839AF"/>
    <w:rsid w:val="002850C8"/>
    <w:rsid w:val="002858E3"/>
    <w:rsid w:val="0029190A"/>
    <w:rsid w:val="00292C5A"/>
    <w:rsid w:val="00293953"/>
    <w:rsid w:val="002946D3"/>
    <w:rsid w:val="00295241"/>
    <w:rsid w:val="00295BE8"/>
    <w:rsid w:val="00295C54"/>
    <w:rsid w:val="002A0179"/>
    <w:rsid w:val="002A06BE"/>
    <w:rsid w:val="002A1B7C"/>
    <w:rsid w:val="002A3448"/>
    <w:rsid w:val="002A4DFC"/>
    <w:rsid w:val="002A5B3C"/>
    <w:rsid w:val="002A68B7"/>
    <w:rsid w:val="002A7898"/>
    <w:rsid w:val="002A7943"/>
    <w:rsid w:val="002B047D"/>
    <w:rsid w:val="002B0976"/>
    <w:rsid w:val="002B1886"/>
    <w:rsid w:val="002B192D"/>
    <w:rsid w:val="002B5583"/>
    <w:rsid w:val="002B5BE3"/>
    <w:rsid w:val="002B732B"/>
    <w:rsid w:val="002B76A7"/>
    <w:rsid w:val="002B7BEC"/>
    <w:rsid w:val="002C0E24"/>
    <w:rsid w:val="002C0E3E"/>
    <w:rsid w:val="002C11B5"/>
    <w:rsid w:val="002C2219"/>
    <w:rsid w:val="002C2552"/>
    <w:rsid w:val="002C34E7"/>
    <w:rsid w:val="002C380A"/>
    <w:rsid w:val="002C3D8C"/>
    <w:rsid w:val="002C751B"/>
    <w:rsid w:val="002D0DF2"/>
    <w:rsid w:val="002D23BD"/>
    <w:rsid w:val="002D693A"/>
    <w:rsid w:val="002D7AC6"/>
    <w:rsid w:val="002E0B47"/>
    <w:rsid w:val="002E4B20"/>
    <w:rsid w:val="002E58CA"/>
    <w:rsid w:val="002F34AD"/>
    <w:rsid w:val="002F3A0D"/>
    <w:rsid w:val="002F44FB"/>
    <w:rsid w:val="002F4685"/>
    <w:rsid w:val="002F7213"/>
    <w:rsid w:val="002F7A8B"/>
    <w:rsid w:val="00301026"/>
    <w:rsid w:val="00301EFE"/>
    <w:rsid w:val="0030382F"/>
    <w:rsid w:val="0030408D"/>
    <w:rsid w:val="00305198"/>
    <w:rsid w:val="003060E4"/>
    <w:rsid w:val="0031188E"/>
    <w:rsid w:val="003145C0"/>
    <w:rsid w:val="003156D9"/>
    <w:rsid w:val="003160E7"/>
    <w:rsid w:val="0031739E"/>
    <w:rsid w:val="00317DA3"/>
    <w:rsid w:val="003212F4"/>
    <w:rsid w:val="00321381"/>
    <w:rsid w:val="0032221D"/>
    <w:rsid w:val="0032341E"/>
    <w:rsid w:val="003235C6"/>
    <w:rsid w:val="00323995"/>
    <w:rsid w:val="0032654A"/>
    <w:rsid w:val="00327FE8"/>
    <w:rsid w:val="003309CA"/>
    <w:rsid w:val="003325AB"/>
    <w:rsid w:val="003332D1"/>
    <w:rsid w:val="0033396A"/>
    <w:rsid w:val="0033412B"/>
    <w:rsid w:val="0033448B"/>
    <w:rsid w:val="0033493D"/>
    <w:rsid w:val="00335FA3"/>
    <w:rsid w:val="00341161"/>
    <w:rsid w:val="00343365"/>
    <w:rsid w:val="003445F4"/>
    <w:rsid w:val="00345902"/>
    <w:rsid w:val="00353501"/>
    <w:rsid w:val="00353734"/>
    <w:rsid w:val="003538D4"/>
    <w:rsid w:val="003606F8"/>
    <w:rsid w:val="00360BF0"/>
    <w:rsid w:val="0036142D"/>
    <w:rsid w:val="0036455A"/>
    <w:rsid w:val="003648EF"/>
    <w:rsid w:val="003673E6"/>
    <w:rsid w:val="00367EFF"/>
    <w:rsid w:val="0037038F"/>
    <w:rsid w:val="0037275B"/>
    <w:rsid w:val="00374349"/>
    <w:rsid w:val="00377264"/>
    <w:rsid w:val="003779D2"/>
    <w:rsid w:val="00380094"/>
    <w:rsid w:val="003810D3"/>
    <w:rsid w:val="00381F3C"/>
    <w:rsid w:val="00384186"/>
    <w:rsid w:val="003846CB"/>
    <w:rsid w:val="00385DE2"/>
    <w:rsid w:val="00385E38"/>
    <w:rsid w:val="00390DB7"/>
    <w:rsid w:val="003938F0"/>
    <w:rsid w:val="00394C71"/>
    <w:rsid w:val="00395DAC"/>
    <w:rsid w:val="003A1032"/>
    <w:rsid w:val="003A1155"/>
    <w:rsid w:val="003A26A5"/>
    <w:rsid w:val="003A3666"/>
    <w:rsid w:val="003A3761"/>
    <w:rsid w:val="003A512D"/>
    <w:rsid w:val="003A5FEA"/>
    <w:rsid w:val="003A710B"/>
    <w:rsid w:val="003B1D10"/>
    <w:rsid w:val="003B22C7"/>
    <w:rsid w:val="003B31FA"/>
    <w:rsid w:val="003B4918"/>
    <w:rsid w:val="003B4A76"/>
    <w:rsid w:val="003B5A67"/>
    <w:rsid w:val="003B6589"/>
    <w:rsid w:val="003C0F47"/>
    <w:rsid w:val="003C310C"/>
    <w:rsid w:val="003C438E"/>
    <w:rsid w:val="003C4607"/>
    <w:rsid w:val="003C76D4"/>
    <w:rsid w:val="003D06E7"/>
    <w:rsid w:val="003D137D"/>
    <w:rsid w:val="003D298A"/>
    <w:rsid w:val="003D2CC5"/>
    <w:rsid w:val="003D3CC4"/>
    <w:rsid w:val="003D3E5C"/>
    <w:rsid w:val="003D4565"/>
    <w:rsid w:val="003D65F7"/>
    <w:rsid w:val="003E01AC"/>
    <w:rsid w:val="003E04C1"/>
    <w:rsid w:val="003E0887"/>
    <w:rsid w:val="003E0FF6"/>
    <w:rsid w:val="003E1C46"/>
    <w:rsid w:val="003E5DAD"/>
    <w:rsid w:val="003E7342"/>
    <w:rsid w:val="003E74C8"/>
    <w:rsid w:val="003E74E2"/>
    <w:rsid w:val="003E7C46"/>
    <w:rsid w:val="003F14F9"/>
    <w:rsid w:val="003F19CB"/>
    <w:rsid w:val="003F2106"/>
    <w:rsid w:val="003F2561"/>
    <w:rsid w:val="003F3A58"/>
    <w:rsid w:val="003F3BCA"/>
    <w:rsid w:val="003F52A7"/>
    <w:rsid w:val="003F68A4"/>
    <w:rsid w:val="003F6D0C"/>
    <w:rsid w:val="003F7013"/>
    <w:rsid w:val="003F7483"/>
    <w:rsid w:val="003F7A5C"/>
    <w:rsid w:val="003F7D57"/>
    <w:rsid w:val="003F7F6A"/>
    <w:rsid w:val="0040240C"/>
    <w:rsid w:val="00402D96"/>
    <w:rsid w:val="00404EF1"/>
    <w:rsid w:val="00405F13"/>
    <w:rsid w:val="0040633B"/>
    <w:rsid w:val="00406414"/>
    <w:rsid w:val="00407D08"/>
    <w:rsid w:val="00412E0D"/>
    <w:rsid w:val="00413021"/>
    <w:rsid w:val="004130C7"/>
    <w:rsid w:val="00414C35"/>
    <w:rsid w:val="004154E7"/>
    <w:rsid w:val="00415C49"/>
    <w:rsid w:val="004171B7"/>
    <w:rsid w:val="004208F5"/>
    <w:rsid w:val="00422854"/>
    <w:rsid w:val="00425713"/>
    <w:rsid w:val="00425D2E"/>
    <w:rsid w:val="004264C8"/>
    <w:rsid w:val="00426DF2"/>
    <w:rsid w:val="004301C6"/>
    <w:rsid w:val="00430BDE"/>
    <w:rsid w:val="00432139"/>
    <w:rsid w:val="004330E7"/>
    <w:rsid w:val="0043478F"/>
    <w:rsid w:val="0043602B"/>
    <w:rsid w:val="004367D2"/>
    <w:rsid w:val="00440BE0"/>
    <w:rsid w:val="00441E80"/>
    <w:rsid w:val="00442A06"/>
    <w:rsid w:val="00442C1C"/>
    <w:rsid w:val="004431D9"/>
    <w:rsid w:val="00444D02"/>
    <w:rsid w:val="0044584B"/>
    <w:rsid w:val="00447CB7"/>
    <w:rsid w:val="00450E99"/>
    <w:rsid w:val="004533EE"/>
    <w:rsid w:val="00454942"/>
    <w:rsid w:val="00455CC9"/>
    <w:rsid w:val="00457A13"/>
    <w:rsid w:val="00460826"/>
    <w:rsid w:val="00460B1E"/>
    <w:rsid w:val="00460EA7"/>
    <w:rsid w:val="0046195B"/>
    <w:rsid w:val="004632D0"/>
    <w:rsid w:val="004632D4"/>
    <w:rsid w:val="0046362D"/>
    <w:rsid w:val="00465915"/>
    <w:rsid w:val="0046596D"/>
    <w:rsid w:val="004666AC"/>
    <w:rsid w:val="004705C6"/>
    <w:rsid w:val="004712B6"/>
    <w:rsid w:val="00475B23"/>
    <w:rsid w:val="00476278"/>
    <w:rsid w:val="00476B21"/>
    <w:rsid w:val="00476BBC"/>
    <w:rsid w:val="004772C6"/>
    <w:rsid w:val="004807D4"/>
    <w:rsid w:val="0048089C"/>
    <w:rsid w:val="00481E07"/>
    <w:rsid w:val="0048345C"/>
    <w:rsid w:val="00484AC6"/>
    <w:rsid w:val="004852AB"/>
    <w:rsid w:val="00486288"/>
    <w:rsid w:val="00486356"/>
    <w:rsid w:val="00487C04"/>
    <w:rsid w:val="004907E1"/>
    <w:rsid w:val="00491CAD"/>
    <w:rsid w:val="004936CE"/>
    <w:rsid w:val="00494C8E"/>
    <w:rsid w:val="004966E5"/>
    <w:rsid w:val="004A035B"/>
    <w:rsid w:val="004A2108"/>
    <w:rsid w:val="004A38D7"/>
    <w:rsid w:val="004A3F9B"/>
    <w:rsid w:val="004A778C"/>
    <w:rsid w:val="004A7CAA"/>
    <w:rsid w:val="004A7FBD"/>
    <w:rsid w:val="004B14DD"/>
    <w:rsid w:val="004B48C7"/>
    <w:rsid w:val="004B5068"/>
    <w:rsid w:val="004B55B1"/>
    <w:rsid w:val="004B58E4"/>
    <w:rsid w:val="004B6D2A"/>
    <w:rsid w:val="004C1940"/>
    <w:rsid w:val="004C2C33"/>
    <w:rsid w:val="004C2C34"/>
    <w:rsid w:val="004C2E6A"/>
    <w:rsid w:val="004C5513"/>
    <w:rsid w:val="004C64B8"/>
    <w:rsid w:val="004D045D"/>
    <w:rsid w:val="004D0EEA"/>
    <w:rsid w:val="004D19C6"/>
    <w:rsid w:val="004D2A2D"/>
    <w:rsid w:val="004D479F"/>
    <w:rsid w:val="004D6689"/>
    <w:rsid w:val="004D6E02"/>
    <w:rsid w:val="004D7FBB"/>
    <w:rsid w:val="004E0726"/>
    <w:rsid w:val="004E073E"/>
    <w:rsid w:val="004E0BF7"/>
    <w:rsid w:val="004E1D1D"/>
    <w:rsid w:val="004E2A69"/>
    <w:rsid w:val="004E77D1"/>
    <w:rsid w:val="004E7AC8"/>
    <w:rsid w:val="004F05F4"/>
    <w:rsid w:val="004F0C94"/>
    <w:rsid w:val="004F1727"/>
    <w:rsid w:val="004F4514"/>
    <w:rsid w:val="004F4E9A"/>
    <w:rsid w:val="004F59CB"/>
    <w:rsid w:val="004F710D"/>
    <w:rsid w:val="005019AE"/>
    <w:rsid w:val="0050211B"/>
    <w:rsid w:val="00503348"/>
    <w:rsid w:val="00503749"/>
    <w:rsid w:val="00503D59"/>
    <w:rsid w:val="00504CF4"/>
    <w:rsid w:val="0050635B"/>
    <w:rsid w:val="005075B3"/>
    <w:rsid w:val="00510C65"/>
    <w:rsid w:val="00512760"/>
    <w:rsid w:val="005151C2"/>
    <w:rsid w:val="005160D6"/>
    <w:rsid w:val="0052031C"/>
    <w:rsid w:val="00520819"/>
    <w:rsid w:val="00522C36"/>
    <w:rsid w:val="0052666E"/>
    <w:rsid w:val="00526DA0"/>
    <w:rsid w:val="00526EB0"/>
    <w:rsid w:val="005275E8"/>
    <w:rsid w:val="00527767"/>
    <w:rsid w:val="005309FE"/>
    <w:rsid w:val="00531058"/>
    <w:rsid w:val="0053199F"/>
    <w:rsid w:val="00531E12"/>
    <w:rsid w:val="00533B90"/>
    <w:rsid w:val="00534672"/>
    <w:rsid w:val="005360B2"/>
    <w:rsid w:val="005410F8"/>
    <w:rsid w:val="0054267F"/>
    <w:rsid w:val="005445A1"/>
    <w:rsid w:val="005448EC"/>
    <w:rsid w:val="00545963"/>
    <w:rsid w:val="00550166"/>
    <w:rsid w:val="00550256"/>
    <w:rsid w:val="00553165"/>
    <w:rsid w:val="00553958"/>
    <w:rsid w:val="00556BB7"/>
    <w:rsid w:val="00556F2F"/>
    <w:rsid w:val="0055763D"/>
    <w:rsid w:val="00557FFA"/>
    <w:rsid w:val="0056052A"/>
    <w:rsid w:val="00561516"/>
    <w:rsid w:val="005621F2"/>
    <w:rsid w:val="00566055"/>
    <w:rsid w:val="00567B58"/>
    <w:rsid w:val="00571223"/>
    <w:rsid w:val="00572E7D"/>
    <w:rsid w:val="00572EC6"/>
    <w:rsid w:val="005763E0"/>
    <w:rsid w:val="00581136"/>
    <w:rsid w:val="00581EB8"/>
    <w:rsid w:val="005839E7"/>
    <w:rsid w:val="0058437F"/>
    <w:rsid w:val="00587F56"/>
    <w:rsid w:val="00590DFE"/>
    <w:rsid w:val="005911E3"/>
    <w:rsid w:val="005923EE"/>
    <w:rsid w:val="00592411"/>
    <w:rsid w:val="005954D9"/>
    <w:rsid w:val="005A050E"/>
    <w:rsid w:val="005A1EAF"/>
    <w:rsid w:val="005A27CA"/>
    <w:rsid w:val="005A43BD"/>
    <w:rsid w:val="005A44CE"/>
    <w:rsid w:val="005A5386"/>
    <w:rsid w:val="005A588B"/>
    <w:rsid w:val="005A7322"/>
    <w:rsid w:val="005A79E5"/>
    <w:rsid w:val="005B1783"/>
    <w:rsid w:val="005B278B"/>
    <w:rsid w:val="005B2EF2"/>
    <w:rsid w:val="005B7423"/>
    <w:rsid w:val="005C2889"/>
    <w:rsid w:val="005C3553"/>
    <w:rsid w:val="005C5F99"/>
    <w:rsid w:val="005D034C"/>
    <w:rsid w:val="005D0C41"/>
    <w:rsid w:val="005D0F9B"/>
    <w:rsid w:val="005D253A"/>
    <w:rsid w:val="005D46CA"/>
    <w:rsid w:val="005D6D74"/>
    <w:rsid w:val="005D78A5"/>
    <w:rsid w:val="005E0AF3"/>
    <w:rsid w:val="005E0C0E"/>
    <w:rsid w:val="005E2004"/>
    <w:rsid w:val="005E226E"/>
    <w:rsid w:val="005E2636"/>
    <w:rsid w:val="005E6F0F"/>
    <w:rsid w:val="005F4136"/>
    <w:rsid w:val="005F54D2"/>
    <w:rsid w:val="005F759A"/>
    <w:rsid w:val="006015D7"/>
    <w:rsid w:val="00601B21"/>
    <w:rsid w:val="006041F0"/>
    <w:rsid w:val="006046D8"/>
    <w:rsid w:val="00605C6D"/>
    <w:rsid w:val="00606000"/>
    <w:rsid w:val="006075CD"/>
    <w:rsid w:val="00610FA0"/>
    <w:rsid w:val="006120CA"/>
    <w:rsid w:val="0061443A"/>
    <w:rsid w:val="00614896"/>
    <w:rsid w:val="00624174"/>
    <w:rsid w:val="00624555"/>
    <w:rsid w:val="006255D0"/>
    <w:rsid w:val="00625CD3"/>
    <w:rsid w:val="00626CF8"/>
    <w:rsid w:val="00626F73"/>
    <w:rsid w:val="006314AF"/>
    <w:rsid w:val="00631F8B"/>
    <w:rsid w:val="00632DB8"/>
    <w:rsid w:val="00633152"/>
    <w:rsid w:val="00634003"/>
    <w:rsid w:val="006344C6"/>
    <w:rsid w:val="00634ED8"/>
    <w:rsid w:val="006353C9"/>
    <w:rsid w:val="006355D9"/>
    <w:rsid w:val="006360E0"/>
    <w:rsid w:val="00636D7D"/>
    <w:rsid w:val="00637408"/>
    <w:rsid w:val="00640C23"/>
    <w:rsid w:val="00641133"/>
    <w:rsid w:val="00642868"/>
    <w:rsid w:val="00643260"/>
    <w:rsid w:val="00643274"/>
    <w:rsid w:val="00643A46"/>
    <w:rsid w:val="00645552"/>
    <w:rsid w:val="006457EC"/>
    <w:rsid w:val="00647AFE"/>
    <w:rsid w:val="00650417"/>
    <w:rsid w:val="00650F20"/>
    <w:rsid w:val="006512BC"/>
    <w:rsid w:val="0065325A"/>
    <w:rsid w:val="00653A5A"/>
    <w:rsid w:val="006554AC"/>
    <w:rsid w:val="00656F28"/>
    <w:rsid w:val="006575F4"/>
    <w:rsid w:val="006579E6"/>
    <w:rsid w:val="00660682"/>
    <w:rsid w:val="00660F74"/>
    <w:rsid w:val="006616E4"/>
    <w:rsid w:val="00663D27"/>
    <w:rsid w:val="00663EDC"/>
    <w:rsid w:val="00663F18"/>
    <w:rsid w:val="00671078"/>
    <w:rsid w:val="006712AF"/>
    <w:rsid w:val="0067158A"/>
    <w:rsid w:val="00671725"/>
    <w:rsid w:val="00672A84"/>
    <w:rsid w:val="006758CA"/>
    <w:rsid w:val="00675A96"/>
    <w:rsid w:val="006777B1"/>
    <w:rsid w:val="00680A04"/>
    <w:rsid w:val="00680C53"/>
    <w:rsid w:val="0068146A"/>
    <w:rsid w:val="006821C3"/>
    <w:rsid w:val="00686D80"/>
    <w:rsid w:val="00686E8F"/>
    <w:rsid w:val="00692008"/>
    <w:rsid w:val="0069404B"/>
    <w:rsid w:val="00694895"/>
    <w:rsid w:val="006965D2"/>
    <w:rsid w:val="0069770E"/>
    <w:rsid w:val="00697E2E"/>
    <w:rsid w:val="006A0312"/>
    <w:rsid w:val="006A21C3"/>
    <w:rsid w:val="006A25A2"/>
    <w:rsid w:val="006A386B"/>
    <w:rsid w:val="006A39B6"/>
    <w:rsid w:val="006A3B87"/>
    <w:rsid w:val="006A4377"/>
    <w:rsid w:val="006A46F5"/>
    <w:rsid w:val="006A6B8D"/>
    <w:rsid w:val="006A7E76"/>
    <w:rsid w:val="006B0A88"/>
    <w:rsid w:val="006B0E73"/>
    <w:rsid w:val="006B1E3D"/>
    <w:rsid w:val="006B348D"/>
    <w:rsid w:val="006B4A4D"/>
    <w:rsid w:val="006B5695"/>
    <w:rsid w:val="006B62E6"/>
    <w:rsid w:val="006B7B2E"/>
    <w:rsid w:val="006C0AA0"/>
    <w:rsid w:val="006C1523"/>
    <w:rsid w:val="006C1E8D"/>
    <w:rsid w:val="006C5402"/>
    <w:rsid w:val="006C78EB"/>
    <w:rsid w:val="006C7EEC"/>
    <w:rsid w:val="006C7EF6"/>
    <w:rsid w:val="006D0F94"/>
    <w:rsid w:val="006D1660"/>
    <w:rsid w:val="006D16E3"/>
    <w:rsid w:val="006D63E5"/>
    <w:rsid w:val="006D6F5F"/>
    <w:rsid w:val="006E07E9"/>
    <w:rsid w:val="006E1753"/>
    <w:rsid w:val="006E2886"/>
    <w:rsid w:val="006E3911"/>
    <w:rsid w:val="006E69F4"/>
    <w:rsid w:val="006F128D"/>
    <w:rsid w:val="006F1B67"/>
    <w:rsid w:val="006F33BA"/>
    <w:rsid w:val="006F4D9C"/>
    <w:rsid w:val="006F728E"/>
    <w:rsid w:val="0070091D"/>
    <w:rsid w:val="00702854"/>
    <w:rsid w:val="00702A3A"/>
    <w:rsid w:val="00702CCF"/>
    <w:rsid w:val="007041CB"/>
    <w:rsid w:val="007044A7"/>
    <w:rsid w:val="007057E1"/>
    <w:rsid w:val="007064CD"/>
    <w:rsid w:val="00706966"/>
    <w:rsid w:val="00707D8C"/>
    <w:rsid w:val="00707E74"/>
    <w:rsid w:val="0071741C"/>
    <w:rsid w:val="0072066A"/>
    <w:rsid w:val="00720A01"/>
    <w:rsid w:val="00722E7C"/>
    <w:rsid w:val="007307BD"/>
    <w:rsid w:val="00742B90"/>
    <w:rsid w:val="0074434D"/>
    <w:rsid w:val="007443A2"/>
    <w:rsid w:val="00745994"/>
    <w:rsid w:val="0075169A"/>
    <w:rsid w:val="007527B3"/>
    <w:rsid w:val="00752E53"/>
    <w:rsid w:val="007533D5"/>
    <w:rsid w:val="00754B5C"/>
    <w:rsid w:val="007570C4"/>
    <w:rsid w:val="007605B8"/>
    <w:rsid w:val="00760BAC"/>
    <w:rsid w:val="007624BA"/>
    <w:rsid w:val="00770F4F"/>
    <w:rsid w:val="00771B1E"/>
    <w:rsid w:val="00773C95"/>
    <w:rsid w:val="00774021"/>
    <w:rsid w:val="00775E30"/>
    <w:rsid w:val="0078171E"/>
    <w:rsid w:val="007824C9"/>
    <w:rsid w:val="007856A6"/>
    <w:rsid w:val="0078658E"/>
    <w:rsid w:val="00787615"/>
    <w:rsid w:val="007920E2"/>
    <w:rsid w:val="00795493"/>
    <w:rsid w:val="0079566E"/>
    <w:rsid w:val="00795B34"/>
    <w:rsid w:val="007A067F"/>
    <w:rsid w:val="007A0805"/>
    <w:rsid w:val="007A3F14"/>
    <w:rsid w:val="007A5C7D"/>
    <w:rsid w:val="007A6F61"/>
    <w:rsid w:val="007A7E5E"/>
    <w:rsid w:val="007B1770"/>
    <w:rsid w:val="007B1FC3"/>
    <w:rsid w:val="007B228A"/>
    <w:rsid w:val="007B32FD"/>
    <w:rsid w:val="007B4247"/>
    <w:rsid w:val="007B4D3E"/>
    <w:rsid w:val="007B587E"/>
    <w:rsid w:val="007B698C"/>
    <w:rsid w:val="007B7283"/>
    <w:rsid w:val="007B7A92"/>
    <w:rsid w:val="007B7C70"/>
    <w:rsid w:val="007B7DEB"/>
    <w:rsid w:val="007C0449"/>
    <w:rsid w:val="007C1A08"/>
    <w:rsid w:val="007C43B6"/>
    <w:rsid w:val="007C5263"/>
    <w:rsid w:val="007C5873"/>
    <w:rsid w:val="007C7EA7"/>
    <w:rsid w:val="007D197E"/>
    <w:rsid w:val="007D1B55"/>
    <w:rsid w:val="007D2151"/>
    <w:rsid w:val="007D2D18"/>
    <w:rsid w:val="007D3B90"/>
    <w:rsid w:val="007D42CC"/>
    <w:rsid w:val="007D5DE4"/>
    <w:rsid w:val="007D7C3A"/>
    <w:rsid w:val="007E0544"/>
    <w:rsid w:val="007E0777"/>
    <w:rsid w:val="007E115B"/>
    <w:rsid w:val="007E1341"/>
    <w:rsid w:val="007E1550"/>
    <w:rsid w:val="007E1B41"/>
    <w:rsid w:val="007E1EC4"/>
    <w:rsid w:val="007E30B9"/>
    <w:rsid w:val="007E317D"/>
    <w:rsid w:val="007E568E"/>
    <w:rsid w:val="007E5D3F"/>
    <w:rsid w:val="007E74F1"/>
    <w:rsid w:val="007F0F0C"/>
    <w:rsid w:val="007F1288"/>
    <w:rsid w:val="007F1FC4"/>
    <w:rsid w:val="007F2C7C"/>
    <w:rsid w:val="007F338C"/>
    <w:rsid w:val="007F36AC"/>
    <w:rsid w:val="007F3E11"/>
    <w:rsid w:val="007F46EF"/>
    <w:rsid w:val="007F484D"/>
    <w:rsid w:val="007F6213"/>
    <w:rsid w:val="007F695B"/>
    <w:rsid w:val="00800358"/>
    <w:rsid w:val="00800A8A"/>
    <w:rsid w:val="0080155C"/>
    <w:rsid w:val="008017B4"/>
    <w:rsid w:val="008052A9"/>
    <w:rsid w:val="008052E1"/>
    <w:rsid w:val="00805DB5"/>
    <w:rsid w:val="00805EF2"/>
    <w:rsid w:val="008116BD"/>
    <w:rsid w:val="008117C4"/>
    <w:rsid w:val="00811E8D"/>
    <w:rsid w:val="00811EEB"/>
    <w:rsid w:val="008150DF"/>
    <w:rsid w:val="008158D6"/>
    <w:rsid w:val="00816A45"/>
    <w:rsid w:val="0082081A"/>
    <w:rsid w:val="00822F2C"/>
    <w:rsid w:val="00823DEE"/>
    <w:rsid w:val="0082557F"/>
    <w:rsid w:val="008305E8"/>
    <w:rsid w:val="008306F0"/>
    <w:rsid w:val="00832401"/>
    <w:rsid w:val="00835DFA"/>
    <w:rsid w:val="00836165"/>
    <w:rsid w:val="008365B2"/>
    <w:rsid w:val="0083664D"/>
    <w:rsid w:val="0083794E"/>
    <w:rsid w:val="0084161C"/>
    <w:rsid w:val="008417A3"/>
    <w:rsid w:val="00841A1C"/>
    <w:rsid w:val="0084640C"/>
    <w:rsid w:val="00850955"/>
    <w:rsid w:val="00852675"/>
    <w:rsid w:val="00856088"/>
    <w:rsid w:val="008573F6"/>
    <w:rsid w:val="00857451"/>
    <w:rsid w:val="00860122"/>
    <w:rsid w:val="00860826"/>
    <w:rsid w:val="00860A92"/>
    <w:rsid w:val="00860E21"/>
    <w:rsid w:val="008621B5"/>
    <w:rsid w:val="00863117"/>
    <w:rsid w:val="00863758"/>
    <w:rsid w:val="0086388B"/>
    <w:rsid w:val="008642E5"/>
    <w:rsid w:val="00864488"/>
    <w:rsid w:val="00870A36"/>
    <w:rsid w:val="0087119D"/>
    <w:rsid w:val="00872D93"/>
    <w:rsid w:val="00872DAA"/>
    <w:rsid w:val="00874D0D"/>
    <w:rsid w:val="008767EA"/>
    <w:rsid w:val="00880470"/>
    <w:rsid w:val="00880D94"/>
    <w:rsid w:val="008814E8"/>
    <w:rsid w:val="00885E1F"/>
    <w:rsid w:val="00886F64"/>
    <w:rsid w:val="00887BAB"/>
    <w:rsid w:val="008924DE"/>
    <w:rsid w:val="00892F01"/>
    <w:rsid w:val="00895746"/>
    <w:rsid w:val="008A0B8F"/>
    <w:rsid w:val="008A3755"/>
    <w:rsid w:val="008A4BAC"/>
    <w:rsid w:val="008A5B6D"/>
    <w:rsid w:val="008A706B"/>
    <w:rsid w:val="008B0D60"/>
    <w:rsid w:val="008B19DC"/>
    <w:rsid w:val="008B1C6F"/>
    <w:rsid w:val="008B264F"/>
    <w:rsid w:val="008B3AA0"/>
    <w:rsid w:val="008B3E62"/>
    <w:rsid w:val="008B5F77"/>
    <w:rsid w:val="008B64A9"/>
    <w:rsid w:val="008B6F83"/>
    <w:rsid w:val="008B7022"/>
    <w:rsid w:val="008B72D3"/>
    <w:rsid w:val="008B7FD8"/>
    <w:rsid w:val="008C0F1A"/>
    <w:rsid w:val="008C231D"/>
    <w:rsid w:val="008C2973"/>
    <w:rsid w:val="008C6324"/>
    <w:rsid w:val="008C645A"/>
    <w:rsid w:val="008C64C4"/>
    <w:rsid w:val="008D1AF7"/>
    <w:rsid w:val="008D2CDD"/>
    <w:rsid w:val="008D5C98"/>
    <w:rsid w:val="008D74D5"/>
    <w:rsid w:val="008D7C9F"/>
    <w:rsid w:val="008E046C"/>
    <w:rsid w:val="008E04BA"/>
    <w:rsid w:val="008E0C53"/>
    <w:rsid w:val="008E0ED1"/>
    <w:rsid w:val="008E2083"/>
    <w:rsid w:val="008E2BFB"/>
    <w:rsid w:val="008E2EB8"/>
    <w:rsid w:val="008E3A07"/>
    <w:rsid w:val="008E4E81"/>
    <w:rsid w:val="008E537B"/>
    <w:rsid w:val="008E7C06"/>
    <w:rsid w:val="008F201A"/>
    <w:rsid w:val="008F29BE"/>
    <w:rsid w:val="008F3716"/>
    <w:rsid w:val="008F428A"/>
    <w:rsid w:val="008F4481"/>
    <w:rsid w:val="008F4AE5"/>
    <w:rsid w:val="008F51EB"/>
    <w:rsid w:val="008F639C"/>
    <w:rsid w:val="008F6AD6"/>
    <w:rsid w:val="00900197"/>
    <w:rsid w:val="009001F1"/>
    <w:rsid w:val="00902F15"/>
    <w:rsid w:val="00902F55"/>
    <w:rsid w:val="0090336F"/>
    <w:rsid w:val="00905418"/>
    <w:rsid w:val="0090582B"/>
    <w:rsid w:val="009060C0"/>
    <w:rsid w:val="00907A20"/>
    <w:rsid w:val="00907FBD"/>
    <w:rsid w:val="009133F5"/>
    <w:rsid w:val="0091399F"/>
    <w:rsid w:val="00913CE0"/>
    <w:rsid w:val="0091756F"/>
    <w:rsid w:val="00920A27"/>
    <w:rsid w:val="00921216"/>
    <w:rsid w:val="009216CC"/>
    <w:rsid w:val="00922E41"/>
    <w:rsid w:val="009239B3"/>
    <w:rsid w:val="00924C3B"/>
    <w:rsid w:val="00925892"/>
    <w:rsid w:val="00926083"/>
    <w:rsid w:val="00926D08"/>
    <w:rsid w:val="00930D08"/>
    <w:rsid w:val="00931466"/>
    <w:rsid w:val="00932D69"/>
    <w:rsid w:val="00933415"/>
    <w:rsid w:val="00933D49"/>
    <w:rsid w:val="0093438D"/>
    <w:rsid w:val="009354FD"/>
    <w:rsid w:val="00935589"/>
    <w:rsid w:val="009355D3"/>
    <w:rsid w:val="00935B13"/>
    <w:rsid w:val="00937408"/>
    <w:rsid w:val="00937958"/>
    <w:rsid w:val="00937FEB"/>
    <w:rsid w:val="0094100E"/>
    <w:rsid w:val="009414F5"/>
    <w:rsid w:val="009427FA"/>
    <w:rsid w:val="00944647"/>
    <w:rsid w:val="009450E8"/>
    <w:rsid w:val="009469E2"/>
    <w:rsid w:val="00954EA1"/>
    <w:rsid w:val="0095527F"/>
    <w:rsid w:val="0095565C"/>
    <w:rsid w:val="00957833"/>
    <w:rsid w:val="009611AE"/>
    <w:rsid w:val="0096137D"/>
    <w:rsid w:val="00961704"/>
    <w:rsid w:val="00963CA3"/>
    <w:rsid w:val="00964AB6"/>
    <w:rsid w:val="00965955"/>
    <w:rsid w:val="00966F9A"/>
    <w:rsid w:val="00970185"/>
    <w:rsid w:val="0097033F"/>
    <w:rsid w:val="009719ED"/>
    <w:rsid w:val="0097421E"/>
    <w:rsid w:val="0097661D"/>
    <w:rsid w:val="00976BCE"/>
    <w:rsid w:val="009776FE"/>
    <w:rsid w:val="00977B8A"/>
    <w:rsid w:val="009825A4"/>
    <w:rsid w:val="00982971"/>
    <w:rsid w:val="009845AD"/>
    <w:rsid w:val="00984835"/>
    <w:rsid w:val="009933EF"/>
    <w:rsid w:val="00995A78"/>
    <w:rsid w:val="00995BA0"/>
    <w:rsid w:val="009A418B"/>
    <w:rsid w:val="009A426F"/>
    <w:rsid w:val="009A42D5"/>
    <w:rsid w:val="009A4473"/>
    <w:rsid w:val="009A50E6"/>
    <w:rsid w:val="009A5E74"/>
    <w:rsid w:val="009A7227"/>
    <w:rsid w:val="009A78EE"/>
    <w:rsid w:val="009B05C9"/>
    <w:rsid w:val="009B2347"/>
    <w:rsid w:val="009B286C"/>
    <w:rsid w:val="009B4EDA"/>
    <w:rsid w:val="009B7EEB"/>
    <w:rsid w:val="009C151C"/>
    <w:rsid w:val="009C1AEC"/>
    <w:rsid w:val="009C1CD5"/>
    <w:rsid w:val="009C26E7"/>
    <w:rsid w:val="009C440A"/>
    <w:rsid w:val="009C6AFE"/>
    <w:rsid w:val="009D5125"/>
    <w:rsid w:val="009D60B8"/>
    <w:rsid w:val="009D7D4B"/>
    <w:rsid w:val="009E36ED"/>
    <w:rsid w:val="009E3B47"/>
    <w:rsid w:val="009E3C8C"/>
    <w:rsid w:val="009E583C"/>
    <w:rsid w:val="009E6886"/>
    <w:rsid w:val="009E6B77"/>
    <w:rsid w:val="009F192F"/>
    <w:rsid w:val="009F4372"/>
    <w:rsid w:val="009F460A"/>
    <w:rsid w:val="009F5F96"/>
    <w:rsid w:val="00A01B68"/>
    <w:rsid w:val="00A043FB"/>
    <w:rsid w:val="00A047D4"/>
    <w:rsid w:val="00A04B03"/>
    <w:rsid w:val="00A0579E"/>
    <w:rsid w:val="00A06BE4"/>
    <w:rsid w:val="00A0729C"/>
    <w:rsid w:val="00A073CF"/>
    <w:rsid w:val="00A0754B"/>
    <w:rsid w:val="00A07779"/>
    <w:rsid w:val="00A1166A"/>
    <w:rsid w:val="00A11EBC"/>
    <w:rsid w:val="00A1280F"/>
    <w:rsid w:val="00A128A0"/>
    <w:rsid w:val="00A13540"/>
    <w:rsid w:val="00A1427A"/>
    <w:rsid w:val="00A1696A"/>
    <w:rsid w:val="00A20B2E"/>
    <w:rsid w:val="00A24F33"/>
    <w:rsid w:val="00A25069"/>
    <w:rsid w:val="00A25547"/>
    <w:rsid w:val="00A26082"/>
    <w:rsid w:val="00A26E6B"/>
    <w:rsid w:val="00A27851"/>
    <w:rsid w:val="00A3068F"/>
    <w:rsid w:val="00A3145B"/>
    <w:rsid w:val="00A3347D"/>
    <w:rsid w:val="00A339D0"/>
    <w:rsid w:val="00A33A42"/>
    <w:rsid w:val="00A3415C"/>
    <w:rsid w:val="00A40362"/>
    <w:rsid w:val="00A41002"/>
    <w:rsid w:val="00A4201A"/>
    <w:rsid w:val="00A42CFC"/>
    <w:rsid w:val="00A443A7"/>
    <w:rsid w:val="00A45036"/>
    <w:rsid w:val="00A533E7"/>
    <w:rsid w:val="00A53BB8"/>
    <w:rsid w:val="00A5465D"/>
    <w:rsid w:val="00A553CE"/>
    <w:rsid w:val="00A5677A"/>
    <w:rsid w:val="00A56DCC"/>
    <w:rsid w:val="00A625E8"/>
    <w:rsid w:val="00A63DFF"/>
    <w:rsid w:val="00A64496"/>
    <w:rsid w:val="00A6490D"/>
    <w:rsid w:val="00A667AF"/>
    <w:rsid w:val="00A67033"/>
    <w:rsid w:val="00A71E8E"/>
    <w:rsid w:val="00A7415D"/>
    <w:rsid w:val="00A80363"/>
    <w:rsid w:val="00A803DC"/>
    <w:rsid w:val="00A80939"/>
    <w:rsid w:val="00A82E7C"/>
    <w:rsid w:val="00A83E9D"/>
    <w:rsid w:val="00A87C05"/>
    <w:rsid w:val="00A9169D"/>
    <w:rsid w:val="00A91D5F"/>
    <w:rsid w:val="00A93094"/>
    <w:rsid w:val="00A9325F"/>
    <w:rsid w:val="00A93598"/>
    <w:rsid w:val="00A94135"/>
    <w:rsid w:val="00A94140"/>
    <w:rsid w:val="00A94FE2"/>
    <w:rsid w:val="00A97A3A"/>
    <w:rsid w:val="00A97E80"/>
    <w:rsid w:val="00AA0378"/>
    <w:rsid w:val="00AA1FC7"/>
    <w:rsid w:val="00AA240C"/>
    <w:rsid w:val="00AA2A02"/>
    <w:rsid w:val="00AA2F84"/>
    <w:rsid w:val="00AA4E90"/>
    <w:rsid w:val="00AA6CD2"/>
    <w:rsid w:val="00AB0332"/>
    <w:rsid w:val="00AB1A35"/>
    <w:rsid w:val="00AB1EE5"/>
    <w:rsid w:val="00AB7FE8"/>
    <w:rsid w:val="00AC101C"/>
    <w:rsid w:val="00AC2CDE"/>
    <w:rsid w:val="00AD0C7F"/>
    <w:rsid w:val="00AD398A"/>
    <w:rsid w:val="00AD4CF1"/>
    <w:rsid w:val="00AD5988"/>
    <w:rsid w:val="00AD6293"/>
    <w:rsid w:val="00AE0CE0"/>
    <w:rsid w:val="00AE1643"/>
    <w:rsid w:val="00AE16AF"/>
    <w:rsid w:val="00AE3F92"/>
    <w:rsid w:val="00AE6B0D"/>
    <w:rsid w:val="00AF0CE1"/>
    <w:rsid w:val="00AF2FE0"/>
    <w:rsid w:val="00AF372E"/>
    <w:rsid w:val="00AF40A0"/>
    <w:rsid w:val="00AF68AC"/>
    <w:rsid w:val="00AF6B74"/>
    <w:rsid w:val="00AF7800"/>
    <w:rsid w:val="00B00CF5"/>
    <w:rsid w:val="00B066E2"/>
    <w:rsid w:val="00B072E0"/>
    <w:rsid w:val="00B1007E"/>
    <w:rsid w:val="00B13D41"/>
    <w:rsid w:val="00B20D33"/>
    <w:rsid w:val="00B21AA0"/>
    <w:rsid w:val="00B2293B"/>
    <w:rsid w:val="00B253F6"/>
    <w:rsid w:val="00B26675"/>
    <w:rsid w:val="00B27A3A"/>
    <w:rsid w:val="00B305DB"/>
    <w:rsid w:val="00B31EF8"/>
    <w:rsid w:val="00B332F8"/>
    <w:rsid w:val="00B3492B"/>
    <w:rsid w:val="00B352E6"/>
    <w:rsid w:val="00B44235"/>
    <w:rsid w:val="00B4646F"/>
    <w:rsid w:val="00B50286"/>
    <w:rsid w:val="00B5214A"/>
    <w:rsid w:val="00B53550"/>
    <w:rsid w:val="00B55C7D"/>
    <w:rsid w:val="00B56733"/>
    <w:rsid w:val="00B6210B"/>
    <w:rsid w:val="00B6282E"/>
    <w:rsid w:val="00B629C4"/>
    <w:rsid w:val="00B63038"/>
    <w:rsid w:val="00B641C8"/>
    <w:rsid w:val="00B64BD8"/>
    <w:rsid w:val="00B701D1"/>
    <w:rsid w:val="00B70D0B"/>
    <w:rsid w:val="00B734F4"/>
    <w:rsid w:val="00B73AF2"/>
    <w:rsid w:val="00B73D79"/>
    <w:rsid w:val="00B7551A"/>
    <w:rsid w:val="00B76AC0"/>
    <w:rsid w:val="00B773F1"/>
    <w:rsid w:val="00B86AB1"/>
    <w:rsid w:val="00B87297"/>
    <w:rsid w:val="00B87726"/>
    <w:rsid w:val="00B91B22"/>
    <w:rsid w:val="00B9788C"/>
    <w:rsid w:val="00BA26B7"/>
    <w:rsid w:val="00BA61AC"/>
    <w:rsid w:val="00BA73EA"/>
    <w:rsid w:val="00BA7EBA"/>
    <w:rsid w:val="00BB03E1"/>
    <w:rsid w:val="00BB2A06"/>
    <w:rsid w:val="00BB2CBB"/>
    <w:rsid w:val="00BB4198"/>
    <w:rsid w:val="00BC03EE"/>
    <w:rsid w:val="00BC1144"/>
    <w:rsid w:val="00BC1971"/>
    <w:rsid w:val="00BC29CC"/>
    <w:rsid w:val="00BC59F1"/>
    <w:rsid w:val="00BC5A77"/>
    <w:rsid w:val="00BD15DB"/>
    <w:rsid w:val="00BD221F"/>
    <w:rsid w:val="00BD3FD7"/>
    <w:rsid w:val="00BD488E"/>
    <w:rsid w:val="00BE01CC"/>
    <w:rsid w:val="00BE168D"/>
    <w:rsid w:val="00BE386B"/>
    <w:rsid w:val="00BE408E"/>
    <w:rsid w:val="00BE6128"/>
    <w:rsid w:val="00BE651B"/>
    <w:rsid w:val="00BE78BB"/>
    <w:rsid w:val="00BF04E7"/>
    <w:rsid w:val="00BF3DE1"/>
    <w:rsid w:val="00BF4386"/>
    <w:rsid w:val="00BF4843"/>
    <w:rsid w:val="00BF5205"/>
    <w:rsid w:val="00BF724B"/>
    <w:rsid w:val="00C00952"/>
    <w:rsid w:val="00C02746"/>
    <w:rsid w:val="00C02FBA"/>
    <w:rsid w:val="00C04A5C"/>
    <w:rsid w:val="00C05132"/>
    <w:rsid w:val="00C118EB"/>
    <w:rsid w:val="00C12508"/>
    <w:rsid w:val="00C17CE1"/>
    <w:rsid w:val="00C21F83"/>
    <w:rsid w:val="00C223A2"/>
    <w:rsid w:val="00C22E91"/>
    <w:rsid w:val="00C23728"/>
    <w:rsid w:val="00C25F30"/>
    <w:rsid w:val="00C3026C"/>
    <w:rsid w:val="00C313A9"/>
    <w:rsid w:val="00C31ECB"/>
    <w:rsid w:val="00C347C8"/>
    <w:rsid w:val="00C34A29"/>
    <w:rsid w:val="00C358E4"/>
    <w:rsid w:val="00C37D63"/>
    <w:rsid w:val="00C418EE"/>
    <w:rsid w:val="00C41D5D"/>
    <w:rsid w:val="00C41F46"/>
    <w:rsid w:val="00C4216F"/>
    <w:rsid w:val="00C42388"/>
    <w:rsid w:val="00C441CF"/>
    <w:rsid w:val="00C45777"/>
    <w:rsid w:val="00C45AA2"/>
    <w:rsid w:val="00C46E44"/>
    <w:rsid w:val="00C4792C"/>
    <w:rsid w:val="00C53952"/>
    <w:rsid w:val="00C55726"/>
    <w:rsid w:val="00C55BEF"/>
    <w:rsid w:val="00C5711F"/>
    <w:rsid w:val="00C57C00"/>
    <w:rsid w:val="00C601AF"/>
    <w:rsid w:val="00C61A63"/>
    <w:rsid w:val="00C66296"/>
    <w:rsid w:val="00C6680E"/>
    <w:rsid w:val="00C70A1C"/>
    <w:rsid w:val="00C712FD"/>
    <w:rsid w:val="00C7144B"/>
    <w:rsid w:val="00C73251"/>
    <w:rsid w:val="00C7394D"/>
    <w:rsid w:val="00C73A37"/>
    <w:rsid w:val="00C756B7"/>
    <w:rsid w:val="00C77282"/>
    <w:rsid w:val="00C77CC2"/>
    <w:rsid w:val="00C84DE5"/>
    <w:rsid w:val="00C86248"/>
    <w:rsid w:val="00C90B31"/>
    <w:rsid w:val="00C91588"/>
    <w:rsid w:val="00C920CB"/>
    <w:rsid w:val="00CA0C20"/>
    <w:rsid w:val="00CA0D6F"/>
    <w:rsid w:val="00CA1E37"/>
    <w:rsid w:val="00CA23C9"/>
    <w:rsid w:val="00CA3662"/>
    <w:rsid w:val="00CA4C33"/>
    <w:rsid w:val="00CA6774"/>
    <w:rsid w:val="00CA6F4A"/>
    <w:rsid w:val="00CB0940"/>
    <w:rsid w:val="00CB0970"/>
    <w:rsid w:val="00CB1092"/>
    <w:rsid w:val="00CB3483"/>
    <w:rsid w:val="00CB3C17"/>
    <w:rsid w:val="00CB3D55"/>
    <w:rsid w:val="00CB6427"/>
    <w:rsid w:val="00CB7486"/>
    <w:rsid w:val="00CC0FBE"/>
    <w:rsid w:val="00CC778F"/>
    <w:rsid w:val="00CD077C"/>
    <w:rsid w:val="00CD2119"/>
    <w:rsid w:val="00CD237A"/>
    <w:rsid w:val="00CD36AC"/>
    <w:rsid w:val="00CD4C94"/>
    <w:rsid w:val="00CD73DA"/>
    <w:rsid w:val="00CE13A3"/>
    <w:rsid w:val="00CE36BC"/>
    <w:rsid w:val="00CE3BC0"/>
    <w:rsid w:val="00CE7533"/>
    <w:rsid w:val="00CF0144"/>
    <w:rsid w:val="00CF0CB0"/>
    <w:rsid w:val="00CF1747"/>
    <w:rsid w:val="00CF2337"/>
    <w:rsid w:val="00CF40B7"/>
    <w:rsid w:val="00CF4DC0"/>
    <w:rsid w:val="00CF60ED"/>
    <w:rsid w:val="00CF72DB"/>
    <w:rsid w:val="00CF7A48"/>
    <w:rsid w:val="00D004C3"/>
    <w:rsid w:val="00D01B87"/>
    <w:rsid w:val="00D0571E"/>
    <w:rsid w:val="00D057BF"/>
    <w:rsid w:val="00D05AC1"/>
    <w:rsid w:val="00D05D74"/>
    <w:rsid w:val="00D135B6"/>
    <w:rsid w:val="00D13ACB"/>
    <w:rsid w:val="00D13B21"/>
    <w:rsid w:val="00D17E68"/>
    <w:rsid w:val="00D20C59"/>
    <w:rsid w:val="00D21054"/>
    <w:rsid w:val="00D23323"/>
    <w:rsid w:val="00D2392A"/>
    <w:rsid w:val="00D25FFE"/>
    <w:rsid w:val="00D27347"/>
    <w:rsid w:val="00D27607"/>
    <w:rsid w:val="00D27922"/>
    <w:rsid w:val="00D27A64"/>
    <w:rsid w:val="00D3124A"/>
    <w:rsid w:val="00D3148E"/>
    <w:rsid w:val="00D323BF"/>
    <w:rsid w:val="00D3570E"/>
    <w:rsid w:val="00D3582A"/>
    <w:rsid w:val="00D35C09"/>
    <w:rsid w:val="00D37D80"/>
    <w:rsid w:val="00D410F4"/>
    <w:rsid w:val="00D41134"/>
    <w:rsid w:val="00D418D3"/>
    <w:rsid w:val="00D442F3"/>
    <w:rsid w:val="00D44483"/>
    <w:rsid w:val="00D4476F"/>
    <w:rsid w:val="00D44B47"/>
    <w:rsid w:val="00D44F1B"/>
    <w:rsid w:val="00D50573"/>
    <w:rsid w:val="00D54D50"/>
    <w:rsid w:val="00D55054"/>
    <w:rsid w:val="00D560B4"/>
    <w:rsid w:val="00D62771"/>
    <w:rsid w:val="00D635C1"/>
    <w:rsid w:val="00D662F8"/>
    <w:rsid w:val="00D66797"/>
    <w:rsid w:val="00D7087C"/>
    <w:rsid w:val="00D70C3C"/>
    <w:rsid w:val="00D71DF7"/>
    <w:rsid w:val="00D72BE5"/>
    <w:rsid w:val="00D75407"/>
    <w:rsid w:val="00D77131"/>
    <w:rsid w:val="00D81462"/>
    <w:rsid w:val="00D81F8B"/>
    <w:rsid w:val="00D82431"/>
    <w:rsid w:val="00D82F26"/>
    <w:rsid w:val="00D8330E"/>
    <w:rsid w:val="00D83B16"/>
    <w:rsid w:val="00D863D0"/>
    <w:rsid w:val="00D86B00"/>
    <w:rsid w:val="00D86FB9"/>
    <w:rsid w:val="00D8740A"/>
    <w:rsid w:val="00D87C87"/>
    <w:rsid w:val="00D90184"/>
    <w:rsid w:val="00D90BB4"/>
    <w:rsid w:val="00D90E07"/>
    <w:rsid w:val="00D932C2"/>
    <w:rsid w:val="00DA0232"/>
    <w:rsid w:val="00DA35E6"/>
    <w:rsid w:val="00DA7F9E"/>
    <w:rsid w:val="00DB0BFA"/>
    <w:rsid w:val="00DB1173"/>
    <w:rsid w:val="00DB1196"/>
    <w:rsid w:val="00DB1468"/>
    <w:rsid w:val="00DB39CF"/>
    <w:rsid w:val="00DB55E3"/>
    <w:rsid w:val="00DB7256"/>
    <w:rsid w:val="00DC0401"/>
    <w:rsid w:val="00DC0950"/>
    <w:rsid w:val="00DC20BD"/>
    <w:rsid w:val="00DC322C"/>
    <w:rsid w:val="00DC6016"/>
    <w:rsid w:val="00DD0AB1"/>
    <w:rsid w:val="00DD0BCD"/>
    <w:rsid w:val="00DD24B7"/>
    <w:rsid w:val="00DD2F94"/>
    <w:rsid w:val="00DD447A"/>
    <w:rsid w:val="00DD4653"/>
    <w:rsid w:val="00DD7B38"/>
    <w:rsid w:val="00DE21A2"/>
    <w:rsid w:val="00DE33DB"/>
    <w:rsid w:val="00DE3B20"/>
    <w:rsid w:val="00DE44C4"/>
    <w:rsid w:val="00DE4931"/>
    <w:rsid w:val="00DE6C94"/>
    <w:rsid w:val="00DE6FD7"/>
    <w:rsid w:val="00DF0C7C"/>
    <w:rsid w:val="00DF1084"/>
    <w:rsid w:val="00DF22D1"/>
    <w:rsid w:val="00DF3137"/>
    <w:rsid w:val="00DF452D"/>
    <w:rsid w:val="00DF56C0"/>
    <w:rsid w:val="00DF70ED"/>
    <w:rsid w:val="00E010E2"/>
    <w:rsid w:val="00E0112C"/>
    <w:rsid w:val="00E019F3"/>
    <w:rsid w:val="00E02522"/>
    <w:rsid w:val="00E040DF"/>
    <w:rsid w:val="00E06FFE"/>
    <w:rsid w:val="00E07CE6"/>
    <w:rsid w:val="00E10B18"/>
    <w:rsid w:val="00E14A3D"/>
    <w:rsid w:val="00E14C7C"/>
    <w:rsid w:val="00E20FD6"/>
    <w:rsid w:val="00E21301"/>
    <w:rsid w:val="00E23271"/>
    <w:rsid w:val="00E249D1"/>
    <w:rsid w:val="00E24F80"/>
    <w:rsid w:val="00E253F2"/>
    <w:rsid w:val="00E259F3"/>
    <w:rsid w:val="00E305E7"/>
    <w:rsid w:val="00E30985"/>
    <w:rsid w:val="00E30A53"/>
    <w:rsid w:val="00E311EE"/>
    <w:rsid w:val="00E31B8F"/>
    <w:rsid w:val="00E32E49"/>
    <w:rsid w:val="00E33238"/>
    <w:rsid w:val="00E33934"/>
    <w:rsid w:val="00E376B7"/>
    <w:rsid w:val="00E42F5D"/>
    <w:rsid w:val="00E4303A"/>
    <w:rsid w:val="00E432E5"/>
    <w:rsid w:val="00E436AF"/>
    <w:rsid w:val="00E4486C"/>
    <w:rsid w:val="00E460B6"/>
    <w:rsid w:val="00E470C3"/>
    <w:rsid w:val="00E50271"/>
    <w:rsid w:val="00E511D5"/>
    <w:rsid w:val="00E53595"/>
    <w:rsid w:val="00E53A9F"/>
    <w:rsid w:val="00E56D71"/>
    <w:rsid w:val="00E57349"/>
    <w:rsid w:val="00E57899"/>
    <w:rsid w:val="00E60249"/>
    <w:rsid w:val="00E61790"/>
    <w:rsid w:val="00E62238"/>
    <w:rsid w:val="00E65269"/>
    <w:rsid w:val="00E65E9C"/>
    <w:rsid w:val="00E70421"/>
    <w:rsid w:val="00E73136"/>
    <w:rsid w:val="00E76D66"/>
    <w:rsid w:val="00E84548"/>
    <w:rsid w:val="00E85A02"/>
    <w:rsid w:val="00E85C1C"/>
    <w:rsid w:val="00E8622F"/>
    <w:rsid w:val="00E90EC9"/>
    <w:rsid w:val="00E93901"/>
    <w:rsid w:val="00E94733"/>
    <w:rsid w:val="00E95D48"/>
    <w:rsid w:val="00E9685D"/>
    <w:rsid w:val="00EA126E"/>
    <w:rsid w:val="00EA1F09"/>
    <w:rsid w:val="00EA1F9D"/>
    <w:rsid w:val="00EA42D7"/>
    <w:rsid w:val="00EA796A"/>
    <w:rsid w:val="00EA7DB8"/>
    <w:rsid w:val="00EB032A"/>
    <w:rsid w:val="00EB1856"/>
    <w:rsid w:val="00EB427E"/>
    <w:rsid w:val="00EB539E"/>
    <w:rsid w:val="00EC13B9"/>
    <w:rsid w:val="00EC3285"/>
    <w:rsid w:val="00EC3A6C"/>
    <w:rsid w:val="00EC50CE"/>
    <w:rsid w:val="00EC5B34"/>
    <w:rsid w:val="00EC602E"/>
    <w:rsid w:val="00EC7C24"/>
    <w:rsid w:val="00ED021E"/>
    <w:rsid w:val="00ED323C"/>
    <w:rsid w:val="00ED354A"/>
    <w:rsid w:val="00ED6489"/>
    <w:rsid w:val="00ED6501"/>
    <w:rsid w:val="00ED7E13"/>
    <w:rsid w:val="00EE09F4"/>
    <w:rsid w:val="00EE2D5C"/>
    <w:rsid w:val="00EE4ADE"/>
    <w:rsid w:val="00EE4DE8"/>
    <w:rsid w:val="00EE5CB7"/>
    <w:rsid w:val="00EE752B"/>
    <w:rsid w:val="00EF10FB"/>
    <w:rsid w:val="00EF2CC8"/>
    <w:rsid w:val="00EF37BA"/>
    <w:rsid w:val="00EF3BDB"/>
    <w:rsid w:val="00EF6A06"/>
    <w:rsid w:val="00EF6C43"/>
    <w:rsid w:val="00F000BF"/>
    <w:rsid w:val="00F00BA0"/>
    <w:rsid w:val="00F0125E"/>
    <w:rsid w:val="00F024FE"/>
    <w:rsid w:val="00F05AD4"/>
    <w:rsid w:val="00F06CB5"/>
    <w:rsid w:val="00F06E43"/>
    <w:rsid w:val="00F103BE"/>
    <w:rsid w:val="00F10577"/>
    <w:rsid w:val="00F10EB6"/>
    <w:rsid w:val="00F11703"/>
    <w:rsid w:val="00F12227"/>
    <w:rsid w:val="00F13BA1"/>
    <w:rsid w:val="00F13D56"/>
    <w:rsid w:val="00F13F07"/>
    <w:rsid w:val="00F140B2"/>
    <w:rsid w:val="00F14E6A"/>
    <w:rsid w:val="00F16595"/>
    <w:rsid w:val="00F1782F"/>
    <w:rsid w:val="00F25175"/>
    <w:rsid w:val="00F25831"/>
    <w:rsid w:val="00F25970"/>
    <w:rsid w:val="00F27B36"/>
    <w:rsid w:val="00F27CDC"/>
    <w:rsid w:val="00F311A9"/>
    <w:rsid w:val="00F31343"/>
    <w:rsid w:val="00F31A62"/>
    <w:rsid w:val="00F36461"/>
    <w:rsid w:val="00F37381"/>
    <w:rsid w:val="00F41583"/>
    <w:rsid w:val="00F4196F"/>
    <w:rsid w:val="00F5180D"/>
    <w:rsid w:val="00F5182F"/>
    <w:rsid w:val="00F52C1F"/>
    <w:rsid w:val="00F52F94"/>
    <w:rsid w:val="00F53068"/>
    <w:rsid w:val="00F54E74"/>
    <w:rsid w:val="00F57E29"/>
    <w:rsid w:val="00F63781"/>
    <w:rsid w:val="00F641EC"/>
    <w:rsid w:val="00F6538F"/>
    <w:rsid w:val="00F67496"/>
    <w:rsid w:val="00F73D2A"/>
    <w:rsid w:val="00F7421E"/>
    <w:rsid w:val="00F801BA"/>
    <w:rsid w:val="00F807AD"/>
    <w:rsid w:val="00F818CA"/>
    <w:rsid w:val="00F81BA6"/>
    <w:rsid w:val="00F826E3"/>
    <w:rsid w:val="00F85536"/>
    <w:rsid w:val="00F8794F"/>
    <w:rsid w:val="00F90592"/>
    <w:rsid w:val="00F9366A"/>
    <w:rsid w:val="00F946C9"/>
    <w:rsid w:val="00F974A0"/>
    <w:rsid w:val="00FA0EA5"/>
    <w:rsid w:val="00FA0F97"/>
    <w:rsid w:val="00FA47BF"/>
    <w:rsid w:val="00FA65AA"/>
    <w:rsid w:val="00FA68C7"/>
    <w:rsid w:val="00FA74EE"/>
    <w:rsid w:val="00FB0A5B"/>
    <w:rsid w:val="00FB1B8E"/>
    <w:rsid w:val="00FB71B2"/>
    <w:rsid w:val="00FC0D17"/>
    <w:rsid w:val="00FC3711"/>
    <w:rsid w:val="00FC46E7"/>
    <w:rsid w:val="00FC5D25"/>
    <w:rsid w:val="00FC6B5A"/>
    <w:rsid w:val="00FC7C53"/>
    <w:rsid w:val="00FD0D7E"/>
    <w:rsid w:val="00FD16C4"/>
    <w:rsid w:val="00FD2CA0"/>
    <w:rsid w:val="00FD362F"/>
    <w:rsid w:val="00FD382B"/>
    <w:rsid w:val="00FD47FE"/>
    <w:rsid w:val="00FD4FFB"/>
    <w:rsid w:val="00FE022F"/>
    <w:rsid w:val="00FE051A"/>
    <w:rsid w:val="00FE0E33"/>
    <w:rsid w:val="00FE15DB"/>
    <w:rsid w:val="00FE6E13"/>
    <w:rsid w:val="00FE7629"/>
    <w:rsid w:val="00FE7D38"/>
    <w:rsid w:val="00FF021F"/>
    <w:rsid w:val="00FF14F9"/>
    <w:rsid w:val="00FF15F6"/>
    <w:rsid w:val="00FF527C"/>
    <w:rsid w:val="00FF60D1"/>
    <w:rsid w:val="00FF65CD"/>
    <w:rsid w:val="05A99CE6"/>
    <w:rsid w:val="069E3FA0"/>
    <w:rsid w:val="06C25599"/>
    <w:rsid w:val="0974ABA8"/>
    <w:rsid w:val="0BF6F0EF"/>
    <w:rsid w:val="0C18AB99"/>
    <w:rsid w:val="0CC3A4FD"/>
    <w:rsid w:val="0EFEC268"/>
    <w:rsid w:val="10F5F072"/>
    <w:rsid w:val="140FE859"/>
    <w:rsid w:val="19B6D0D5"/>
    <w:rsid w:val="1A22209F"/>
    <w:rsid w:val="1F5E839A"/>
    <w:rsid w:val="1FC0D0CB"/>
    <w:rsid w:val="24C3CF26"/>
    <w:rsid w:val="2974F1D9"/>
    <w:rsid w:val="2B5A0E20"/>
    <w:rsid w:val="2CD43DE0"/>
    <w:rsid w:val="2CDC7DFF"/>
    <w:rsid w:val="2F738635"/>
    <w:rsid w:val="300B472A"/>
    <w:rsid w:val="30E31330"/>
    <w:rsid w:val="361D4627"/>
    <w:rsid w:val="3C907EC2"/>
    <w:rsid w:val="3D69630D"/>
    <w:rsid w:val="3D804597"/>
    <w:rsid w:val="437F0FDB"/>
    <w:rsid w:val="45A6598F"/>
    <w:rsid w:val="45FDCB58"/>
    <w:rsid w:val="464FE48C"/>
    <w:rsid w:val="4AFFF8EF"/>
    <w:rsid w:val="516EC1CE"/>
    <w:rsid w:val="5519465B"/>
    <w:rsid w:val="55317299"/>
    <w:rsid w:val="56EA01C4"/>
    <w:rsid w:val="5730FEB2"/>
    <w:rsid w:val="5F48B5B9"/>
    <w:rsid w:val="6354CFDF"/>
    <w:rsid w:val="63C9D47F"/>
    <w:rsid w:val="6B90A272"/>
    <w:rsid w:val="6F1E9D59"/>
    <w:rsid w:val="713A5C41"/>
    <w:rsid w:val="72A91C33"/>
    <w:rsid w:val="7595638B"/>
    <w:rsid w:val="759F08DA"/>
    <w:rsid w:val="7B219444"/>
    <w:rsid w:val="7B9A6713"/>
    <w:rsid w:val="7CB9D7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774C2"/>
  <w15:docId w15:val="{F9241FC8-3A94-4436-981D-BB58D23C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9"/>
    <w:qFormat/>
    <w:rsid w:val="0065325A"/>
    <w:pPr>
      <w:pageBreakBefore/>
      <w:numPr>
        <w:numId w:val="6"/>
      </w:numPr>
      <w:spacing w:after="360" w:line="228" w:lineRule="auto"/>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5325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69770E"/>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69770E"/>
    <w:pPr>
      <w:tabs>
        <w:tab w:val="right" w:pos="8080"/>
      </w:tabs>
      <w:spacing w:before="60"/>
      <w:ind w:left="1134" w:right="567" w:hanging="567"/>
    </w:pPr>
  </w:style>
  <w:style w:type="paragraph" w:styleId="TOC3">
    <w:name w:val="toc 3"/>
    <w:basedOn w:val="Normal"/>
    <w:next w:val="Normal"/>
    <w:uiPriority w:val="39"/>
    <w:qFormat/>
    <w:rsid w:val="00C41F46"/>
    <w:pPr>
      <w:tabs>
        <w:tab w:val="right" w:pos="8080"/>
      </w:tabs>
      <w:spacing w:before="120"/>
      <w:ind w:left="340" w:hanging="340"/>
    </w:pPr>
  </w:style>
  <w:style w:type="paragraph" w:customStyle="1" w:styleId="Bullet">
    <w:name w:val="Bullet"/>
    <w:basedOn w:val="Normal"/>
    <w:link w:val="BulletChar"/>
    <w:uiPriority w:val="99"/>
    <w:qFormat/>
    <w:rsid w:val="00FA0EA5"/>
    <w:pPr>
      <w:numPr>
        <w:numId w:val="1"/>
      </w:numPr>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uiPriority w:val="99"/>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link w:val="BoxChar"/>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2C0E3E"/>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65325A"/>
    <w:pPr>
      <w:spacing w:before="80"/>
      <w:ind w:left="284" w:hanging="284"/>
    </w:pPr>
    <w:rPr>
      <w:sz w:val="17"/>
    </w:rPr>
  </w:style>
  <w:style w:type="character" w:customStyle="1" w:styleId="NoteChar">
    <w:name w:val="Note Char"/>
    <w:link w:val="Note"/>
    <w:rsid w:val="0065325A"/>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A45036"/>
    <w:pPr>
      <w:keepNext/>
      <w:spacing w:after="200"/>
    </w:pPr>
    <w:rPr>
      <w:b/>
      <w:bCs/>
      <w:sz w:val="20"/>
    </w:rPr>
  </w:style>
  <w:style w:type="paragraph" w:customStyle="1" w:styleId="Heading3-nonumbering">
    <w:name w:val="Heading 3 - no numbering"/>
    <w:basedOn w:val="Heading3"/>
    <w:qFormat/>
    <w:rsid w:val="002C0E3E"/>
    <w:pPr>
      <w:numPr>
        <w:ilvl w:val="0"/>
        <w:numId w:val="0"/>
      </w:numPr>
    </w:pPr>
  </w:style>
  <w:style w:type="paragraph" w:customStyle="1" w:styleId="Heading1-nonumbering">
    <w:name w:val="Heading 1 - no numbering"/>
    <w:basedOn w:val="Heading1"/>
    <w:next w:val="Normal"/>
    <w:qFormat/>
    <w:rsid w:val="002C0E3E"/>
    <w:pPr>
      <w:numPr>
        <w:numId w:val="0"/>
      </w:numPr>
    </w:pPr>
  </w:style>
  <w:style w:type="paragraph" w:customStyle="1" w:styleId="Shadedboxheading">
    <w:name w:val="Shaded box heading"/>
    <w:basedOn w:val="BoxHeading"/>
    <w:next w:val="Shadedboxtext"/>
    <w:qFormat/>
    <w:rsid w:val="008B72D3"/>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jc w:val="both"/>
    </w:pPr>
    <w:rPr>
      <w:rFonts w:eastAsia="Arial Unicode MS"/>
    </w:rPr>
  </w:style>
  <w:style w:type="paragraph" w:customStyle="1" w:styleId="Shadedboxtext">
    <w:name w:val="Shaded box text"/>
    <w:basedOn w:val="Normal"/>
    <w:qFormat/>
    <w:rsid w:val="008B72D3"/>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jc w:val="both"/>
    </w:pPr>
    <w:rPr>
      <w:rFonts w:eastAsia="Arial Unicode MS"/>
    </w:rPr>
  </w:style>
  <w:style w:type="table" w:styleId="TableGrid">
    <w:name w:val="Table Grid"/>
    <w:basedOn w:val="TableNormal"/>
    <w:rsid w:val="008B72D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7FFA"/>
    <w:rPr>
      <w:rFonts w:cs="Segoe UI"/>
      <w:sz w:val="18"/>
      <w:szCs w:val="18"/>
    </w:rPr>
  </w:style>
  <w:style w:type="character" w:customStyle="1" w:styleId="BalloonTextChar">
    <w:name w:val="Balloon Text Char"/>
    <w:basedOn w:val="DefaultParagraphFont"/>
    <w:link w:val="BalloonText"/>
    <w:uiPriority w:val="99"/>
    <w:semiHidden/>
    <w:rsid w:val="00557FFA"/>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064CD"/>
    <w:rPr>
      <w:sz w:val="16"/>
      <w:szCs w:val="16"/>
    </w:rPr>
  </w:style>
  <w:style w:type="paragraph" w:styleId="CommentText">
    <w:name w:val="annotation text"/>
    <w:basedOn w:val="Normal"/>
    <w:link w:val="CommentTextChar"/>
    <w:uiPriority w:val="99"/>
    <w:unhideWhenUsed/>
    <w:rsid w:val="007064CD"/>
    <w:rPr>
      <w:sz w:val="20"/>
    </w:rPr>
  </w:style>
  <w:style w:type="character" w:customStyle="1" w:styleId="CommentTextChar">
    <w:name w:val="Comment Text Char"/>
    <w:basedOn w:val="DefaultParagraphFont"/>
    <w:link w:val="CommentText"/>
    <w:uiPriority w:val="99"/>
    <w:rsid w:val="007064CD"/>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7064CD"/>
    <w:rPr>
      <w:b/>
      <w:bCs/>
    </w:rPr>
  </w:style>
  <w:style w:type="character" w:customStyle="1" w:styleId="CommentSubjectChar">
    <w:name w:val="Comment Subject Char"/>
    <w:basedOn w:val="CommentTextChar"/>
    <w:link w:val="CommentSubject"/>
    <w:uiPriority w:val="99"/>
    <w:semiHidden/>
    <w:rsid w:val="007064CD"/>
    <w:rPr>
      <w:rFonts w:ascii="Segoe UI" w:hAnsi="Segoe UI"/>
      <w:b/>
      <w:bCs/>
      <w:lang w:eastAsia="en-GB"/>
    </w:rPr>
  </w:style>
  <w:style w:type="character" w:customStyle="1" w:styleId="UnresolvedMention1">
    <w:name w:val="Unresolved Mention1"/>
    <w:basedOn w:val="DefaultParagraphFont"/>
    <w:uiPriority w:val="99"/>
    <w:semiHidden/>
    <w:unhideWhenUsed/>
    <w:rsid w:val="006360E0"/>
    <w:rPr>
      <w:color w:val="605E5C"/>
      <w:shd w:val="clear" w:color="auto" w:fill="E1DFDD"/>
    </w:rPr>
  </w:style>
  <w:style w:type="paragraph" w:styleId="TOCHeading">
    <w:name w:val="TOC Heading"/>
    <w:basedOn w:val="Heading1"/>
    <w:next w:val="Normal"/>
    <w:uiPriority w:val="39"/>
    <w:unhideWhenUsed/>
    <w:qFormat/>
    <w:rsid w:val="007E317D"/>
    <w:pPr>
      <w:keepNext/>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ableofFigures">
    <w:name w:val="table of figures"/>
    <w:basedOn w:val="Normal"/>
    <w:next w:val="Normal"/>
    <w:uiPriority w:val="99"/>
    <w:unhideWhenUsed/>
    <w:qFormat/>
    <w:rsid w:val="00A04B03"/>
    <w:pPr>
      <w:spacing w:before="120"/>
      <w:ind w:left="340" w:hanging="340"/>
    </w:pPr>
  </w:style>
  <w:style w:type="paragraph" w:styleId="ListParagraph">
    <w:name w:val="List Paragraph"/>
    <w:basedOn w:val="Normal"/>
    <w:uiPriority w:val="34"/>
    <w:qFormat/>
    <w:rsid w:val="001C5A86"/>
    <w:pPr>
      <w:ind w:left="720"/>
      <w:contextualSpacing/>
    </w:pPr>
  </w:style>
  <w:style w:type="character" w:styleId="FollowedHyperlink">
    <w:name w:val="FollowedHyperlink"/>
    <w:basedOn w:val="DefaultParagraphFont"/>
    <w:uiPriority w:val="99"/>
    <w:semiHidden/>
    <w:unhideWhenUsed/>
    <w:rsid w:val="009239B3"/>
    <w:rPr>
      <w:color w:val="800080" w:themeColor="followedHyperlink"/>
      <w:u w:val="single"/>
    </w:rPr>
  </w:style>
  <w:style w:type="paragraph" w:styleId="ListBullet">
    <w:name w:val="List Bullet"/>
    <w:basedOn w:val="Normal"/>
    <w:uiPriority w:val="99"/>
    <w:unhideWhenUsed/>
    <w:rsid w:val="0094100E"/>
    <w:pPr>
      <w:numPr>
        <w:numId w:val="12"/>
      </w:numPr>
      <w:contextualSpacing/>
    </w:pPr>
  </w:style>
  <w:style w:type="table" w:customStyle="1" w:styleId="TableGrid1">
    <w:name w:val="Table Grid1"/>
    <w:basedOn w:val="TableNormal"/>
    <w:next w:val="TableGrid"/>
    <w:uiPriority w:val="59"/>
    <w:rsid w:val="00D77131"/>
    <w:pPr>
      <w:tabs>
        <w:tab w:val="left" w:pos="1134"/>
        <w:tab w:val="left" w:pos="2268"/>
        <w:tab w:val="left" w:pos="3402"/>
        <w:tab w:val="left" w:pos="4536"/>
        <w:tab w:val="left" w:pos="5670"/>
        <w:tab w:val="left" w:pos="6804"/>
        <w:tab w:val="left" w:pos="7938"/>
        <w:tab w:val="right" w:pos="9639"/>
      </w:tabs>
      <w:spacing w:after="200" w:line="276"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ing">
    <w:name w:val="Heading 2 - no numbering"/>
    <w:basedOn w:val="Heading2"/>
    <w:qFormat/>
    <w:rsid w:val="00D77131"/>
    <w:pPr>
      <w:numPr>
        <w:ilvl w:val="0"/>
        <w:numId w:val="0"/>
      </w:numPr>
    </w:pPr>
  </w:style>
  <w:style w:type="paragraph" w:customStyle="1" w:styleId="DistrictGroupStyle">
    <w:name w:val="DistrictGroupStyle"/>
    <w:rsid w:val="00D77131"/>
    <w:pPr>
      <w:spacing w:after="150" w:line="276" w:lineRule="auto"/>
    </w:pPr>
    <w:rPr>
      <w:rFonts w:asciiTheme="minorHAnsi" w:hAnsiTheme="minorHAnsi" w:cs="Calibri"/>
      <w:b/>
      <w:color w:val="000000"/>
      <w:sz w:val="30"/>
      <w:lang w:val="en-US" w:eastAsia="en-US"/>
    </w:rPr>
  </w:style>
  <w:style w:type="paragraph" w:customStyle="1" w:styleId="GroupStyle">
    <w:name w:val="GroupStyle"/>
    <w:rsid w:val="00D77131"/>
    <w:pPr>
      <w:spacing w:after="150" w:line="276" w:lineRule="auto"/>
    </w:pPr>
    <w:rPr>
      <w:rFonts w:asciiTheme="minorHAnsi" w:hAnsiTheme="minorHAnsi" w:cs="Calibri"/>
      <w:b/>
      <w:color w:val="000000"/>
      <w:sz w:val="22"/>
      <w:lang w:eastAsia="en-US"/>
    </w:rPr>
  </w:style>
  <w:style w:type="paragraph" w:customStyle="1" w:styleId="SectionStyle">
    <w:name w:val="SectionStyle"/>
    <w:rsid w:val="00D77131"/>
    <w:pPr>
      <w:spacing w:before="150" w:after="150" w:line="276" w:lineRule="auto"/>
    </w:pPr>
    <w:rPr>
      <w:rFonts w:asciiTheme="minorHAnsi" w:hAnsiTheme="minorHAnsi" w:cs="Calibri"/>
      <w:b/>
      <w:color w:val="000000"/>
      <w:sz w:val="22"/>
      <w:shd w:val="clear" w:color="auto" w:fill="EBF5F5"/>
      <w:lang w:eastAsia="en-US"/>
    </w:rPr>
  </w:style>
  <w:style w:type="paragraph" w:customStyle="1" w:styleId="Heading1Numbered">
    <w:name w:val="Heading 1 Numbered"/>
    <w:basedOn w:val="Heading1"/>
    <w:qFormat/>
    <w:rsid w:val="00025FEB"/>
    <w:pPr>
      <w:keepNext/>
      <w:pageBreakBefore w:val="0"/>
      <w:numPr>
        <w:numId w:val="17"/>
      </w:numPr>
      <w:spacing w:line="240" w:lineRule="auto"/>
      <w:ind w:left="1134" w:hanging="1134"/>
    </w:pPr>
  </w:style>
  <w:style w:type="paragraph" w:customStyle="1" w:styleId="Heading2Numbered">
    <w:name w:val="Heading 2 Numbered"/>
    <w:basedOn w:val="Heading1Numbered"/>
    <w:qFormat/>
    <w:rsid w:val="00025FEB"/>
    <w:pPr>
      <w:numPr>
        <w:ilvl w:val="1"/>
      </w:numPr>
      <w:spacing w:before="480" w:after="180"/>
      <w:ind w:left="1134" w:hanging="1134"/>
    </w:pPr>
    <w:rPr>
      <w:color w:val="0A6AB4"/>
      <w:sz w:val="48"/>
      <w:szCs w:val="48"/>
      <w:lang w:eastAsia="en-NZ"/>
    </w:rPr>
  </w:style>
  <w:style w:type="paragraph" w:customStyle="1" w:styleId="Heading3Numbered">
    <w:name w:val="Heading 3 Numbered"/>
    <w:basedOn w:val="Heading3"/>
    <w:qFormat/>
    <w:rsid w:val="00025FEB"/>
    <w:pPr>
      <w:numPr>
        <w:numId w:val="18"/>
      </w:numPr>
    </w:pPr>
  </w:style>
  <w:style w:type="paragraph" w:customStyle="1" w:styleId="text">
    <w:name w:val="text"/>
    <w:basedOn w:val="Normal"/>
    <w:rsid w:val="00025FEB"/>
    <w:pPr>
      <w:spacing w:before="100" w:beforeAutospacing="1" w:after="100" w:afterAutospacing="1"/>
    </w:pPr>
    <w:rPr>
      <w:rFonts w:ascii="Times New Roman" w:hAnsi="Times New Roman"/>
      <w:sz w:val="24"/>
      <w:szCs w:val="24"/>
      <w:lang w:eastAsia="en-NZ"/>
    </w:rPr>
  </w:style>
  <w:style w:type="character" w:styleId="UnresolvedMention">
    <w:name w:val="Unresolved Mention"/>
    <w:basedOn w:val="DefaultParagraphFont"/>
    <w:uiPriority w:val="99"/>
    <w:semiHidden/>
    <w:unhideWhenUsed/>
    <w:rsid w:val="00025FEB"/>
    <w:rPr>
      <w:color w:val="605E5C"/>
      <w:shd w:val="clear" w:color="auto" w:fill="E1DFDD"/>
    </w:rPr>
  </w:style>
  <w:style w:type="character" w:customStyle="1" w:styleId="label2">
    <w:name w:val="label2"/>
    <w:basedOn w:val="DefaultParagraphFont"/>
    <w:rsid w:val="00025FEB"/>
  </w:style>
  <w:style w:type="character" w:customStyle="1" w:styleId="label3">
    <w:name w:val="label3"/>
    <w:basedOn w:val="DefaultParagraphFont"/>
    <w:rsid w:val="00025FEB"/>
  </w:style>
  <w:style w:type="paragraph" w:customStyle="1" w:styleId="subprov1">
    <w:name w:val="subprov1"/>
    <w:basedOn w:val="Normal"/>
    <w:rsid w:val="00025FEB"/>
    <w:pPr>
      <w:spacing w:before="83" w:after="216" w:line="288" w:lineRule="atLeast"/>
    </w:pPr>
    <w:rPr>
      <w:rFonts w:ascii="Times New Roman" w:hAnsi="Times New Roman"/>
      <w:sz w:val="24"/>
      <w:szCs w:val="24"/>
      <w:lang w:eastAsia="en-NZ"/>
    </w:rPr>
  </w:style>
  <w:style w:type="character" w:customStyle="1" w:styleId="BoxChar">
    <w:name w:val="Box Char"/>
    <w:link w:val="Box"/>
    <w:rsid w:val="00025FEB"/>
    <w:rPr>
      <w:rFonts w:ascii="Segoe UI" w:hAnsi="Segoe UI"/>
      <w:sz w:val="21"/>
      <w:lang w:eastAsia="en-GB"/>
    </w:rPr>
  </w:style>
  <w:style w:type="paragraph" w:customStyle="1" w:styleId="Default">
    <w:name w:val="Default"/>
    <w:rsid w:val="00025FEB"/>
    <w:pPr>
      <w:autoSpaceDE w:val="0"/>
      <w:autoSpaceDN w:val="0"/>
      <w:adjustRightInd w:val="0"/>
    </w:pPr>
    <w:rPr>
      <w:color w:val="000000"/>
      <w:sz w:val="24"/>
      <w:szCs w:val="24"/>
    </w:rPr>
  </w:style>
  <w:style w:type="character" w:customStyle="1" w:styleId="insertwords">
    <w:name w:val="insertwords"/>
    <w:basedOn w:val="DefaultParagraphFont"/>
    <w:rsid w:val="00025FEB"/>
  </w:style>
  <w:style w:type="character" w:customStyle="1" w:styleId="label">
    <w:name w:val="label"/>
    <w:basedOn w:val="DefaultParagraphFont"/>
    <w:rsid w:val="00025FEB"/>
  </w:style>
  <w:style w:type="paragraph" w:customStyle="1" w:styleId="subprov">
    <w:name w:val="subprov"/>
    <w:basedOn w:val="Normal"/>
    <w:rsid w:val="00025FEB"/>
    <w:pPr>
      <w:spacing w:before="100" w:beforeAutospacing="1" w:after="100" w:afterAutospacing="1"/>
    </w:pPr>
    <w:rPr>
      <w:rFonts w:ascii="Times New Roman" w:hAnsi="Times New Roman"/>
      <w:sz w:val="24"/>
      <w:szCs w:val="24"/>
      <w:lang w:eastAsia="en-NZ"/>
    </w:rPr>
  </w:style>
  <w:style w:type="character" w:customStyle="1" w:styleId="label-para">
    <w:name w:val="label-para"/>
    <w:basedOn w:val="DefaultParagraphFont"/>
    <w:rsid w:val="00025FEB"/>
  </w:style>
  <w:style w:type="character" w:styleId="Emphasis">
    <w:name w:val="Emphasis"/>
    <w:basedOn w:val="DefaultParagraphFont"/>
    <w:uiPriority w:val="20"/>
    <w:qFormat/>
    <w:rsid w:val="00025FEB"/>
    <w:rPr>
      <w:i/>
      <w:iCs/>
    </w:rPr>
  </w:style>
  <w:style w:type="character" w:customStyle="1" w:styleId="amending-leg">
    <w:name w:val="amending-leg"/>
    <w:basedOn w:val="DefaultParagraphFont"/>
    <w:rsid w:val="00025FEB"/>
  </w:style>
  <w:style w:type="character" w:styleId="PlaceholderText">
    <w:name w:val="Placeholder Text"/>
    <w:basedOn w:val="DefaultParagraphFont"/>
    <w:uiPriority w:val="99"/>
    <w:semiHidden/>
    <w:rsid w:val="00025F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hyperlink" Target="https://www.legislation.govt.nz/act/public/2003/0115/latest/link.aspx?id=DLM262175" TargetMode="External"/><Relationship Id="rId39"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www.health.govt.nz/system/files/documents/publications/victims-rights-act-2002-guidelines-2018.pdf" TargetMode="Externa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legislation.govt.nz/act/public/2003/0115/latest/link.aspx?id=DLM262175" TargetMode="External"/><Relationship Id="rId33" Type="http://schemas.openxmlformats.org/officeDocument/2006/relationships/hyperlink" Target="https://www.health.govt.nz/system/files/documents/publications/guidelines-for-safe-transport-special-patients-special-care-recipients-in-care-of-rfmhs.pdf" TargetMode="External"/><Relationship Id="rId38" Type="http://schemas.openxmlformats.org/officeDocument/2006/relationships/hyperlink" Target="https://nzcmhn.org.nz/wp-content/uploads/2022/02/Guidelines-for-MH-assessments-and-reports-January-2012-signed.pdf" TargetMode="External"/><Relationship Id="rId46"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mailto:Admin@health.govt.nz"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passports.govt.nz/passport-photos/" TargetMode="External"/><Relationship Id="rId32" Type="http://schemas.openxmlformats.org/officeDocument/2006/relationships/hyperlink" Target="https://www.health.govt.nz/publication/seclusion-under-mental-health-compulsory-assessment-and-treatment-act-1992" TargetMode="External"/><Relationship Id="rId37" Type="http://schemas.openxmlformats.org/officeDocument/2006/relationships/hyperlink" Target="https://www.health.govt.nz/our-work/mental-health-and-addiction/mental-health-legislation/mental-health-compulsory-assessment-and-treatment-act-1992/mental-health-act-guidelines-and-resources" TargetMode="External"/><Relationship Id="rId40" Type="http://schemas.openxmlformats.org/officeDocument/2006/relationships/header" Target="header5.xml"/><Relationship Id="rId45"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yperlink" Target="http://www.nzlii.org/nz/cases/NZMHRT/2011/40.html" TargetMode="External"/><Relationship Id="rId36" Type="http://schemas.openxmlformats.org/officeDocument/2006/relationships/hyperlink" Target="https://www.health.govt.nz/publication/human-rights-and-mental-health-compulsory-assessment-and-treatment-act-1992"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mentalhealth.inquiry.govt.nz/assets/Summary-reports/He-Ara-Oranga.pdf" TargetMode="External"/><Relationship Id="rId44" Type="http://schemas.openxmlformats.org/officeDocument/2006/relationships/header" Target="header7.xml"/><Relationship Id="rId5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6.xml"/><Relationship Id="rId27" Type="http://schemas.openxmlformats.org/officeDocument/2006/relationships/hyperlink" Target="https://www.legislation.govt.nz/act/public/2003/0115/latest/link.aspx?id=DLM224577" TargetMode="External"/><Relationship Id="rId30" Type="http://schemas.openxmlformats.org/officeDocument/2006/relationships/hyperlink" Target="https://www.corrections.govt.nz/__data/assets/pdf_file/0013/30523/Custodial-Practice-Manual-030621-Redactedv2.pdf" TargetMode="External"/><Relationship Id="rId35" Type="http://schemas.openxmlformats.org/officeDocument/2006/relationships/hyperlink" Target="https://www.health.govt.nz/publication/guidelines-mental-health-compulsory-assessment-and-treatment-act-1992" TargetMode="External"/><Relationship Id="rId43" Type="http://schemas.openxmlformats.org/officeDocument/2006/relationships/footer" Target="footer9.xml"/><Relationship Id="rId48" Type="http://schemas.openxmlformats.org/officeDocument/2006/relationships/footer" Target="footer11.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162B895084E64BF086D7A7D33E730"/>
        <w:category>
          <w:name w:val="General"/>
          <w:gallery w:val="placeholder"/>
        </w:category>
        <w:types>
          <w:type w:val="bbPlcHdr"/>
        </w:types>
        <w:behaviors>
          <w:behavior w:val="content"/>
        </w:behaviors>
        <w:guid w:val="{96CFA190-FD4B-422C-AD21-4E0D8113837A}"/>
      </w:docPartPr>
      <w:docPartBody>
        <w:p w:rsidR="00600FAC" w:rsidRDefault="00690926" w:rsidP="00690926">
          <w:pPr>
            <w:pStyle w:val="2A5162B895084E64BF086D7A7D33E730"/>
          </w:pPr>
          <w:r w:rsidRPr="0045572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26"/>
    <w:rsid w:val="000D3664"/>
    <w:rsid w:val="00154460"/>
    <w:rsid w:val="00214C6E"/>
    <w:rsid w:val="002713DC"/>
    <w:rsid w:val="004120B9"/>
    <w:rsid w:val="004C33D0"/>
    <w:rsid w:val="00600FAC"/>
    <w:rsid w:val="00690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926"/>
    <w:rPr>
      <w:color w:val="808080"/>
    </w:rPr>
  </w:style>
  <w:style w:type="paragraph" w:customStyle="1" w:styleId="2A5162B895084E64BF086D7A7D33E730">
    <w:name w:val="2A5162B895084E64BF086D7A7D33E730"/>
    <w:rsid w:val="00690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9EDE-200B-4D29-944A-B1D509283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2183E1-02D9-4AE9-A79F-9FB0AFFC9659}">
  <ds:schemaRefs>
    <ds:schemaRef ds:uri="http://schemas.microsoft.com/sharepoint/v3/contenttype/forms"/>
  </ds:schemaRefs>
</ds:datastoreItem>
</file>

<file path=customXml/itemProps3.xml><?xml version="1.0" encoding="utf-8"?>
<ds:datastoreItem xmlns:ds="http://schemas.openxmlformats.org/officeDocument/2006/customXml" ds:itemID="{A9C1917A-E620-475F-9F74-B6C21FF44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B2C0C8-03E6-41A1-B364-E706EF95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10</TotalTime>
  <Pages>82</Pages>
  <Words>24854</Words>
  <Characters>132475</Characters>
  <Application>Microsoft Office Word</Application>
  <DocSecurity>0</DocSecurity>
  <Lines>3231</Lines>
  <Paragraphs>1656</Paragraphs>
  <ScaleCrop>false</ScaleCrop>
  <HeadingPairs>
    <vt:vector size="2" baseType="variant">
      <vt:variant>
        <vt:lpstr>Title</vt:lpstr>
      </vt:variant>
      <vt:variant>
        <vt:i4>1</vt:i4>
      </vt:variant>
    </vt:vector>
  </HeadingPairs>
  <TitlesOfParts>
    <vt:vector size="1" baseType="lpstr">
      <vt:lpstr>Special Patients and Restricted Patients: Guidelines for Regional Forensic Mental Health Services</vt:lpstr>
    </vt:vector>
  </TitlesOfParts>
  <Company>Microsoft</Company>
  <LinksUpToDate>false</LinksUpToDate>
  <CharactersWithSpaces>155673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Patients and Restricted Patients: Guidelines for Regional Forensic Mental Health Services</dc:title>
  <dc:creator>Ministry of Health</dc:creator>
  <cp:lastModifiedBy>Ministry of Health</cp:lastModifiedBy>
  <cp:revision>4</cp:revision>
  <cp:lastPrinted>2022-10-09T21:02:00Z</cp:lastPrinted>
  <dcterms:created xsi:type="dcterms:W3CDTF">2022-10-09T21:39:00Z</dcterms:created>
  <dcterms:modified xsi:type="dcterms:W3CDTF">2022-10-13T05:00:00Z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