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A3B8C" w14:textId="0911299B" w:rsidR="0078357E" w:rsidRDefault="0078357E" w:rsidP="008656AA">
      <w:pPr>
        <w:pStyle w:val="Title"/>
      </w:pPr>
      <w:r>
        <w:rPr>
          <w:noProof/>
          <w:lang w:val="en-NZ" w:eastAsia="en-NZ"/>
        </w:rPr>
        <w:drawing>
          <wp:inline distT="0" distB="0" distL="0" distR="0" wp14:anchorId="7275DF38" wp14:editId="2DB72FBD">
            <wp:extent cx="1615440" cy="80109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_RGB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4724" cy="800739"/>
                    </a:xfrm>
                    <a:prstGeom prst="rect">
                      <a:avLst/>
                    </a:prstGeom>
                  </pic:spPr>
                </pic:pic>
              </a:graphicData>
            </a:graphic>
          </wp:inline>
        </w:drawing>
      </w:r>
    </w:p>
    <w:p w14:paraId="3BC20DAF" w14:textId="77777777" w:rsidR="0078357E" w:rsidRDefault="0078357E" w:rsidP="0078357E">
      <w:pPr>
        <w:pStyle w:val="Title"/>
        <w:spacing w:before="3000"/>
        <w:jc w:val="center"/>
      </w:pPr>
    </w:p>
    <w:p w14:paraId="1E93B62A" w14:textId="77777777" w:rsidR="0078357E" w:rsidRDefault="0078357E" w:rsidP="0078357E">
      <w:pPr>
        <w:pStyle w:val="Title"/>
        <w:spacing w:before="3000"/>
        <w:jc w:val="center"/>
      </w:pPr>
    </w:p>
    <w:p w14:paraId="23C0220E" w14:textId="77777777" w:rsidR="0078357E" w:rsidRDefault="0078357E" w:rsidP="0078357E">
      <w:pPr>
        <w:pStyle w:val="Title"/>
        <w:spacing w:before="3000"/>
        <w:jc w:val="center"/>
      </w:pPr>
    </w:p>
    <w:p w14:paraId="1CE740CA" w14:textId="77777777" w:rsidR="0078357E" w:rsidRDefault="0078357E" w:rsidP="0078357E">
      <w:pPr>
        <w:pStyle w:val="Title"/>
        <w:spacing w:before="3000"/>
        <w:jc w:val="center"/>
      </w:pPr>
    </w:p>
    <w:p w14:paraId="6EAD46B8" w14:textId="77777777" w:rsidR="0078357E" w:rsidRDefault="0078357E" w:rsidP="0078357E">
      <w:pPr>
        <w:pStyle w:val="Title"/>
        <w:spacing w:before="3000"/>
        <w:jc w:val="center"/>
      </w:pPr>
    </w:p>
    <w:p w14:paraId="41224FCF" w14:textId="07EBE891" w:rsidR="008656AA" w:rsidRPr="00770FA2" w:rsidRDefault="008656AA" w:rsidP="0078357E">
      <w:pPr>
        <w:pStyle w:val="Title"/>
        <w:spacing w:before="3000"/>
        <w:jc w:val="center"/>
        <w:rPr>
          <w:b/>
        </w:rPr>
      </w:pPr>
      <w:r w:rsidRPr="00770FA2">
        <w:rPr>
          <w:b/>
        </w:rPr>
        <w:t>Section 99 Inspection</w:t>
      </w:r>
      <w:r w:rsidR="00770FA2" w:rsidRPr="00770FA2">
        <w:rPr>
          <w:b/>
        </w:rPr>
        <w:br/>
      </w:r>
      <w:r w:rsidRPr="00770FA2">
        <w:rPr>
          <w:b/>
        </w:rPr>
        <w:t>of Waikato District Health Board Mental Health and Addiction Services</w:t>
      </w:r>
    </w:p>
    <w:p w14:paraId="5C5C8214" w14:textId="1A2058F5" w:rsidR="0078357E" w:rsidRDefault="0078357E" w:rsidP="008656AA">
      <w:r>
        <w:t xml:space="preserve"> </w:t>
      </w:r>
    </w:p>
    <w:p w14:paraId="757267EE" w14:textId="77777777" w:rsidR="00FC7D00" w:rsidRDefault="00FC7D00" w:rsidP="008656AA"/>
    <w:p w14:paraId="3BDF61A4" w14:textId="77777777" w:rsidR="00FC7D00" w:rsidRDefault="00FC7D00" w:rsidP="008656AA"/>
    <w:p w14:paraId="7203B4C2" w14:textId="77777777" w:rsidR="00B75ED2" w:rsidRDefault="00B75ED2" w:rsidP="008656AA"/>
    <w:p w14:paraId="133A6752" w14:textId="77777777" w:rsidR="00B75ED2" w:rsidRDefault="00B75ED2" w:rsidP="008656AA"/>
    <w:p w14:paraId="429A7D8B" w14:textId="77777777" w:rsidR="00B75ED2" w:rsidRDefault="00B75ED2" w:rsidP="008656AA"/>
    <w:p w14:paraId="3BCF25A6" w14:textId="77777777" w:rsidR="00B75ED2" w:rsidRDefault="00B75ED2" w:rsidP="008656AA"/>
    <w:p w14:paraId="14E41737" w14:textId="77777777" w:rsidR="00B75ED2" w:rsidRDefault="00B75ED2" w:rsidP="008656AA"/>
    <w:p w14:paraId="0D5B5E84" w14:textId="77777777" w:rsidR="00B75ED2" w:rsidRDefault="00B75ED2" w:rsidP="008656AA"/>
    <w:p w14:paraId="0545B703" w14:textId="77777777" w:rsidR="00B75ED2" w:rsidRDefault="00B75ED2" w:rsidP="008656AA"/>
    <w:p w14:paraId="5E8AA563" w14:textId="77777777" w:rsidR="00B75ED2" w:rsidRDefault="00B75ED2" w:rsidP="008656AA"/>
    <w:p w14:paraId="07F7A2C1" w14:textId="77777777" w:rsidR="00B75ED2" w:rsidRDefault="00B75ED2" w:rsidP="008656AA"/>
    <w:p w14:paraId="36CE5CED" w14:textId="77777777" w:rsidR="00B75ED2" w:rsidRDefault="00B75ED2" w:rsidP="008656AA"/>
    <w:p w14:paraId="40475879" w14:textId="5EBDEA32" w:rsidR="00B75ED2" w:rsidRPr="00B75ED2" w:rsidRDefault="00B75ED2" w:rsidP="008656AA">
      <w:pPr>
        <w:rPr>
          <w:b/>
          <w:sz w:val="32"/>
        </w:rPr>
      </w:pPr>
      <w:r>
        <w:rPr>
          <w:b/>
          <w:sz w:val="32"/>
        </w:rPr>
        <w:t>April</w:t>
      </w:r>
      <w:r w:rsidRPr="00B75ED2">
        <w:rPr>
          <w:b/>
          <w:sz w:val="32"/>
        </w:rPr>
        <w:t xml:space="preserve"> 2016</w:t>
      </w:r>
    </w:p>
    <w:p w14:paraId="178340EF" w14:textId="77777777" w:rsidR="00770FA2" w:rsidRDefault="0078357E">
      <w:pPr>
        <w:spacing w:before="0" w:after="160" w:line="259" w:lineRule="auto"/>
      </w:pPr>
      <w:r>
        <w:br w:type="page"/>
      </w:r>
    </w:p>
    <w:p w14:paraId="6700F858" w14:textId="77777777" w:rsidR="00FC7D00" w:rsidRDefault="00FC7D00">
      <w:pPr>
        <w:spacing w:before="0" w:after="160" w:line="259" w:lineRule="auto"/>
      </w:pPr>
    </w:p>
    <w:p w14:paraId="2E80E377" w14:textId="77777777" w:rsidR="00FC7D00" w:rsidRDefault="00FC7D00">
      <w:pPr>
        <w:spacing w:before="0" w:after="160" w:line="259" w:lineRule="auto"/>
      </w:pPr>
    </w:p>
    <w:p w14:paraId="069184E9" w14:textId="77777777" w:rsidR="00FC7D00" w:rsidRDefault="00FC7D00">
      <w:pPr>
        <w:spacing w:before="0" w:after="160" w:line="259" w:lineRule="auto"/>
        <w:sectPr w:rsidR="00FC7D00" w:rsidSect="00DB7372">
          <w:footerReference w:type="even" r:id="rId10"/>
          <w:pgSz w:w="11900" w:h="16840"/>
          <w:pgMar w:top="1440" w:right="1440" w:bottom="1440" w:left="1440" w:header="708" w:footer="708" w:gutter="0"/>
          <w:cols w:space="708"/>
          <w:docGrid w:linePitch="360"/>
        </w:sectPr>
      </w:pPr>
    </w:p>
    <w:p w14:paraId="63F716D9" w14:textId="77777777" w:rsidR="008656AA" w:rsidRPr="000C507A" w:rsidRDefault="008656AA" w:rsidP="008656AA">
      <w:pPr>
        <w:pStyle w:val="Heading1"/>
        <w:numPr>
          <w:ilvl w:val="0"/>
          <w:numId w:val="0"/>
        </w:numPr>
      </w:pPr>
      <w:bookmarkStart w:id="0" w:name="_Ref437411138"/>
      <w:bookmarkStart w:id="1" w:name="_Toc448385464"/>
      <w:bookmarkStart w:id="2" w:name="_Toc448394322"/>
      <w:r w:rsidRPr="000C507A">
        <w:lastRenderedPageBreak/>
        <w:t>Table of Contents</w:t>
      </w:r>
      <w:bookmarkEnd w:id="0"/>
      <w:bookmarkEnd w:id="1"/>
      <w:bookmarkEnd w:id="2"/>
    </w:p>
    <w:p w14:paraId="12D5B7C5" w14:textId="3648F346" w:rsidR="00920088" w:rsidRDefault="008656AA">
      <w:pPr>
        <w:pStyle w:val="TOC1"/>
        <w:tabs>
          <w:tab w:val="right" w:leader="dot" w:pos="9010"/>
        </w:tabs>
        <w:rPr>
          <w:rFonts w:eastAsiaTheme="minorEastAsia"/>
          <w:b w:val="0"/>
          <w:caps w:val="0"/>
          <w:noProof/>
          <w:lang w:val="en-NZ" w:eastAsia="en-NZ"/>
        </w:rPr>
      </w:pPr>
      <w:r w:rsidRPr="000C507A">
        <w:fldChar w:fldCharType="begin"/>
      </w:r>
      <w:r w:rsidRPr="000C507A">
        <w:instrText xml:space="preserve"> TOC \o "1-3" </w:instrText>
      </w:r>
      <w:r w:rsidRPr="000C507A">
        <w:fldChar w:fldCharType="separate"/>
      </w:r>
    </w:p>
    <w:p w14:paraId="2BF7C43A" w14:textId="77777777" w:rsidR="00920088" w:rsidRDefault="00920088">
      <w:pPr>
        <w:pStyle w:val="TOC1"/>
        <w:tabs>
          <w:tab w:val="left" w:pos="720"/>
          <w:tab w:val="right" w:leader="dot" w:pos="9010"/>
        </w:tabs>
        <w:rPr>
          <w:rFonts w:eastAsiaTheme="minorEastAsia"/>
          <w:b w:val="0"/>
          <w:caps w:val="0"/>
          <w:noProof/>
          <w:lang w:val="en-NZ" w:eastAsia="en-NZ"/>
        </w:rPr>
      </w:pPr>
      <w:r>
        <w:rPr>
          <w:noProof/>
        </w:rPr>
        <w:t>1.</w:t>
      </w:r>
      <w:r>
        <w:rPr>
          <w:rFonts w:eastAsiaTheme="minorEastAsia"/>
          <w:b w:val="0"/>
          <w:caps w:val="0"/>
          <w:noProof/>
          <w:lang w:val="en-NZ" w:eastAsia="en-NZ"/>
        </w:rPr>
        <w:tab/>
      </w:r>
      <w:r>
        <w:rPr>
          <w:noProof/>
        </w:rPr>
        <w:t>Introduction</w:t>
      </w:r>
      <w:r>
        <w:rPr>
          <w:noProof/>
        </w:rPr>
        <w:tab/>
      </w:r>
      <w:r>
        <w:rPr>
          <w:noProof/>
        </w:rPr>
        <w:fldChar w:fldCharType="begin"/>
      </w:r>
      <w:r>
        <w:rPr>
          <w:noProof/>
        </w:rPr>
        <w:instrText xml:space="preserve"> PAGEREF _Toc448394323 \h </w:instrText>
      </w:r>
      <w:r>
        <w:rPr>
          <w:noProof/>
        </w:rPr>
      </w:r>
      <w:r>
        <w:rPr>
          <w:noProof/>
        </w:rPr>
        <w:fldChar w:fldCharType="separate"/>
      </w:r>
      <w:r>
        <w:rPr>
          <w:noProof/>
        </w:rPr>
        <w:t>3</w:t>
      </w:r>
      <w:r>
        <w:rPr>
          <w:noProof/>
        </w:rPr>
        <w:fldChar w:fldCharType="end"/>
      </w:r>
    </w:p>
    <w:p w14:paraId="5B2FBFBB" w14:textId="77777777" w:rsidR="00920088" w:rsidRDefault="00920088">
      <w:pPr>
        <w:pStyle w:val="TOC2"/>
        <w:tabs>
          <w:tab w:val="left" w:pos="960"/>
          <w:tab w:val="right" w:leader="dot" w:pos="9010"/>
        </w:tabs>
        <w:rPr>
          <w:rFonts w:eastAsiaTheme="minorEastAsia"/>
          <w:smallCaps w:val="0"/>
          <w:noProof/>
          <w:lang w:val="en-NZ" w:eastAsia="en-NZ"/>
        </w:rPr>
      </w:pPr>
      <w:r>
        <w:rPr>
          <w:noProof/>
        </w:rPr>
        <w:t>1.1.</w:t>
      </w:r>
      <w:r>
        <w:rPr>
          <w:rFonts w:eastAsiaTheme="minorEastAsia"/>
          <w:smallCaps w:val="0"/>
          <w:noProof/>
          <w:lang w:val="en-NZ" w:eastAsia="en-NZ"/>
        </w:rPr>
        <w:tab/>
      </w:r>
      <w:r>
        <w:rPr>
          <w:noProof/>
        </w:rPr>
        <w:t>Terms of reference</w:t>
      </w:r>
      <w:r>
        <w:rPr>
          <w:noProof/>
        </w:rPr>
        <w:tab/>
      </w:r>
      <w:r>
        <w:rPr>
          <w:noProof/>
        </w:rPr>
        <w:fldChar w:fldCharType="begin"/>
      </w:r>
      <w:r>
        <w:rPr>
          <w:noProof/>
        </w:rPr>
        <w:instrText xml:space="preserve"> PAGEREF _Toc448394324 \h </w:instrText>
      </w:r>
      <w:r>
        <w:rPr>
          <w:noProof/>
        </w:rPr>
      </w:r>
      <w:r>
        <w:rPr>
          <w:noProof/>
        </w:rPr>
        <w:fldChar w:fldCharType="separate"/>
      </w:r>
      <w:r>
        <w:rPr>
          <w:noProof/>
        </w:rPr>
        <w:t>3</w:t>
      </w:r>
      <w:r>
        <w:rPr>
          <w:noProof/>
        </w:rPr>
        <w:fldChar w:fldCharType="end"/>
      </w:r>
    </w:p>
    <w:p w14:paraId="51DB60E5" w14:textId="77777777" w:rsidR="00920088" w:rsidRDefault="00920088">
      <w:pPr>
        <w:pStyle w:val="TOC2"/>
        <w:tabs>
          <w:tab w:val="left" w:pos="960"/>
          <w:tab w:val="right" w:leader="dot" w:pos="9010"/>
        </w:tabs>
        <w:rPr>
          <w:rFonts w:eastAsiaTheme="minorEastAsia"/>
          <w:smallCaps w:val="0"/>
          <w:noProof/>
          <w:lang w:val="en-NZ" w:eastAsia="en-NZ"/>
        </w:rPr>
      </w:pPr>
      <w:r>
        <w:rPr>
          <w:noProof/>
        </w:rPr>
        <w:t>1.2.</w:t>
      </w:r>
      <w:r>
        <w:rPr>
          <w:rFonts w:eastAsiaTheme="minorEastAsia"/>
          <w:smallCaps w:val="0"/>
          <w:noProof/>
          <w:lang w:val="en-NZ" w:eastAsia="en-NZ"/>
        </w:rPr>
        <w:tab/>
      </w:r>
      <w:r>
        <w:rPr>
          <w:noProof/>
        </w:rPr>
        <w:t>The Inspection Team</w:t>
      </w:r>
      <w:r>
        <w:rPr>
          <w:noProof/>
        </w:rPr>
        <w:tab/>
      </w:r>
      <w:r>
        <w:rPr>
          <w:noProof/>
        </w:rPr>
        <w:fldChar w:fldCharType="begin"/>
      </w:r>
      <w:r>
        <w:rPr>
          <w:noProof/>
        </w:rPr>
        <w:instrText xml:space="preserve"> PAGEREF _Toc448394325 \h </w:instrText>
      </w:r>
      <w:r>
        <w:rPr>
          <w:noProof/>
        </w:rPr>
      </w:r>
      <w:r>
        <w:rPr>
          <w:noProof/>
        </w:rPr>
        <w:fldChar w:fldCharType="separate"/>
      </w:r>
      <w:r>
        <w:rPr>
          <w:noProof/>
        </w:rPr>
        <w:t>4</w:t>
      </w:r>
      <w:r>
        <w:rPr>
          <w:noProof/>
        </w:rPr>
        <w:fldChar w:fldCharType="end"/>
      </w:r>
    </w:p>
    <w:p w14:paraId="6821039C" w14:textId="77777777" w:rsidR="00920088" w:rsidRDefault="00920088">
      <w:pPr>
        <w:pStyle w:val="TOC2"/>
        <w:tabs>
          <w:tab w:val="left" w:pos="960"/>
          <w:tab w:val="right" w:leader="dot" w:pos="9010"/>
        </w:tabs>
        <w:rPr>
          <w:rFonts w:eastAsiaTheme="minorEastAsia"/>
          <w:smallCaps w:val="0"/>
          <w:noProof/>
          <w:lang w:val="en-NZ" w:eastAsia="en-NZ"/>
        </w:rPr>
      </w:pPr>
      <w:r>
        <w:rPr>
          <w:noProof/>
        </w:rPr>
        <w:t>1.3.</w:t>
      </w:r>
      <w:r>
        <w:rPr>
          <w:rFonts w:eastAsiaTheme="minorEastAsia"/>
          <w:smallCaps w:val="0"/>
          <w:noProof/>
          <w:lang w:val="en-NZ" w:eastAsia="en-NZ"/>
        </w:rPr>
        <w:tab/>
      </w:r>
      <w:r>
        <w:rPr>
          <w:noProof/>
        </w:rPr>
        <w:t>Process of the inspection</w:t>
      </w:r>
      <w:bookmarkStart w:id="3" w:name="_GoBack"/>
      <w:bookmarkEnd w:id="3"/>
      <w:r>
        <w:rPr>
          <w:noProof/>
        </w:rPr>
        <w:tab/>
      </w:r>
      <w:r>
        <w:rPr>
          <w:noProof/>
        </w:rPr>
        <w:fldChar w:fldCharType="begin"/>
      </w:r>
      <w:r>
        <w:rPr>
          <w:noProof/>
        </w:rPr>
        <w:instrText xml:space="preserve"> PAGEREF _Toc448394326 \h </w:instrText>
      </w:r>
      <w:r>
        <w:rPr>
          <w:noProof/>
        </w:rPr>
      </w:r>
      <w:r>
        <w:rPr>
          <w:noProof/>
        </w:rPr>
        <w:fldChar w:fldCharType="separate"/>
      </w:r>
      <w:r>
        <w:rPr>
          <w:noProof/>
        </w:rPr>
        <w:t>4</w:t>
      </w:r>
      <w:r>
        <w:rPr>
          <w:noProof/>
        </w:rPr>
        <w:fldChar w:fldCharType="end"/>
      </w:r>
    </w:p>
    <w:p w14:paraId="55947061" w14:textId="77777777" w:rsidR="00920088" w:rsidRDefault="00920088">
      <w:pPr>
        <w:pStyle w:val="TOC2"/>
        <w:tabs>
          <w:tab w:val="left" w:pos="960"/>
          <w:tab w:val="right" w:leader="dot" w:pos="9010"/>
        </w:tabs>
        <w:rPr>
          <w:rFonts w:eastAsiaTheme="minorEastAsia"/>
          <w:smallCaps w:val="0"/>
          <w:noProof/>
          <w:lang w:val="en-NZ" w:eastAsia="en-NZ"/>
        </w:rPr>
      </w:pPr>
      <w:r>
        <w:rPr>
          <w:noProof/>
        </w:rPr>
        <w:t>1.4.</w:t>
      </w:r>
      <w:r>
        <w:rPr>
          <w:rFonts w:eastAsiaTheme="minorEastAsia"/>
          <w:smallCaps w:val="0"/>
          <w:noProof/>
          <w:lang w:val="en-NZ" w:eastAsia="en-NZ"/>
        </w:rPr>
        <w:tab/>
      </w:r>
      <w:r>
        <w:rPr>
          <w:noProof/>
        </w:rPr>
        <w:t>Handling of allegations currently before the court</w:t>
      </w:r>
      <w:r>
        <w:rPr>
          <w:noProof/>
        </w:rPr>
        <w:tab/>
      </w:r>
      <w:r>
        <w:rPr>
          <w:noProof/>
        </w:rPr>
        <w:fldChar w:fldCharType="begin"/>
      </w:r>
      <w:r>
        <w:rPr>
          <w:noProof/>
        </w:rPr>
        <w:instrText xml:space="preserve"> PAGEREF _Toc448394327 \h </w:instrText>
      </w:r>
      <w:r>
        <w:rPr>
          <w:noProof/>
        </w:rPr>
      </w:r>
      <w:r>
        <w:rPr>
          <w:noProof/>
        </w:rPr>
        <w:fldChar w:fldCharType="separate"/>
      </w:r>
      <w:r>
        <w:rPr>
          <w:noProof/>
        </w:rPr>
        <w:t>5</w:t>
      </w:r>
      <w:r>
        <w:rPr>
          <w:noProof/>
        </w:rPr>
        <w:fldChar w:fldCharType="end"/>
      </w:r>
    </w:p>
    <w:p w14:paraId="3AA82AFB" w14:textId="77777777" w:rsidR="00920088" w:rsidRDefault="00920088">
      <w:pPr>
        <w:pStyle w:val="TOC2"/>
        <w:tabs>
          <w:tab w:val="left" w:pos="960"/>
          <w:tab w:val="right" w:leader="dot" w:pos="9010"/>
        </w:tabs>
        <w:rPr>
          <w:rFonts w:eastAsiaTheme="minorEastAsia"/>
          <w:smallCaps w:val="0"/>
          <w:noProof/>
          <w:lang w:val="en-NZ" w:eastAsia="en-NZ"/>
        </w:rPr>
      </w:pPr>
      <w:r>
        <w:rPr>
          <w:noProof/>
        </w:rPr>
        <w:t>1.5.</w:t>
      </w:r>
      <w:r>
        <w:rPr>
          <w:rFonts w:eastAsiaTheme="minorEastAsia"/>
          <w:smallCaps w:val="0"/>
          <w:noProof/>
          <w:lang w:val="en-NZ" w:eastAsia="en-NZ"/>
        </w:rPr>
        <w:tab/>
      </w:r>
      <w:r>
        <w:rPr>
          <w:noProof/>
        </w:rPr>
        <w:t>Preparation of this report</w:t>
      </w:r>
      <w:r>
        <w:rPr>
          <w:noProof/>
        </w:rPr>
        <w:tab/>
      </w:r>
      <w:r>
        <w:rPr>
          <w:noProof/>
        </w:rPr>
        <w:fldChar w:fldCharType="begin"/>
      </w:r>
      <w:r>
        <w:rPr>
          <w:noProof/>
        </w:rPr>
        <w:instrText xml:space="preserve"> PAGEREF _Toc448394328 \h </w:instrText>
      </w:r>
      <w:r>
        <w:rPr>
          <w:noProof/>
        </w:rPr>
      </w:r>
      <w:r>
        <w:rPr>
          <w:noProof/>
        </w:rPr>
        <w:fldChar w:fldCharType="separate"/>
      </w:r>
      <w:r>
        <w:rPr>
          <w:noProof/>
        </w:rPr>
        <w:t>5</w:t>
      </w:r>
      <w:r>
        <w:rPr>
          <w:noProof/>
        </w:rPr>
        <w:fldChar w:fldCharType="end"/>
      </w:r>
    </w:p>
    <w:p w14:paraId="6085AEAE" w14:textId="77777777" w:rsidR="00920088" w:rsidRDefault="00920088">
      <w:pPr>
        <w:pStyle w:val="TOC1"/>
        <w:tabs>
          <w:tab w:val="left" w:pos="720"/>
          <w:tab w:val="right" w:leader="dot" w:pos="9010"/>
        </w:tabs>
        <w:rPr>
          <w:rFonts w:eastAsiaTheme="minorEastAsia"/>
          <w:b w:val="0"/>
          <w:caps w:val="0"/>
          <w:noProof/>
          <w:lang w:val="en-NZ" w:eastAsia="en-NZ"/>
        </w:rPr>
      </w:pPr>
      <w:r>
        <w:rPr>
          <w:noProof/>
        </w:rPr>
        <w:t>2.</w:t>
      </w:r>
      <w:r>
        <w:rPr>
          <w:rFonts w:eastAsiaTheme="minorEastAsia"/>
          <w:b w:val="0"/>
          <w:caps w:val="0"/>
          <w:noProof/>
          <w:lang w:val="en-NZ" w:eastAsia="en-NZ"/>
        </w:rPr>
        <w:tab/>
      </w:r>
      <w:r>
        <w:rPr>
          <w:noProof/>
        </w:rPr>
        <w:t>Overview of the district and its services</w:t>
      </w:r>
      <w:r>
        <w:rPr>
          <w:noProof/>
        </w:rPr>
        <w:tab/>
      </w:r>
      <w:r>
        <w:rPr>
          <w:noProof/>
        </w:rPr>
        <w:fldChar w:fldCharType="begin"/>
      </w:r>
      <w:r>
        <w:rPr>
          <w:noProof/>
        </w:rPr>
        <w:instrText xml:space="preserve"> PAGEREF _Toc448394329 \h </w:instrText>
      </w:r>
      <w:r>
        <w:rPr>
          <w:noProof/>
        </w:rPr>
      </w:r>
      <w:r>
        <w:rPr>
          <w:noProof/>
        </w:rPr>
        <w:fldChar w:fldCharType="separate"/>
      </w:r>
      <w:r>
        <w:rPr>
          <w:noProof/>
        </w:rPr>
        <w:t>6</w:t>
      </w:r>
      <w:r>
        <w:rPr>
          <w:noProof/>
        </w:rPr>
        <w:fldChar w:fldCharType="end"/>
      </w:r>
    </w:p>
    <w:p w14:paraId="038B3EB4" w14:textId="77777777" w:rsidR="00920088" w:rsidRDefault="00920088">
      <w:pPr>
        <w:pStyle w:val="TOC2"/>
        <w:tabs>
          <w:tab w:val="left" w:pos="960"/>
          <w:tab w:val="right" w:leader="dot" w:pos="9010"/>
        </w:tabs>
        <w:rPr>
          <w:rFonts w:eastAsiaTheme="minorEastAsia"/>
          <w:smallCaps w:val="0"/>
          <w:noProof/>
          <w:lang w:val="en-NZ" w:eastAsia="en-NZ"/>
        </w:rPr>
      </w:pPr>
      <w:r>
        <w:rPr>
          <w:noProof/>
        </w:rPr>
        <w:t>2.1.</w:t>
      </w:r>
      <w:r>
        <w:rPr>
          <w:rFonts w:eastAsiaTheme="minorEastAsia"/>
          <w:smallCaps w:val="0"/>
          <w:noProof/>
          <w:lang w:val="en-NZ" w:eastAsia="en-NZ"/>
        </w:rPr>
        <w:tab/>
      </w:r>
      <w:r>
        <w:rPr>
          <w:noProof/>
        </w:rPr>
        <w:t>The district</w:t>
      </w:r>
      <w:r>
        <w:rPr>
          <w:noProof/>
        </w:rPr>
        <w:tab/>
      </w:r>
      <w:r>
        <w:rPr>
          <w:noProof/>
        </w:rPr>
        <w:fldChar w:fldCharType="begin"/>
      </w:r>
      <w:r>
        <w:rPr>
          <w:noProof/>
        </w:rPr>
        <w:instrText xml:space="preserve"> PAGEREF _Toc448394330 \h </w:instrText>
      </w:r>
      <w:r>
        <w:rPr>
          <w:noProof/>
        </w:rPr>
      </w:r>
      <w:r>
        <w:rPr>
          <w:noProof/>
        </w:rPr>
        <w:fldChar w:fldCharType="separate"/>
      </w:r>
      <w:r>
        <w:rPr>
          <w:noProof/>
        </w:rPr>
        <w:t>6</w:t>
      </w:r>
      <w:r>
        <w:rPr>
          <w:noProof/>
        </w:rPr>
        <w:fldChar w:fldCharType="end"/>
      </w:r>
    </w:p>
    <w:p w14:paraId="0FF12BAD" w14:textId="77777777" w:rsidR="00920088" w:rsidRDefault="00920088">
      <w:pPr>
        <w:pStyle w:val="TOC2"/>
        <w:tabs>
          <w:tab w:val="left" w:pos="960"/>
          <w:tab w:val="right" w:leader="dot" w:pos="9010"/>
        </w:tabs>
        <w:rPr>
          <w:rFonts w:eastAsiaTheme="minorEastAsia"/>
          <w:smallCaps w:val="0"/>
          <w:noProof/>
          <w:lang w:val="en-NZ" w:eastAsia="en-NZ"/>
        </w:rPr>
      </w:pPr>
      <w:r>
        <w:rPr>
          <w:noProof/>
        </w:rPr>
        <w:t>2.2.</w:t>
      </w:r>
      <w:r>
        <w:rPr>
          <w:rFonts w:eastAsiaTheme="minorEastAsia"/>
          <w:smallCaps w:val="0"/>
          <w:noProof/>
          <w:lang w:val="en-NZ" w:eastAsia="en-NZ"/>
        </w:rPr>
        <w:tab/>
      </w:r>
      <w:r>
        <w:rPr>
          <w:noProof/>
        </w:rPr>
        <w:t>The services</w:t>
      </w:r>
      <w:r>
        <w:rPr>
          <w:noProof/>
        </w:rPr>
        <w:tab/>
      </w:r>
      <w:r>
        <w:rPr>
          <w:noProof/>
        </w:rPr>
        <w:fldChar w:fldCharType="begin"/>
      </w:r>
      <w:r>
        <w:rPr>
          <w:noProof/>
        </w:rPr>
        <w:instrText xml:space="preserve"> PAGEREF _Toc448394331 \h </w:instrText>
      </w:r>
      <w:r>
        <w:rPr>
          <w:noProof/>
        </w:rPr>
      </w:r>
      <w:r>
        <w:rPr>
          <w:noProof/>
        </w:rPr>
        <w:fldChar w:fldCharType="separate"/>
      </w:r>
      <w:r>
        <w:rPr>
          <w:noProof/>
        </w:rPr>
        <w:t>7</w:t>
      </w:r>
      <w:r>
        <w:rPr>
          <w:noProof/>
        </w:rPr>
        <w:fldChar w:fldCharType="end"/>
      </w:r>
    </w:p>
    <w:p w14:paraId="32254CBD" w14:textId="77777777" w:rsidR="00920088" w:rsidRDefault="00920088">
      <w:pPr>
        <w:pStyle w:val="TOC1"/>
        <w:tabs>
          <w:tab w:val="left" w:pos="720"/>
          <w:tab w:val="right" w:leader="dot" w:pos="9010"/>
        </w:tabs>
        <w:rPr>
          <w:rFonts w:eastAsiaTheme="minorEastAsia"/>
          <w:b w:val="0"/>
          <w:caps w:val="0"/>
          <w:noProof/>
          <w:lang w:val="en-NZ" w:eastAsia="en-NZ"/>
        </w:rPr>
      </w:pPr>
      <w:r>
        <w:rPr>
          <w:noProof/>
        </w:rPr>
        <w:t>3.</w:t>
      </w:r>
      <w:r>
        <w:rPr>
          <w:rFonts w:eastAsiaTheme="minorEastAsia"/>
          <w:b w:val="0"/>
          <w:caps w:val="0"/>
          <w:noProof/>
          <w:lang w:val="en-NZ" w:eastAsia="en-NZ"/>
        </w:rPr>
        <w:tab/>
      </w:r>
      <w:r>
        <w:rPr>
          <w:noProof/>
        </w:rPr>
        <w:t>Governance, leadership and management</w:t>
      </w:r>
      <w:r>
        <w:rPr>
          <w:noProof/>
        </w:rPr>
        <w:tab/>
      </w:r>
      <w:r>
        <w:rPr>
          <w:noProof/>
        </w:rPr>
        <w:fldChar w:fldCharType="begin"/>
      </w:r>
      <w:r>
        <w:rPr>
          <w:noProof/>
        </w:rPr>
        <w:instrText xml:space="preserve"> PAGEREF _Toc448394332 \h </w:instrText>
      </w:r>
      <w:r>
        <w:rPr>
          <w:noProof/>
        </w:rPr>
      </w:r>
      <w:r>
        <w:rPr>
          <w:noProof/>
        </w:rPr>
        <w:fldChar w:fldCharType="separate"/>
      </w:r>
      <w:r>
        <w:rPr>
          <w:noProof/>
        </w:rPr>
        <w:t>7</w:t>
      </w:r>
      <w:r>
        <w:rPr>
          <w:noProof/>
        </w:rPr>
        <w:fldChar w:fldCharType="end"/>
      </w:r>
    </w:p>
    <w:p w14:paraId="5BFDADAC" w14:textId="77777777" w:rsidR="00920088" w:rsidRDefault="00920088">
      <w:pPr>
        <w:pStyle w:val="TOC2"/>
        <w:tabs>
          <w:tab w:val="left" w:pos="960"/>
          <w:tab w:val="right" w:leader="dot" w:pos="9010"/>
        </w:tabs>
        <w:rPr>
          <w:rFonts w:eastAsiaTheme="minorEastAsia"/>
          <w:smallCaps w:val="0"/>
          <w:noProof/>
          <w:lang w:val="en-NZ" w:eastAsia="en-NZ"/>
        </w:rPr>
      </w:pPr>
      <w:r>
        <w:rPr>
          <w:noProof/>
        </w:rPr>
        <w:t>3.1.</w:t>
      </w:r>
      <w:r>
        <w:rPr>
          <w:rFonts w:eastAsiaTheme="minorEastAsia"/>
          <w:smallCaps w:val="0"/>
          <w:noProof/>
          <w:lang w:val="en-NZ" w:eastAsia="en-NZ"/>
        </w:rPr>
        <w:tab/>
      </w:r>
      <w:r>
        <w:rPr>
          <w:noProof/>
        </w:rPr>
        <w:t>Service development</w:t>
      </w:r>
      <w:r>
        <w:rPr>
          <w:noProof/>
        </w:rPr>
        <w:tab/>
      </w:r>
      <w:r>
        <w:rPr>
          <w:noProof/>
        </w:rPr>
        <w:fldChar w:fldCharType="begin"/>
      </w:r>
      <w:r>
        <w:rPr>
          <w:noProof/>
        </w:rPr>
        <w:instrText xml:space="preserve"> PAGEREF _Toc448394333 \h </w:instrText>
      </w:r>
      <w:r>
        <w:rPr>
          <w:noProof/>
        </w:rPr>
      </w:r>
      <w:r>
        <w:rPr>
          <w:noProof/>
        </w:rPr>
        <w:fldChar w:fldCharType="separate"/>
      </w:r>
      <w:r>
        <w:rPr>
          <w:noProof/>
        </w:rPr>
        <w:t>7</w:t>
      </w:r>
      <w:r>
        <w:rPr>
          <w:noProof/>
        </w:rPr>
        <w:fldChar w:fldCharType="end"/>
      </w:r>
    </w:p>
    <w:p w14:paraId="2DFC9679" w14:textId="77777777" w:rsidR="00920088" w:rsidRDefault="00920088">
      <w:pPr>
        <w:pStyle w:val="TOC2"/>
        <w:tabs>
          <w:tab w:val="left" w:pos="960"/>
          <w:tab w:val="right" w:leader="dot" w:pos="9010"/>
        </w:tabs>
        <w:rPr>
          <w:rFonts w:eastAsiaTheme="minorEastAsia"/>
          <w:smallCaps w:val="0"/>
          <w:noProof/>
          <w:lang w:val="en-NZ" w:eastAsia="en-NZ"/>
        </w:rPr>
      </w:pPr>
      <w:r>
        <w:rPr>
          <w:noProof/>
        </w:rPr>
        <w:t>3.2.</w:t>
      </w:r>
      <w:r>
        <w:rPr>
          <w:rFonts w:eastAsiaTheme="minorEastAsia"/>
          <w:smallCaps w:val="0"/>
          <w:noProof/>
          <w:lang w:val="en-NZ" w:eastAsia="en-NZ"/>
        </w:rPr>
        <w:tab/>
      </w:r>
      <w:r>
        <w:rPr>
          <w:noProof/>
        </w:rPr>
        <w:t>Mental Health and Addiction Services within the wider district health board</w:t>
      </w:r>
      <w:r>
        <w:rPr>
          <w:noProof/>
        </w:rPr>
        <w:tab/>
      </w:r>
      <w:r>
        <w:rPr>
          <w:noProof/>
        </w:rPr>
        <w:fldChar w:fldCharType="begin"/>
      </w:r>
      <w:r>
        <w:rPr>
          <w:noProof/>
        </w:rPr>
        <w:instrText xml:space="preserve"> PAGEREF _Toc448394334 \h </w:instrText>
      </w:r>
      <w:r>
        <w:rPr>
          <w:noProof/>
        </w:rPr>
      </w:r>
      <w:r>
        <w:rPr>
          <w:noProof/>
        </w:rPr>
        <w:fldChar w:fldCharType="separate"/>
      </w:r>
      <w:r>
        <w:rPr>
          <w:noProof/>
        </w:rPr>
        <w:t>8</w:t>
      </w:r>
      <w:r>
        <w:rPr>
          <w:noProof/>
        </w:rPr>
        <w:fldChar w:fldCharType="end"/>
      </w:r>
    </w:p>
    <w:p w14:paraId="4E256484" w14:textId="77777777" w:rsidR="00920088" w:rsidRDefault="00920088">
      <w:pPr>
        <w:pStyle w:val="TOC2"/>
        <w:tabs>
          <w:tab w:val="left" w:pos="960"/>
          <w:tab w:val="right" w:leader="dot" w:pos="9010"/>
        </w:tabs>
        <w:rPr>
          <w:rFonts w:eastAsiaTheme="minorEastAsia"/>
          <w:smallCaps w:val="0"/>
          <w:noProof/>
          <w:lang w:val="en-NZ" w:eastAsia="en-NZ"/>
        </w:rPr>
      </w:pPr>
      <w:r>
        <w:rPr>
          <w:noProof/>
        </w:rPr>
        <w:t>3.3.</w:t>
      </w:r>
      <w:r>
        <w:rPr>
          <w:rFonts w:eastAsiaTheme="minorEastAsia"/>
          <w:smallCaps w:val="0"/>
          <w:noProof/>
          <w:lang w:val="en-NZ" w:eastAsia="en-NZ"/>
        </w:rPr>
        <w:tab/>
      </w:r>
      <w:r>
        <w:rPr>
          <w:noProof/>
        </w:rPr>
        <w:t>Operational and clinical governance, leadership and service direction</w:t>
      </w:r>
      <w:r>
        <w:rPr>
          <w:noProof/>
        </w:rPr>
        <w:tab/>
      </w:r>
      <w:r>
        <w:rPr>
          <w:noProof/>
        </w:rPr>
        <w:fldChar w:fldCharType="begin"/>
      </w:r>
      <w:r>
        <w:rPr>
          <w:noProof/>
        </w:rPr>
        <w:instrText xml:space="preserve"> PAGEREF _Toc448394335 \h </w:instrText>
      </w:r>
      <w:r>
        <w:rPr>
          <w:noProof/>
        </w:rPr>
      </w:r>
      <w:r>
        <w:rPr>
          <w:noProof/>
        </w:rPr>
        <w:fldChar w:fldCharType="separate"/>
      </w:r>
      <w:r>
        <w:rPr>
          <w:noProof/>
        </w:rPr>
        <w:t>8</w:t>
      </w:r>
      <w:r>
        <w:rPr>
          <w:noProof/>
        </w:rPr>
        <w:fldChar w:fldCharType="end"/>
      </w:r>
    </w:p>
    <w:p w14:paraId="0B8DFD83" w14:textId="77777777" w:rsidR="00920088" w:rsidRDefault="00920088">
      <w:pPr>
        <w:pStyle w:val="TOC2"/>
        <w:tabs>
          <w:tab w:val="left" w:pos="960"/>
          <w:tab w:val="right" w:leader="dot" w:pos="9010"/>
        </w:tabs>
        <w:rPr>
          <w:rFonts w:eastAsiaTheme="minorEastAsia"/>
          <w:smallCaps w:val="0"/>
          <w:noProof/>
          <w:lang w:val="en-NZ" w:eastAsia="en-NZ"/>
        </w:rPr>
      </w:pPr>
      <w:r>
        <w:rPr>
          <w:noProof/>
        </w:rPr>
        <w:t>3.4.</w:t>
      </w:r>
      <w:r>
        <w:rPr>
          <w:rFonts w:eastAsiaTheme="minorEastAsia"/>
          <w:smallCaps w:val="0"/>
          <w:noProof/>
          <w:lang w:val="en-NZ" w:eastAsia="en-NZ"/>
        </w:rPr>
        <w:tab/>
      </w:r>
      <w:r>
        <w:rPr>
          <w:noProof/>
        </w:rPr>
        <w:t>Nursing and allied health leadership</w:t>
      </w:r>
      <w:r>
        <w:rPr>
          <w:noProof/>
        </w:rPr>
        <w:tab/>
      </w:r>
      <w:r>
        <w:rPr>
          <w:noProof/>
        </w:rPr>
        <w:fldChar w:fldCharType="begin"/>
      </w:r>
      <w:r>
        <w:rPr>
          <w:noProof/>
        </w:rPr>
        <w:instrText xml:space="preserve"> PAGEREF _Toc448394336 \h </w:instrText>
      </w:r>
      <w:r>
        <w:rPr>
          <w:noProof/>
        </w:rPr>
      </w:r>
      <w:r>
        <w:rPr>
          <w:noProof/>
        </w:rPr>
        <w:fldChar w:fldCharType="separate"/>
      </w:r>
      <w:r>
        <w:rPr>
          <w:noProof/>
        </w:rPr>
        <w:t>10</w:t>
      </w:r>
      <w:r>
        <w:rPr>
          <w:noProof/>
        </w:rPr>
        <w:fldChar w:fldCharType="end"/>
      </w:r>
    </w:p>
    <w:p w14:paraId="61435118" w14:textId="77777777" w:rsidR="00920088" w:rsidRDefault="00920088">
      <w:pPr>
        <w:pStyle w:val="TOC2"/>
        <w:tabs>
          <w:tab w:val="left" w:pos="960"/>
          <w:tab w:val="right" w:leader="dot" w:pos="9010"/>
        </w:tabs>
        <w:rPr>
          <w:rFonts w:eastAsiaTheme="minorEastAsia"/>
          <w:smallCaps w:val="0"/>
          <w:noProof/>
          <w:lang w:val="en-NZ" w:eastAsia="en-NZ"/>
        </w:rPr>
      </w:pPr>
      <w:r>
        <w:rPr>
          <w:noProof/>
        </w:rPr>
        <w:t>3.5.</w:t>
      </w:r>
      <w:r>
        <w:rPr>
          <w:rFonts w:eastAsiaTheme="minorEastAsia"/>
          <w:smallCaps w:val="0"/>
          <w:noProof/>
          <w:lang w:val="en-NZ" w:eastAsia="en-NZ"/>
        </w:rPr>
        <w:tab/>
      </w:r>
      <w:r>
        <w:rPr>
          <w:noProof/>
        </w:rPr>
        <w:t>Clinical and operational leadership: summary</w:t>
      </w:r>
      <w:r>
        <w:rPr>
          <w:noProof/>
        </w:rPr>
        <w:tab/>
      </w:r>
      <w:r>
        <w:rPr>
          <w:noProof/>
        </w:rPr>
        <w:fldChar w:fldCharType="begin"/>
      </w:r>
      <w:r>
        <w:rPr>
          <w:noProof/>
        </w:rPr>
        <w:instrText xml:space="preserve"> PAGEREF _Toc448394337 \h </w:instrText>
      </w:r>
      <w:r>
        <w:rPr>
          <w:noProof/>
        </w:rPr>
      </w:r>
      <w:r>
        <w:rPr>
          <w:noProof/>
        </w:rPr>
        <w:fldChar w:fldCharType="separate"/>
      </w:r>
      <w:r>
        <w:rPr>
          <w:noProof/>
        </w:rPr>
        <w:t>11</w:t>
      </w:r>
      <w:r>
        <w:rPr>
          <w:noProof/>
        </w:rPr>
        <w:fldChar w:fldCharType="end"/>
      </w:r>
    </w:p>
    <w:p w14:paraId="6E8B02FF" w14:textId="77777777" w:rsidR="00920088" w:rsidRDefault="00920088">
      <w:pPr>
        <w:pStyle w:val="TOC2"/>
        <w:tabs>
          <w:tab w:val="left" w:pos="960"/>
          <w:tab w:val="right" w:leader="dot" w:pos="9010"/>
        </w:tabs>
        <w:rPr>
          <w:rFonts w:eastAsiaTheme="minorEastAsia"/>
          <w:smallCaps w:val="0"/>
          <w:noProof/>
          <w:lang w:val="en-NZ" w:eastAsia="en-NZ"/>
        </w:rPr>
      </w:pPr>
      <w:r>
        <w:rPr>
          <w:noProof/>
        </w:rPr>
        <w:t>3.6.</w:t>
      </w:r>
      <w:r>
        <w:rPr>
          <w:rFonts w:eastAsiaTheme="minorEastAsia"/>
          <w:smallCaps w:val="0"/>
          <w:noProof/>
          <w:lang w:val="en-NZ" w:eastAsia="en-NZ"/>
        </w:rPr>
        <w:tab/>
      </w:r>
      <w:r>
        <w:rPr>
          <w:noProof/>
        </w:rPr>
        <w:t>Consumer and whānau leadership and engagement</w:t>
      </w:r>
      <w:r>
        <w:rPr>
          <w:noProof/>
        </w:rPr>
        <w:tab/>
      </w:r>
      <w:r>
        <w:rPr>
          <w:noProof/>
        </w:rPr>
        <w:fldChar w:fldCharType="begin"/>
      </w:r>
      <w:r>
        <w:rPr>
          <w:noProof/>
        </w:rPr>
        <w:instrText xml:space="preserve"> PAGEREF _Toc448394338 \h </w:instrText>
      </w:r>
      <w:r>
        <w:rPr>
          <w:noProof/>
        </w:rPr>
      </w:r>
      <w:r>
        <w:rPr>
          <w:noProof/>
        </w:rPr>
        <w:fldChar w:fldCharType="separate"/>
      </w:r>
      <w:r>
        <w:rPr>
          <w:noProof/>
        </w:rPr>
        <w:t>12</w:t>
      </w:r>
      <w:r>
        <w:rPr>
          <w:noProof/>
        </w:rPr>
        <w:fldChar w:fldCharType="end"/>
      </w:r>
    </w:p>
    <w:p w14:paraId="65FEE573" w14:textId="77777777" w:rsidR="00920088" w:rsidRDefault="00920088">
      <w:pPr>
        <w:pStyle w:val="TOC2"/>
        <w:tabs>
          <w:tab w:val="left" w:pos="960"/>
          <w:tab w:val="right" w:leader="dot" w:pos="9010"/>
        </w:tabs>
        <w:rPr>
          <w:rFonts w:eastAsiaTheme="minorEastAsia"/>
          <w:smallCaps w:val="0"/>
          <w:noProof/>
          <w:lang w:val="en-NZ" w:eastAsia="en-NZ"/>
        </w:rPr>
      </w:pPr>
      <w:r>
        <w:rPr>
          <w:noProof/>
        </w:rPr>
        <w:t>3.7.</w:t>
      </w:r>
      <w:r>
        <w:rPr>
          <w:rFonts w:eastAsiaTheme="minorEastAsia"/>
          <w:smallCaps w:val="0"/>
          <w:noProof/>
          <w:lang w:val="en-NZ" w:eastAsia="en-NZ"/>
        </w:rPr>
        <w:tab/>
      </w:r>
      <w:r>
        <w:rPr>
          <w:noProof/>
        </w:rPr>
        <w:t xml:space="preserve">Governance of implementation of </w:t>
      </w:r>
      <w:r w:rsidRPr="00525BAD">
        <w:rPr>
          <w:i/>
          <w:noProof/>
        </w:rPr>
        <w:t>A Time for Change</w:t>
      </w:r>
      <w:r>
        <w:rPr>
          <w:noProof/>
        </w:rPr>
        <w:tab/>
      </w:r>
      <w:r>
        <w:rPr>
          <w:noProof/>
        </w:rPr>
        <w:fldChar w:fldCharType="begin"/>
      </w:r>
      <w:r>
        <w:rPr>
          <w:noProof/>
        </w:rPr>
        <w:instrText xml:space="preserve"> PAGEREF _Toc448394339 \h </w:instrText>
      </w:r>
      <w:r>
        <w:rPr>
          <w:noProof/>
        </w:rPr>
      </w:r>
      <w:r>
        <w:rPr>
          <w:noProof/>
        </w:rPr>
        <w:fldChar w:fldCharType="separate"/>
      </w:r>
      <w:r>
        <w:rPr>
          <w:noProof/>
        </w:rPr>
        <w:t>12</w:t>
      </w:r>
      <w:r>
        <w:rPr>
          <w:noProof/>
        </w:rPr>
        <w:fldChar w:fldCharType="end"/>
      </w:r>
    </w:p>
    <w:p w14:paraId="7EB54D82" w14:textId="77777777" w:rsidR="00920088" w:rsidRDefault="00920088">
      <w:pPr>
        <w:pStyle w:val="TOC2"/>
        <w:tabs>
          <w:tab w:val="left" w:pos="960"/>
          <w:tab w:val="right" w:leader="dot" w:pos="9010"/>
        </w:tabs>
        <w:rPr>
          <w:rFonts w:eastAsiaTheme="minorEastAsia"/>
          <w:smallCaps w:val="0"/>
          <w:noProof/>
          <w:lang w:val="en-NZ" w:eastAsia="en-NZ"/>
        </w:rPr>
      </w:pPr>
      <w:r>
        <w:rPr>
          <w:noProof/>
        </w:rPr>
        <w:t>3.8.</w:t>
      </w:r>
      <w:r>
        <w:rPr>
          <w:rFonts w:eastAsiaTheme="minorEastAsia"/>
          <w:smallCaps w:val="0"/>
          <w:noProof/>
          <w:lang w:val="en-NZ" w:eastAsia="en-NZ"/>
        </w:rPr>
        <w:tab/>
      </w:r>
      <w:r>
        <w:rPr>
          <w:noProof/>
        </w:rPr>
        <w:t>A change in the implementation process</w:t>
      </w:r>
      <w:r>
        <w:rPr>
          <w:noProof/>
        </w:rPr>
        <w:tab/>
      </w:r>
      <w:r>
        <w:rPr>
          <w:noProof/>
        </w:rPr>
        <w:fldChar w:fldCharType="begin"/>
      </w:r>
      <w:r>
        <w:rPr>
          <w:noProof/>
        </w:rPr>
        <w:instrText xml:space="preserve"> PAGEREF _Toc448394340 \h </w:instrText>
      </w:r>
      <w:r>
        <w:rPr>
          <w:noProof/>
        </w:rPr>
      </w:r>
      <w:r>
        <w:rPr>
          <w:noProof/>
        </w:rPr>
        <w:fldChar w:fldCharType="separate"/>
      </w:r>
      <w:r>
        <w:rPr>
          <w:noProof/>
        </w:rPr>
        <w:t>13</w:t>
      </w:r>
      <w:r>
        <w:rPr>
          <w:noProof/>
        </w:rPr>
        <w:fldChar w:fldCharType="end"/>
      </w:r>
    </w:p>
    <w:p w14:paraId="0C6B612D" w14:textId="77777777" w:rsidR="00920088" w:rsidRDefault="00920088">
      <w:pPr>
        <w:pStyle w:val="TOC2"/>
        <w:tabs>
          <w:tab w:val="left" w:pos="960"/>
          <w:tab w:val="right" w:leader="dot" w:pos="9010"/>
        </w:tabs>
        <w:rPr>
          <w:rFonts w:eastAsiaTheme="minorEastAsia"/>
          <w:smallCaps w:val="0"/>
          <w:noProof/>
          <w:lang w:val="en-NZ" w:eastAsia="en-NZ"/>
        </w:rPr>
      </w:pPr>
      <w:r>
        <w:rPr>
          <w:noProof/>
        </w:rPr>
        <w:t>3.9.</w:t>
      </w:r>
      <w:r>
        <w:rPr>
          <w:rFonts w:eastAsiaTheme="minorEastAsia"/>
          <w:smallCaps w:val="0"/>
          <w:noProof/>
          <w:lang w:val="en-NZ" w:eastAsia="en-NZ"/>
        </w:rPr>
        <w:tab/>
      </w:r>
      <w:r>
        <w:rPr>
          <w:noProof/>
        </w:rPr>
        <w:t>External factors</w:t>
      </w:r>
      <w:r>
        <w:rPr>
          <w:noProof/>
        </w:rPr>
        <w:tab/>
      </w:r>
      <w:r>
        <w:rPr>
          <w:noProof/>
        </w:rPr>
        <w:fldChar w:fldCharType="begin"/>
      </w:r>
      <w:r>
        <w:rPr>
          <w:noProof/>
        </w:rPr>
        <w:instrText xml:space="preserve"> PAGEREF _Toc448394341 \h </w:instrText>
      </w:r>
      <w:r>
        <w:rPr>
          <w:noProof/>
        </w:rPr>
      </w:r>
      <w:r>
        <w:rPr>
          <w:noProof/>
        </w:rPr>
        <w:fldChar w:fldCharType="separate"/>
      </w:r>
      <w:r>
        <w:rPr>
          <w:noProof/>
        </w:rPr>
        <w:t>13</w:t>
      </w:r>
      <w:r>
        <w:rPr>
          <w:noProof/>
        </w:rPr>
        <w:fldChar w:fldCharType="end"/>
      </w:r>
    </w:p>
    <w:p w14:paraId="0E7BB306" w14:textId="77777777" w:rsidR="00920088" w:rsidRDefault="00920088">
      <w:pPr>
        <w:pStyle w:val="TOC1"/>
        <w:tabs>
          <w:tab w:val="left" w:pos="720"/>
          <w:tab w:val="right" w:leader="dot" w:pos="9010"/>
        </w:tabs>
        <w:rPr>
          <w:rFonts w:eastAsiaTheme="minorEastAsia"/>
          <w:b w:val="0"/>
          <w:caps w:val="0"/>
          <w:noProof/>
          <w:lang w:val="en-NZ" w:eastAsia="en-NZ"/>
        </w:rPr>
      </w:pPr>
      <w:r>
        <w:rPr>
          <w:noProof/>
        </w:rPr>
        <w:t>4.</w:t>
      </w:r>
      <w:r>
        <w:rPr>
          <w:rFonts w:eastAsiaTheme="minorEastAsia"/>
          <w:b w:val="0"/>
          <w:caps w:val="0"/>
          <w:noProof/>
          <w:lang w:val="en-NZ" w:eastAsia="en-NZ"/>
        </w:rPr>
        <w:tab/>
      </w:r>
      <w:r>
        <w:rPr>
          <w:noProof/>
        </w:rPr>
        <w:t>Impact of change on front-line clinical staff</w:t>
      </w:r>
      <w:r>
        <w:rPr>
          <w:noProof/>
        </w:rPr>
        <w:tab/>
      </w:r>
      <w:r>
        <w:rPr>
          <w:noProof/>
        </w:rPr>
        <w:fldChar w:fldCharType="begin"/>
      </w:r>
      <w:r>
        <w:rPr>
          <w:noProof/>
        </w:rPr>
        <w:instrText xml:space="preserve"> PAGEREF _Toc448394342 \h </w:instrText>
      </w:r>
      <w:r>
        <w:rPr>
          <w:noProof/>
        </w:rPr>
      </w:r>
      <w:r>
        <w:rPr>
          <w:noProof/>
        </w:rPr>
        <w:fldChar w:fldCharType="separate"/>
      </w:r>
      <w:r>
        <w:rPr>
          <w:noProof/>
        </w:rPr>
        <w:t>14</w:t>
      </w:r>
      <w:r>
        <w:rPr>
          <w:noProof/>
        </w:rPr>
        <w:fldChar w:fldCharType="end"/>
      </w:r>
    </w:p>
    <w:p w14:paraId="3A8F9F15" w14:textId="77777777" w:rsidR="00920088" w:rsidRDefault="00920088">
      <w:pPr>
        <w:pStyle w:val="TOC2"/>
        <w:tabs>
          <w:tab w:val="left" w:pos="960"/>
          <w:tab w:val="right" w:leader="dot" w:pos="9010"/>
        </w:tabs>
        <w:rPr>
          <w:rFonts w:eastAsiaTheme="minorEastAsia"/>
          <w:smallCaps w:val="0"/>
          <w:noProof/>
          <w:lang w:val="en-NZ" w:eastAsia="en-NZ"/>
        </w:rPr>
      </w:pPr>
      <w:r w:rsidRPr="00525BAD">
        <w:rPr>
          <w:noProof/>
          <w:lang w:val="en-NZ"/>
        </w:rPr>
        <w:t>4.1.</w:t>
      </w:r>
      <w:r>
        <w:rPr>
          <w:rFonts w:eastAsiaTheme="minorEastAsia"/>
          <w:smallCaps w:val="0"/>
          <w:noProof/>
          <w:lang w:val="en-NZ" w:eastAsia="en-NZ"/>
        </w:rPr>
        <w:tab/>
      </w:r>
      <w:r w:rsidRPr="00525BAD">
        <w:rPr>
          <w:noProof/>
          <w:lang w:val="en-NZ"/>
        </w:rPr>
        <w:t>Morale</w:t>
      </w:r>
      <w:r>
        <w:rPr>
          <w:noProof/>
        </w:rPr>
        <w:tab/>
      </w:r>
      <w:r>
        <w:rPr>
          <w:noProof/>
        </w:rPr>
        <w:fldChar w:fldCharType="begin"/>
      </w:r>
      <w:r>
        <w:rPr>
          <w:noProof/>
        </w:rPr>
        <w:instrText xml:space="preserve"> PAGEREF _Toc448394343 \h </w:instrText>
      </w:r>
      <w:r>
        <w:rPr>
          <w:noProof/>
        </w:rPr>
      </w:r>
      <w:r>
        <w:rPr>
          <w:noProof/>
        </w:rPr>
        <w:fldChar w:fldCharType="separate"/>
      </w:r>
      <w:r>
        <w:rPr>
          <w:noProof/>
        </w:rPr>
        <w:t>14</w:t>
      </w:r>
      <w:r>
        <w:rPr>
          <w:noProof/>
        </w:rPr>
        <w:fldChar w:fldCharType="end"/>
      </w:r>
    </w:p>
    <w:p w14:paraId="32D6C16C" w14:textId="77777777" w:rsidR="00920088" w:rsidRDefault="00920088">
      <w:pPr>
        <w:pStyle w:val="TOC2"/>
        <w:tabs>
          <w:tab w:val="left" w:pos="960"/>
          <w:tab w:val="right" w:leader="dot" w:pos="9010"/>
        </w:tabs>
        <w:rPr>
          <w:rFonts w:eastAsiaTheme="minorEastAsia"/>
          <w:smallCaps w:val="0"/>
          <w:noProof/>
          <w:lang w:val="en-NZ" w:eastAsia="en-NZ"/>
        </w:rPr>
      </w:pPr>
      <w:r>
        <w:rPr>
          <w:noProof/>
        </w:rPr>
        <w:t>4.2.</w:t>
      </w:r>
      <w:r>
        <w:rPr>
          <w:rFonts w:eastAsiaTheme="minorEastAsia"/>
          <w:smallCaps w:val="0"/>
          <w:noProof/>
          <w:lang w:val="en-NZ" w:eastAsia="en-NZ"/>
        </w:rPr>
        <w:tab/>
      </w:r>
      <w:r>
        <w:rPr>
          <w:noProof/>
        </w:rPr>
        <w:t>Workload pressures</w:t>
      </w:r>
      <w:r>
        <w:rPr>
          <w:noProof/>
        </w:rPr>
        <w:tab/>
      </w:r>
      <w:r>
        <w:rPr>
          <w:noProof/>
        </w:rPr>
        <w:fldChar w:fldCharType="begin"/>
      </w:r>
      <w:r>
        <w:rPr>
          <w:noProof/>
        </w:rPr>
        <w:instrText xml:space="preserve"> PAGEREF _Toc448394344 \h </w:instrText>
      </w:r>
      <w:r>
        <w:rPr>
          <w:noProof/>
        </w:rPr>
      </w:r>
      <w:r>
        <w:rPr>
          <w:noProof/>
        </w:rPr>
        <w:fldChar w:fldCharType="separate"/>
      </w:r>
      <w:r>
        <w:rPr>
          <w:noProof/>
        </w:rPr>
        <w:t>14</w:t>
      </w:r>
      <w:r>
        <w:rPr>
          <w:noProof/>
        </w:rPr>
        <w:fldChar w:fldCharType="end"/>
      </w:r>
    </w:p>
    <w:p w14:paraId="73C70913" w14:textId="77777777" w:rsidR="00920088" w:rsidRDefault="00920088">
      <w:pPr>
        <w:pStyle w:val="TOC2"/>
        <w:tabs>
          <w:tab w:val="left" w:pos="960"/>
          <w:tab w:val="right" w:leader="dot" w:pos="9010"/>
        </w:tabs>
        <w:rPr>
          <w:rFonts w:eastAsiaTheme="minorEastAsia"/>
          <w:smallCaps w:val="0"/>
          <w:noProof/>
          <w:lang w:val="en-NZ" w:eastAsia="en-NZ"/>
        </w:rPr>
      </w:pPr>
      <w:r w:rsidRPr="00525BAD">
        <w:rPr>
          <w:noProof/>
          <w:lang w:val="en-NZ"/>
        </w:rPr>
        <w:t>4.3.</w:t>
      </w:r>
      <w:r>
        <w:rPr>
          <w:rFonts w:eastAsiaTheme="minorEastAsia"/>
          <w:smallCaps w:val="0"/>
          <w:noProof/>
          <w:lang w:val="en-NZ" w:eastAsia="en-NZ"/>
        </w:rPr>
        <w:tab/>
      </w:r>
      <w:r w:rsidRPr="00525BAD">
        <w:rPr>
          <w:noProof/>
          <w:lang w:val="en-NZ"/>
        </w:rPr>
        <w:t>Meetings with unions</w:t>
      </w:r>
      <w:r>
        <w:rPr>
          <w:noProof/>
        </w:rPr>
        <w:tab/>
      </w:r>
      <w:r>
        <w:rPr>
          <w:noProof/>
        </w:rPr>
        <w:fldChar w:fldCharType="begin"/>
      </w:r>
      <w:r>
        <w:rPr>
          <w:noProof/>
        </w:rPr>
        <w:instrText xml:space="preserve"> PAGEREF _Toc448394345 \h </w:instrText>
      </w:r>
      <w:r>
        <w:rPr>
          <w:noProof/>
        </w:rPr>
      </w:r>
      <w:r>
        <w:rPr>
          <w:noProof/>
        </w:rPr>
        <w:fldChar w:fldCharType="separate"/>
      </w:r>
      <w:r>
        <w:rPr>
          <w:noProof/>
        </w:rPr>
        <w:t>15</w:t>
      </w:r>
      <w:r>
        <w:rPr>
          <w:noProof/>
        </w:rPr>
        <w:fldChar w:fldCharType="end"/>
      </w:r>
    </w:p>
    <w:p w14:paraId="35B40AA0" w14:textId="77777777" w:rsidR="00920088" w:rsidRDefault="00920088">
      <w:pPr>
        <w:pStyle w:val="TOC1"/>
        <w:tabs>
          <w:tab w:val="left" w:pos="720"/>
          <w:tab w:val="right" w:leader="dot" w:pos="9010"/>
        </w:tabs>
        <w:rPr>
          <w:rFonts w:eastAsiaTheme="minorEastAsia"/>
          <w:b w:val="0"/>
          <w:caps w:val="0"/>
          <w:noProof/>
          <w:lang w:val="en-NZ" w:eastAsia="en-NZ"/>
        </w:rPr>
      </w:pPr>
      <w:r>
        <w:rPr>
          <w:noProof/>
        </w:rPr>
        <w:t>5.</w:t>
      </w:r>
      <w:r>
        <w:rPr>
          <w:rFonts w:eastAsiaTheme="minorEastAsia"/>
          <w:b w:val="0"/>
          <w:caps w:val="0"/>
          <w:noProof/>
          <w:lang w:val="en-NZ" w:eastAsia="en-NZ"/>
        </w:rPr>
        <w:tab/>
      </w:r>
      <w:r>
        <w:rPr>
          <w:noProof/>
        </w:rPr>
        <w:t>Quality and safety</w:t>
      </w:r>
      <w:r>
        <w:rPr>
          <w:noProof/>
        </w:rPr>
        <w:tab/>
      </w:r>
      <w:r>
        <w:rPr>
          <w:noProof/>
        </w:rPr>
        <w:fldChar w:fldCharType="begin"/>
      </w:r>
      <w:r>
        <w:rPr>
          <w:noProof/>
        </w:rPr>
        <w:instrText xml:space="preserve"> PAGEREF _Toc448394346 \h </w:instrText>
      </w:r>
      <w:r>
        <w:rPr>
          <w:noProof/>
        </w:rPr>
      </w:r>
      <w:r>
        <w:rPr>
          <w:noProof/>
        </w:rPr>
        <w:fldChar w:fldCharType="separate"/>
      </w:r>
      <w:r>
        <w:rPr>
          <w:noProof/>
        </w:rPr>
        <w:t>16</w:t>
      </w:r>
      <w:r>
        <w:rPr>
          <w:noProof/>
        </w:rPr>
        <w:fldChar w:fldCharType="end"/>
      </w:r>
    </w:p>
    <w:p w14:paraId="5708652E" w14:textId="77777777" w:rsidR="00920088" w:rsidRDefault="00920088">
      <w:pPr>
        <w:pStyle w:val="TOC2"/>
        <w:tabs>
          <w:tab w:val="left" w:pos="960"/>
          <w:tab w:val="right" w:leader="dot" w:pos="9010"/>
        </w:tabs>
        <w:rPr>
          <w:rFonts w:eastAsiaTheme="minorEastAsia"/>
          <w:smallCaps w:val="0"/>
          <w:noProof/>
          <w:lang w:val="en-NZ" w:eastAsia="en-NZ"/>
        </w:rPr>
      </w:pPr>
      <w:r>
        <w:rPr>
          <w:noProof/>
        </w:rPr>
        <w:t>5.1.</w:t>
      </w:r>
      <w:r>
        <w:rPr>
          <w:rFonts w:eastAsiaTheme="minorEastAsia"/>
          <w:smallCaps w:val="0"/>
          <w:noProof/>
          <w:lang w:val="en-NZ" w:eastAsia="en-NZ"/>
        </w:rPr>
        <w:tab/>
      </w:r>
      <w:r>
        <w:rPr>
          <w:noProof/>
        </w:rPr>
        <w:t>Clinical governance and oversight</w:t>
      </w:r>
      <w:r>
        <w:rPr>
          <w:noProof/>
        </w:rPr>
        <w:tab/>
      </w:r>
      <w:r>
        <w:rPr>
          <w:noProof/>
        </w:rPr>
        <w:fldChar w:fldCharType="begin"/>
      </w:r>
      <w:r>
        <w:rPr>
          <w:noProof/>
        </w:rPr>
        <w:instrText xml:space="preserve"> PAGEREF _Toc448394347 \h </w:instrText>
      </w:r>
      <w:r>
        <w:rPr>
          <w:noProof/>
        </w:rPr>
      </w:r>
      <w:r>
        <w:rPr>
          <w:noProof/>
        </w:rPr>
        <w:fldChar w:fldCharType="separate"/>
      </w:r>
      <w:r>
        <w:rPr>
          <w:noProof/>
        </w:rPr>
        <w:t>16</w:t>
      </w:r>
      <w:r>
        <w:rPr>
          <w:noProof/>
        </w:rPr>
        <w:fldChar w:fldCharType="end"/>
      </w:r>
    </w:p>
    <w:p w14:paraId="781E735E" w14:textId="77777777" w:rsidR="00920088" w:rsidRDefault="00920088">
      <w:pPr>
        <w:pStyle w:val="TOC2"/>
        <w:tabs>
          <w:tab w:val="left" w:pos="960"/>
          <w:tab w:val="right" w:leader="dot" w:pos="9010"/>
        </w:tabs>
        <w:rPr>
          <w:rFonts w:eastAsiaTheme="minorEastAsia"/>
          <w:smallCaps w:val="0"/>
          <w:noProof/>
          <w:lang w:val="en-NZ" w:eastAsia="en-NZ"/>
        </w:rPr>
      </w:pPr>
      <w:r>
        <w:rPr>
          <w:noProof/>
        </w:rPr>
        <w:t>5.2.</w:t>
      </w:r>
      <w:r>
        <w:rPr>
          <w:rFonts w:eastAsiaTheme="minorEastAsia"/>
          <w:smallCaps w:val="0"/>
          <w:noProof/>
          <w:lang w:val="en-NZ" w:eastAsia="en-NZ"/>
        </w:rPr>
        <w:tab/>
      </w:r>
      <w:r>
        <w:rPr>
          <w:noProof/>
        </w:rPr>
        <w:t>Serious and sentinel events</w:t>
      </w:r>
      <w:r>
        <w:rPr>
          <w:noProof/>
        </w:rPr>
        <w:tab/>
      </w:r>
      <w:r>
        <w:rPr>
          <w:noProof/>
        </w:rPr>
        <w:fldChar w:fldCharType="begin"/>
      </w:r>
      <w:r>
        <w:rPr>
          <w:noProof/>
        </w:rPr>
        <w:instrText xml:space="preserve"> PAGEREF _Toc448394348 \h </w:instrText>
      </w:r>
      <w:r>
        <w:rPr>
          <w:noProof/>
        </w:rPr>
      </w:r>
      <w:r>
        <w:rPr>
          <w:noProof/>
        </w:rPr>
        <w:fldChar w:fldCharType="separate"/>
      </w:r>
      <w:r>
        <w:rPr>
          <w:noProof/>
        </w:rPr>
        <w:t>16</w:t>
      </w:r>
      <w:r>
        <w:rPr>
          <w:noProof/>
        </w:rPr>
        <w:fldChar w:fldCharType="end"/>
      </w:r>
    </w:p>
    <w:p w14:paraId="433CDF4D" w14:textId="77777777" w:rsidR="00920088" w:rsidRDefault="00920088">
      <w:pPr>
        <w:pStyle w:val="TOC2"/>
        <w:tabs>
          <w:tab w:val="left" w:pos="960"/>
          <w:tab w:val="right" w:leader="dot" w:pos="9010"/>
        </w:tabs>
        <w:rPr>
          <w:rFonts w:eastAsiaTheme="minorEastAsia"/>
          <w:smallCaps w:val="0"/>
          <w:noProof/>
          <w:lang w:val="en-NZ" w:eastAsia="en-NZ"/>
        </w:rPr>
      </w:pPr>
      <w:r>
        <w:rPr>
          <w:noProof/>
        </w:rPr>
        <w:t>5.3.</w:t>
      </w:r>
      <w:r>
        <w:rPr>
          <w:rFonts w:eastAsiaTheme="minorEastAsia"/>
          <w:smallCaps w:val="0"/>
          <w:noProof/>
          <w:lang w:val="en-NZ" w:eastAsia="en-NZ"/>
        </w:rPr>
        <w:tab/>
      </w:r>
      <w:r>
        <w:rPr>
          <w:noProof/>
        </w:rPr>
        <w:t>Quality and risk – wider DHB engagement</w:t>
      </w:r>
      <w:r>
        <w:rPr>
          <w:noProof/>
        </w:rPr>
        <w:tab/>
      </w:r>
      <w:r>
        <w:rPr>
          <w:noProof/>
        </w:rPr>
        <w:fldChar w:fldCharType="begin"/>
      </w:r>
      <w:r>
        <w:rPr>
          <w:noProof/>
        </w:rPr>
        <w:instrText xml:space="preserve"> PAGEREF _Toc448394349 \h </w:instrText>
      </w:r>
      <w:r>
        <w:rPr>
          <w:noProof/>
        </w:rPr>
      </w:r>
      <w:r>
        <w:rPr>
          <w:noProof/>
        </w:rPr>
        <w:fldChar w:fldCharType="separate"/>
      </w:r>
      <w:r>
        <w:rPr>
          <w:noProof/>
        </w:rPr>
        <w:t>17</w:t>
      </w:r>
      <w:r>
        <w:rPr>
          <w:noProof/>
        </w:rPr>
        <w:fldChar w:fldCharType="end"/>
      </w:r>
    </w:p>
    <w:p w14:paraId="114F5415" w14:textId="77777777" w:rsidR="00920088" w:rsidRDefault="00920088">
      <w:pPr>
        <w:pStyle w:val="TOC2"/>
        <w:tabs>
          <w:tab w:val="left" w:pos="960"/>
          <w:tab w:val="right" w:leader="dot" w:pos="9010"/>
        </w:tabs>
        <w:rPr>
          <w:rFonts w:eastAsiaTheme="minorEastAsia"/>
          <w:smallCaps w:val="0"/>
          <w:noProof/>
          <w:lang w:val="en-NZ" w:eastAsia="en-NZ"/>
        </w:rPr>
      </w:pPr>
      <w:r>
        <w:rPr>
          <w:noProof/>
        </w:rPr>
        <w:t>5.4.</w:t>
      </w:r>
      <w:r>
        <w:rPr>
          <w:rFonts w:eastAsiaTheme="minorEastAsia"/>
          <w:smallCaps w:val="0"/>
          <w:noProof/>
          <w:lang w:val="en-NZ" w:eastAsia="en-NZ"/>
        </w:rPr>
        <w:tab/>
      </w:r>
      <w:r>
        <w:rPr>
          <w:noProof/>
        </w:rPr>
        <w:t>Compulsory care, seclusion and restrictive care</w:t>
      </w:r>
      <w:r>
        <w:rPr>
          <w:noProof/>
        </w:rPr>
        <w:tab/>
      </w:r>
      <w:r>
        <w:rPr>
          <w:noProof/>
        </w:rPr>
        <w:fldChar w:fldCharType="begin"/>
      </w:r>
      <w:r>
        <w:rPr>
          <w:noProof/>
        </w:rPr>
        <w:instrText xml:space="preserve"> PAGEREF _Toc448394350 \h </w:instrText>
      </w:r>
      <w:r>
        <w:rPr>
          <w:noProof/>
        </w:rPr>
      </w:r>
      <w:r>
        <w:rPr>
          <w:noProof/>
        </w:rPr>
        <w:fldChar w:fldCharType="separate"/>
      </w:r>
      <w:r>
        <w:rPr>
          <w:noProof/>
        </w:rPr>
        <w:t>17</w:t>
      </w:r>
      <w:r>
        <w:rPr>
          <w:noProof/>
        </w:rPr>
        <w:fldChar w:fldCharType="end"/>
      </w:r>
    </w:p>
    <w:p w14:paraId="2B596B91" w14:textId="77777777" w:rsidR="00920088" w:rsidRDefault="00920088">
      <w:pPr>
        <w:pStyle w:val="TOC2"/>
        <w:tabs>
          <w:tab w:val="left" w:pos="960"/>
          <w:tab w:val="right" w:leader="dot" w:pos="9010"/>
        </w:tabs>
        <w:rPr>
          <w:rFonts w:eastAsiaTheme="minorEastAsia"/>
          <w:smallCaps w:val="0"/>
          <w:noProof/>
          <w:lang w:val="en-NZ" w:eastAsia="en-NZ"/>
        </w:rPr>
      </w:pPr>
      <w:r>
        <w:rPr>
          <w:noProof/>
        </w:rPr>
        <w:t>5.5.</w:t>
      </w:r>
      <w:r>
        <w:rPr>
          <w:rFonts w:eastAsiaTheme="minorEastAsia"/>
          <w:smallCaps w:val="0"/>
          <w:noProof/>
          <w:lang w:val="en-NZ" w:eastAsia="en-NZ"/>
        </w:rPr>
        <w:tab/>
      </w:r>
      <w:r>
        <w:rPr>
          <w:noProof/>
        </w:rPr>
        <w:t>Defensive practice and restrictive care</w:t>
      </w:r>
      <w:r>
        <w:rPr>
          <w:noProof/>
        </w:rPr>
        <w:tab/>
      </w:r>
      <w:r>
        <w:rPr>
          <w:noProof/>
        </w:rPr>
        <w:fldChar w:fldCharType="begin"/>
      </w:r>
      <w:r>
        <w:rPr>
          <w:noProof/>
        </w:rPr>
        <w:instrText xml:space="preserve"> PAGEREF _Toc448394351 \h </w:instrText>
      </w:r>
      <w:r>
        <w:rPr>
          <w:noProof/>
        </w:rPr>
      </w:r>
      <w:r>
        <w:rPr>
          <w:noProof/>
        </w:rPr>
        <w:fldChar w:fldCharType="separate"/>
      </w:r>
      <w:r>
        <w:rPr>
          <w:noProof/>
        </w:rPr>
        <w:t>18</w:t>
      </w:r>
      <w:r>
        <w:rPr>
          <w:noProof/>
        </w:rPr>
        <w:fldChar w:fldCharType="end"/>
      </w:r>
    </w:p>
    <w:p w14:paraId="20806D86" w14:textId="77777777" w:rsidR="00920088" w:rsidRDefault="00920088">
      <w:pPr>
        <w:pStyle w:val="TOC2"/>
        <w:tabs>
          <w:tab w:val="left" w:pos="960"/>
          <w:tab w:val="right" w:leader="dot" w:pos="9010"/>
        </w:tabs>
        <w:rPr>
          <w:rFonts w:eastAsiaTheme="minorEastAsia"/>
          <w:smallCaps w:val="0"/>
          <w:noProof/>
          <w:lang w:val="en-NZ" w:eastAsia="en-NZ"/>
        </w:rPr>
      </w:pPr>
      <w:r>
        <w:rPr>
          <w:noProof/>
        </w:rPr>
        <w:t>5.6.</w:t>
      </w:r>
      <w:r>
        <w:rPr>
          <w:rFonts w:eastAsiaTheme="minorEastAsia"/>
          <w:smallCaps w:val="0"/>
          <w:noProof/>
          <w:lang w:val="en-NZ" w:eastAsia="en-NZ"/>
        </w:rPr>
        <w:tab/>
      </w:r>
      <w:r>
        <w:rPr>
          <w:noProof/>
        </w:rPr>
        <w:t>Wider DHB engagement</w:t>
      </w:r>
      <w:r>
        <w:rPr>
          <w:noProof/>
        </w:rPr>
        <w:tab/>
      </w:r>
      <w:r>
        <w:rPr>
          <w:noProof/>
        </w:rPr>
        <w:fldChar w:fldCharType="begin"/>
      </w:r>
      <w:r>
        <w:rPr>
          <w:noProof/>
        </w:rPr>
        <w:instrText xml:space="preserve"> PAGEREF _Toc448394352 \h </w:instrText>
      </w:r>
      <w:r>
        <w:rPr>
          <w:noProof/>
        </w:rPr>
      </w:r>
      <w:r>
        <w:rPr>
          <w:noProof/>
        </w:rPr>
        <w:fldChar w:fldCharType="separate"/>
      </w:r>
      <w:r>
        <w:rPr>
          <w:noProof/>
        </w:rPr>
        <w:t>19</w:t>
      </w:r>
      <w:r>
        <w:rPr>
          <w:noProof/>
        </w:rPr>
        <w:fldChar w:fldCharType="end"/>
      </w:r>
    </w:p>
    <w:p w14:paraId="79F66AF8" w14:textId="77777777" w:rsidR="00920088" w:rsidRDefault="00920088">
      <w:pPr>
        <w:pStyle w:val="TOC1"/>
        <w:tabs>
          <w:tab w:val="left" w:pos="720"/>
          <w:tab w:val="right" w:leader="dot" w:pos="9010"/>
        </w:tabs>
        <w:rPr>
          <w:rFonts w:eastAsiaTheme="minorEastAsia"/>
          <w:b w:val="0"/>
          <w:caps w:val="0"/>
          <w:noProof/>
          <w:lang w:val="en-NZ" w:eastAsia="en-NZ"/>
        </w:rPr>
      </w:pPr>
      <w:r>
        <w:rPr>
          <w:noProof/>
        </w:rPr>
        <w:t>6.</w:t>
      </w:r>
      <w:r>
        <w:rPr>
          <w:rFonts w:eastAsiaTheme="minorEastAsia"/>
          <w:b w:val="0"/>
          <w:caps w:val="0"/>
          <w:noProof/>
          <w:lang w:val="en-NZ" w:eastAsia="en-NZ"/>
        </w:rPr>
        <w:tab/>
      </w:r>
      <w:r>
        <w:rPr>
          <w:noProof/>
        </w:rPr>
        <w:t>Service planning, care planning and pathways</w:t>
      </w:r>
      <w:r>
        <w:rPr>
          <w:noProof/>
        </w:rPr>
        <w:tab/>
      </w:r>
      <w:r>
        <w:rPr>
          <w:noProof/>
        </w:rPr>
        <w:fldChar w:fldCharType="begin"/>
      </w:r>
      <w:r>
        <w:rPr>
          <w:noProof/>
        </w:rPr>
        <w:instrText xml:space="preserve"> PAGEREF _Toc448394353 \h </w:instrText>
      </w:r>
      <w:r>
        <w:rPr>
          <w:noProof/>
        </w:rPr>
      </w:r>
      <w:r>
        <w:rPr>
          <w:noProof/>
        </w:rPr>
        <w:fldChar w:fldCharType="separate"/>
      </w:r>
      <w:r>
        <w:rPr>
          <w:noProof/>
        </w:rPr>
        <w:t>19</w:t>
      </w:r>
      <w:r>
        <w:rPr>
          <w:noProof/>
        </w:rPr>
        <w:fldChar w:fldCharType="end"/>
      </w:r>
    </w:p>
    <w:p w14:paraId="7D729C42" w14:textId="77777777" w:rsidR="00920088" w:rsidRDefault="00920088">
      <w:pPr>
        <w:pStyle w:val="TOC2"/>
        <w:tabs>
          <w:tab w:val="left" w:pos="960"/>
          <w:tab w:val="right" w:leader="dot" w:pos="9010"/>
        </w:tabs>
        <w:rPr>
          <w:rFonts w:eastAsiaTheme="minorEastAsia"/>
          <w:smallCaps w:val="0"/>
          <w:noProof/>
          <w:lang w:val="en-NZ" w:eastAsia="en-NZ"/>
        </w:rPr>
      </w:pPr>
      <w:r>
        <w:rPr>
          <w:noProof/>
        </w:rPr>
        <w:t>6.1.</w:t>
      </w:r>
      <w:r>
        <w:rPr>
          <w:rFonts w:eastAsiaTheme="minorEastAsia"/>
          <w:smallCaps w:val="0"/>
          <w:noProof/>
          <w:lang w:val="en-NZ" w:eastAsia="en-NZ"/>
        </w:rPr>
        <w:tab/>
      </w:r>
      <w:r>
        <w:rPr>
          <w:noProof/>
        </w:rPr>
        <w:t>Integrated care pathway</w:t>
      </w:r>
      <w:r>
        <w:rPr>
          <w:noProof/>
        </w:rPr>
        <w:tab/>
      </w:r>
      <w:r>
        <w:rPr>
          <w:noProof/>
        </w:rPr>
        <w:fldChar w:fldCharType="begin"/>
      </w:r>
      <w:r>
        <w:rPr>
          <w:noProof/>
        </w:rPr>
        <w:instrText xml:space="preserve"> PAGEREF _Toc448394354 \h </w:instrText>
      </w:r>
      <w:r>
        <w:rPr>
          <w:noProof/>
        </w:rPr>
      </w:r>
      <w:r>
        <w:rPr>
          <w:noProof/>
        </w:rPr>
        <w:fldChar w:fldCharType="separate"/>
      </w:r>
      <w:r>
        <w:rPr>
          <w:noProof/>
        </w:rPr>
        <w:t>19</w:t>
      </w:r>
      <w:r>
        <w:rPr>
          <w:noProof/>
        </w:rPr>
        <w:fldChar w:fldCharType="end"/>
      </w:r>
    </w:p>
    <w:p w14:paraId="30E18D08" w14:textId="77777777" w:rsidR="00920088" w:rsidRDefault="00920088">
      <w:pPr>
        <w:pStyle w:val="TOC2"/>
        <w:tabs>
          <w:tab w:val="left" w:pos="960"/>
          <w:tab w:val="right" w:leader="dot" w:pos="9010"/>
        </w:tabs>
        <w:rPr>
          <w:rFonts w:eastAsiaTheme="minorEastAsia"/>
          <w:smallCaps w:val="0"/>
          <w:noProof/>
          <w:lang w:val="en-NZ" w:eastAsia="en-NZ"/>
        </w:rPr>
      </w:pPr>
      <w:r>
        <w:rPr>
          <w:noProof/>
        </w:rPr>
        <w:t>6.2.</w:t>
      </w:r>
      <w:r>
        <w:rPr>
          <w:rFonts w:eastAsiaTheme="minorEastAsia"/>
          <w:smallCaps w:val="0"/>
          <w:noProof/>
          <w:lang w:val="en-NZ" w:eastAsia="en-NZ"/>
        </w:rPr>
        <w:tab/>
      </w:r>
      <w:r>
        <w:rPr>
          <w:noProof/>
        </w:rPr>
        <w:t>Circle of care</w:t>
      </w:r>
      <w:r>
        <w:rPr>
          <w:noProof/>
        </w:rPr>
        <w:tab/>
      </w:r>
      <w:r>
        <w:rPr>
          <w:noProof/>
        </w:rPr>
        <w:fldChar w:fldCharType="begin"/>
      </w:r>
      <w:r>
        <w:rPr>
          <w:noProof/>
        </w:rPr>
        <w:instrText xml:space="preserve"> PAGEREF _Toc448394355 \h </w:instrText>
      </w:r>
      <w:r>
        <w:rPr>
          <w:noProof/>
        </w:rPr>
      </w:r>
      <w:r>
        <w:rPr>
          <w:noProof/>
        </w:rPr>
        <w:fldChar w:fldCharType="separate"/>
      </w:r>
      <w:r>
        <w:rPr>
          <w:noProof/>
        </w:rPr>
        <w:t>19</w:t>
      </w:r>
      <w:r>
        <w:rPr>
          <w:noProof/>
        </w:rPr>
        <w:fldChar w:fldCharType="end"/>
      </w:r>
    </w:p>
    <w:p w14:paraId="57EC4BE3" w14:textId="77777777" w:rsidR="00920088" w:rsidRDefault="00920088">
      <w:pPr>
        <w:pStyle w:val="TOC2"/>
        <w:tabs>
          <w:tab w:val="left" w:pos="960"/>
          <w:tab w:val="right" w:leader="dot" w:pos="9010"/>
        </w:tabs>
        <w:rPr>
          <w:rFonts w:eastAsiaTheme="minorEastAsia"/>
          <w:smallCaps w:val="0"/>
          <w:noProof/>
          <w:lang w:val="en-NZ" w:eastAsia="en-NZ"/>
        </w:rPr>
      </w:pPr>
      <w:r w:rsidRPr="00525BAD">
        <w:rPr>
          <w:noProof/>
          <w:lang w:val="en-NZ"/>
        </w:rPr>
        <w:t>6.3.</w:t>
      </w:r>
      <w:r>
        <w:rPr>
          <w:rFonts w:eastAsiaTheme="minorEastAsia"/>
          <w:smallCaps w:val="0"/>
          <w:noProof/>
          <w:lang w:val="en-NZ" w:eastAsia="en-NZ"/>
        </w:rPr>
        <w:tab/>
      </w:r>
      <w:r w:rsidRPr="00525BAD">
        <w:rPr>
          <w:noProof/>
          <w:lang w:val="en-NZ"/>
        </w:rPr>
        <w:t>Change programme and process</w:t>
      </w:r>
      <w:r>
        <w:rPr>
          <w:noProof/>
        </w:rPr>
        <w:tab/>
      </w:r>
      <w:r>
        <w:rPr>
          <w:noProof/>
        </w:rPr>
        <w:fldChar w:fldCharType="begin"/>
      </w:r>
      <w:r>
        <w:rPr>
          <w:noProof/>
        </w:rPr>
        <w:instrText xml:space="preserve"> PAGEREF _Toc448394356 \h </w:instrText>
      </w:r>
      <w:r>
        <w:rPr>
          <w:noProof/>
        </w:rPr>
      </w:r>
      <w:r>
        <w:rPr>
          <w:noProof/>
        </w:rPr>
        <w:fldChar w:fldCharType="separate"/>
      </w:r>
      <w:r>
        <w:rPr>
          <w:noProof/>
        </w:rPr>
        <w:t>20</w:t>
      </w:r>
      <w:r>
        <w:rPr>
          <w:noProof/>
        </w:rPr>
        <w:fldChar w:fldCharType="end"/>
      </w:r>
    </w:p>
    <w:p w14:paraId="1F283775" w14:textId="77777777" w:rsidR="00920088" w:rsidRDefault="00920088">
      <w:pPr>
        <w:pStyle w:val="TOC2"/>
        <w:tabs>
          <w:tab w:val="left" w:pos="960"/>
          <w:tab w:val="right" w:leader="dot" w:pos="9010"/>
        </w:tabs>
        <w:rPr>
          <w:rFonts w:eastAsiaTheme="minorEastAsia"/>
          <w:smallCaps w:val="0"/>
          <w:noProof/>
          <w:lang w:val="en-NZ" w:eastAsia="en-NZ"/>
        </w:rPr>
      </w:pPr>
      <w:r>
        <w:rPr>
          <w:noProof/>
        </w:rPr>
        <w:t>6.4.</w:t>
      </w:r>
      <w:r>
        <w:rPr>
          <w:rFonts w:eastAsiaTheme="minorEastAsia"/>
          <w:smallCaps w:val="0"/>
          <w:noProof/>
          <w:lang w:val="en-NZ" w:eastAsia="en-NZ"/>
        </w:rPr>
        <w:tab/>
      </w:r>
      <w:r>
        <w:rPr>
          <w:noProof/>
        </w:rPr>
        <w:t>Relationship with primary care</w:t>
      </w:r>
      <w:r>
        <w:rPr>
          <w:noProof/>
        </w:rPr>
        <w:tab/>
      </w:r>
      <w:r>
        <w:rPr>
          <w:noProof/>
        </w:rPr>
        <w:fldChar w:fldCharType="begin"/>
      </w:r>
      <w:r>
        <w:rPr>
          <w:noProof/>
        </w:rPr>
        <w:instrText xml:space="preserve"> PAGEREF _Toc448394357 \h </w:instrText>
      </w:r>
      <w:r>
        <w:rPr>
          <w:noProof/>
        </w:rPr>
      </w:r>
      <w:r>
        <w:rPr>
          <w:noProof/>
        </w:rPr>
        <w:fldChar w:fldCharType="separate"/>
      </w:r>
      <w:r>
        <w:rPr>
          <w:noProof/>
        </w:rPr>
        <w:t>21</w:t>
      </w:r>
      <w:r>
        <w:rPr>
          <w:noProof/>
        </w:rPr>
        <w:fldChar w:fldCharType="end"/>
      </w:r>
    </w:p>
    <w:p w14:paraId="64E43DDF" w14:textId="77777777" w:rsidR="00920088" w:rsidRDefault="00920088">
      <w:pPr>
        <w:pStyle w:val="TOC2"/>
        <w:tabs>
          <w:tab w:val="left" w:pos="960"/>
          <w:tab w:val="right" w:leader="dot" w:pos="9010"/>
        </w:tabs>
        <w:rPr>
          <w:rFonts w:eastAsiaTheme="minorEastAsia"/>
          <w:smallCaps w:val="0"/>
          <w:noProof/>
          <w:lang w:val="en-NZ" w:eastAsia="en-NZ"/>
        </w:rPr>
      </w:pPr>
      <w:r>
        <w:rPr>
          <w:noProof/>
        </w:rPr>
        <w:t>6.5.</w:t>
      </w:r>
      <w:r>
        <w:rPr>
          <w:rFonts w:eastAsiaTheme="minorEastAsia"/>
          <w:smallCaps w:val="0"/>
          <w:noProof/>
          <w:lang w:val="en-NZ" w:eastAsia="en-NZ"/>
        </w:rPr>
        <w:tab/>
      </w:r>
      <w:r>
        <w:rPr>
          <w:noProof/>
        </w:rPr>
        <w:t>Relationship with major non-governmental organisation partners</w:t>
      </w:r>
      <w:r>
        <w:rPr>
          <w:noProof/>
        </w:rPr>
        <w:tab/>
      </w:r>
      <w:r>
        <w:rPr>
          <w:noProof/>
        </w:rPr>
        <w:fldChar w:fldCharType="begin"/>
      </w:r>
      <w:r>
        <w:rPr>
          <w:noProof/>
        </w:rPr>
        <w:instrText xml:space="preserve"> PAGEREF _Toc448394358 \h </w:instrText>
      </w:r>
      <w:r>
        <w:rPr>
          <w:noProof/>
        </w:rPr>
      </w:r>
      <w:r>
        <w:rPr>
          <w:noProof/>
        </w:rPr>
        <w:fldChar w:fldCharType="separate"/>
      </w:r>
      <w:r>
        <w:rPr>
          <w:noProof/>
        </w:rPr>
        <w:t>22</w:t>
      </w:r>
      <w:r>
        <w:rPr>
          <w:noProof/>
        </w:rPr>
        <w:fldChar w:fldCharType="end"/>
      </w:r>
    </w:p>
    <w:p w14:paraId="232680F6" w14:textId="77777777" w:rsidR="00920088" w:rsidRDefault="00920088">
      <w:pPr>
        <w:pStyle w:val="TOC2"/>
        <w:tabs>
          <w:tab w:val="left" w:pos="960"/>
          <w:tab w:val="right" w:leader="dot" w:pos="9010"/>
        </w:tabs>
        <w:rPr>
          <w:rFonts w:eastAsiaTheme="minorEastAsia"/>
          <w:smallCaps w:val="0"/>
          <w:noProof/>
          <w:lang w:val="en-NZ" w:eastAsia="en-NZ"/>
        </w:rPr>
      </w:pPr>
      <w:r>
        <w:rPr>
          <w:noProof/>
        </w:rPr>
        <w:t>6.6.</w:t>
      </w:r>
      <w:r>
        <w:rPr>
          <w:rFonts w:eastAsiaTheme="minorEastAsia"/>
          <w:smallCaps w:val="0"/>
          <w:noProof/>
          <w:lang w:val="en-NZ" w:eastAsia="en-NZ"/>
        </w:rPr>
        <w:tab/>
      </w:r>
      <w:r>
        <w:rPr>
          <w:noProof/>
        </w:rPr>
        <w:t>Infant Child and Adolescent Mental Health Service</w:t>
      </w:r>
      <w:r>
        <w:rPr>
          <w:noProof/>
        </w:rPr>
        <w:tab/>
      </w:r>
      <w:r>
        <w:rPr>
          <w:noProof/>
        </w:rPr>
        <w:fldChar w:fldCharType="begin"/>
      </w:r>
      <w:r>
        <w:rPr>
          <w:noProof/>
        </w:rPr>
        <w:instrText xml:space="preserve"> PAGEREF _Toc448394359 \h </w:instrText>
      </w:r>
      <w:r>
        <w:rPr>
          <w:noProof/>
        </w:rPr>
      </w:r>
      <w:r>
        <w:rPr>
          <w:noProof/>
        </w:rPr>
        <w:fldChar w:fldCharType="separate"/>
      </w:r>
      <w:r>
        <w:rPr>
          <w:noProof/>
        </w:rPr>
        <w:t>22</w:t>
      </w:r>
      <w:r>
        <w:rPr>
          <w:noProof/>
        </w:rPr>
        <w:fldChar w:fldCharType="end"/>
      </w:r>
    </w:p>
    <w:p w14:paraId="172E14E4" w14:textId="77777777" w:rsidR="00920088" w:rsidRDefault="00920088">
      <w:pPr>
        <w:pStyle w:val="TOC2"/>
        <w:tabs>
          <w:tab w:val="left" w:pos="960"/>
          <w:tab w:val="right" w:leader="dot" w:pos="9010"/>
        </w:tabs>
        <w:rPr>
          <w:rFonts w:eastAsiaTheme="minorEastAsia"/>
          <w:smallCaps w:val="0"/>
          <w:noProof/>
          <w:lang w:val="en-NZ" w:eastAsia="en-NZ"/>
        </w:rPr>
      </w:pPr>
      <w:r>
        <w:rPr>
          <w:noProof/>
        </w:rPr>
        <w:t>6.7.</w:t>
      </w:r>
      <w:r>
        <w:rPr>
          <w:rFonts w:eastAsiaTheme="minorEastAsia"/>
          <w:smallCaps w:val="0"/>
          <w:noProof/>
          <w:lang w:val="en-NZ" w:eastAsia="en-NZ"/>
        </w:rPr>
        <w:tab/>
      </w:r>
      <w:r>
        <w:rPr>
          <w:noProof/>
        </w:rPr>
        <w:t>Older Person Mental Health Service</w:t>
      </w:r>
      <w:r>
        <w:rPr>
          <w:noProof/>
        </w:rPr>
        <w:tab/>
      </w:r>
      <w:r>
        <w:rPr>
          <w:noProof/>
        </w:rPr>
        <w:fldChar w:fldCharType="begin"/>
      </w:r>
      <w:r>
        <w:rPr>
          <w:noProof/>
        </w:rPr>
        <w:instrText xml:space="preserve"> PAGEREF _Toc448394360 \h </w:instrText>
      </w:r>
      <w:r>
        <w:rPr>
          <w:noProof/>
        </w:rPr>
      </w:r>
      <w:r>
        <w:rPr>
          <w:noProof/>
        </w:rPr>
        <w:fldChar w:fldCharType="separate"/>
      </w:r>
      <w:r>
        <w:rPr>
          <w:noProof/>
        </w:rPr>
        <w:t>23</w:t>
      </w:r>
      <w:r>
        <w:rPr>
          <w:noProof/>
        </w:rPr>
        <w:fldChar w:fldCharType="end"/>
      </w:r>
    </w:p>
    <w:p w14:paraId="5DE43928" w14:textId="77777777" w:rsidR="00920088" w:rsidRDefault="00920088">
      <w:pPr>
        <w:pStyle w:val="TOC2"/>
        <w:tabs>
          <w:tab w:val="left" w:pos="960"/>
          <w:tab w:val="right" w:leader="dot" w:pos="9010"/>
        </w:tabs>
        <w:rPr>
          <w:rFonts w:eastAsiaTheme="minorEastAsia"/>
          <w:smallCaps w:val="0"/>
          <w:noProof/>
          <w:lang w:val="en-NZ" w:eastAsia="en-NZ"/>
        </w:rPr>
      </w:pPr>
      <w:r>
        <w:rPr>
          <w:noProof/>
        </w:rPr>
        <w:t>6.8.</w:t>
      </w:r>
      <w:r>
        <w:rPr>
          <w:rFonts w:eastAsiaTheme="minorEastAsia"/>
          <w:smallCaps w:val="0"/>
          <w:noProof/>
          <w:lang w:val="en-NZ" w:eastAsia="en-NZ"/>
        </w:rPr>
        <w:tab/>
      </w:r>
      <w:r>
        <w:rPr>
          <w:noProof/>
        </w:rPr>
        <w:t>Acute Care Coordination and Integration Service and Crisis and Home Treatment services</w:t>
      </w:r>
      <w:r>
        <w:rPr>
          <w:noProof/>
        </w:rPr>
        <w:tab/>
      </w:r>
      <w:r>
        <w:rPr>
          <w:noProof/>
        </w:rPr>
        <w:fldChar w:fldCharType="begin"/>
      </w:r>
      <w:r>
        <w:rPr>
          <w:noProof/>
        </w:rPr>
        <w:instrText xml:space="preserve"> PAGEREF _Toc448394361 \h </w:instrText>
      </w:r>
      <w:r>
        <w:rPr>
          <w:noProof/>
        </w:rPr>
      </w:r>
      <w:r>
        <w:rPr>
          <w:noProof/>
        </w:rPr>
        <w:fldChar w:fldCharType="separate"/>
      </w:r>
      <w:r>
        <w:rPr>
          <w:noProof/>
        </w:rPr>
        <w:t>23</w:t>
      </w:r>
      <w:r>
        <w:rPr>
          <w:noProof/>
        </w:rPr>
        <w:fldChar w:fldCharType="end"/>
      </w:r>
    </w:p>
    <w:p w14:paraId="17719491" w14:textId="77777777" w:rsidR="00920088" w:rsidRDefault="00920088">
      <w:pPr>
        <w:pStyle w:val="TOC2"/>
        <w:tabs>
          <w:tab w:val="left" w:pos="960"/>
          <w:tab w:val="right" w:leader="dot" w:pos="9010"/>
        </w:tabs>
        <w:rPr>
          <w:rFonts w:eastAsiaTheme="minorEastAsia"/>
          <w:smallCaps w:val="0"/>
          <w:noProof/>
          <w:lang w:val="en-NZ" w:eastAsia="en-NZ"/>
        </w:rPr>
      </w:pPr>
      <w:r>
        <w:rPr>
          <w:noProof/>
        </w:rPr>
        <w:t>6.9.</w:t>
      </w:r>
      <w:r>
        <w:rPr>
          <w:rFonts w:eastAsiaTheme="minorEastAsia"/>
          <w:smallCaps w:val="0"/>
          <w:noProof/>
          <w:lang w:val="en-NZ" w:eastAsia="en-NZ"/>
        </w:rPr>
        <w:tab/>
      </w:r>
      <w:r>
        <w:rPr>
          <w:noProof/>
        </w:rPr>
        <w:t>Other subspecialty teams</w:t>
      </w:r>
      <w:r>
        <w:rPr>
          <w:noProof/>
        </w:rPr>
        <w:tab/>
      </w:r>
      <w:r>
        <w:rPr>
          <w:noProof/>
        </w:rPr>
        <w:fldChar w:fldCharType="begin"/>
      </w:r>
      <w:r>
        <w:rPr>
          <w:noProof/>
        </w:rPr>
        <w:instrText xml:space="preserve"> PAGEREF _Toc448394362 \h </w:instrText>
      </w:r>
      <w:r>
        <w:rPr>
          <w:noProof/>
        </w:rPr>
      </w:r>
      <w:r>
        <w:rPr>
          <w:noProof/>
        </w:rPr>
        <w:fldChar w:fldCharType="separate"/>
      </w:r>
      <w:r>
        <w:rPr>
          <w:noProof/>
        </w:rPr>
        <w:t>24</w:t>
      </w:r>
      <w:r>
        <w:rPr>
          <w:noProof/>
        </w:rPr>
        <w:fldChar w:fldCharType="end"/>
      </w:r>
    </w:p>
    <w:p w14:paraId="7B5D3AC4" w14:textId="77777777" w:rsidR="00920088" w:rsidRDefault="00920088">
      <w:pPr>
        <w:pStyle w:val="TOC1"/>
        <w:tabs>
          <w:tab w:val="left" w:pos="720"/>
          <w:tab w:val="right" w:leader="dot" w:pos="9010"/>
        </w:tabs>
        <w:rPr>
          <w:rFonts w:eastAsiaTheme="minorEastAsia"/>
          <w:b w:val="0"/>
          <w:caps w:val="0"/>
          <w:noProof/>
          <w:lang w:val="en-NZ" w:eastAsia="en-NZ"/>
        </w:rPr>
      </w:pPr>
      <w:r>
        <w:rPr>
          <w:noProof/>
        </w:rPr>
        <w:t>7.</w:t>
      </w:r>
      <w:r>
        <w:rPr>
          <w:rFonts w:eastAsiaTheme="minorEastAsia"/>
          <w:b w:val="0"/>
          <w:caps w:val="0"/>
          <w:noProof/>
          <w:lang w:val="en-NZ" w:eastAsia="en-NZ"/>
        </w:rPr>
        <w:tab/>
      </w:r>
      <w:r>
        <w:rPr>
          <w:noProof/>
        </w:rPr>
        <w:t>People using the services and their whānau</w:t>
      </w:r>
      <w:r>
        <w:rPr>
          <w:noProof/>
        </w:rPr>
        <w:tab/>
      </w:r>
      <w:r>
        <w:rPr>
          <w:noProof/>
        </w:rPr>
        <w:fldChar w:fldCharType="begin"/>
      </w:r>
      <w:r>
        <w:rPr>
          <w:noProof/>
        </w:rPr>
        <w:instrText xml:space="preserve"> PAGEREF _Toc448394363 \h </w:instrText>
      </w:r>
      <w:r>
        <w:rPr>
          <w:noProof/>
        </w:rPr>
      </w:r>
      <w:r>
        <w:rPr>
          <w:noProof/>
        </w:rPr>
        <w:fldChar w:fldCharType="separate"/>
      </w:r>
      <w:r>
        <w:rPr>
          <w:noProof/>
        </w:rPr>
        <w:t>24</w:t>
      </w:r>
      <w:r>
        <w:rPr>
          <w:noProof/>
        </w:rPr>
        <w:fldChar w:fldCharType="end"/>
      </w:r>
    </w:p>
    <w:p w14:paraId="42A464F8" w14:textId="77777777" w:rsidR="00920088" w:rsidRDefault="00920088">
      <w:pPr>
        <w:pStyle w:val="TOC1"/>
        <w:tabs>
          <w:tab w:val="left" w:pos="720"/>
          <w:tab w:val="right" w:leader="dot" w:pos="9010"/>
        </w:tabs>
        <w:rPr>
          <w:rFonts w:eastAsiaTheme="minorEastAsia"/>
          <w:b w:val="0"/>
          <w:caps w:val="0"/>
          <w:noProof/>
          <w:lang w:val="en-NZ" w:eastAsia="en-NZ"/>
        </w:rPr>
      </w:pPr>
      <w:r>
        <w:rPr>
          <w:noProof/>
        </w:rPr>
        <w:t>8.</w:t>
      </w:r>
      <w:r>
        <w:rPr>
          <w:rFonts w:eastAsiaTheme="minorEastAsia"/>
          <w:b w:val="0"/>
          <w:caps w:val="0"/>
          <w:noProof/>
          <w:lang w:val="en-NZ" w:eastAsia="en-NZ"/>
        </w:rPr>
        <w:tab/>
      </w:r>
      <w:r>
        <w:rPr>
          <w:noProof/>
        </w:rPr>
        <w:t>Cultural responsiveness</w:t>
      </w:r>
      <w:r>
        <w:rPr>
          <w:noProof/>
        </w:rPr>
        <w:tab/>
      </w:r>
      <w:r>
        <w:rPr>
          <w:noProof/>
        </w:rPr>
        <w:fldChar w:fldCharType="begin"/>
      </w:r>
      <w:r>
        <w:rPr>
          <w:noProof/>
        </w:rPr>
        <w:instrText xml:space="preserve"> PAGEREF _Toc448394364 \h </w:instrText>
      </w:r>
      <w:r>
        <w:rPr>
          <w:noProof/>
        </w:rPr>
      </w:r>
      <w:r>
        <w:rPr>
          <w:noProof/>
        </w:rPr>
        <w:fldChar w:fldCharType="separate"/>
      </w:r>
      <w:r>
        <w:rPr>
          <w:noProof/>
        </w:rPr>
        <w:t>26</w:t>
      </w:r>
      <w:r>
        <w:rPr>
          <w:noProof/>
        </w:rPr>
        <w:fldChar w:fldCharType="end"/>
      </w:r>
    </w:p>
    <w:p w14:paraId="37C249FF" w14:textId="77777777" w:rsidR="00920088" w:rsidRDefault="00920088">
      <w:pPr>
        <w:pStyle w:val="TOC1"/>
        <w:tabs>
          <w:tab w:val="left" w:pos="720"/>
          <w:tab w:val="right" w:leader="dot" w:pos="9010"/>
        </w:tabs>
        <w:rPr>
          <w:rFonts w:eastAsiaTheme="minorEastAsia"/>
          <w:b w:val="0"/>
          <w:caps w:val="0"/>
          <w:noProof/>
          <w:lang w:val="en-NZ" w:eastAsia="en-NZ"/>
        </w:rPr>
      </w:pPr>
      <w:r>
        <w:rPr>
          <w:noProof/>
        </w:rPr>
        <w:t>9.</w:t>
      </w:r>
      <w:r>
        <w:rPr>
          <w:rFonts w:eastAsiaTheme="minorEastAsia"/>
          <w:b w:val="0"/>
          <w:caps w:val="0"/>
          <w:noProof/>
          <w:lang w:val="en-NZ" w:eastAsia="en-NZ"/>
        </w:rPr>
        <w:tab/>
      </w:r>
      <w:r>
        <w:rPr>
          <w:noProof/>
        </w:rPr>
        <w:t>Planning, funding, facilities, financials and IT supports</w:t>
      </w:r>
      <w:r>
        <w:rPr>
          <w:noProof/>
        </w:rPr>
        <w:tab/>
      </w:r>
      <w:r>
        <w:rPr>
          <w:noProof/>
        </w:rPr>
        <w:fldChar w:fldCharType="begin"/>
      </w:r>
      <w:r>
        <w:rPr>
          <w:noProof/>
        </w:rPr>
        <w:instrText xml:space="preserve"> PAGEREF _Toc448394365 \h </w:instrText>
      </w:r>
      <w:r>
        <w:rPr>
          <w:noProof/>
        </w:rPr>
      </w:r>
      <w:r>
        <w:rPr>
          <w:noProof/>
        </w:rPr>
        <w:fldChar w:fldCharType="separate"/>
      </w:r>
      <w:r>
        <w:rPr>
          <w:noProof/>
        </w:rPr>
        <w:t>27</w:t>
      </w:r>
      <w:r>
        <w:rPr>
          <w:noProof/>
        </w:rPr>
        <w:fldChar w:fldCharType="end"/>
      </w:r>
    </w:p>
    <w:p w14:paraId="339D958D" w14:textId="77777777" w:rsidR="00920088" w:rsidRDefault="00920088">
      <w:pPr>
        <w:pStyle w:val="TOC2"/>
        <w:tabs>
          <w:tab w:val="left" w:pos="960"/>
          <w:tab w:val="right" w:leader="dot" w:pos="9010"/>
        </w:tabs>
        <w:rPr>
          <w:rFonts w:eastAsiaTheme="minorEastAsia"/>
          <w:smallCaps w:val="0"/>
          <w:noProof/>
          <w:lang w:val="en-NZ" w:eastAsia="en-NZ"/>
        </w:rPr>
      </w:pPr>
      <w:r>
        <w:rPr>
          <w:noProof/>
        </w:rPr>
        <w:t>9.1.</w:t>
      </w:r>
      <w:r>
        <w:rPr>
          <w:rFonts w:eastAsiaTheme="minorEastAsia"/>
          <w:smallCaps w:val="0"/>
          <w:noProof/>
          <w:lang w:val="en-NZ" w:eastAsia="en-NZ"/>
        </w:rPr>
        <w:tab/>
      </w:r>
      <w:r>
        <w:rPr>
          <w:noProof/>
        </w:rPr>
        <w:t>Planning and funding</w:t>
      </w:r>
      <w:r>
        <w:rPr>
          <w:noProof/>
        </w:rPr>
        <w:tab/>
      </w:r>
      <w:r>
        <w:rPr>
          <w:noProof/>
        </w:rPr>
        <w:fldChar w:fldCharType="begin"/>
      </w:r>
      <w:r>
        <w:rPr>
          <w:noProof/>
        </w:rPr>
        <w:instrText xml:space="preserve"> PAGEREF _Toc448394366 \h </w:instrText>
      </w:r>
      <w:r>
        <w:rPr>
          <w:noProof/>
        </w:rPr>
      </w:r>
      <w:r>
        <w:rPr>
          <w:noProof/>
        </w:rPr>
        <w:fldChar w:fldCharType="separate"/>
      </w:r>
      <w:r>
        <w:rPr>
          <w:noProof/>
        </w:rPr>
        <w:t>27</w:t>
      </w:r>
      <w:r>
        <w:rPr>
          <w:noProof/>
        </w:rPr>
        <w:fldChar w:fldCharType="end"/>
      </w:r>
    </w:p>
    <w:p w14:paraId="3F7F1ADD" w14:textId="77777777" w:rsidR="00920088" w:rsidRDefault="00920088">
      <w:pPr>
        <w:pStyle w:val="TOC2"/>
        <w:tabs>
          <w:tab w:val="left" w:pos="960"/>
          <w:tab w:val="right" w:leader="dot" w:pos="9010"/>
        </w:tabs>
        <w:rPr>
          <w:rFonts w:eastAsiaTheme="minorEastAsia"/>
          <w:smallCaps w:val="0"/>
          <w:noProof/>
          <w:lang w:val="en-NZ" w:eastAsia="en-NZ"/>
        </w:rPr>
      </w:pPr>
      <w:r>
        <w:rPr>
          <w:noProof/>
        </w:rPr>
        <w:lastRenderedPageBreak/>
        <w:t>9.2.</w:t>
      </w:r>
      <w:r>
        <w:rPr>
          <w:rFonts w:eastAsiaTheme="minorEastAsia"/>
          <w:smallCaps w:val="0"/>
          <w:noProof/>
          <w:lang w:val="en-NZ" w:eastAsia="en-NZ"/>
        </w:rPr>
        <w:tab/>
      </w:r>
      <w:r>
        <w:rPr>
          <w:noProof/>
        </w:rPr>
        <w:t>Financials</w:t>
      </w:r>
      <w:r>
        <w:rPr>
          <w:noProof/>
        </w:rPr>
        <w:tab/>
      </w:r>
      <w:r>
        <w:rPr>
          <w:noProof/>
        </w:rPr>
        <w:fldChar w:fldCharType="begin"/>
      </w:r>
      <w:r>
        <w:rPr>
          <w:noProof/>
        </w:rPr>
        <w:instrText xml:space="preserve"> PAGEREF _Toc448394367 \h </w:instrText>
      </w:r>
      <w:r>
        <w:rPr>
          <w:noProof/>
        </w:rPr>
      </w:r>
      <w:r>
        <w:rPr>
          <w:noProof/>
        </w:rPr>
        <w:fldChar w:fldCharType="separate"/>
      </w:r>
      <w:r>
        <w:rPr>
          <w:noProof/>
        </w:rPr>
        <w:t>28</w:t>
      </w:r>
      <w:r>
        <w:rPr>
          <w:noProof/>
        </w:rPr>
        <w:fldChar w:fldCharType="end"/>
      </w:r>
    </w:p>
    <w:p w14:paraId="0A36658F" w14:textId="77777777" w:rsidR="00920088" w:rsidRDefault="00920088">
      <w:pPr>
        <w:pStyle w:val="TOC2"/>
        <w:tabs>
          <w:tab w:val="left" w:pos="960"/>
          <w:tab w:val="right" w:leader="dot" w:pos="9010"/>
        </w:tabs>
        <w:rPr>
          <w:rFonts w:eastAsiaTheme="minorEastAsia"/>
          <w:smallCaps w:val="0"/>
          <w:noProof/>
          <w:lang w:val="en-NZ" w:eastAsia="en-NZ"/>
        </w:rPr>
      </w:pPr>
      <w:r>
        <w:rPr>
          <w:noProof/>
        </w:rPr>
        <w:t>9.3.</w:t>
      </w:r>
      <w:r>
        <w:rPr>
          <w:rFonts w:eastAsiaTheme="minorEastAsia"/>
          <w:smallCaps w:val="0"/>
          <w:noProof/>
          <w:lang w:val="en-NZ" w:eastAsia="en-NZ"/>
        </w:rPr>
        <w:tab/>
      </w:r>
      <w:r>
        <w:rPr>
          <w:noProof/>
        </w:rPr>
        <w:t>IT and Technology Support</w:t>
      </w:r>
      <w:r>
        <w:rPr>
          <w:noProof/>
        </w:rPr>
        <w:tab/>
      </w:r>
      <w:r>
        <w:rPr>
          <w:noProof/>
        </w:rPr>
        <w:fldChar w:fldCharType="begin"/>
      </w:r>
      <w:r>
        <w:rPr>
          <w:noProof/>
        </w:rPr>
        <w:instrText xml:space="preserve"> PAGEREF _Toc448394368 \h </w:instrText>
      </w:r>
      <w:r>
        <w:rPr>
          <w:noProof/>
        </w:rPr>
      </w:r>
      <w:r>
        <w:rPr>
          <w:noProof/>
        </w:rPr>
        <w:fldChar w:fldCharType="separate"/>
      </w:r>
      <w:r>
        <w:rPr>
          <w:noProof/>
        </w:rPr>
        <w:t>28</w:t>
      </w:r>
      <w:r>
        <w:rPr>
          <w:noProof/>
        </w:rPr>
        <w:fldChar w:fldCharType="end"/>
      </w:r>
    </w:p>
    <w:p w14:paraId="63E2C72F" w14:textId="77777777" w:rsidR="00920088" w:rsidRDefault="00920088">
      <w:pPr>
        <w:pStyle w:val="TOC2"/>
        <w:tabs>
          <w:tab w:val="left" w:pos="960"/>
          <w:tab w:val="right" w:leader="dot" w:pos="9010"/>
        </w:tabs>
        <w:rPr>
          <w:rFonts w:eastAsiaTheme="minorEastAsia"/>
          <w:smallCaps w:val="0"/>
          <w:noProof/>
          <w:lang w:val="en-NZ" w:eastAsia="en-NZ"/>
        </w:rPr>
      </w:pPr>
      <w:r>
        <w:rPr>
          <w:noProof/>
        </w:rPr>
        <w:t>9.4.</w:t>
      </w:r>
      <w:r>
        <w:rPr>
          <w:rFonts w:eastAsiaTheme="minorEastAsia"/>
          <w:smallCaps w:val="0"/>
          <w:noProof/>
          <w:lang w:val="en-NZ" w:eastAsia="en-NZ"/>
        </w:rPr>
        <w:tab/>
      </w:r>
      <w:r>
        <w:rPr>
          <w:noProof/>
        </w:rPr>
        <w:t>Henry Rongomau Bennett Centre facilities</w:t>
      </w:r>
      <w:r>
        <w:rPr>
          <w:noProof/>
        </w:rPr>
        <w:tab/>
      </w:r>
      <w:r>
        <w:rPr>
          <w:noProof/>
        </w:rPr>
        <w:fldChar w:fldCharType="begin"/>
      </w:r>
      <w:r>
        <w:rPr>
          <w:noProof/>
        </w:rPr>
        <w:instrText xml:space="preserve"> PAGEREF _Toc448394369 \h </w:instrText>
      </w:r>
      <w:r>
        <w:rPr>
          <w:noProof/>
        </w:rPr>
      </w:r>
      <w:r>
        <w:rPr>
          <w:noProof/>
        </w:rPr>
        <w:fldChar w:fldCharType="separate"/>
      </w:r>
      <w:r>
        <w:rPr>
          <w:noProof/>
        </w:rPr>
        <w:t>29</w:t>
      </w:r>
      <w:r>
        <w:rPr>
          <w:noProof/>
        </w:rPr>
        <w:fldChar w:fldCharType="end"/>
      </w:r>
    </w:p>
    <w:p w14:paraId="0E0044AC" w14:textId="77777777" w:rsidR="00920088" w:rsidRDefault="00920088">
      <w:pPr>
        <w:pStyle w:val="TOC1"/>
        <w:tabs>
          <w:tab w:val="left" w:pos="720"/>
          <w:tab w:val="right" w:leader="dot" w:pos="9010"/>
        </w:tabs>
        <w:rPr>
          <w:rFonts w:eastAsiaTheme="minorEastAsia"/>
          <w:b w:val="0"/>
          <w:caps w:val="0"/>
          <w:noProof/>
          <w:lang w:val="en-NZ" w:eastAsia="en-NZ"/>
        </w:rPr>
      </w:pPr>
      <w:r>
        <w:rPr>
          <w:noProof/>
        </w:rPr>
        <w:t>10.</w:t>
      </w:r>
      <w:r>
        <w:rPr>
          <w:rFonts w:eastAsiaTheme="minorEastAsia"/>
          <w:b w:val="0"/>
          <w:caps w:val="0"/>
          <w:noProof/>
          <w:lang w:val="en-NZ" w:eastAsia="en-NZ"/>
        </w:rPr>
        <w:tab/>
      </w:r>
      <w:r>
        <w:rPr>
          <w:noProof/>
        </w:rPr>
        <w:t>Recruitment of doctor who allegedly dishonestly gained employment</w:t>
      </w:r>
      <w:r>
        <w:rPr>
          <w:noProof/>
        </w:rPr>
        <w:tab/>
      </w:r>
      <w:r>
        <w:rPr>
          <w:noProof/>
        </w:rPr>
        <w:fldChar w:fldCharType="begin"/>
      </w:r>
      <w:r>
        <w:rPr>
          <w:noProof/>
        </w:rPr>
        <w:instrText xml:space="preserve"> PAGEREF _Toc448394370 \h </w:instrText>
      </w:r>
      <w:r>
        <w:rPr>
          <w:noProof/>
        </w:rPr>
      </w:r>
      <w:r>
        <w:rPr>
          <w:noProof/>
        </w:rPr>
        <w:fldChar w:fldCharType="separate"/>
      </w:r>
      <w:r>
        <w:rPr>
          <w:noProof/>
        </w:rPr>
        <w:t>31</w:t>
      </w:r>
      <w:r>
        <w:rPr>
          <w:noProof/>
        </w:rPr>
        <w:fldChar w:fldCharType="end"/>
      </w:r>
    </w:p>
    <w:p w14:paraId="3B5731DB" w14:textId="77777777" w:rsidR="00920088" w:rsidRDefault="00920088">
      <w:pPr>
        <w:pStyle w:val="TOC2"/>
        <w:tabs>
          <w:tab w:val="right" w:leader="dot" w:pos="9010"/>
        </w:tabs>
        <w:rPr>
          <w:rFonts w:eastAsiaTheme="minorEastAsia"/>
          <w:smallCaps w:val="0"/>
          <w:noProof/>
          <w:lang w:val="en-NZ" w:eastAsia="en-NZ"/>
        </w:rPr>
      </w:pPr>
      <w:r w:rsidRPr="00525BAD">
        <w:rPr>
          <w:noProof/>
        </w:rPr>
        <w:t>The Inspection Team has identified some strategies to assist Waikato DHB and other DHBs to enhance the way they recruit employees from other jurisdictions: see Appendix 5.</w:t>
      </w:r>
      <w:r>
        <w:rPr>
          <w:noProof/>
        </w:rPr>
        <w:tab/>
      </w:r>
      <w:r>
        <w:rPr>
          <w:noProof/>
        </w:rPr>
        <w:fldChar w:fldCharType="begin"/>
      </w:r>
      <w:r>
        <w:rPr>
          <w:noProof/>
        </w:rPr>
        <w:instrText xml:space="preserve"> PAGEREF _Toc448394371 \h </w:instrText>
      </w:r>
      <w:r>
        <w:rPr>
          <w:noProof/>
        </w:rPr>
      </w:r>
      <w:r>
        <w:rPr>
          <w:noProof/>
        </w:rPr>
        <w:fldChar w:fldCharType="separate"/>
      </w:r>
      <w:r>
        <w:rPr>
          <w:noProof/>
        </w:rPr>
        <w:t>31</w:t>
      </w:r>
      <w:r>
        <w:rPr>
          <w:noProof/>
        </w:rPr>
        <w:fldChar w:fldCharType="end"/>
      </w:r>
    </w:p>
    <w:p w14:paraId="1B208151" w14:textId="77777777" w:rsidR="00920088" w:rsidRDefault="00920088">
      <w:pPr>
        <w:pStyle w:val="TOC1"/>
        <w:tabs>
          <w:tab w:val="left" w:pos="720"/>
          <w:tab w:val="right" w:leader="dot" w:pos="9010"/>
        </w:tabs>
        <w:rPr>
          <w:rFonts w:eastAsiaTheme="minorEastAsia"/>
          <w:b w:val="0"/>
          <w:caps w:val="0"/>
          <w:noProof/>
          <w:lang w:val="en-NZ" w:eastAsia="en-NZ"/>
        </w:rPr>
      </w:pPr>
      <w:r>
        <w:rPr>
          <w:noProof/>
        </w:rPr>
        <w:t>11.</w:t>
      </w:r>
      <w:r>
        <w:rPr>
          <w:rFonts w:eastAsiaTheme="minorEastAsia"/>
          <w:b w:val="0"/>
          <w:caps w:val="0"/>
          <w:noProof/>
          <w:lang w:val="en-NZ" w:eastAsia="en-NZ"/>
        </w:rPr>
        <w:tab/>
      </w:r>
      <w:r>
        <w:rPr>
          <w:noProof/>
        </w:rPr>
        <w:t>Conclusion</w:t>
      </w:r>
      <w:r>
        <w:rPr>
          <w:noProof/>
        </w:rPr>
        <w:tab/>
      </w:r>
      <w:r>
        <w:rPr>
          <w:noProof/>
        </w:rPr>
        <w:fldChar w:fldCharType="begin"/>
      </w:r>
      <w:r>
        <w:rPr>
          <w:noProof/>
        </w:rPr>
        <w:instrText xml:space="preserve"> PAGEREF _Toc448394372 \h </w:instrText>
      </w:r>
      <w:r>
        <w:rPr>
          <w:noProof/>
        </w:rPr>
      </w:r>
      <w:r>
        <w:rPr>
          <w:noProof/>
        </w:rPr>
        <w:fldChar w:fldCharType="separate"/>
      </w:r>
      <w:r>
        <w:rPr>
          <w:noProof/>
        </w:rPr>
        <w:t>31</w:t>
      </w:r>
      <w:r>
        <w:rPr>
          <w:noProof/>
        </w:rPr>
        <w:fldChar w:fldCharType="end"/>
      </w:r>
    </w:p>
    <w:p w14:paraId="490DC356" w14:textId="77777777" w:rsidR="00920088" w:rsidRDefault="00920088">
      <w:pPr>
        <w:pStyle w:val="TOC2"/>
        <w:tabs>
          <w:tab w:val="left" w:pos="960"/>
          <w:tab w:val="right" w:leader="dot" w:pos="9010"/>
        </w:tabs>
        <w:rPr>
          <w:rFonts w:eastAsiaTheme="minorEastAsia"/>
          <w:smallCaps w:val="0"/>
          <w:noProof/>
          <w:lang w:val="en-NZ" w:eastAsia="en-NZ"/>
        </w:rPr>
      </w:pPr>
      <w:r>
        <w:rPr>
          <w:noProof/>
        </w:rPr>
        <w:t>11.1.</w:t>
      </w:r>
      <w:r>
        <w:rPr>
          <w:rFonts w:eastAsiaTheme="minorEastAsia"/>
          <w:smallCaps w:val="0"/>
          <w:noProof/>
          <w:lang w:val="en-NZ" w:eastAsia="en-NZ"/>
        </w:rPr>
        <w:tab/>
      </w:r>
      <w:r>
        <w:rPr>
          <w:noProof/>
        </w:rPr>
        <w:t>Summary</w:t>
      </w:r>
      <w:r>
        <w:rPr>
          <w:noProof/>
        </w:rPr>
        <w:tab/>
      </w:r>
      <w:r>
        <w:rPr>
          <w:noProof/>
        </w:rPr>
        <w:fldChar w:fldCharType="begin"/>
      </w:r>
      <w:r>
        <w:rPr>
          <w:noProof/>
        </w:rPr>
        <w:instrText xml:space="preserve"> PAGEREF _Toc448394373 \h </w:instrText>
      </w:r>
      <w:r>
        <w:rPr>
          <w:noProof/>
        </w:rPr>
      </w:r>
      <w:r>
        <w:rPr>
          <w:noProof/>
        </w:rPr>
        <w:fldChar w:fldCharType="separate"/>
      </w:r>
      <w:r>
        <w:rPr>
          <w:noProof/>
        </w:rPr>
        <w:t>31</w:t>
      </w:r>
      <w:r>
        <w:rPr>
          <w:noProof/>
        </w:rPr>
        <w:fldChar w:fldCharType="end"/>
      </w:r>
    </w:p>
    <w:p w14:paraId="300B9BF3" w14:textId="77777777" w:rsidR="00920088" w:rsidRDefault="00920088">
      <w:pPr>
        <w:pStyle w:val="TOC1"/>
        <w:tabs>
          <w:tab w:val="left" w:pos="720"/>
          <w:tab w:val="right" w:leader="dot" w:pos="9010"/>
        </w:tabs>
        <w:rPr>
          <w:rFonts w:eastAsiaTheme="minorEastAsia"/>
          <w:b w:val="0"/>
          <w:caps w:val="0"/>
          <w:noProof/>
          <w:lang w:val="en-NZ" w:eastAsia="en-NZ"/>
        </w:rPr>
      </w:pPr>
      <w:r>
        <w:rPr>
          <w:noProof/>
        </w:rPr>
        <w:t>12.</w:t>
      </w:r>
      <w:r>
        <w:rPr>
          <w:rFonts w:eastAsiaTheme="minorEastAsia"/>
          <w:b w:val="0"/>
          <w:caps w:val="0"/>
          <w:noProof/>
          <w:lang w:val="en-NZ" w:eastAsia="en-NZ"/>
        </w:rPr>
        <w:tab/>
      </w:r>
      <w:r>
        <w:rPr>
          <w:noProof/>
        </w:rPr>
        <w:t>Recommendations</w:t>
      </w:r>
      <w:r>
        <w:rPr>
          <w:noProof/>
        </w:rPr>
        <w:tab/>
      </w:r>
      <w:r>
        <w:rPr>
          <w:noProof/>
        </w:rPr>
        <w:fldChar w:fldCharType="begin"/>
      </w:r>
      <w:r>
        <w:rPr>
          <w:noProof/>
        </w:rPr>
        <w:instrText xml:space="preserve"> PAGEREF _Toc448394374 \h </w:instrText>
      </w:r>
      <w:r>
        <w:rPr>
          <w:noProof/>
        </w:rPr>
      </w:r>
      <w:r>
        <w:rPr>
          <w:noProof/>
        </w:rPr>
        <w:fldChar w:fldCharType="separate"/>
      </w:r>
      <w:r>
        <w:rPr>
          <w:noProof/>
        </w:rPr>
        <w:t>33</w:t>
      </w:r>
      <w:r>
        <w:rPr>
          <w:noProof/>
        </w:rPr>
        <w:fldChar w:fldCharType="end"/>
      </w:r>
    </w:p>
    <w:p w14:paraId="486A8DB9" w14:textId="77777777" w:rsidR="00920088" w:rsidRDefault="00920088">
      <w:pPr>
        <w:pStyle w:val="TOC2"/>
        <w:tabs>
          <w:tab w:val="left" w:pos="960"/>
          <w:tab w:val="right" w:leader="dot" w:pos="9010"/>
        </w:tabs>
        <w:rPr>
          <w:rFonts w:eastAsiaTheme="minorEastAsia"/>
          <w:smallCaps w:val="0"/>
          <w:noProof/>
          <w:lang w:val="en-NZ" w:eastAsia="en-NZ"/>
        </w:rPr>
      </w:pPr>
      <w:r>
        <w:rPr>
          <w:noProof/>
        </w:rPr>
        <w:t>12.1.</w:t>
      </w:r>
      <w:r>
        <w:rPr>
          <w:rFonts w:eastAsiaTheme="minorEastAsia"/>
          <w:smallCaps w:val="0"/>
          <w:noProof/>
          <w:lang w:val="en-NZ" w:eastAsia="en-NZ"/>
        </w:rPr>
        <w:tab/>
      </w:r>
      <w:r>
        <w:rPr>
          <w:noProof/>
        </w:rPr>
        <w:t>Immediate</w:t>
      </w:r>
      <w:r>
        <w:rPr>
          <w:noProof/>
        </w:rPr>
        <w:tab/>
      </w:r>
      <w:r>
        <w:rPr>
          <w:noProof/>
        </w:rPr>
        <w:fldChar w:fldCharType="begin"/>
      </w:r>
      <w:r>
        <w:rPr>
          <w:noProof/>
        </w:rPr>
        <w:instrText xml:space="preserve"> PAGEREF _Toc448394375 \h </w:instrText>
      </w:r>
      <w:r>
        <w:rPr>
          <w:noProof/>
        </w:rPr>
      </w:r>
      <w:r>
        <w:rPr>
          <w:noProof/>
        </w:rPr>
        <w:fldChar w:fldCharType="separate"/>
      </w:r>
      <w:r>
        <w:rPr>
          <w:noProof/>
        </w:rPr>
        <w:t>33</w:t>
      </w:r>
      <w:r>
        <w:rPr>
          <w:noProof/>
        </w:rPr>
        <w:fldChar w:fldCharType="end"/>
      </w:r>
    </w:p>
    <w:p w14:paraId="3ACBC0E2" w14:textId="77777777" w:rsidR="00920088" w:rsidRDefault="00920088">
      <w:pPr>
        <w:pStyle w:val="TOC2"/>
        <w:tabs>
          <w:tab w:val="left" w:pos="960"/>
          <w:tab w:val="right" w:leader="dot" w:pos="9010"/>
        </w:tabs>
        <w:rPr>
          <w:rFonts w:eastAsiaTheme="minorEastAsia"/>
          <w:smallCaps w:val="0"/>
          <w:noProof/>
          <w:lang w:val="en-NZ" w:eastAsia="en-NZ"/>
        </w:rPr>
      </w:pPr>
      <w:r>
        <w:rPr>
          <w:noProof/>
        </w:rPr>
        <w:t>12.2.</w:t>
      </w:r>
      <w:r>
        <w:rPr>
          <w:rFonts w:eastAsiaTheme="minorEastAsia"/>
          <w:smallCaps w:val="0"/>
          <w:noProof/>
          <w:lang w:val="en-NZ" w:eastAsia="en-NZ"/>
        </w:rPr>
        <w:tab/>
      </w:r>
      <w:r>
        <w:rPr>
          <w:noProof/>
        </w:rPr>
        <w:t>Longer term</w:t>
      </w:r>
      <w:r>
        <w:rPr>
          <w:noProof/>
        </w:rPr>
        <w:tab/>
      </w:r>
      <w:r>
        <w:rPr>
          <w:noProof/>
        </w:rPr>
        <w:fldChar w:fldCharType="begin"/>
      </w:r>
      <w:r>
        <w:rPr>
          <w:noProof/>
        </w:rPr>
        <w:instrText xml:space="preserve"> PAGEREF _Toc448394376 \h </w:instrText>
      </w:r>
      <w:r>
        <w:rPr>
          <w:noProof/>
        </w:rPr>
      </w:r>
      <w:r>
        <w:rPr>
          <w:noProof/>
        </w:rPr>
        <w:fldChar w:fldCharType="separate"/>
      </w:r>
      <w:r>
        <w:rPr>
          <w:noProof/>
        </w:rPr>
        <w:t>35</w:t>
      </w:r>
      <w:r>
        <w:rPr>
          <w:noProof/>
        </w:rPr>
        <w:fldChar w:fldCharType="end"/>
      </w:r>
    </w:p>
    <w:p w14:paraId="35B36D4D" w14:textId="77777777" w:rsidR="00920088" w:rsidRDefault="00920088">
      <w:pPr>
        <w:pStyle w:val="TOC1"/>
        <w:tabs>
          <w:tab w:val="right" w:leader="dot" w:pos="9010"/>
        </w:tabs>
        <w:rPr>
          <w:rFonts w:eastAsiaTheme="minorEastAsia"/>
          <w:b w:val="0"/>
          <w:caps w:val="0"/>
          <w:noProof/>
          <w:lang w:val="en-NZ" w:eastAsia="en-NZ"/>
        </w:rPr>
      </w:pPr>
      <w:r>
        <w:rPr>
          <w:noProof/>
        </w:rPr>
        <w:t>APPENDICES</w:t>
      </w:r>
      <w:r>
        <w:rPr>
          <w:noProof/>
        </w:rPr>
        <w:tab/>
      </w:r>
      <w:r>
        <w:rPr>
          <w:noProof/>
        </w:rPr>
        <w:fldChar w:fldCharType="begin"/>
      </w:r>
      <w:r>
        <w:rPr>
          <w:noProof/>
        </w:rPr>
        <w:instrText xml:space="preserve"> PAGEREF _Toc448394377 \h </w:instrText>
      </w:r>
      <w:r>
        <w:rPr>
          <w:noProof/>
        </w:rPr>
      </w:r>
      <w:r>
        <w:rPr>
          <w:noProof/>
        </w:rPr>
        <w:fldChar w:fldCharType="separate"/>
      </w:r>
      <w:r>
        <w:rPr>
          <w:noProof/>
        </w:rPr>
        <w:t>37</w:t>
      </w:r>
      <w:r>
        <w:rPr>
          <w:noProof/>
        </w:rPr>
        <w:fldChar w:fldCharType="end"/>
      </w:r>
    </w:p>
    <w:p w14:paraId="3F74FC96" w14:textId="77777777" w:rsidR="00920088" w:rsidRDefault="00920088">
      <w:pPr>
        <w:pStyle w:val="TOC2"/>
        <w:tabs>
          <w:tab w:val="right" w:leader="dot" w:pos="9010"/>
        </w:tabs>
        <w:rPr>
          <w:rFonts w:eastAsiaTheme="minorEastAsia"/>
          <w:smallCaps w:val="0"/>
          <w:noProof/>
          <w:lang w:val="en-NZ" w:eastAsia="en-NZ"/>
        </w:rPr>
      </w:pPr>
      <w:r>
        <w:rPr>
          <w:noProof/>
        </w:rPr>
        <w:t xml:space="preserve">Appendix 1: </w:t>
      </w:r>
      <w:r w:rsidRPr="00525BAD">
        <w:rPr>
          <w:i/>
          <w:noProof/>
        </w:rPr>
        <w:t>A Time for Change</w:t>
      </w:r>
      <w:r>
        <w:rPr>
          <w:noProof/>
        </w:rPr>
        <w:t xml:space="preserve"> – Summary</w:t>
      </w:r>
      <w:r>
        <w:rPr>
          <w:noProof/>
        </w:rPr>
        <w:tab/>
      </w:r>
      <w:r>
        <w:rPr>
          <w:noProof/>
        </w:rPr>
        <w:fldChar w:fldCharType="begin"/>
      </w:r>
      <w:r>
        <w:rPr>
          <w:noProof/>
        </w:rPr>
        <w:instrText xml:space="preserve"> PAGEREF _Toc448394378 \h </w:instrText>
      </w:r>
      <w:r>
        <w:rPr>
          <w:noProof/>
        </w:rPr>
      </w:r>
      <w:r>
        <w:rPr>
          <w:noProof/>
        </w:rPr>
        <w:fldChar w:fldCharType="separate"/>
      </w:r>
      <w:r>
        <w:rPr>
          <w:noProof/>
        </w:rPr>
        <w:t>37</w:t>
      </w:r>
      <w:r>
        <w:rPr>
          <w:noProof/>
        </w:rPr>
        <w:fldChar w:fldCharType="end"/>
      </w:r>
    </w:p>
    <w:p w14:paraId="060AE9A0" w14:textId="77777777" w:rsidR="00920088" w:rsidRDefault="00920088">
      <w:pPr>
        <w:pStyle w:val="TOC2"/>
        <w:tabs>
          <w:tab w:val="right" w:leader="dot" w:pos="9010"/>
        </w:tabs>
        <w:rPr>
          <w:rFonts w:eastAsiaTheme="minorEastAsia"/>
          <w:smallCaps w:val="0"/>
          <w:noProof/>
          <w:lang w:val="en-NZ" w:eastAsia="en-NZ"/>
        </w:rPr>
      </w:pPr>
      <w:r>
        <w:rPr>
          <w:noProof/>
        </w:rPr>
        <w:t xml:space="preserve">Appendix 2: </w:t>
      </w:r>
      <w:r w:rsidRPr="00525BAD">
        <w:rPr>
          <w:i/>
          <w:noProof/>
        </w:rPr>
        <w:t>A Time for Change</w:t>
      </w:r>
      <w:r>
        <w:rPr>
          <w:noProof/>
        </w:rPr>
        <w:t xml:space="preserve"> – Recommendations</w:t>
      </w:r>
      <w:r>
        <w:rPr>
          <w:noProof/>
        </w:rPr>
        <w:tab/>
      </w:r>
      <w:r>
        <w:rPr>
          <w:noProof/>
        </w:rPr>
        <w:fldChar w:fldCharType="begin"/>
      </w:r>
      <w:r>
        <w:rPr>
          <w:noProof/>
        </w:rPr>
        <w:instrText xml:space="preserve"> PAGEREF _Toc448394379 \h </w:instrText>
      </w:r>
      <w:r>
        <w:rPr>
          <w:noProof/>
        </w:rPr>
      </w:r>
      <w:r>
        <w:rPr>
          <w:noProof/>
        </w:rPr>
        <w:fldChar w:fldCharType="separate"/>
      </w:r>
      <w:r>
        <w:rPr>
          <w:noProof/>
        </w:rPr>
        <w:t>39</w:t>
      </w:r>
      <w:r>
        <w:rPr>
          <w:noProof/>
        </w:rPr>
        <w:fldChar w:fldCharType="end"/>
      </w:r>
    </w:p>
    <w:p w14:paraId="6BB15E83" w14:textId="77777777" w:rsidR="00920088" w:rsidRDefault="00920088">
      <w:pPr>
        <w:pStyle w:val="TOC3"/>
        <w:rPr>
          <w:rFonts w:eastAsiaTheme="minorEastAsia"/>
          <w:i w:val="0"/>
          <w:noProof/>
          <w:lang w:val="en-NZ" w:eastAsia="en-NZ"/>
        </w:rPr>
      </w:pPr>
      <w:r>
        <w:rPr>
          <w:noProof/>
        </w:rPr>
        <w:t>Organisational Development</w:t>
      </w:r>
      <w:r>
        <w:rPr>
          <w:noProof/>
        </w:rPr>
        <w:tab/>
      </w:r>
      <w:r>
        <w:rPr>
          <w:noProof/>
        </w:rPr>
        <w:fldChar w:fldCharType="begin"/>
      </w:r>
      <w:r>
        <w:rPr>
          <w:noProof/>
        </w:rPr>
        <w:instrText xml:space="preserve"> PAGEREF _Toc448394380 \h </w:instrText>
      </w:r>
      <w:r>
        <w:rPr>
          <w:noProof/>
        </w:rPr>
      </w:r>
      <w:r>
        <w:rPr>
          <w:noProof/>
        </w:rPr>
        <w:fldChar w:fldCharType="separate"/>
      </w:r>
      <w:r>
        <w:rPr>
          <w:noProof/>
        </w:rPr>
        <w:t>39</w:t>
      </w:r>
      <w:r>
        <w:rPr>
          <w:noProof/>
        </w:rPr>
        <w:fldChar w:fldCharType="end"/>
      </w:r>
    </w:p>
    <w:p w14:paraId="0E83BB0F" w14:textId="77777777" w:rsidR="00920088" w:rsidRDefault="00920088">
      <w:pPr>
        <w:pStyle w:val="TOC3"/>
        <w:rPr>
          <w:rFonts w:eastAsiaTheme="minorEastAsia"/>
          <w:i w:val="0"/>
          <w:noProof/>
          <w:lang w:val="en-NZ" w:eastAsia="en-NZ"/>
        </w:rPr>
      </w:pPr>
      <w:r>
        <w:rPr>
          <w:noProof/>
        </w:rPr>
        <w:t>Safety</w:t>
      </w:r>
      <w:r>
        <w:rPr>
          <w:noProof/>
        </w:rPr>
        <w:tab/>
      </w:r>
      <w:r>
        <w:rPr>
          <w:noProof/>
        </w:rPr>
        <w:fldChar w:fldCharType="begin"/>
      </w:r>
      <w:r>
        <w:rPr>
          <w:noProof/>
        </w:rPr>
        <w:instrText xml:space="preserve"> PAGEREF _Toc448394381 \h </w:instrText>
      </w:r>
      <w:r>
        <w:rPr>
          <w:noProof/>
        </w:rPr>
      </w:r>
      <w:r>
        <w:rPr>
          <w:noProof/>
        </w:rPr>
        <w:fldChar w:fldCharType="separate"/>
      </w:r>
      <w:r>
        <w:rPr>
          <w:noProof/>
        </w:rPr>
        <w:t>39</w:t>
      </w:r>
      <w:r>
        <w:rPr>
          <w:noProof/>
        </w:rPr>
        <w:fldChar w:fldCharType="end"/>
      </w:r>
    </w:p>
    <w:p w14:paraId="6EABDE7A" w14:textId="77777777" w:rsidR="00920088" w:rsidRDefault="00920088">
      <w:pPr>
        <w:pStyle w:val="TOC3"/>
        <w:rPr>
          <w:rFonts w:eastAsiaTheme="minorEastAsia"/>
          <w:i w:val="0"/>
          <w:noProof/>
          <w:lang w:val="en-NZ" w:eastAsia="en-NZ"/>
        </w:rPr>
      </w:pPr>
      <w:r>
        <w:rPr>
          <w:noProof/>
        </w:rPr>
        <w:t>Recovery Approach and Application</w:t>
      </w:r>
      <w:r>
        <w:rPr>
          <w:noProof/>
        </w:rPr>
        <w:tab/>
      </w:r>
      <w:r>
        <w:rPr>
          <w:noProof/>
        </w:rPr>
        <w:fldChar w:fldCharType="begin"/>
      </w:r>
      <w:r>
        <w:rPr>
          <w:noProof/>
        </w:rPr>
        <w:instrText xml:space="preserve"> PAGEREF _Toc448394382 \h </w:instrText>
      </w:r>
      <w:r>
        <w:rPr>
          <w:noProof/>
        </w:rPr>
      </w:r>
      <w:r>
        <w:rPr>
          <w:noProof/>
        </w:rPr>
        <w:fldChar w:fldCharType="separate"/>
      </w:r>
      <w:r>
        <w:rPr>
          <w:noProof/>
        </w:rPr>
        <w:t>40</w:t>
      </w:r>
      <w:r>
        <w:rPr>
          <w:noProof/>
        </w:rPr>
        <w:fldChar w:fldCharType="end"/>
      </w:r>
    </w:p>
    <w:p w14:paraId="5282D8B8" w14:textId="77777777" w:rsidR="00920088" w:rsidRDefault="00920088">
      <w:pPr>
        <w:pStyle w:val="TOC3"/>
        <w:rPr>
          <w:rFonts w:eastAsiaTheme="minorEastAsia"/>
          <w:i w:val="0"/>
          <w:noProof/>
          <w:lang w:val="en-NZ" w:eastAsia="en-NZ"/>
        </w:rPr>
      </w:pPr>
      <w:r>
        <w:rPr>
          <w:noProof/>
        </w:rPr>
        <w:t>Integration and Continuity of Care</w:t>
      </w:r>
      <w:r>
        <w:rPr>
          <w:noProof/>
        </w:rPr>
        <w:tab/>
      </w:r>
      <w:r>
        <w:rPr>
          <w:noProof/>
        </w:rPr>
        <w:fldChar w:fldCharType="begin"/>
      </w:r>
      <w:r>
        <w:rPr>
          <w:noProof/>
        </w:rPr>
        <w:instrText xml:space="preserve"> PAGEREF _Toc448394383 \h </w:instrText>
      </w:r>
      <w:r>
        <w:rPr>
          <w:noProof/>
        </w:rPr>
      </w:r>
      <w:r>
        <w:rPr>
          <w:noProof/>
        </w:rPr>
        <w:fldChar w:fldCharType="separate"/>
      </w:r>
      <w:r>
        <w:rPr>
          <w:noProof/>
        </w:rPr>
        <w:t>41</w:t>
      </w:r>
      <w:r>
        <w:rPr>
          <w:noProof/>
        </w:rPr>
        <w:fldChar w:fldCharType="end"/>
      </w:r>
    </w:p>
    <w:p w14:paraId="00C0E1FD" w14:textId="77777777" w:rsidR="00920088" w:rsidRDefault="00920088">
      <w:pPr>
        <w:pStyle w:val="TOC3"/>
        <w:rPr>
          <w:rFonts w:eastAsiaTheme="minorEastAsia"/>
          <w:i w:val="0"/>
          <w:noProof/>
          <w:lang w:val="en-NZ" w:eastAsia="en-NZ"/>
        </w:rPr>
      </w:pPr>
      <w:r>
        <w:rPr>
          <w:noProof/>
        </w:rPr>
        <w:t>Treatment and Therapy</w:t>
      </w:r>
      <w:r>
        <w:rPr>
          <w:noProof/>
        </w:rPr>
        <w:tab/>
      </w:r>
      <w:r>
        <w:rPr>
          <w:noProof/>
        </w:rPr>
        <w:fldChar w:fldCharType="begin"/>
      </w:r>
      <w:r>
        <w:rPr>
          <w:noProof/>
        </w:rPr>
        <w:instrText xml:space="preserve"> PAGEREF _Toc448394384 \h </w:instrText>
      </w:r>
      <w:r>
        <w:rPr>
          <w:noProof/>
        </w:rPr>
      </w:r>
      <w:r>
        <w:rPr>
          <w:noProof/>
        </w:rPr>
        <w:fldChar w:fldCharType="separate"/>
      </w:r>
      <w:r>
        <w:rPr>
          <w:noProof/>
        </w:rPr>
        <w:t>42</w:t>
      </w:r>
      <w:r>
        <w:rPr>
          <w:noProof/>
        </w:rPr>
        <w:fldChar w:fldCharType="end"/>
      </w:r>
    </w:p>
    <w:p w14:paraId="02AA63E8" w14:textId="77777777" w:rsidR="00920088" w:rsidRDefault="00920088">
      <w:pPr>
        <w:pStyle w:val="TOC3"/>
        <w:rPr>
          <w:rFonts w:eastAsiaTheme="minorEastAsia"/>
          <w:i w:val="0"/>
          <w:noProof/>
          <w:lang w:val="en-NZ" w:eastAsia="en-NZ"/>
        </w:rPr>
      </w:pPr>
      <w:r>
        <w:rPr>
          <w:noProof/>
        </w:rPr>
        <w:t>Seclusion, Restraint and Involuntary Detention</w:t>
      </w:r>
      <w:r>
        <w:rPr>
          <w:noProof/>
        </w:rPr>
        <w:tab/>
      </w:r>
      <w:r>
        <w:rPr>
          <w:noProof/>
        </w:rPr>
        <w:fldChar w:fldCharType="begin"/>
      </w:r>
      <w:r>
        <w:rPr>
          <w:noProof/>
        </w:rPr>
        <w:instrText xml:space="preserve"> PAGEREF _Toc448394385 \h </w:instrText>
      </w:r>
      <w:r>
        <w:rPr>
          <w:noProof/>
        </w:rPr>
      </w:r>
      <w:r>
        <w:rPr>
          <w:noProof/>
        </w:rPr>
        <w:fldChar w:fldCharType="separate"/>
      </w:r>
      <w:r>
        <w:rPr>
          <w:noProof/>
        </w:rPr>
        <w:t>43</w:t>
      </w:r>
      <w:r>
        <w:rPr>
          <w:noProof/>
        </w:rPr>
        <w:fldChar w:fldCharType="end"/>
      </w:r>
    </w:p>
    <w:p w14:paraId="5DC76936" w14:textId="77777777" w:rsidR="00920088" w:rsidRDefault="00920088">
      <w:pPr>
        <w:pStyle w:val="TOC3"/>
        <w:rPr>
          <w:rFonts w:eastAsiaTheme="minorEastAsia"/>
          <w:i w:val="0"/>
          <w:noProof/>
          <w:lang w:val="en-NZ" w:eastAsia="en-NZ"/>
        </w:rPr>
      </w:pPr>
      <w:r>
        <w:rPr>
          <w:noProof/>
        </w:rPr>
        <w:t>Workforce</w:t>
      </w:r>
      <w:r>
        <w:rPr>
          <w:noProof/>
        </w:rPr>
        <w:tab/>
      </w:r>
      <w:r>
        <w:rPr>
          <w:noProof/>
        </w:rPr>
        <w:fldChar w:fldCharType="begin"/>
      </w:r>
      <w:r>
        <w:rPr>
          <w:noProof/>
        </w:rPr>
        <w:instrText xml:space="preserve"> PAGEREF _Toc448394386 \h </w:instrText>
      </w:r>
      <w:r>
        <w:rPr>
          <w:noProof/>
        </w:rPr>
      </w:r>
      <w:r>
        <w:rPr>
          <w:noProof/>
        </w:rPr>
        <w:fldChar w:fldCharType="separate"/>
      </w:r>
      <w:r>
        <w:rPr>
          <w:noProof/>
        </w:rPr>
        <w:t>44</w:t>
      </w:r>
      <w:r>
        <w:rPr>
          <w:noProof/>
        </w:rPr>
        <w:fldChar w:fldCharType="end"/>
      </w:r>
    </w:p>
    <w:p w14:paraId="461C2F38" w14:textId="77777777" w:rsidR="00920088" w:rsidRDefault="00920088">
      <w:pPr>
        <w:pStyle w:val="TOC2"/>
        <w:tabs>
          <w:tab w:val="right" w:leader="dot" w:pos="9010"/>
        </w:tabs>
        <w:rPr>
          <w:rFonts w:eastAsiaTheme="minorEastAsia"/>
          <w:smallCaps w:val="0"/>
          <w:noProof/>
          <w:lang w:val="en-NZ" w:eastAsia="en-NZ"/>
        </w:rPr>
      </w:pPr>
      <w:r>
        <w:rPr>
          <w:noProof/>
        </w:rPr>
        <w:t>Appendix 3: Health Waikato Mental Health and Addiction Service Strategic Plan 2009–2014</w:t>
      </w:r>
      <w:r>
        <w:rPr>
          <w:noProof/>
        </w:rPr>
        <w:tab/>
      </w:r>
      <w:r>
        <w:rPr>
          <w:noProof/>
        </w:rPr>
        <w:fldChar w:fldCharType="begin"/>
      </w:r>
      <w:r>
        <w:rPr>
          <w:noProof/>
        </w:rPr>
        <w:instrText xml:space="preserve"> PAGEREF _Toc448394387 \h </w:instrText>
      </w:r>
      <w:r>
        <w:rPr>
          <w:noProof/>
        </w:rPr>
      </w:r>
      <w:r>
        <w:rPr>
          <w:noProof/>
        </w:rPr>
        <w:fldChar w:fldCharType="separate"/>
      </w:r>
      <w:r>
        <w:rPr>
          <w:noProof/>
        </w:rPr>
        <w:t>46</w:t>
      </w:r>
      <w:r>
        <w:rPr>
          <w:noProof/>
        </w:rPr>
        <w:fldChar w:fldCharType="end"/>
      </w:r>
    </w:p>
    <w:p w14:paraId="424C4678" w14:textId="77777777" w:rsidR="00920088" w:rsidRDefault="00920088">
      <w:pPr>
        <w:pStyle w:val="TOC3"/>
        <w:rPr>
          <w:rFonts w:eastAsiaTheme="minorEastAsia"/>
          <w:i w:val="0"/>
          <w:noProof/>
          <w:lang w:val="en-NZ" w:eastAsia="en-NZ"/>
        </w:rPr>
      </w:pPr>
      <w:r>
        <w:rPr>
          <w:noProof/>
        </w:rPr>
        <w:t>1. Purpose</w:t>
      </w:r>
      <w:r>
        <w:rPr>
          <w:noProof/>
        </w:rPr>
        <w:tab/>
      </w:r>
      <w:r>
        <w:rPr>
          <w:noProof/>
        </w:rPr>
        <w:fldChar w:fldCharType="begin"/>
      </w:r>
      <w:r>
        <w:rPr>
          <w:noProof/>
        </w:rPr>
        <w:instrText xml:space="preserve"> PAGEREF _Toc448394388 \h </w:instrText>
      </w:r>
      <w:r>
        <w:rPr>
          <w:noProof/>
        </w:rPr>
      </w:r>
      <w:r>
        <w:rPr>
          <w:noProof/>
        </w:rPr>
        <w:fldChar w:fldCharType="separate"/>
      </w:r>
      <w:r>
        <w:rPr>
          <w:noProof/>
        </w:rPr>
        <w:t>46</w:t>
      </w:r>
      <w:r>
        <w:rPr>
          <w:noProof/>
        </w:rPr>
        <w:fldChar w:fldCharType="end"/>
      </w:r>
    </w:p>
    <w:p w14:paraId="03383C3E" w14:textId="77777777" w:rsidR="00920088" w:rsidRDefault="00920088">
      <w:pPr>
        <w:pStyle w:val="TOC3"/>
        <w:rPr>
          <w:rFonts w:eastAsiaTheme="minorEastAsia"/>
          <w:i w:val="0"/>
          <w:noProof/>
          <w:lang w:val="en-NZ" w:eastAsia="en-NZ"/>
        </w:rPr>
      </w:pPr>
      <w:r>
        <w:rPr>
          <w:noProof/>
        </w:rPr>
        <w:t>2. Service Values</w:t>
      </w:r>
      <w:r>
        <w:rPr>
          <w:noProof/>
        </w:rPr>
        <w:tab/>
      </w:r>
      <w:r>
        <w:rPr>
          <w:noProof/>
        </w:rPr>
        <w:fldChar w:fldCharType="begin"/>
      </w:r>
      <w:r>
        <w:rPr>
          <w:noProof/>
        </w:rPr>
        <w:instrText xml:space="preserve"> PAGEREF _Toc448394389 \h </w:instrText>
      </w:r>
      <w:r>
        <w:rPr>
          <w:noProof/>
        </w:rPr>
      </w:r>
      <w:r>
        <w:rPr>
          <w:noProof/>
        </w:rPr>
        <w:fldChar w:fldCharType="separate"/>
      </w:r>
      <w:r>
        <w:rPr>
          <w:noProof/>
        </w:rPr>
        <w:t>46</w:t>
      </w:r>
      <w:r>
        <w:rPr>
          <w:noProof/>
        </w:rPr>
        <w:fldChar w:fldCharType="end"/>
      </w:r>
    </w:p>
    <w:p w14:paraId="1F6BD76A" w14:textId="77777777" w:rsidR="00920088" w:rsidRDefault="00920088">
      <w:pPr>
        <w:pStyle w:val="TOC3"/>
        <w:rPr>
          <w:rFonts w:eastAsiaTheme="minorEastAsia"/>
          <w:i w:val="0"/>
          <w:noProof/>
          <w:lang w:val="en-NZ" w:eastAsia="en-NZ"/>
        </w:rPr>
      </w:pPr>
      <w:r>
        <w:rPr>
          <w:noProof/>
        </w:rPr>
        <w:t>3.  Actions</w:t>
      </w:r>
      <w:r>
        <w:rPr>
          <w:noProof/>
        </w:rPr>
        <w:tab/>
      </w:r>
      <w:r>
        <w:rPr>
          <w:noProof/>
        </w:rPr>
        <w:fldChar w:fldCharType="begin"/>
      </w:r>
      <w:r>
        <w:rPr>
          <w:noProof/>
        </w:rPr>
        <w:instrText xml:space="preserve"> PAGEREF _Toc448394390 \h </w:instrText>
      </w:r>
      <w:r>
        <w:rPr>
          <w:noProof/>
        </w:rPr>
      </w:r>
      <w:r>
        <w:rPr>
          <w:noProof/>
        </w:rPr>
        <w:fldChar w:fldCharType="separate"/>
      </w:r>
      <w:r>
        <w:rPr>
          <w:noProof/>
        </w:rPr>
        <w:t>46</w:t>
      </w:r>
      <w:r>
        <w:rPr>
          <w:noProof/>
        </w:rPr>
        <w:fldChar w:fldCharType="end"/>
      </w:r>
    </w:p>
    <w:p w14:paraId="0733BC87" w14:textId="77777777" w:rsidR="00920088" w:rsidRDefault="00920088">
      <w:pPr>
        <w:pStyle w:val="TOC3"/>
        <w:rPr>
          <w:rFonts w:eastAsiaTheme="minorEastAsia"/>
          <w:i w:val="0"/>
          <w:noProof/>
          <w:lang w:val="en-NZ" w:eastAsia="en-NZ"/>
        </w:rPr>
      </w:pPr>
      <w:r>
        <w:rPr>
          <w:noProof/>
        </w:rPr>
        <w:t>4. Measuring progress</w:t>
      </w:r>
      <w:r>
        <w:rPr>
          <w:noProof/>
        </w:rPr>
        <w:tab/>
      </w:r>
      <w:r>
        <w:rPr>
          <w:noProof/>
        </w:rPr>
        <w:fldChar w:fldCharType="begin"/>
      </w:r>
      <w:r>
        <w:rPr>
          <w:noProof/>
        </w:rPr>
        <w:instrText xml:space="preserve"> PAGEREF _Toc448394391 \h </w:instrText>
      </w:r>
      <w:r>
        <w:rPr>
          <w:noProof/>
        </w:rPr>
      </w:r>
      <w:r>
        <w:rPr>
          <w:noProof/>
        </w:rPr>
        <w:fldChar w:fldCharType="separate"/>
      </w:r>
      <w:r>
        <w:rPr>
          <w:noProof/>
        </w:rPr>
        <w:t>51</w:t>
      </w:r>
      <w:r>
        <w:rPr>
          <w:noProof/>
        </w:rPr>
        <w:fldChar w:fldCharType="end"/>
      </w:r>
    </w:p>
    <w:p w14:paraId="66D4484E" w14:textId="77777777" w:rsidR="00920088" w:rsidRDefault="00920088">
      <w:pPr>
        <w:pStyle w:val="TOC2"/>
        <w:tabs>
          <w:tab w:val="right" w:leader="dot" w:pos="9010"/>
        </w:tabs>
        <w:rPr>
          <w:rFonts w:eastAsiaTheme="minorEastAsia"/>
          <w:smallCaps w:val="0"/>
          <w:noProof/>
          <w:lang w:val="en-NZ" w:eastAsia="en-NZ"/>
        </w:rPr>
      </w:pPr>
      <w:r>
        <w:rPr>
          <w:noProof/>
        </w:rPr>
        <w:t>Appendix 4: Henry Rongomau Bennett Centre Models of Care and Facility Infrastructure Review</w:t>
      </w:r>
      <w:r>
        <w:rPr>
          <w:noProof/>
        </w:rPr>
        <w:tab/>
      </w:r>
      <w:r>
        <w:rPr>
          <w:noProof/>
        </w:rPr>
        <w:fldChar w:fldCharType="begin"/>
      </w:r>
      <w:r>
        <w:rPr>
          <w:noProof/>
        </w:rPr>
        <w:instrText xml:space="preserve"> PAGEREF _Toc448394392 \h </w:instrText>
      </w:r>
      <w:r>
        <w:rPr>
          <w:noProof/>
        </w:rPr>
      </w:r>
      <w:r>
        <w:rPr>
          <w:noProof/>
        </w:rPr>
        <w:fldChar w:fldCharType="separate"/>
      </w:r>
      <w:r>
        <w:rPr>
          <w:noProof/>
        </w:rPr>
        <w:t>52</w:t>
      </w:r>
      <w:r>
        <w:rPr>
          <w:noProof/>
        </w:rPr>
        <w:fldChar w:fldCharType="end"/>
      </w:r>
    </w:p>
    <w:p w14:paraId="78E6BA30" w14:textId="77777777" w:rsidR="00920088" w:rsidRDefault="00920088">
      <w:pPr>
        <w:pStyle w:val="TOC2"/>
        <w:tabs>
          <w:tab w:val="right" w:leader="dot" w:pos="9010"/>
        </w:tabs>
        <w:rPr>
          <w:rFonts w:eastAsiaTheme="minorEastAsia"/>
          <w:smallCaps w:val="0"/>
          <w:noProof/>
          <w:lang w:val="en-NZ" w:eastAsia="en-NZ"/>
        </w:rPr>
      </w:pPr>
      <w:r>
        <w:rPr>
          <w:noProof/>
        </w:rPr>
        <w:t>Appendix 5: Report into investigation into the recruitment of Dr Mohamed Siddiqui (REDACTED)</w:t>
      </w:r>
      <w:r>
        <w:rPr>
          <w:noProof/>
        </w:rPr>
        <w:tab/>
      </w:r>
      <w:r>
        <w:rPr>
          <w:noProof/>
        </w:rPr>
        <w:fldChar w:fldCharType="begin"/>
      </w:r>
      <w:r>
        <w:rPr>
          <w:noProof/>
        </w:rPr>
        <w:instrText xml:space="preserve"> PAGEREF _Toc448394393 \h </w:instrText>
      </w:r>
      <w:r>
        <w:rPr>
          <w:noProof/>
        </w:rPr>
      </w:r>
      <w:r>
        <w:rPr>
          <w:noProof/>
        </w:rPr>
        <w:fldChar w:fldCharType="separate"/>
      </w:r>
      <w:r>
        <w:rPr>
          <w:noProof/>
        </w:rPr>
        <w:t>55</w:t>
      </w:r>
      <w:r>
        <w:rPr>
          <w:noProof/>
        </w:rPr>
        <w:fldChar w:fldCharType="end"/>
      </w:r>
    </w:p>
    <w:p w14:paraId="6E201A2E" w14:textId="77777777" w:rsidR="008656AA" w:rsidRDefault="008656AA" w:rsidP="008656AA">
      <w:r w:rsidRPr="000C507A">
        <w:fldChar w:fldCharType="end"/>
      </w:r>
    </w:p>
    <w:p w14:paraId="60995A35" w14:textId="77777777" w:rsidR="008656AA" w:rsidRDefault="008656AA" w:rsidP="008656AA">
      <w:pPr>
        <w:spacing w:before="0" w:after="0"/>
      </w:pPr>
      <w:r>
        <w:br w:type="page"/>
      </w:r>
    </w:p>
    <w:p w14:paraId="76269B10" w14:textId="77777777" w:rsidR="008656AA" w:rsidRDefault="008656AA" w:rsidP="008656AA">
      <w:pPr>
        <w:pStyle w:val="Heading1"/>
      </w:pPr>
      <w:bookmarkStart w:id="4" w:name="_Toc448394323"/>
      <w:r w:rsidRPr="000C507A">
        <w:lastRenderedPageBreak/>
        <w:t>Introduction</w:t>
      </w:r>
      <w:bookmarkEnd w:id="4"/>
    </w:p>
    <w:p w14:paraId="2D6C1031" w14:textId="0F45176E" w:rsidR="00C6729F" w:rsidRDefault="0078357E" w:rsidP="008656AA">
      <w:r>
        <w:t>In early 2015, there were</w:t>
      </w:r>
      <w:r w:rsidR="00C6729F">
        <w:t xml:space="preserve"> a number of serious events at the Waikato District Health Board mental health and addiction services</w:t>
      </w:r>
      <w:r>
        <w:t>. Following these events,</w:t>
      </w:r>
      <w:r w:rsidR="00C6729F">
        <w:t xml:space="preserve"> Dr John </w:t>
      </w:r>
      <w:proofErr w:type="spellStart"/>
      <w:r w:rsidR="00C6729F">
        <w:t>Crawshaw</w:t>
      </w:r>
      <w:proofErr w:type="spellEnd"/>
      <w:r w:rsidR="00C6729F">
        <w:t>, Director of Mental Health, decided to use his statutory powers under section 99</w:t>
      </w:r>
      <w:r w:rsidR="00472DAF">
        <w:rPr>
          <w:rStyle w:val="FootnoteReference"/>
        </w:rPr>
        <w:footnoteReference w:id="1"/>
      </w:r>
      <w:r w:rsidR="00C6729F">
        <w:t xml:space="preserve"> of the Mental Health (Compulsory Assessment and Treatment Act) 1992 to inspect the services to ensure they are providing a good quality of care to people in the Waikato region. </w:t>
      </w:r>
    </w:p>
    <w:p w14:paraId="4B3AE4E5" w14:textId="1223DB61" w:rsidR="00C6729F" w:rsidRDefault="00C6729F" w:rsidP="008656AA">
      <w:r>
        <w:t xml:space="preserve">Dr </w:t>
      </w:r>
      <w:proofErr w:type="spellStart"/>
      <w:r>
        <w:t>Crawshaw</w:t>
      </w:r>
      <w:proofErr w:type="spellEnd"/>
      <w:r>
        <w:t xml:space="preserve">, alongside colleagues from the Ministry of Health and a consumer leader from </w:t>
      </w:r>
      <w:proofErr w:type="spellStart"/>
      <w:r w:rsidRPr="00FB4E54">
        <w:t>Te</w:t>
      </w:r>
      <w:proofErr w:type="spellEnd"/>
      <w:r w:rsidRPr="00FB4E54">
        <w:t xml:space="preserve"> </w:t>
      </w:r>
      <w:proofErr w:type="spellStart"/>
      <w:r w:rsidRPr="00FB4E54">
        <w:t>Kupenga</w:t>
      </w:r>
      <w:proofErr w:type="spellEnd"/>
      <w:r w:rsidRPr="00FB4E54">
        <w:t xml:space="preserve"> Net Trust</w:t>
      </w:r>
      <w:r w:rsidR="00BD0B71">
        <w:t>, carried out this</w:t>
      </w:r>
      <w:r>
        <w:t xml:space="preserve"> in</w:t>
      </w:r>
      <w:r w:rsidR="003F7425">
        <w:t>spection</w:t>
      </w:r>
      <w:r>
        <w:t xml:space="preserve"> in August 2015.</w:t>
      </w:r>
    </w:p>
    <w:p w14:paraId="1732CDF3" w14:textId="29044234" w:rsidR="00C6729F" w:rsidRDefault="00C6729F" w:rsidP="008656AA">
      <w:r>
        <w:t>This document is the final report from that in</w:t>
      </w:r>
      <w:r w:rsidR="00C92404">
        <w:t>spection</w:t>
      </w:r>
      <w:r>
        <w:t xml:space="preserve">. </w:t>
      </w:r>
    </w:p>
    <w:p w14:paraId="1F54F123" w14:textId="77777777" w:rsidR="008656AA" w:rsidRDefault="008656AA" w:rsidP="008656AA">
      <w:pPr>
        <w:pStyle w:val="Heading2"/>
      </w:pPr>
      <w:bookmarkStart w:id="5" w:name="_Toc448394324"/>
      <w:r w:rsidRPr="000C507A">
        <w:t xml:space="preserve">Terms of </w:t>
      </w:r>
      <w:r w:rsidR="00D31866">
        <w:t>r</w:t>
      </w:r>
      <w:r w:rsidRPr="000C507A">
        <w:t>eference</w:t>
      </w:r>
      <w:r>
        <w:rPr>
          <w:rStyle w:val="FootnoteReference"/>
        </w:rPr>
        <w:footnoteReference w:id="2"/>
      </w:r>
      <w:bookmarkEnd w:id="5"/>
    </w:p>
    <w:p w14:paraId="7C003EA1" w14:textId="77777777" w:rsidR="00C6729F" w:rsidRPr="007C27A6" w:rsidRDefault="00C6729F" w:rsidP="00C6729F">
      <w:r>
        <w:t>Set out below are the original terms of reference for this Inspection.</w:t>
      </w:r>
    </w:p>
    <w:p w14:paraId="18B37DEB" w14:textId="77777777" w:rsidR="008656AA" w:rsidRPr="002E5C4E" w:rsidRDefault="008656AA" w:rsidP="008656AA">
      <w:pPr>
        <w:rPr>
          <w:b/>
        </w:rPr>
      </w:pPr>
      <w:r w:rsidRPr="002E5C4E">
        <w:rPr>
          <w:b/>
        </w:rPr>
        <w:t>Purpose</w:t>
      </w:r>
    </w:p>
    <w:p w14:paraId="38F26EAC" w14:textId="77777777" w:rsidR="008656AA" w:rsidRPr="00EC59A4" w:rsidRDefault="008656AA" w:rsidP="008656AA">
      <w:r w:rsidRPr="00EC59A4">
        <w:t xml:space="preserve">The purpose </w:t>
      </w:r>
      <w:r>
        <w:t xml:space="preserve">of this review is for the Director of Mental Health </w:t>
      </w:r>
      <w:r w:rsidRPr="00EC59A4">
        <w:t>to inspect the service so he can examine how the services are functioning. This will enable him to determine whether there are any systemic issues</w:t>
      </w:r>
      <w:r>
        <w:t>,</w:t>
      </w:r>
      <w:r w:rsidRPr="00EC59A4">
        <w:t xml:space="preserve"> and if there are none</w:t>
      </w:r>
      <w:r>
        <w:t>,</w:t>
      </w:r>
      <w:r w:rsidRPr="00EC59A4">
        <w:t xml:space="preserve"> to assure the public on how the services are being run.</w:t>
      </w:r>
    </w:p>
    <w:p w14:paraId="478C8F34" w14:textId="77777777" w:rsidR="008656AA" w:rsidRPr="002E5C4E" w:rsidRDefault="008656AA" w:rsidP="008656AA">
      <w:pPr>
        <w:rPr>
          <w:b/>
        </w:rPr>
      </w:pPr>
      <w:r w:rsidRPr="002E5C4E">
        <w:rPr>
          <w:b/>
        </w:rPr>
        <w:t>Background</w:t>
      </w:r>
    </w:p>
    <w:p w14:paraId="765EAC1B" w14:textId="77777777" w:rsidR="008656AA" w:rsidRDefault="008656AA" w:rsidP="008656AA">
      <w:r w:rsidRPr="00EC59A4">
        <w:t xml:space="preserve">Waikato DHB Mental Health Services have had </w:t>
      </w:r>
      <w:r>
        <w:t xml:space="preserve">number of </w:t>
      </w:r>
      <w:r w:rsidRPr="00EC59A4">
        <w:t xml:space="preserve">incidents </w:t>
      </w:r>
      <w:r>
        <w:t xml:space="preserve">raised in the media </w:t>
      </w:r>
      <w:r w:rsidRPr="00EC59A4">
        <w:t>over the past 6 months.</w:t>
      </w:r>
      <w:r>
        <w:t xml:space="preserve"> The final issue was the </w:t>
      </w:r>
      <w:r w:rsidRPr="00EC59A4">
        <w:t>charging of an overseas doctor, who was believed</w:t>
      </w:r>
      <w:r>
        <w:t xml:space="preserve"> to not have the qualifications</w:t>
      </w:r>
      <w:r w:rsidRPr="00EC59A4">
        <w:t xml:space="preserve"> he claimed</w:t>
      </w:r>
      <w:r>
        <w:t>,</w:t>
      </w:r>
      <w:r w:rsidRPr="00EC59A4">
        <w:t xml:space="preserve"> with fraud on 25 July 2015</w:t>
      </w:r>
      <w:r w:rsidR="00050364">
        <w:t>.</w:t>
      </w:r>
    </w:p>
    <w:p w14:paraId="28FD8F6E" w14:textId="77777777" w:rsidR="008656AA" w:rsidRDefault="008656AA" w:rsidP="008656AA">
      <w:r w:rsidRPr="00EC59A4">
        <w:t xml:space="preserve">There has been intense media and other public comment around </w:t>
      </w:r>
      <w:r>
        <w:t>the various</w:t>
      </w:r>
      <w:r w:rsidRPr="00EC59A4">
        <w:t xml:space="preserve"> incidents </w:t>
      </w:r>
      <w:r>
        <w:t>and the services offered by the Waikato DHB Mental Health Services. T</w:t>
      </w:r>
      <w:r w:rsidRPr="00EC59A4">
        <w:t xml:space="preserve">his has given rise to a perception and concern in some about the quality and functioning of these services.  </w:t>
      </w:r>
    </w:p>
    <w:p w14:paraId="2274401C" w14:textId="77777777" w:rsidR="008656AA" w:rsidRDefault="008656AA" w:rsidP="008656AA">
      <w:r w:rsidRPr="00EC59A4">
        <w:t xml:space="preserve">As a result the Director of Mental Health has decided to use his statutory powers under s99 of the Mental Health (Compulsory Assessment and Treatment) Act </w:t>
      </w:r>
      <w:r>
        <w:t xml:space="preserve">1992 </w:t>
      </w:r>
      <w:r w:rsidRPr="00EC59A4">
        <w:t xml:space="preserve">to inspect the </w:t>
      </w:r>
      <w:r>
        <w:t>Waikato DHB Mental Health Services</w:t>
      </w:r>
      <w:r w:rsidRPr="00EC59A4">
        <w:t xml:space="preserve"> so he can examine how the services are functioning. This will enable him to determine whether there are any systemic issues and if there are none to assure the public on how the services are being run.</w:t>
      </w:r>
    </w:p>
    <w:p w14:paraId="60CC4125" w14:textId="77777777" w:rsidR="008656AA" w:rsidRPr="002E5C4E" w:rsidRDefault="008656AA" w:rsidP="008656AA">
      <w:pPr>
        <w:rPr>
          <w:b/>
        </w:rPr>
      </w:pPr>
      <w:r w:rsidRPr="002E5C4E">
        <w:rPr>
          <w:b/>
        </w:rPr>
        <w:t>Review process</w:t>
      </w:r>
    </w:p>
    <w:p w14:paraId="16EC1384" w14:textId="77777777" w:rsidR="008656AA" w:rsidRPr="005123E0" w:rsidRDefault="008656AA" w:rsidP="008656AA">
      <w:r w:rsidRPr="005123E0">
        <w:t xml:space="preserve">The Director will be taking a small team with him to ensure there is a comprehensive look at not just the operational and clinical governance and functioning of the service but also how that operational and clinical governance is overseen by the wider DHB processes.  </w:t>
      </w:r>
    </w:p>
    <w:p w14:paraId="79B57814" w14:textId="77777777" w:rsidR="008656AA" w:rsidRPr="005123E0" w:rsidRDefault="008656AA" w:rsidP="008656AA">
      <w:pPr>
        <w:spacing w:after="0"/>
        <w:jc w:val="both"/>
      </w:pPr>
      <w:r w:rsidRPr="005123E0">
        <w:lastRenderedPageBreak/>
        <w:t>While any individual incidents are important they are not the subject of this inspection as there are separate processes (criminal, quality and statutory) to look at those incidents. There will be careful analysis of the DHB recruitment, credentialing and supervision of new staff and in particular overseas trained staff, with particular reference to the recent allegations leading to an overseas doctor being charged with fraud.</w:t>
      </w:r>
    </w:p>
    <w:p w14:paraId="41CCA242" w14:textId="77777777" w:rsidR="008656AA" w:rsidRDefault="00050364" w:rsidP="008656AA">
      <w:pPr>
        <w:pStyle w:val="Heading2"/>
      </w:pPr>
      <w:bookmarkStart w:id="6" w:name="_Toc434777377"/>
      <w:bookmarkStart w:id="7" w:name="_Toc434777378"/>
      <w:bookmarkStart w:id="8" w:name="_Toc448394325"/>
      <w:bookmarkEnd w:id="6"/>
      <w:bookmarkEnd w:id="7"/>
      <w:r>
        <w:t>The Inspection</w:t>
      </w:r>
      <w:r w:rsidRPr="000C507A">
        <w:t xml:space="preserve"> </w:t>
      </w:r>
      <w:r w:rsidR="008656AA" w:rsidRPr="000C507A">
        <w:t>Team</w:t>
      </w:r>
      <w:bookmarkEnd w:id="8"/>
    </w:p>
    <w:p w14:paraId="627995B7" w14:textId="77777777" w:rsidR="00D31866" w:rsidRPr="00D31866" w:rsidRDefault="00F313CF" w:rsidP="00C9182E">
      <w:r>
        <w:t>The I</w:t>
      </w:r>
      <w:r w:rsidR="00D31866">
        <w:t>nspec</w:t>
      </w:r>
      <w:r>
        <w:t>tion T</w:t>
      </w:r>
      <w:r w:rsidR="00D31866">
        <w:t>eam consisted of the following people.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8656AA" w:rsidRPr="000C507A" w14:paraId="32B9A8DE" w14:textId="77777777" w:rsidTr="00DB7372">
        <w:tc>
          <w:tcPr>
            <w:tcW w:w="4505" w:type="dxa"/>
          </w:tcPr>
          <w:p w14:paraId="6D718237" w14:textId="77777777" w:rsidR="008656AA" w:rsidRPr="000C507A" w:rsidRDefault="008656AA" w:rsidP="00DB7372">
            <w:r w:rsidRPr="000C507A">
              <w:t xml:space="preserve">Dr John </w:t>
            </w:r>
            <w:proofErr w:type="spellStart"/>
            <w:r w:rsidRPr="000C507A">
              <w:t>Crawshaw</w:t>
            </w:r>
            <w:proofErr w:type="spellEnd"/>
          </w:p>
        </w:tc>
        <w:tc>
          <w:tcPr>
            <w:tcW w:w="4505" w:type="dxa"/>
          </w:tcPr>
          <w:p w14:paraId="369D7809" w14:textId="77777777" w:rsidR="008656AA" w:rsidRPr="000C507A" w:rsidRDefault="008656AA" w:rsidP="00DB7372">
            <w:r w:rsidRPr="000C507A">
              <w:t>Director of Mental Health, Chief Advisor</w:t>
            </w:r>
          </w:p>
          <w:p w14:paraId="5212B514" w14:textId="77777777" w:rsidR="008656AA" w:rsidRPr="000C507A" w:rsidRDefault="008656AA" w:rsidP="00DB7372">
            <w:r w:rsidRPr="000C507A">
              <w:t>Ministry of Health</w:t>
            </w:r>
          </w:p>
        </w:tc>
      </w:tr>
      <w:tr w:rsidR="008656AA" w:rsidRPr="000C507A" w14:paraId="2981B76F" w14:textId="77777777" w:rsidTr="00DB7372">
        <w:tc>
          <w:tcPr>
            <w:tcW w:w="4505" w:type="dxa"/>
          </w:tcPr>
          <w:p w14:paraId="17901602" w14:textId="77777777" w:rsidR="008656AA" w:rsidRPr="000C507A" w:rsidRDefault="008656AA" w:rsidP="00DB7372">
            <w:r w:rsidRPr="000C507A">
              <w:t>Dr Jane O’Malley</w:t>
            </w:r>
          </w:p>
        </w:tc>
        <w:tc>
          <w:tcPr>
            <w:tcW w:w="4505" w:type="dxa"/>
          </w:tcPr>
          <w:p w14:paraId="0DA8F789" w14:textId="77777777" w:rsidR="008656AA" w:rsidRPr="000C507A" w:rsidRDefault="008656AA" w:rsidP="00DB7372">
            <w:r w:rsidRPr="000C507A">
              <w:t>Chief Nurse</w:t>
            </w:r>
          </w:p>
          <w:p w14:paraId="262D0E13" w14:textId="77777777" w:rsidR="008656AA" w:rsidRPr="000C507A" w:rsidRDefault="008656AA" w:rsidP="00DB7372">
            <w:r w:rsidRPr="000C507A">
              <w:t>Ministry of Health</w:t>
            </w:r>
          </w:p>
        </w:tc>
      </w:tr>
      <w:tr w:rsidR="008656AA" w:rsidRPr="000C507A" w14:paraId="06B10D52" w14:textId="77777777" w:rsidTr="00DB7372">
        <w:tc>
          <w:tcPr>
            <w:tcW w:w="4505" w:type="dxa"/>
          </w:tcPr>
          <w:p w14:paraId="7066F091" w14:textId="77777777" w:rsidR="008656AA" w:rsidRPr="000C507A" w:rsidRDefault="008656AA" w:rsidP="00DB7372">
            <w:r w:rsidRPr="000C507A">
              <w:t xml:space="preserve">Wi </w:t>
            </w:r>
            <w:proofErr w:type="spellStart"/>
            <w:r w:rsidRPr="000C507A">
              <w:t>Keelan</w:t>
            </w:r>
            <w:proofErr w:type="spellEnd"/>
          </w:p>
        </w:tc>
        <w:tc>
          <w:tcPr>
            <w:tcW w:w="4505" w:type="dxa"/>
          </w:tcPr>
          <w:p w14:paraId="3827E350" w14:textId="77777777" w:rsidR="008656AA" w:rsidRPr="000C507A" w:rsidRDefault="008656AA" w:rsidP="00DB7372">
            <w:r w:rsidRPr="000C507A">
              <w:t xml:space="preserve">Chief Advisor, </w:t>
            </w:r>
            <w:r>
              <w:t>Māori</w:t>
            </w:r>
            <w:r w:rsidRPr="000C507A">
              <w:t xml:space="preserve"> Health</w:t>
            </w:r>
          </w:p>
          <w:p w14:paraId="6D48389F" w14:textId="77777777" w:rsidR="008656AA" w:rsidRPr="000C507A" w:rsidRDefault="008656AA" w:rsidP="00DB7372">
            <w:r w:rsidRPr="000C507A">
              <w:t>Ministry of Health</w:t>
            </w:r>
          </w:p>
        </w:tc>
      </w:tr>
      <w:tr w:rsidR="008656AA" w:rsidRPr="000C507A" w14:paraId="71AA1ED5" w14:textId="77777777" w:rsidTr="00DB7372">
        <w:tc>
          <w:tcPr>
            <w:tcW w:w="4505" w:type="dxa"/>
          </w:tcPr>
          <w:p w14:paraId="5158C972" w14:textId="77777777" w:rsidR="008656AA" w:rsidRPr="000C507A" w:rsidRDefault="008656AA" w:rsidP="00DB7372">
            <w:r w:rsidRPr="000C507A">
              <w:t>Mike Elliott</w:t>
            </w:r>
          </w:p>
        </w:tc>
        <w:tc>
          <w:tcPr>
            <w:tcW w:w="4505" w:type="dxa"/>
          </w:tcPr>
          <w:p w14:paraId="5634FF44" w14:textId="77777777" w:rsidR="008656AA" w:rsidRPr="000C507A" w:rsidRDefault="008656AA" w:rsidP="00DB7372">
            <w:r w:rsidRPr="000C507A">
              <w:t>Principle Advisor, People and Capability</w:t>
            </w:r>
          </w:p>
          <w:p w14:paraId="4A31C046" w14:textId="77777777" w:rsidR="008656AA" w:rsidRPr="000C507A" w:rsidRDefault="008656AA" w:rsidP="00DB7372">
            <w:r w:rsidRPr="000C507A">
              <w:t>Ministry of Health</w:t>
            </w:r>
          </w:p>
        </w:tc>
      </w:tr>
      <w:tr w:rsidR="008656AA" w:rsidRPr="000C507A" w14:paraId="6A697330" w14:textId="77777777" w:rsidTr="00DB7372">
        <w:tc>
          <w:tcPr>
            <w:tcW w:w="4505" w:type="dxa"/>
          </w:tcPr>
          <w:p w14:paraId="266DD6AE" w14:textId="77777777" w:rsidR="008656AA" w:rsidRPr="000C507A" w:rsidRDefault="008656AA" w:rsidP="00DB7372">
            <w:r w:rsidRPr="000C507A">
              <w:t>Chloe Fergusson-</w:t>
            </w:r>
            <w:proofErr w:type="spellStart"/>
            <w:r w:rsidRPr="000C507A">
              <w:t>Tibble</w:t>
            </w:r>
            <w:proofErr w:type="spellEnd"/>
          </w:p>
        </w:tc>
        <w:tc>
          <w:tcPr>
            <w:tcW w:w="4505" w:type="dxa"/>
          </w:tcPr>
          <w:p w14:paraId="5ED18A14" w14:textId="77777777" w:rsidR="00FB4E54" w:rsidRDefault="00FB4E54" w:rsidP="00DB7372">
            <w:r>
              <w:t>Consumer Leader</w:t>
            </w:r>
          </w:p>
          <w:p w14:paraId="27AB1C4D" w14:textId="77777777" w:rsidR="008656AA" w:rsidRPr="000C507A" w:rsidRDefault="00FB4E54" w:rsidP="00DB7372">
            <w:proofErr w:type="spellStart"/>
            <w:r w:rsidRPr="00FB4E54">
              <w:t>Te</w:t>
            </w:r>
            <w:proofErr w:type="spellEnd"/>
            <w:r w:rsidRPr="00FB4E54">
              <w:t xml:space="preserve"> </w:t>
            </w:r>
            <w:proofErr w:type="spellStart"/>
            <w:r w:rsidRPr="00FB4E54">
              <w:t>Kupenga</w:t>
            </w:r>
            <w:proofErr w:type="spellEnd"/>
            <w:r w:rsidRPr="00FB4E54">
              <w:t xml:space="preserve"> Net Trust, </w:t>
            </w:r>
            <w:proofErr w:type="spellStart"/>
            <w:r w:rsidRPr="00FB4E54">
              <w:t>Tairawhiti</w:t>
            </w:r>
            <w:proofErr w:type="spellEnd"/>
          </w:p>
        </w:tc>
      </w:tr>
    </w:tbl>
    <w:p w14:paraId="6A74E1A2" w14:textId="77777777" w:rsidR="008656AA" w:rsidRDefault="008656AA" w:rsidP="008656AA">
      <w:pPr>
        <w:pStyle w:val="Heading2"/>
      </w:pPr>
      <w:bookmarkStart w:id="9" w:name="_Toc448394326"/>
      <w:r w:rsidRPr="000C507A">
        <w:t xml:space="preserve">Process of the </w:t>
      </w:r>
      <w:r w:rsidR="00D31866">
        <w:t>i</w:t>
      </w:r>
      <w:r w:rsidRPr="000C507A">
        <w:t>nspection</w:t>
      </w:r>
      <w:bookmarkEnd w:id="9"/>
    </w:p>
    <w:p w14:paraId="210104F5" w14:textId="77777777" w:rsidR="00D31866" w:rsidRPr="006D00DA" w:rsidRDefault="00D31866" w:rsidP="00C9182E">
      <w:r>
        <w:t>The process of the inspection consisted of the following.</w:t>
      </w:r>
    </w:p>
    <w:p w14:paraId="3F27DD35" w14:textId="77777777" w:rsidR="008656AA" w:rsidRDefault="008656AA" w:rsidP="008656AA">
      <w:pPr>
        <w:pStyle w:val="ListParagraph"/>
        <w:numPr>
          <w:ilvl w:val="0"/>
          <w:numId w:val="40"/>
        </w:numPr>
      </w:pPr>
      <w:r>
        <w:t xml:space="preserve">Meeting with </w:t>
      </w:r>
      <w:r w:rsidR="00D31866">
        <w:t xml:space="preserve">district health board </w:t>
      </w:r>
      <w:r>
        <w:t>leadership</w:t>
      </w:r>
    </w:p>
    <w:p w14:paraId="775E088D" w14:textId="77777777" w:rsidR="008656AA" w:rsidRPr="000C507A" w:rsidRDefault="008656AA" w:rsidP="008656AA">
      <w:pPr>
        <w:ind w:left="720"/>
      </w:pPr>
      <w:r w:rsidRPr="000C507A">
        <w:t xml:space="preserve">The </w:t>
      </w:r>
      <w:r>
        <w:t>r</w:t>
      </w:r>
      <w:r w:rsidRPr="000C507A">
        <w:t xml:space="preserve">eviewers met with the leadership of the Waikato </w:t>
      </w:r>
      <w:r w:rsidR="00D31866">
        <w:t xml:space="preserve">District Health Board (DHB) </w:t>
      </w:r>
      <w:r w:rsidRPr="000C507A">
        <w:t>Mental Health and Addiction Service (</w:t>
      </w:r>
      <w:r w:rsidR="004B39BE">
        <w:t>MHAS</w:t>
      </w:r>
      <w:r w:rsidRPr="000C507A">
        <w:t xml:space="preserve">) to receive an overview of the service and the issues as seen by the leadership team. They </w:t>
      </w:r>
      <w:r w:rsidR="006D00DA">
        <w:t xml:space="preserve">received </w:t>
      </w:r>
      <w:r w:rsidRPr="000C507A">
        <w:t>extensive documentation of the service.</w:t>
      </w:r>
      <w:r>
        <w:rPr>
          <w:rStyle w:val="FootnoteReference"/>
        </w:rPr>
        <w:footnoteReference w:id="3"/>
      </w:r>
    </w:p>
    <w:p w14:paraId="6D7B024E" w14:textId="77777777" w:rsidR="008656AA" w:rsidRDefault="008656AA" w:rsidP="008656AA">
      <w:pPr>
        <w:pStyle w:val="ListParagraph"/>
        <w:numPr>
          <w:ilvl w:val="0"/>
          <w:numId w:val="40"/>
        </w:numPr>
      </w:pPr>
      <w:r>
        <w:t>Meeting with wider staff</w:t>
      </w:r>
      <w:r w:rsidR="004B4BA6">
        <w:t xml:space="preserve"> </w:t>
      </w:r>
      <w:r w:rsidR="006D00DA">
        <w:t>and</w:t>
      </w:r>
      <w:r w:rsidR="004B4BA6">
        <w:t xml:space="preserve"> community</w:t>
      </w:r>
      <w:r w:rsidR="006D00DA">
        <w:t>,</w:t>
      </w:r>
      <w:r w:rsidR="004B4BA6">
        <w:t xml:space="preserve"> including </w:t>
      </w:r>
      <w:r w:rsidR="006D00DA">
        <w:t xml:space="preserve">non-governmental organisations </w:t>
      </w:r>
      <w:r w:rsidR="004B4BA6">
        <w:t xml:space="preserve">and </w:t>
      </w:r>
      <w:proofErr w:type="spellStart"/>
      <w:r w:rsidR="004B4BA6">
        <w:t>wh</w:t>
      </w:r>
      <w:r w:rsidR="004916E8">
        <w:t>ā</w:t>
      </w:r>
      <w:r w:rsidR="004B4BA6">
        <w:t>nau</w:t>
      </w:r>
      <w:proofErr w:type="spellEnd"/>
    </w:p>
    <w:p w14:paraId="2314588F" w14:textId="77777777" w:rsidR="008656AA" w:rsidRDefault="008656AA" w:rsidP="008656AA">
      <w:pPr>
        <w:ind w:left="720"/>
      </w:pPr>
      <w:r w:rsidRPr="000C507A">
        <w:t xml:space="preserve">The </w:t>
      </w:r>
      <w:r w:rsidR="00050364">
        <w:t>Inspection</w:t>
      </w:r>
      <w:r w:rsidR="00050364" w:rsidRPr="000C507A">
        <w:t xml:space="preserve"> </w:t>
      </w:r>
      <w:r w:rsidR="00050364">
        <w:t>T</w:t>
      </w:r>
      <w:r w:rsidRPr="000C507A">
        <w:t xml:space="preserve">eam then met with a wide range of staff both within the </w:t>
      </w:r>
      <w:r w:rsidR="004B39BE">
        <w:t>MHAS</w:t>
      </w:r>
      <w:r w:rsidRPr="000C507A">
        <w:t xml:space="preserve"> and in the wider DHB</w:t>
      </w:r>
      <w:r w:rsidR="006D00DA">
        <w:t xml:space="preserve">, and </w:t>
      </w:r>
      <w:r>
        <w:t>with k</w:t>
      </w:r>
      <w:r w:rsidRPr="000C507A">
        <w:t xml:space="preserve">ey </w:t>
      </w:r>
      <w:r w:rsidR="006D00DA">
        <w:t>non-governmental organisations (</w:t>
      </w:r>
      <w:r w:rsidRPr="000C507A">
        <w:t>NGOs</w:t>
      </w:r>
      <w:r w:rsidR="006D00DA">
        <w:t>)</w:t>
      </w:r>
      <w:r w:rsidRPr="000C507A">
        <w:t xml:space="preserve">, </w:t>
      </w:r>
      <w:r w:rsidR="006D00DA">
        <w:t xml:space="preserve">and </w:t>
      </w:r>
      <w:r w:rsidRPr="000C507A">
        <w:t xml:space="preserve">consumer and </w:t>
      </w:r>
      <w:proofErr w:type="spellStart"/>
      <w:r>
        <w:t>whānau</w:t>
      </w:r>
      <w:proofErr w:type="spellEnd"/>
      <w:r w:rsidRPr="000C507A">
        <w:t xml:space="preserve"> </w:t>
      </w:r>
      <w:r>
        <w:t>groups</w:t>
      </w:r>
      <w:r w:rsidRPr="000C507A">
        <w:t xml:space="preserve">. </w:t>
      </w:r>
      <w:r w:rsidR="006D00DA">
        <w:t>The Team consulted k</w:t>
      </w:r>
      <w:r w:rsidRPr="000C507A">
        <w:t xml:space="preserve">ey </w:t>
      </w:r>
      <w:r>
        <w:t>u</w:t>
      </w:r>
      <w:r w:rsidRPr="000C507A">
        <w:t>nions</w:t>
      </w:r>
      <w:r w:rsidR="006D00DA">
        <w:t xml:space="preserve">, seeking </w:t>
      </w:r>
      <w:r w:rsidRPr="000C507A">
        <w:t xml:space="preserve">perspectives from their membership. </w:t>
      </w:r>
      <w:r w:rsidR="00050364">
        <w:t xml:space="preserve">Please </w:t>
      </w:r>
      <w:proofErr w:type="gramStart"/>
      <w:r w:rsidR="00050364">
        <w:t>note,</w:t>
      </w:r>
      <w:proofErr w:type="gramEnd"/>
      <w:r w:rsidR="00050364">
        <w:t xml:space="preserve"> </w:t>
      </w:r>
      <w:r w:rsidR="006D00DA">
        <w:t xml:space="preserve">this report identifies </w:t>
      </w:r>
      <w:r w:rsidR="00050364">
        <w:t>no individuals or individual comments</w:t>
      </w:r>
      <w:r w:rsidR="006D00DA">
        <w:t>: the people the Team spoke</w:t>
      </w:r>
      <w:r w:rsidRPr="000C507A">
        <w:t xml:space="preserve"> with did so </w:t>
      </w:r>
      <w:r w:rsidR="006D00DA">
        <w:t xml:space="preserve">on </w:t>
      </w:r>
      <w:r w:rsidRPr="000C507A">
        <w:t xml:space="preserve">the understanding that their </w:t>
      </w:r>
      <w:r w:rsidR="00050364">
        <w:t>interview</w:t>
      </w:r>
      <w:r w:rsidR="00050364" w:rsidRPr="000C507A">
        <w:t xml:space="preserve"> </w:t>
      </w:r>
      <w:r w:rsidRPr="000C507A">
        <w:t>comments would be kept confidential</w:t>
      </w:r>
      <w:r w:rsidR="006D00DA">
        <w:t>.</w:t>
      </w:r>
    </w:p>
    <w:p w14:paraId="2AEF0B41" w14:textId="77777777" w:rsidR="005341C3" w:rsidRPr="000C507A" w:rsidRDefault="005341C3" w:rsidP="008656AA">
      <w:pPr>
        <w:ind w:left="720"/>
      </w:pPr>
    </w:p>
    <w:p w14:paraId="5E9620EB" w14:textId="77777777" w:rsidR="008656AA" w:rsidRDefault="001E6ED6" w:rsidP="008656AA">
      <w:pPr>
        <w:pStyle w:val="ListParagraph"/>
        <w:numPr>
          <w:ilvl w:val="0"/>
          <w:numId w:val="40"/>
        </w:numPr>
      </w:pPr>
      <w:r>
        <w:lastRenderedPageBreak/>
        <w:t>Inspection</w:t>
      </w:r>
      <w:r w:rsidR="008656AA">
        <w:t xml:space="preserve"> of facilities</w:t>
      </w:r>
    </w:p>
    <w:p w14:paraId="4079AF56" w14:textId="77777777" w:rsidR="008656AA" w:rsidRPr="000C507A" w:rsidRDefault="006D00DA" w:rsidP="008656AA">
      <w:pPr>
        <w:ind w:left="720"/>
      </w:pPr>
      <w:r>
        <w:t>The Inspection Team p</w:t>
      </w:r>
      <w:r w:rsidR="008656AA" w:rsidRPr="000C507A">
        <w:t>hysical</w:t>
      </w:r>
      <w:r>
        <w:t>ly</w:t>
      </w:r>
      <w:r w:rsidR="008656AA" w:rsidRPr="000C507A">
        <w:t xml:space="preserve"> inspect</w:t>
      </w:r>
      <w:r>
        <w:t>ed</w:t>
      </w:r>
      <w:r w:rsidR="008656AA" w:rsidRPr="000C507A">
        <w:t xml:space="preserve"> the buildings</w:t>
      </w:r>
      <w:r>
        <w:t xml:space="preserve">, taking into account </w:t>
      </w:r>
      <w:r w:rsidR="008656AA" w:rsidRPr="000C507A">
        <w:t>an independent review of the main adult mental health inpatient facilities</w:t>
      </w:r>
      <w:r>
        <w:t xml:space="preserve"> that the DHB had</w:t>
      </w:r>
      <w:r w:rsidR="008656AA">
        <w:t xml:space="preserve"> previously </w:t>
      </w:r>
      <w:r w:rsidR="008656AA" w:rsidRPr="000C507A">
        <w:t>commissioned</w:t>
      </w:r>
      <w:r>
        <w:t>.</w:t>
      </w:r>
      <w:r w:rsidR="008656AA">
        <w:rPr>
          <w:rStyle w:val="FootnoteReference"/>
        </w:rPr>
        <w:footnoteReference w:id="4"/>
      </w:r>
    </w:p>
    <w:p w14:paraId="17485986" w14:textId="77777777" w:rsidR="008656AA" w:rsidRDefault="008656AA" w:rsidP="008656AA">
      <w:pPr>
        <w:pStyle w:val="ListParagraph"/>
        <w:numPr>
          <w:ilvl w:val="0"/>
          <w:numId w:val="40"/>
        </w:numPr>
      </w:pPr>
      <w:r>
        <w:t>Recruitment process review</w:t>
      </w:r>
    </w:p>
    <w:p w14:paraId="4D9F3701" w14:textId="77777777" w:rsidR="008656AA" w:rsidRPr="000C507A" w:rsidRDefault="008656AA" w:rsidP="008656AA">
      <w:pPr>
        <w:ind w:left="720"/>
      </w:pPr>
      <w:r w:rsidRPr="000C507A">
        <w:t xml:space="preserve">The </w:t>
      </w:r>
      <w:r w:rsidR="001C1DCB">
        <w:t>T</w:t>
      </w:r>
      <w:r w:rsidRPr="000C507A">
        <w:t>eam</w:t>
      </w:r>
      <w:r>
        <w:t>’</w:t>
      </w:r>
      <w:r w:rsidRPr="000C507A">
        <w:t xml:space="preserve">s </w:t>
      </w:r>
      <w:r>
        <w:t xml:space="preserve">human </w:t>
      </w:r>
      <w:r w:rsidR="00DB7372">
        <w:t xml:space="preserve">relations </w:t>
      </w:r>
      <w:r w:rsidR="00DB7372" w:rsidRPr="000C507A">
        <w:t>advisor</w:t>
      </w:r>
      <w:r w:rsidRPr="000C507A">
        <w:t xml:space="preserve"> undertook an audit of the recruitment of the psychiatrist who allegedly obtained employment and registration by fraudulent means.</w:t>
      </w:r>
    </w:p>
    <w:p w14:paraId="700E0C95" w14:textId="77777777" w:rsidR="008656AA" w:rsidRDefault="008656AA" w:rsidP="008656AA">
      <w:r>
        <w:t>During each stage of the inspection t</w:t>
      </w:r>
      <w:r w:rsidRPr="000C507A">
        <w:t xml:space="preserve">he </w:t>
      </w:r>
      <w:r w:rsidR="00050364">
        <w:t>T</w:t>
      </w:r>
      <w:r w:rsidRPr="000C507A">
        <w:t xml:space="preserve">eam was particularly keen to understand the </w:t>
      </w:r>
      <w:r>
        <w:t xml:space="preserve">model of care and the clinical governance </w:t>
      </w:r>
      <w:r w:rsidR="00DB7372">
        <w:t xml:space="preserve">of </w:t>
      </w:r>
      <w:r w:rsidR="00DB7372" w:rsidRPr="000C507A">
        <w:t>the</w:t>
      </w:r>
      <w:r w:rsidRPr="000C507A">
        <w:t xml:space="preserve"> </w:t>
      </w:r>
      <w:r w:rsidR="004B39BE">
        <w:t>MHAS</w:t>
      </w:r>
      <w:r w:rsidRPr="000C507A">
        <w:t xml:space="preserve">. They listened to perspectives of how </w:t>
      </w:r>
      <w:r w:rsidR="006D00DA">
        <w:t xml:space="preserve">the MHAS delivers </w:t>
      </w:r>
      <w:r w:rsidRPr="000C507A">
        <w:t>care</w:t>
      </w:r>
      <w:r>
        <w:t xml:space="preserve">, </w:t>
      </w:r>
      <w:r w:rsidRPr="000C507A">
        <w:t>and the impact it</w:t>
      </w:r>
      <w:r>
        <w:t xml:space="preserve"> </w:t>
      </w:r>
      <w:r w:rsidRPr="000C507A">
        <w:t>ha</w:t>
      </w:r>
      <w:r>
        <w:t>s</w:t>
      </w:r>
      <w:r w:rsidRPr="000C507A">
        <w:t xml:space="preserve"> on individuals and their </w:t>
      </w:r>
      <w:proofErr w:type="spellStart"/>
      <w:r>
        <w:t>whānau</w:t>
      </w:r>
      <w:proofErr w:type="spellEnd"/>
      <w:r w:rsidRPr="000C507A">
        <w:t xml:space="preserve">. </w:t>
      </w:r>
      <w:r w:rsidR="006D00DA">
        <w:t xml:space="preserve">Because </w:t>
      </w:r>
      <w:r w:rsidRPr="000C507A">
        <w:t xml:space="preserve">a number of service users </w:t>
      </w:r>
      <w:r w:rsidR="006D00DA">
        <w:t xml:space="preserve">in Waikato DHB are </w:t>
      </w:r>
      <w:r>
        <w:t>Māori,</w:t>
      </w:r>
      <w:r w:rsidRPr="000C507A">
        <w:t xml:space="preserve"> </w:t>
      </w:r>
      <w:r w:rsidR="006D00DA">
        <w:t xml:space="preserve">the Team paid </w:t>
      </w:r>
      <w:r w:rsidRPr="000C507A">
        <w:t xml:space="preserve">particular </w:t>
      </w:r>
      <w:r>
        <w:t xml:space="preserve">attention </w:t>
      </w:r>
      <w:r w:rsidR="006D00DA">
        <w:t xml:space="preserve">to </w:t>
      </w:r>
      <w:r w:rsidRPr="000C507A">
        <w:t>the cultural appropriateness of care</w:t>
      </w:r>
      <w:r>
        <w:t>,</w:t>
      </w:r>
      <w:r w:rsidRPr="000C507A">
        <w:t xml:space="preserve"> and the </w:t>
      </w:r>
      <w:r w:rsidR="004B39BE">
        <w:t>MHAS</w:t>
      </w:r>
      <w:r w:rsidR="006D00DA">
        <w:t>’</w:t>
      </w:r>
      <w:r>
        <w:t xml:space="preserve"> </w:t>
      </w:r>
      <w:r w:rsidRPr="000C507A">
        <w:t>links with</w:t>
      </w:r>
      <w:r>
        <w:t xml:space="preserve"> local</w:t>
      </w:r>
      <w:r w:rsidRPr="000C507A">
        <w:t xml:space="preserve"> </w:t>
      </w:r>
      <w:r>
        <w:t>i</w:t>
      </w:r>
      <w:r w:rsidRPr="000C507A">
        <w:t>wi.</w:t>
      </w:r>
    </w:p>
    <w:p w14:paraId="6605AD8F" w14:textId="77777777" w:rsidR="008656AA" w:rsidRDefault="00E7457E" w:rsidP="008656AA">
      <w:r>
        <w:t>At the time of the inspection, p</w:t>
      </w:r>
      <w:r w:rsidR="008656AA">
        <w:t xml:space="preserve">olice </w:t>
      </w:r>
      <w:r>
        <w:t xml:space="preserve">were actively undertaking a </w:t>
      </w:r>
      <w:r w:rsidR="008656AA">
        <w:t>criminal investigation into the events surrounding the death of a patient. To</w:t>
      </w:r>
      <w:r w:rsidR="008656AA" w:rsidRPr="009F2FD1">
        <w:t xml:space="preserve"> </w:t>
      </w:r>
      <w:r w:rsidR="008656AA">
        <w:t xml:space="preserve">ensure the </w:t>
      </w:r>
      <w:r>
        <w:t xml:space="preserve">Team’s </w:t>
      </w:r>
      <w:r w:rsidR="008656AA">
        <w:t xml:space="preserve">inspection did not interfere with the </w:t>
      </w:r>
      <w:r>
        <w:t>p</w:t>
      </w:r>
      <w:r w:rsidR="008656AA">
        <w:t xml:space="preserve">olice investigation, the Director met with the </w:t>
      </w:r>
      <w:r>
        <w:t>p</w:t>
      </w:r>
      <w:r w:rsidR="008656AA">
        <w:t>olice (including their legal advisor), the Chief Executive of the Waikato DHB and the DHB’s legal advisor. Some constraints</w:t>
      </w:r>
      <w:r w:rsidR="001C1DCB">
        <w:t xml:space="preserve"> were agreed upon</w:t>
      </w:r>
      <w:r>
        <w:t>:</w:t>
      </w:r>
      <w:r w:rsidR="001C1DCB">
        <w:t xml:space="preserve"> for instance, the Inspection Team agreed that they would not interview key </w:t>
      </w:r>
      <w:r>
        <w:t>p</w:t>
      </w:r>
      <w:r w:rsidR="001C1DCB">
        <w:t>olice witnesses</w:t>
      </w:r>
      <w:r w:rsidR="008656AA">
        <w:t xml:space="preserve">. </w:t>
      </w:r>
      <w:r>
        <w:t xml:space="preserve">The Team feels that this did not </w:t>
      </w:r>
      <w:r w:rsidR="008656AA">
        <w:t>have a material effect o</w:t>
      </w:r>
      <w:r>
        <w:t>n</w:t>
      </w:r>
      <w:r w:rsidR="008656AA">
        <w:t xml:space="preserve"> the conduct of the inspection.</w:t>
      </w:r>
    </w:p>
    <w:p w14:paraId="02E0237D" w14:textId="77777777" w:rsidR="008656AA" w:rsidRDefault="008656AA" w:rsidP="008656AA">
      <w:pPr>
        <w:pStyle w:val="Heading2"/>
      </w:pPr>
      <w:bookmarkStart w:id="10" w:name="_Toc448394327"/>
      <w:r>
        <w:t xml:space="preserve">Handling of </w:t>
      </w:r>
      <w:r w:rsidR="00E7457E">
        <w:t>a</w:t>
      </w:r>
      <w:r>
        <w:t xml:space="preserve">llegations </w:t>
      </w:r>
      <w:r w:rsidR="00E7457E">
        <w:t>c</w:t>
      </w:r>
      <w:r>
        <w:t xml:space="preserve">urrently </w:t>
      </w:r>
      <w:r w:rsidR="00E7457E">
        <w:t>b</w:t>
      </w:r>
      <w:r>
        <w:t xml:space="preserve">efore the </w:t>
      </w:r>
      <w:r w:rsidR="00E7457E">
        <w:t>c</w:t>
      </w:r>
      <w:r>
        <w:t>ourt</w:t>
      </w:r>
      <w:bookmarkEnd w:id="10"/>
    </w:p>
    <w:p w14:paraId="6BBE3266" w14:textId="77777777" w:rsidR="008656AA" w:rsidRDefault="00E7457E" w:rsidP="008656AA">
      <w:r>
        <w:t>T</w:t>
      </w:r>
      <w:r w:rsidR="008656AA">
        <w:t xml:space="preserve">his report </w:t>
      </w:r>
      <w:r>
        <w:t xml:space="preserve">only briefly summarises </w:t>
      </w:r>
      <w:r w:rsidR="008656AA">
        <w:t xml:space="preserve">findings concerning </w:t>
      </w:r>
      <w:r>
        <w:t xml:space="preserve">employment of </w:t>
      </w:r>
      <w:r w:rsidR="008656AA">
        <w:t>the doctor</w:t>
      </w:r>
      <w:r>
        <w:t xml:space="preserve"> </w:t>
      </w:r>
      <w:r w:rsidR="001A4C8E">
        <w:t xml:space="preserve">facing charges of dishonesty </w:t>
      </w:r>
      <w:r w:rsidR="001A4C8E" w:rsidRPr="004752ED">
        <w:t>and using a document for a pecuniary advantage</w:t>
      </w:r>
      <w:r w:rsidR="001A4C8E">
        <w:t xml:space="preserve"> </w:t>
      </w:r>
      <w:r>
        <w:t xml:space="preserve">due to the fact that, </w:t>
      </w:r>
      <w:r w:rsidR="008656AA">
        <w:t>at the time of writing</w:t>
      </w:r>
      <w:r>
        <w:t>,</w:t>
      </w:r>
      <w:r w:rsidR="008656AA">
        <w:t xml:space="preserve"> the matters were still before the court</w:t>
      </w:r>
      <w:r w:rsidR="001E6ED6">
        <w:t xml:space="preserve">. </w:t>
      </w:r>
      <w:r w:rsidR="001C1DCB">
        <w:t>The publication of</w:t>
      </w:r>
      <w:r w:rsidR="001E6ED6">
        <w:t xml:space="preserve"> detailed findings w</w:t>
      </w:r>
      <w:r w:rsidR="008656AA">
        <w:t>ould be prejudicial to the court proceedings.</w:t>
      </w:r>
    </w:p>
    <w:p w14:paraId="7AA0518A" w14:textId="77777777" w:rsidR="008656AA" w:rsidRDefault="008656AA" w:rsidP="008656AA">
      <w:pPr>
        <w:pStyle w:val="Heading2"/>
      </w:pPr>
      <w:bookmarkStart w:id="11" w:name="_Toc448394328"/>
      <w:r>
        <w:t xml:space="preserve">Preparation of this </w:t>
      </w:r>
      <w:r w:rsidR="00E7457E">
        <w:t>r</w:t>
      </w:r>
      <w:r>
        <w:t>eport</w:t>
      </w:r>
      <w:bookmarkEnd w:id="11"/>
    </w:p>
    <w:p w14:paraId="73650DD8" w14:textId="77777777" w:rsidR="008656AA" w:rsidRDefault="008656AA" w:rsidP="008656AA">
      <w:r>
        <w:t xml:space="preserve">The </w:t>
      </w:r>
      <w:r w:rsidR="00E7457E">
        <w:t>i</w:t>
      </w:r>
      <w:r>
        <w:t xml:space="preserve">nspection </w:t>
      </w:r>
      <w:r w:rsidR="00E7457E">
        <w:t xml:space="preserve">process </w:t>
      </w:r>
      <w:r>
        <w:t xml:space="preserve">was complex. </w:t>
      </w:r>
      <w:r w:rsidR="007A743F">
        <w:t>I</w:t>
      </w:r>
      <w:r>
        <w:t xml:space="preserve">n </w:t>
      </w:r>
      <w:r w:rsidR="00DB7372">
        <w:t>addition</w:t>
      </w:r>
      <w:r>
        <w:t xml:space="preserve"> to those in leadership and management positions</w:t>
      </w:r>
      <w:r w:rsidR="00E7457E">
        <w:t>,</w:t>
      </w:r>
      <w:r>
        <w:t xml:space="preserve"> the </w:t>
      </w:r>
      <w:r w:rsidR="001C1DCB">
        <w:t>T</w:t>
      </w:r>
      <w:r>
        <w:t>eam met with over 200 front-line staff</w:t>
      </w:r>
      <w:r w:rsidR="001C1DCB">
        <w:t>. In addition</w:t>
      </w:r>
      <w:proofErr w:type="gramStart"/>
      <w:r w:rsidR="001C1DCB">
        <w:t>,</w:t>
      </w:r>
      <w:r>
        <w:t xml:space="preserve">  the</w:t>
      </w:r>
      <w:proofErr w:type="gramEnd"/>
      <w:r>
        <w:t xml:space="preserve"> consumer leader on the </w:t>
      </w:r>
      <w:r w:rsidR="001C1DCB">
        <w:t>T</w:t>
      </w:r>
      <w:r>
        <w:t xml:space="preserve">eam heard directly from over </w:t>
      </w:r>
      <w:r w:rsidR="001E6ED6">
        <w:t>105 people</w:t>
      </w:r>
      <w:r>
        <w:t xml:space="preserve"> using the services and their </w:t>
      </w:r>
      <w:proofErr w:type="spellStart"/>
      <w:r>
        <w:t>wh</w:t>
      </w:r>
      <w:r w:rsidR="002649B6">
        <w:t>ā</w:t>
      </w:r>
      <w:r>
        <w:t>nau</w:t>
      </w:r>
      <w:proofErr w:type="spellEnd"/>
      <w:r>
        <w:t>.</w:t>
      </w:r>
      <w:r w:rsidRPr="00981ECC">
        <w:rPr>
          <w:rStyle w:val="FootnoteReference"/>
        </w:rPr>
        <w:t xml:space="preserve"> </w:t>
      </w:r>
    </w:p>
    <w:p w14:paraId="06D11B45" w14:textId="77777777" w:rsidR="008656AA" w:rsidRPr="0026168A" w:rsidRDefault="00E7457E" w:rsidP="008656AA">
      <w:r>
        <w:t>P</w:t>
      </w:r>
      <w:r w:rsidR="008656AA">
        <w:t xml:space="preserve">reparation of this report required </w:t>
      </w:r>
      <w:r w:rsidR="001C1DCB">
        <w:t xml:space="preserve">analysis of a </w:t>
      </w:r>
      <w:r w:rsidR="008656AA">
        <w:t>large amount of information</w:t>
      </w:r>
      <w:r w:rsidR="001C1DCB">
        <w:t>, including interviews</w:t>
      </w:r>
      <w:r w:rsidR="008656AA">
        <w:t xml:space="preserve">. Due to challenges </w:t>
      </w:r>
      <w:r>
        <w:t xml:space="preserve">this entailed, </w:t>
      </w:r>
      <w:r w:rsidR="008656AA">
        <w:t>and other competing priorities</w:t>
      </w:r>
      <w:r>
        <w:t>,</w:t>
      </w:r>
      <w:r w:rsidR="008656AA">
        <w:t xml:space="preserve"> there were some delays in its finalisation. </w:t>
      </w:r>
      <w:r>
        <w:t>The Team initially provided a</w:t>
      </w:r>
      <w:r w:rsidR="008656AA">
        <w:t xml:space="preserve"> draft report to the DHB for comment. The DHB’</w:t>
      </w:r>
      <w:r w:rsidR="00DB7372">
        <w:t xml:space="preserve">s </w:t>
      </w:r>
      <w:r w:rsidR="008656AA">
        <w:t xml:space="preserve">response required a further visit by Dr </w:t>
      </w:r>
      <w:proofErr w:type="spellStart"/>
      <w:r w:rsidR="008656AA">
        <w:t>Crawshaw</w:t>
      </w:r>
      <w:proofErr w:type="spellEnd"/>
      <w:r w:rsidR="008656AA">
        <w:t xml:space="preserve"> and Dr O’Malley to clarify certain aspects.</w:t>
      </w:r>
    </w:p>
    <w:p w14:paraId="1F0FED07" w14:textId="77777777" w:rsidR="008656AA" w:rsidRPr="000C507A" w:rsidRDefault="008656AA" w:rsidP="008656AA">
      <w:pPr>
        <w:pStyle w:val="Heading1"/>
      </w:pPr>
      <w:bookmarkStart w:id="12" w:name="_Toc448394329"/>
      <w:r w:rsidRPr="000C507A">
        <w:lastRenderedPageBreak/>
        <w:t>Overview of the</w:t>
      </w:r>
      <w:r w:rsidR="00EE30D4">
        <w:t xml:space="preserve"> district and its</w:t>
      </w:r>
      <w:r w:rsidRPr="000C507A">
        <w:t xml:space="preserve"> </w:t>
      </w:r>
      <w:r w:rsidR="00E7457E">
        <w:t>s</w:t>
      </w:r>
      <w:r w:rsidRPr="000C507A">
        <w:t>ervices</w:t>
      </w:r>
      <w:bookmarkEnd w:id="12"/>
    </w:p>
    <w:p w14:paraId="4104D98B" w14:textId="77777777" w:rsidR="008656AA" w:rsidRPr="000C507A" w:rsidRDefault="008656AA" w:rsidP="008656AA">
      <w:pPr>
        <w:pStyle w:val="Heading2"/>
      </w:pPr>
      <w:bookmarkStart w:id="13" w:name="_Toc448394330"/>
      <w:r w:rsidRPr="000C507A">
        <w:t xml:space="preserve">The </w:t>
      </w:r>
      <w:r w:rsidR="00E7457E">
        <w:t>d</w:t>
      </w:r>
      <w:r w:rsidRPr="000C507A">
        <w:t>istrict</w:t>
      </w:r>
      <w:bookmarkEnd w:id="13"/>
    </w:p>
    <w:p w14:paraId="721A8595" w14:textId="77777777" w:rsidR="008656AA" w:rsidRPr="000C507A" w:rsidRDefault="008656AA" w:rsidP="008656AA">
      <w:r w:rsidRPr="000C507A">
        <w:t xml:space="preserve">Waikato DHB serves a population of 391,770 and covers 21,220 square kilometres. It stretches from northern Coromandel to close to Mt </w:t>
      </w:r>
      <w:proofErr w:type="spellStart"/>
      <w:r w:rsidRPr="000C507A">
        <w:t>Ruapehu</w:t>
      </w:r>
      <w:proofErr w:type="spellEnd"/>
      <w:r w:rsidRPr="000C507A">
        <w:t xml:space="preserve"> in the </w:t>
      </w:r>
      <w:proofErr w:type="gramStart"/>
      <w:r w:rsidRPr="000C507A">
        <w:t>south,</w:t>
      </w:r>
      <w:proofErr w:type="gramEnd"/>
      <w:r w:rsidRPr="000C507A">
        <w:t xml:space="preserve"> and from Raglan on the west coast to </w:t>
      </w:r>
      <w:proofErr w:type="spellStart"/>
      <w:r w:rsidRPr="000C507A">
        <w:t>Waihi</w:t>
      </w:r>
      <w:proofErr w:type="spellEnd"/>
      <w:r w:rsidRPr="000C507A">
        <w:t xml:space="preserve"> on the east. It takes in the city of Hamilton and towns such as Thames, Huntly, Cambridge, </w:t>
      </w:r>
      <w:proofErr w:type="spellStart"/>
      <w:r w:rsidRPr="000C507A">
        <w:t>Te</w:t>
      </w:r>
      <w:proofErr w:type="spellEnd"/>
      <w:r w:rsidRPr="000C507A">
        <w:t xml:space="preserve"> </w:t>
      </w:r>
      <w:proofErr w:type="spellStart"/>
      <w:r w:rsidRPr="000C507A">
        <w:t>Awamutu</w:t>
      </w:r>
      <w:proofErr w:type="spellEnd"/>
      <w:r w:rsidRPr="000C507A">
        <w:t xml:space="preserve">, Matamata, </w:t>
      </w:r>
      <w:proofErr w:type="spellStart"/>
      <w:r w:rsidRPr="000C507A">
        <w:t>Morrinsville</w:t>
      </w:r>
      <w:proofErr w:type="spellEnd"/>
      <w:r w:rsidRPr="000C507A">
        <w:t xml:space="preserve">, </w:t>
      </w:r>
      <w:proofErr w:type="spellStart"/>
      <w:r w:rsidRPr="000C507A">
        <w:t>Ng</w:t>
      </w:r>
      <w:r w:rsidR="00E7457E" w:rsidRPr="00E7457E">
        <w:t>ā</w:t>
      </w:r>
      <w:r w:rsidRPr="000C507A">
        <w:t>ruaw</w:t>
      </w:r>
      <w:r w:rsidR="00E7457E" w:rsidRPr="00E7457E">
        <w:t>ā</w:t>
      </w:r>
      <w:r w:rsidRPr="000C507A">
        <w:t>hia</w:t>
      </w:r>
      <w:proofErr w:type="spellEnd"/>
      <w:r w:rsidRPr="000C507A">
        <w:t xml:space="preserve">, </w:t>
      </w:r>
      <w:proofErr w:type="spellStart"/>
      <w:r w:rsidRPr="000C507A">
        <w:t>Te</w:t>
      </w:r>
      <w:proofErr w:type="spellEnd"/>
      <w:r w:rsidRPr="000C507A">
        <w:t xml:space="preserve"> </w:t>
      </w:r>
      <w:proofErr w:type="spellStart"/>
      <w:r w:rsidRPr="000C507A">
        <w:t>Kuiti</w:t>
      </w:r>
      <w:proofErr w:type="spellEnd"/>
      <w:r w:rsidRPr="000C507A">
        <w:t xml:space="preserve">, </w:t>
      </w:r>
      <w:proofErr w:type="spellStart"/>
      <w:r w:rsidRPr="000C507A">
        <w:t>Tokoroa</w:t>
      </w:r>
      <w:proofErr w:type="spellEnd"/>
      <w:r w:rsidRPr="000C507A">
        <w:t xml:space="preserve"> and </w:t>
      </w:r>
      <w:proofErr w:type="spellStart"/>
      <w:r w:rsidRPr="000C507A">
        <w:t>Taumarunui</w:t>
      </w:r>
      <w:proofErr w:type="spellEnd"/>
      <w:r w:rsidRPr="000C507A">
        <w:t>.</w:t>
      </w:r>
    </w:p>
    <w:p w14:paraId="7E838808" w14:textId="77777777" w:rsidR="008656AA" w:rsidRPr="000C507A" w:rsidRDefault="008656AA" w:rsidP="008656AA">
      <w:r w:rsidRPr="000C507A">
        <w:t>There are 10 territorial local authorities within Waikato DHB boundaries – Hamilton City, Hauraki, Matamata-</w:t>
      </w:r>
      <w:proofErr w:type="spellStart"/>
      <w:r w:rsidRPr="000C507A">
        <w:t>Piako</w:t>
      </w:r>
      <w:proofErr w:type="spellEnd"/>
      <w:r w:rsidRPr="000C507A">
        <w:t xml:space="preserve">, </w:t>
      </w:r>
      <w:proofErr w:type="spellStart"/>
      <w:r w:rsidRPr="000C507A">
        <w:t>Otorohanga</w:t>
      </w:r>
      <w:proofErr w:type="spellEnd"/>
      <w:r w:rsidRPr="000C507A">
        <w:t xml:space="preserve">, (part of) </w:t>
      </w:r>
      <w:proofErr w:type="spellStart"/>
      <w:r w:rsidRPr="000C507A">
        <w:t>Ruapehu</w:t>
      </w:r>
      <w:proofErr w:type="spellEnd"/>
      <w:r w:rsidRPr="000C507A">
        <w:t xml:space="preserve">, South Waikato, Thames Coromandel, Waikato, </w:t>
      </w:r>
      <w:proofErr w:type="spellStart"/>
      <w:r w:rsidRPr="000C507A">
        <w:t>Waipa</w:t>
      </w:r>
      <w:proofErr w:type="spellEnd"/>
      <w:r w:rsidRPr="000C507A">
        <w:t xml:space="preserve"> and </w:t>
      </w:r>
      <w:proofErr w:type="spellStart"/>
      <w:r w:rsidRPr="000C507A">
        <w:t>Waitomo</w:t>
      </w:r>
      <w:proofErr w:type="spellEnd"/>
      <w:r>
        <w:t xml:space="preserve"> (</w:t>
      </w:r>
      <w:r w:rsidR="00EE30D4">
        <w:t>s</w:t>
      </w:r>
      <w:r>
        <w:t xml:space="preserve">ee </w:t>
      </w:r>
      <w:r>
        <w:fldChar w:fldCharType="begin"/>
      </w:r>
      <w:r>
        <w:instrText xml:space="preserve"> REF _Ref432329956 \h </w:instrText>
      </w:r>
      <w:r>
        <w:fldChar w:fldCharType="separate"/>
      </w:r>
      <w:r w:rsidR="005341C3">
        <w:t xml:space="preserve">Figure </w:t>
      </w:r>
      <w:r w:rsidR="005341C3">
        <w:rPr>
          <w:noProof/>
        </w:rPr>
        <w:t>1</w:t>
      </w:r>
      <w:r>
        <w:fldChar w:fldCharType="end"/>
      </w:r>
      <w:r w:rsidR="00EE30D4">
        <w:t>.</w:t>
      </w:r>
      <w:r>
        <w:t>)</w:t>
      </w:r>
    </w:p>
    <w:p w14:paraId="1706921F" w14:textId="77777777" w:rsidR="008656AA" w:rsidRDefault="008656AA" w:rsidP="008656AA">
      <w:pPr>
        <w:rPr>
          <w:rFonts w:eastAsiaTheme="minorEastAsia"/>
          <w:noProof/>
          <w:lang w:val="en-US"/>
        </w:rPr>
      </w:pPr>
      <w:r>
        <w:rPr>
          <w:rFonts w:eastAsiaTheme="minorEastAsia"/>
          <w:noProof/>
          <w:lang w:val="en-NZ" w:eastAsia="en-NZ"/>
        </w:rPr>
        <mc:AlternateContent>
          <mc:Choice Requires="wps">
            <w:drawing>
              <wp:anchor distT="0" distB="0" distL="114300" distR="114300" simplePos="0" relativeHeight="251659264" behindDoc="0" locked="0" layoutInCell="1" allowOverlap="1" wp14:anchorId="1FFFC629" wp14:editId="3261DBBA">
                <wp:simplePos x="0" y="0"/>
                <wp:positionH relativeFrom="column">
                  <wp:posOffset>4166235</wp:posOffset>
                </wp:positionH>
                <wp:positionV relativeFrom="paragraph">
                  <wp:posOffset>116840</wp:posOffset>
                </wp:positionV>
                <wp:extent cx="1600200" cy="5943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600200" cy="5943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2FE2D6" w14:textId="77777777" w:rsidR="0078357E" w:rsidRPr="006F0043" w:rsidRDefault="0078357E" w:rsidP="008656AA">
                            <w:pPr>
                              <w:rPr>
                                <w:lang w:val="en-US"/>
                              </w:rPr>
                            </w:pPr>
                            <w:r w:rsidRPr="006F0043">
                              <w:rPr>
                                <w:lang w:val="en-NZ"/>
                              </w:rPr>
                              <w:t>Population – 391,770</w:t>
                            </w:r>
                          </w:p>
                          <w:p w14:paraId="011DF121" w14:textId="77777777" w:rsidR="0078357E" w:rsidRPr="006F0043" w:rsidRDefault="0078357E" w:rsidP="008656AA">
                            <w:pPr>
                              <w:rPr>
                                <w:lang w:val="en-US"/>
                              </w:rPr>
                            </w:pPr>
                            <w:r w:rsidRPr="006F0043">
                              <w:rPr>
                                <w:lang w:val="en-NZ"/>
                              </w:rPr>
                              <w:t>8.2% of N</w:t>
                            </w:r>
                            <w:r>
                              <w:rPr>
                                <w:lang w:val="en-NZ"/>
                              </w:rPr>
                              <w:t xml:space="preserve">ew </w:t>
                            </w:r>
                            <w:r w:rsidRPr="006F0043">
                              <w:rPr>
                                <w:lang w:val="en-NZ"/>
                              </w:rPr>
                              <w:t>Z</w:t>
                            </w:r>
                            <w:r>
                              <w:rPr>
                                <w:lang w:val="en-NZ"/>
                              </w:rPr>
                              <w:t>ealand</w:t>
                            </w:r>
                            <w:r w:rsidRPr="006F0043">
                              <w:rPr>
                                <w:lang w:val="en-NZ"/>
                              </w:rPr>
                              <w:t xml:space="preserve"> population</w:t>
                            </w:r>
                            <w:r>
                              <w:rPr>
                                <w:lang w:val="en-NZ"/>
                              </w:rPr>
                              <w:t xml:space="preserve"> </w:t>
                            </w:r>
                            <w:r w:rsidRPr="006F0043">
                              <w:rPr>
                                <w:lang w:val="en-NZ"/>
                              </w:rPr>
                              <w:t>(4,572,206 as at 13</w:t>
                            </w:r>
                            <w:r>
                              <w:rPr>
                                <w:lang w:val="en-NZ"/>
                              </w:rPr>
                              <w:t xml:space="preserve"> March </w:t>
                            </w:r>
                            <w:r w:rsidRPr="006F0043">
                              <w:rPr>
                                <w:lang w:val="en-NZ"/>
                              </w:rPr>
                              <w:t>2015)</w:t>
                            </w:r>
                          </w:p>
                          <w:p w14:paraId="74B83A1B" w14:textId="77777777" w:rsidR="0078357E" w:rsidRDefault="0078357E" w:rsidP="008656AA">
                            <w:pPr>
                              <w:rPr>
                                <w:vertAlign w:val="superscript"/>
                                <w:lang w:val="en-NZ"/>
                              </w:rPr>
                            </w:pPr>
                            <w:r w:rsidRPr="006F0043">
                              <w:rPr>
                                <w:lang w:val="en-NZ"/>
                              </w:rPr>
                              <w:t xml:space="preserve">Area – 21,220 </w:t>
                            </w:r>
                            <w:r>
                              <w:rPr>
                                <w:lang w:val="en-NZ"/>
                              </w:rPr>
                              <w:t>km</w:t>
                            </w:r>
                            <w:r w:rsidRPr="006F0043">
                              <w:rPr>
                                <w:vertAlign w:val="superscript"/>
                                <w:lang w:val="en-NZ"/>
                              </w:rPr>
                              <w:t>2</w:t>
                            </w:r>
                          </w:p>
                          <w:p w14:paraId="5A9A03B6" w14:textId="77777777" w:rsidR="0078357E" w:rsidRPr="006F0043" w:rsidRDefault="0078357E" w:rsidP="008656AA">
                            <w:pPr>
                              <w:rPr>
                                <w:lang w:val="en-US"/>
                              </w:rPr>
                            </w:pPr>
                            <w:r w:rsidRPr="006F0043">
                              <w:rPr>
                                <w:lang w:val="en-NZ"/>
                              </w:rPr>
                              <w:t>7.9% of N</w:t>
                            </w:r>
                            <w:r>
                              <w:rPr>
                                <w:lang w:val="en-NZ"/>
                              </w:rPr>
                              <w:t xml:space="preserve">ew </w:t>
                            </w:r>
                            <w:r w:rsidRPr="006F0043">
                              <w:rPr>
                                <w:lang w:val="en-NZ"/>
                              </w:rPr>
                              <w:t>Z</w:t>
                            </w:r>
                            <w:r>
                              <w:rPr>
                                <w:lang w:val="en-NZ"/>
                              </w:rPr>
                              <w:t>ealand</w:t>
                            </w:r>
                            <w:r w:rsidRPr="006F0043">
                              <w:rPr>
                                <w:lang w:val="en-NZ"/>
                              </w:rPr>
                              <w:t xml:space="preserve"> </w:t>
                            </w:r>
                            <w:r>
                              <w:rPr>
                                <w:lang w:val="en-NZ"/>
                              </w:rPr>
                              <w:t>land area</w:t>
                            </w:r>
                          </w:p>
                          <w:p w14:paraId="618D43B1" w14:textId="77777777" w:rsidR="0078357E" w:rsidRPr="006F0043" w:rsidRDefault="0078357E" w:rsidP="008656AA">
                            <w:pPr>
                              <w:rPr>
                                <w:lang w:val="en-US"/>
                              </w:rPr>
                            </w:pPr>
                            <w:r w:rsidRPr="006F0043">
                              <w:rPr>
                                <w:lang w:val="en-NZ"/>
                              </w:rPr>
                              <w:t>Population across the Midland region</w:t>
                            </w:r>
                            <w:r>
                              <w:rPr>
                                <w:lang w:val="en-NZ"/>
                              </w:rPr>
                              <w:t>:</w:t>
                            </w:r>
                            <w:r w:rsidRPr="006F0043">
                              <w:rPr>
                                <w:lang w:val="en-NZ"/>
                              </w:rPr>
                              <w:t xml:space="preserve"> 848,311(2013</w:t>
                            </w:r>
                            <w:r>
                              <w:rPr>
                                <w:lang w:val="en-NZ"/>
                              </w:rPr>
                              <w:t>–</w:t>
                            </w:r>
                            <w:r w:rsidRPr="006F0043">
                              <w:rPr>
                                <w:lang w:val="en-NZ"/>
                              </w:rPr>
                              <w:t>14)</w:t>
                            </w:r>
                          </w:p>
                          <w:p w14:paraId="036AD0B2" w14:textId="77777777" w:rsidR="0078357E" w:rsidRPr="006F0043" w:rsidRDefault="0078357E" w:rsidP="008656AA">
                            <w:pPr>
                              <w:rPr>
                                <w:lang w:val="en-US"/>
                              </w:rPr>
                            </w:pPr>
                            <w:r>
                              <w:rPr>
                                <w:lang w:val="en-NZ"/>
                              </w:rPr>
                              <w:t xml:space="preserve">Midland region includes the following district health boards: </w:t>
                            </w:r>
                            <w:r w:rsidRPr="006F0043">
                              <w:rPr>
                                <w:lang w:val="en-NZ"/>
                              </w:rPr>
                              <w:t xml:space="preserve">Waikato, Lakes, Bay of Plenty, </w:t>
                            </w:r>
                            <w:proofErr w:type="spellStart"/>
                            <w:r w:rsidRPr="006F0043">
                              <w:rPr>
                                <w:lang w:val="en-NZ"/>
                              </w:rPr>
                              <w:t>Taranaki</w:t>
                            </w:r>
                            <w:proofErr w:type="spellEnd"/>
                            <w:r>
                              <w:rPr>
                                <w:lang w:val="en-NZ"/>
                              </w:rPr>
                              <w:t xml:space="preserve"> and</w:t>
                            </w:r>
                            <w:r w:rsidRPr="006F0043">
                              <w:rPr>
                                <w:lang w:val="en-NZ"/>
                              </w:rPr>
                              <w:t xml:space="preserve"> </w:t>
                            </w:r>
                            <w:proofErr w:type="spellStart"/>
                            <w:r>
                              <w:rPr>
                                <w:lang w:val="en-NZ"/>
                              </w:rPr>
                              <w:t>Tairāwhiti</w:t>
                            </w:r>
                            <w:proofErr w:type="spellEnd"/>
                          </w:p>
                          <w:p w14:paraId="33D4E5A7" w14:textId="77777777" w:rsidR="0078357E" w:rsidRDefault="0078357E" w:rsidP="008656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1FFFC629" id="_x0000_t202" coordsize="21600,21600" o:spt="202" path="m,l,21600r21600,l21600,xe">
                <v:stroke joinstyle="miter"/>
                <v:path gradientshapeok="t" o:connecttype="rect"/>
              </v:shapetype>
              <v:shape id="Text Box 14" o:spid="_x0000_s1026" type="#_x0000_t202" style="position:absolute;margin-left:328.05pt;margin-top:9.2pt;width:126pt;height:4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" filled="f" stroked="f">
                <v:textbox>
                  <w:txbxContent>
                    <w:p w14:paraId="0D2FE2D6" w14:textId="77777777" w:rsidR="0078357E" w:rsidRPr="006F0043" w:rsidRDefault="0078357E" w:rsidP="008656AA">
                      <w:pPr>
                        <w:rPr>
                          <w:lang w:val="en-US"/>
                        </w:rPr>
                      </w:pPr>
                      <w:r w:rsidRPr="006F0043">
                        <w:rPr>
                          <w:lang w:val="en-NZ"/>
                        </w:rPr>
                        <w:t>Population – 391,770</w:t>
                      </w:r>
                    </w:p>
                    <w:p w14:paraId="011DF121" w14:textId="77777777" w:rsidR="0078357E" w:rsidRPr="006F0043" w:rsidRDefault="0078357E" w:rsidP="008656AA">
                      <w:pPr>
                        <w:rPr>
                          <w:lang w:val="en-US"/>
                        </w:rPr>
                      </w:pPr>
                      <w:r w:rsidRPr="006F0043">
                        <w:rPr>
                          <w:lang w:val="en-NZ"/>
                        </w:rPr>
                        <w:t>8.2% of N</w:t>
                      </w:r>
                      <w:r>
                        <w:rPr>
                          <w:lang w:val="en-NZ"/>
                        </w:rPr>
                        <w:t xml:space="preserve">ew </w:t>
                      </w:r>
                      <w:r w:rsidRPr="006F0043">
                        <w:rPr>
                          <w:lang w:val="en-NZ"/>
                        </w:rPr>
                        <w:t>Z</w:t>
                      </w:r>
                      <w:r>
                        <w:rPr>
                          <w:lang w:val="en-NZ"/>
                        </w:rPr>
                        <w:t>ealand</w:t>
                      </w:r>
                      <w:r w:rsidRPr="006F0043">
                        <w:rPr>
                          <w:lang w:val="en-NZ"/>
                        </w:rPr>
                        <w:t xml:space="preserve"> population</w:t>
                      </w:r>
                      <w:r>
                        <w:rPr>
                          <w:lang w:val="en-NZ"/>
                        </w:rPr>
                        <w:t xml:space="preserve"> </w:t>
                      </w:r>
                      <w:r w:rsidRPr="006F0043">
                        <w:rPr>
                          <w:lang w:val="en-NZ"/>
                        </w:rPr>
                        <w:t>(4,572,206 as at 13</w:t>
                      </w:r>
                      <w:r>
                        <w:rPr>
                          <w:lang w:val="en-NZ"/>
                        </w:rPr>
                        <w:t xml:space="preserve"> March </w:t>
                      </w:r>
                      <w:r w:rsidRPr="006F0043">
                        <w:rPr>
                          <w:lang w:val="en-NZ"/>
                        </w:rPr>
                        <w:t>2015)</w:t>
                      </w:r>
                    </w:p>
                    <w:p w14:paraId="74B83A1B" w14:textId="77777777" w:rsidR="0078357E" w:rsidRDefault="0078357E" w:rsidP="008656AA">
                      <w:pPr>
                        <w:rPr>
                          <w:vertAlign w:val="superscript"/>
                          <w:lang w:val="en-NZ"/>
                        </w:rPr>
                      </w:pPr>
                      <w:r w:rsidRPr="006F0043">
                        <w:rPr>
                          <w:lang w:val="en-NZ"/>
                        </w:rPr>
                        <w:t xml:space="preserve">Area – 21,220 </w:t>
                      </w:r>
                      <w:r>
                        <w:rPr>
                          <w:lang w:val="en-NZ"/>
                        </w:rPr>
                        <w:t>km</w:t>
                      </w:r>
                      <w:r w:rsidRPr="006F0043">
                        <w:rPr>
                          <w:vertAlign w:val="superscript"/>
                          <w:lang w:val="en-NZ"/>
                        </w:rPr>
                        <w:t>2</w:t>
                      </w:r>
                    </w:p>
                    <w:p w14:paraId="5A9A03B6" w14:textId="77777777" w:rsidR="0078357E" w:rsidRPr="006F0043" w:rsidRDefault="0078357E" w:rsidP="008656AA">
                      <w:pPr>
                        <w:rPr>
                          <w:lang w:val="en-US"/>
                        </w:rPr>
                      </w:pPr>
                      <w:r w:rsidRPr="006F0043">
                        <w:rPr>
                          <w:lang w:val="en-NZ"/>
                        </w:rPr>
                        <w:t>7.9% of N</w:t>
                      </w:r>
                      <w:r>
                        <w:rPr>
                          <w:lang w:val="en-NZ"/>
                        </w:rPr>
                        <w:t xml:space="preserve">ew </w:t>
                      </w:r>
                      <w:r w:rsidRPr="006F0043">
                        <w:rPr>
                          <w:lang w:val="en-NZ"/>
                        </w:rPr>
                        <w:t>Z</w:t>
                      </w:r>
                      <w:r>
                        <w:rPr>
                          <w:lang w:val="en-NZ"/>
                        </w:rPr>
                        <w:t>ealand</w:t>
                      </w:r>
                      <w:r w:rsidRPr="006F0043">
                        <w:rPr>
                          <w:lang w:val="en-NZ"/>
                        </w:rPr>
                        <w:t xml:space="preserve"> </w:t>
                      </w:r>
                      <w:r>
                        <w:rPr>
                          <w:lang w:val="en-NZ"/>
                        </w:rPr>
                        <w:t>land area</w:t>
                      </w:r>
                    </w:p>
                    <w:p w14:paraId="618D43B1" w14:textId="77777777" w:rsidR="0078357E" w:rsidRPr="006F0043" w:rsidRDefault="0078357E" w:rsidP="008656AA">
                      <w:pPr>
                        <w:rPr>
                          <w:lang w:val="en-US"/>
                        </w:rPr>
                      </w:pPr>
                      <w:r w:rsidRPr="006F0043">
                        <w:rPr>
                          <w:lang w:val="en-NZ"/>
                        </w:rPr>
                        <w:t>Population across the Midland region</w:t>
                      </w:r>
                      <w:r>
                        <w:rPr>
                          <w:lang w:val="en-NZ"/>
                        </w:rPr>
                        <w:t>:</w:t>
                      </w:r>
                      <w:r w:rsidRPr="006F0043">
                        <w:rPr>
                          <w:lang w:val="en-NZ"/>
                        </w:rPr>
                        <w:t xml:space="preserve"> 848,311(2013</w:t>
                      </w:r>
                      <w:r>
                        <w:rPr>
                          <w:lang w:val="en-NZ"/>
                        </w:rPr>
                        <w:t>–</w:t>
                      </w:r>
                      <w:r w:rsidRPr="006F0043">
                        <w:rPr>
                          <w:lang w:val="en-NZ"/>
                        </w:rPr>
                        <w:t>14)</w:t>
                      </w:r>
                    </w:p>
                    <w:p w14:paraId="036AD0B2" w14:textId="77777777" w:rsidR="0078357E" w:rsidRPr="006F0043" w:rsidRDefault="0078357E" w:rsidP="008656AA">
                      <w:pPr>
                        <w:rPr>
                          <w:lang w:val="en-US"/>
                        </w:rPr>
                      </w:pPr>
                      <w:r>
                        <w:rPr>
                          <w:lang w:val="en-NZ"/>
                        </w:rPr>
                        <w:t xml:space="preserve">Midland region includes the following district health boards: </w:t>
                      </w:r>
                      <w:r w:rsidRPr="006F0043">
                        <w:rPr>
                          <w:lang w:val="en-NZ"/>
                        </w:rPr>
                        <w:t>Waikato, Lakes, Bay of Plenty, Taranaki</w:t>
                      </w:r>
                      <w:r>
                        <w:rPr>
                          <w:lang w:val="en-NZ"/>
                        </w:rPr>
                        <w:t xml:space="preserve"> and</w:t>
                      </w:r>
                      <w:r w:rsidRPr="006F0043">
                        <w:rPr>
                          <w:lang w:val="en-NZ"/>
                        </w:rPr>
                        <w:t xml:space="preserve"> </w:t>
                      </w:r>
                      <w:r>
                        <w:rPr>
                          <w:lang w:val="en-NZ"/>
                        </w:rPr>
                        <w:t>Tairāwhiti</w:t>
                      </w:r>
                    </w:p>
                    <w:p w14:paraId="33D4E5A7" w14:textId="77777777" w:rsidR="0078357E" w:rsidRDefault="0078357E" w:rsidP="008656AA"/>
                  </w:txbxContent>
                </v:textbox>
                <w10:wrap type="square"/>
              </v:shape>
            </w:pict>
          </mc:Fallback>
        </mc:AlternateContent>
      </w:r>
      <w:r w:rsidRPr="006F0043">
        <w:rPr>
          <w:rFonts w:eastAsiaTheme="minorEastAsia"/>
          <w:noProof/>
          <w:lang w:val="en-US"/>
        </w:rPr>
        <w:t xml:space="preserve"> </w:t>
      </w:r>
      <w:r w:rsidRPr="006F0043">
        <w:rPr>
          <w:noProof/>
          <w:lang w:val="en-NZ" w:eastAsia="en-NZ"/>
        </w:rPr>
        <w:drawing>
          <wp:inline distT="0" distB="0" distL="0" distR="0" wp14:anchorId="6F373753" wp14:editId="3452534E">
            <wp:extent cx="3930650" cy="6056313"/>
            <wp:effectExtent l="0" t="0" r="6350" b="0"/>
            <wp:docPr id="13" name="Picture 4" descr="Copy of waikato m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Copy of waikato map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0650" cy="6056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220626F" w14:textId="77777777" w:rsidR="008656AA" w:rsidRDefault="008656AA" w:rsidP="008656AA">
      <w:pPr>
        <w:pStyle w:val="Caption"/>
        <w:jc w:val="center"/>
        <w:rPr>
          <w:rFonts w:eastAsiaTheme="minorEastAsia"/>
          <w:noProof/>
          <w:lang w:val="en-US"/>
        </w:rPr>
      </w:pPr>
      <w:bookmarkStart w:id="14" w:name="_Ref432329956"/>
      <w:r>
        <w:t xml:space="preserve">Figure </w:t>
      </w:r>
      <w:r>
        <w:fldChar w:fldCharType="begin"/>
      </w:r>
      <w:r>
        <w:instrText xml:space="preserve"> SEQ Figure \* ARABIC </w:instrText>
      </w:r>
      <w:r>
        <w:fldChar w:fldCharType="separate"/>
      </w:r>
      <w:r w:rsidR="005341C3">
        <w:rPr>
          <w:noProof/>
        </w:rPr>
        <w:t>1</w:t>
      </w:r>
      <w:r>
        <w:fldChar w:fldCharType="end"/>
      </w:r>
      <w:bookmarkEnd w:id="14"/>
      <w:r>
        <w:t xml:space="preserve">: Waikato </w:t>
      </w:r>
      <w:r w:rsidR="00EE30D4">
        <w:t>District Health Board a</w:t>
      </w:r>
      <w:r>
        <w:t>rea (</w:t>
      </w:r>
      <w:r w:rsidR="00EE30D4">
        <w:t xml:space="preserve">source: Waikato District Health Board Mental Health and Addiction Service </w:t>
      </w:r>
      <w:r>
        <w:t>Orientation Pack)</w:t>
      </w:r>
    </w:p>
    <w:p w14:paraId="5F6D3ED9" w14:textId="77777777" w:rsidR="008656AA" w:rsidRPr="000C507A" w:rsidRDefault="008656AA" w:rsidP="008656AA">
      <w:r w:rsidRPr="000C507A">
        <w:lastRenderedPageBreak/>
        <w:t>Waikato DHB has a larger proportion of people living in high</w:t>
      </w:r>
      <w:r w:rsidR="00EE30D4">
        <w:t>-</w:t>
      </w:r>
      <w:r w:rsidRPr="000C507A">
        <w:t xml:space="preserve">deprivation areas than in low deprivation areas. </w:t>
      </w:r>
      <w:r w:rsidR="00EE30D4">
        <w:t xml:space="preserve">Within the region, </w:t>
      </w:r>
      <w:proofErr w:type="spellStart"/>
      <w:r w:rsidRPr="000C507A">
        <w:t>Ruapehu</w:t>
      </w:r>
      <w:proofErr w:type="spellEnd"/>
      <w:r w:rsidRPr="000C507A">
        <w:t xml:space="preserve">, </w:t>
      </w:r>
      <w:proofErr w:type="spellStart"/>
      <w:r w:rsidRPr="000C507A">
        <w:t>Waitomo</w:t>
      </w:r>
      <w:proofErr w:type="spellEnd"/>
      <w:r w:rsidRPr="000C507A">
        <w:t xml:space="preserve"> and South Waikato territorial local authorities have the highest proportion of people living in high</w:t>
      </w:r>
      <w:r w:rsidR="00EE30D4">
        <w:t>-</w:t>
      </w:r>
      <w:r w:rsidRPr="000C507A">
        <w:t>deprivation areas.</w:t>
      </w:r>
    </w:p>
    <w:p w14:paraId="7D10F4DA" w14:textId="77777777" w:rsidR="008656AA" w:rsidRPr="000C507A" w:rsidRDefault="008656AA" w:rsidP="008656AA">
      <w:r w:rsidRPr="000C507A">
        <w:t>The Waikato population is getting proportionately older</w:t>
      </w:r>
      <w:r w:rsidR="00EE30D4">
        <w:t>:</w:t>
      </w:r>
      <w:r w:rsidRPr="000C507A">
        <w:t xml:space="preserve"> the 65</w:t>
      </w:r>
      <w:r w:rsidR="00EE30D4">
        <w:t>-</w:t>
      </w:r>
      <w:r w:rsidRPr="000C507A">
        <w:t>plus age group is projected to increase by more than 78 percent by 2026.</w:t>
      </w:r>
    </w:p>
    <w:p w14:paraId="0E8E503A" w14:textId="77777777" w:rsidR="008656AA" w:rsidRPr="000C507A" w:rsidRDefault="008656AA" w:rsidP="008656AA">
      <w:r w:rsidRPr="000C507A">
        <w:t xml:space="preserve">The </w:t>
      </w:r>
      <w:r>
        <w:t>Māori</w:t>
      </w:r>
      <w:r w:rsidRPr="000C507A">
        <w:t xml:space="preserve"> population </w:t>
      </w:r>
      <w:r w:rsidR="00EE30D4">
        <w:t xml:space="preserve">in Waikato </w:t>
      </w:r>
      <w:r w:rsidRPr="000C507A">
        <w:t>is 22.5 percent</w:t>
      </w:r>
      <w:r w:rsidR="00EE30D4">
        <w:t>,</w:t>
      </w:r>
      <w:r w:rsidRPr="000C507A">
        <w:t xml:space="preserve"> and is growing more rapidly than </w:t>
      </w:r>
      <w:r w:rsidR="00EE30D4">
        <w:t xml:space="preserve">in </w:t>
      </w:r>
      <w:r w:rsidRPr="000C507A">
        <w:t>other parts of New Zealand.</w:t>
      </w:r>
    </w:p>
    <w:p w14:paraId="04A86C75" w14:textId="77777777" w:rsidR="008656AA" w:rsidRDefault="008656AA" w:rsidP="008656AA">
      <w:r w:rsidRPr="000C507A">
        <w:t>The Pacific population is 2.9 percent.</w:t>
      </w:r>
    </w:p>
    <w:p w14:paraId="4C557E7F" w14:textId="77777777" w:rsidR="008656AA" w:rsidRPr="000C507A" w:rsidRDefault="008656AA" w:rsidP="008656AA">
      <w:pPr>
        <w:pStyle w:val="Heading2"/>
      </w:pPr>
      <w:bookmarkStart w:id="15" w:name="_Toc448394331"/>
      <w:r w:rsidRPr="000C507A">
        <w:t xml:space="preserve">The </w:t>
      </w:r>
      <w:r w:rsidR="00EE30D4">
        <w:t>s</w:t>
      </w:r>
      <w:r w:rsidRPr="000C507A">
        <w:t>ervices</w:t>
      </w:r>
      <w:bookmarkEnd w:id="15"/>
    </w:p>
    <w:p w14:paraId="06E2BE9C" w14:textId="77777777" w:rsidR="008656AA" w:rsidRPr="009F2FD1" w:rsidRDefault="00EE30D4" w:rsidP="008656AA">
      <w:r>
        <w:t>Waikato DHB directly provides a</w:t>
      </w:r>
      <w:r w:rsidR="008656AA" w:rsidRPr="000C507A">
        <w:t xml:space="preserve"> full range of mental health and addiction clinical services. </w:t>
      </w:r>
      <w:r>
        <w:t xml:space="preserve">Its </w:t>
      </w:r>
      <w:r w:rsidR="008656AA" w:rsidRPr="000C507A">
        <w:t xml:space="preserve">inpatient services are concentrated at Waikato Hospital in Hamilton. The majority of </w:t>
      </w:r>
      <w:r w:rsidR="008656AA">
        <w:t>inpatient</w:t>
      </w:r>
      <w:r w:rsidR="008656AA" w:rsidRPr="000C507A">
        <w:t xml:space="preserve"> services are provided from the Henry </w:t>
      </w:r>
      <w:proofErr w:type="spellStart"/>
      <w:r w:rsidR="008656AA" w:rsidRPr="000C507A">
        <w:t>Rongomau</w:t>
      </w:r>
      <w:proofErr w:type="spellEnd"/>
      <w:r w:rsidR="008656AA" w:rsidRPr="000C507A">
        <w:t xml:space="preserve"> Bennett Centre </w:t>
      </w:r>
      <w:r w:rsidR="00442356">
        <w:t xml:space="preserve">(HRBC) </w:t>
      </w:r>
      <w:r>
        <w:t xml:space="preserve">and </w:t>
      </w:r>
      <w:r w:rsidR="008656AA" w:rsidRPr="000C507A">
        <w:t xml:space="preserve">its associated </w:t>
      </w:r>
      <w:r w:rsidR="008656AA">
        <w:t>regional f</w:t>
      </w:r>
      <w:r w:rsidR="008656AA" w:rsidRPr="000C507A">
        <w:t xml:space="preserve">orensic </w:t>
      </w:r>
      <w:r w:rsidR="008656AA">
        <w:t>s</w:t>
      </w:r>
      <w:r w:rsidR="008656AA" w:rsidRPr="000C507A">
        <w:t>ervices (</w:t>
      </w:r>
      <w:r>
        <w:t xml:space="preserve">combined providing </w:t>
      </w:r>
      <w:r w:rsidR="008656AA" w:rsidRPr="000C507A">
        <w:t>a total of 102 beds – 49</w:t>
      </w:r>
      <w:r w:rsidR="006E6268">
        <w:t xml:space="preserve"> of which are</w:t>
      </w:r>
      <w:r w:rsidR="008656AA" w:rsidRPr="000C507A">
        <w:t xml:space="preserve"> forensic</w:t>
      </w:r>
      <w:r w:rsidR="006E6268">
        <w:t xml:space="preserve"> beds</w:t>
      </w:r>
      <w:r w:rsidR="008656AA" w:rsidRPr="000C507A">
        <w:t>). The Mental Health for Older Persons 15</w:t>
      </w:r>
      <w:r>
        <w:t>-</w:t>
      </w:r>
      <w:r w:rsidR="008656AA" w:rsidRPr="000C507A">
        <w:t xml:space="preserve">bed inpatient unit is in a separate building </w:t>
      </w:r>
      <w:r w:rsidR="008656AA">
        <w:t>co-located</w:t>
      </w:r>
      <w:r w:rsidR="008656AA" w:rsidRPr="000C507A">
        <w:t xml:space="preserve"> with other </w:t>
      </w:r>
      <w:r w:rsidR="008656AA">
        <w:t>a</w:t>
      </w:r>
      <w:r w:rsidR="008656AA" w:rsidRPr="000C507A">
        <w:t>ssessment</w:t>
      </w:r>
      <w:r w:rsidR="008656AA">
        <w:t>,</w:t>
      </w:r>
      <w:r w:rsidR="008656AA" w:rsidRPr="000C507A">
        <w:t xml:space="preserve"> </w:t>
      </w:r>
      <w:r w:rsidR="008656AA">
        <w:t>t</w:t>
      </w:r>
      <w:r w:rsidR="008656AA" w:rsidRPr="000C507A">
        <w:t xml:space="preserve">reatment and </w:t>
      </w:r>
      <w:r w:rsidR="008656AA">
        <w:t>r</w:t>
      </w:r>
      <w:r w:rsidR="008656AA" w:rsidRPr="000C507A">
        <w:t xml:space="preserve">ehabilitation </w:t>
      </w:r>
      <w:r w:rsidR="008656AA">
        <w:t>s</w:t>
      </w:r>
      <w:r w:rsidR="008656AA" w:rsidRPr="000C507A">
        <w:t xml:space="preserve">ervices. </w:t>
      </w:r>
      <w:r w:rsidR="008656AA">
        <w:t xml:space="preserve">In addition, </w:t>
      </w:r>
      <w:proofErr w:type="spellStart"/>
      <w:r w:rsidR="00BA789C" w:rsidRPr="00B765C0">
        <w:t>Hauora</w:t>
      </w:r>
      <w:proofErr w:type="spellEnd"/>
      <w:r w:rsidR="00BA789C" w:rsidRPr="00B765C0">
        <w:t xml:space="preserve"> Waikato</w:t>
      </w:r>
      <w:r w:rsidR="001A4C8E">
        <w:t>, an NGO</w:t>
      </w:r>
      <w:r w:rsidR="00BA789C" w:rsidRPr="00B765C0">
        <w:t xml:space="preserve"> </w:t>
      </w:r>
      <w:r w:rsidR="00BA789C">
        <w:t xml:space="preserve">runs </w:t>
      </w:r>
      <w:r w:rsidR="008656AA" w:rsidRPr="000C507A">
        <w:t>a separate 15</w:t>
      </w:r>
      <w:r w:rsidR="00BA789C">
        <w:t>-</w:t>
      </w:r>
      <w:r w:rsidR="008656AA" w:rsidRPr="000C507A">
        <w:t xml:space="preserve">bed forensic unit at </w:t>
      </w:r>
      <w:proofErr w:type="spellStart"/>
      <w:r w:rsidR="008656AA" w:rsidRPr="000C507A">
        <w:t>Tamahere</w:t>
      </w:r>
      <w:proofErr w:type="spellEnd"/>
      <w:r w:rsidR="008656AA" w:rsidRPr="000C507A">
        <w:t>.</w:t>
      </w:r>
      <w:r w:rsidR="008656AA">
        <w:t xml:space="preserve"> </w:t>
      </w:r>
      <w:r w:rsidR="00BA789C">
        <w:t>A</w:t>
      </w:r>
      <w:r w:rsidR="008656AA">
        <w:t xml:space="preserve"> range of facilities </w:t>
      </w:r>
      <w:r w:rsidR="00BA789C">
        <w:t xml:space="preserve">provide community-based services </w:t>
      </w:r>
      <w:r w:rsidR="008656AA">
        <w:t xml:space="preserve">in Hamilton. </w:t>
      </w:r>
      <w:r w:rsidR="00BA789C">
        <w:t>R</w:t>
      </w:r>
      <w:r w:rsidR="008656AA">
        <w:t xml:space="preserve">ural services are based in Thames Hospital and a community base in </w:t>
      </w:r>
      <w:proofErr w:type="spellStart"/>
      <w:r w:rsidR="008656AA">
        <w:t>Te</w:t>
      </w:r>
      <w:proofErr w:type="spellEnd"/>
      <w:r w:rsidR="008656AA">
        <w:t xml:space="preserve"> </w:t>
      </w:r>
      <w:proofErr w:type="spellStart"/>
      <w:r w:rsidR="008656AA">
        <w:t>Awamutu</w:t>
      </w:r>
      <w:proofErr w:type="spellEnd"/>
      <w:r w:rsidR="008656AA">
        <w:t xml:space="preserve">. There are outreach bases in </w:t>
      </w:r>
      <w:proofErr w:type="spellStart"/>
      <w:r w:rsidR="008656AA" w:rsidRPr="009F2FD1">
        <w:t>Whitianga</w:t>
      </w:r>
      <w:proofErr w:type="spellEnd"/>
      <w:r w:rsidR="008656AA" w:rsidRPr="009F2FD1">
        <w:t xml:space="preserve">, Coromandel, </w:t>
      </w:r>
      <w:proofErr w:type="spellStart"/>
      <w:r w:rsidR="008656AA" w:rsidRPr="009F2FD1">
        <w:t>Whangamata</w:t>
      </w:r>
      <w:proofErr w:type="spellEnd"/>
      <w:r w:rsidR="008656AA" w:rsidRPr="009F2FD1">
        <w:t xml:space="preserve">, </w:t>
      </w:r>
      <w:proofErr w:type="spellStart"/>
      <w:r w:rsidR="008656AA" w:rsidRPr="009F2FD1">
        <w:t>Paeroa</w:t>
      </w:r>
      <w:proofErr w:type="spellEnd"/>
      <w:r w:rsidR="008656AA" w:rsidRPr="009F2FD1">
        <w:t xml:space="preserve">, </w:t>
      </w:r>
      <w:proofErr w:type="spellStart"/>
      <w:r w:rsidR="008656AA" w:rsidRPr="009F2FD1">
        <w:t>Waihi</w:t>
      </w:r>
      <w:proofErr w:type="spellEnd"/>
      <w:r w:rsidR="008656AA">
        <w:t>,</w:t>
      </w:r>
      <w:r w:rsidR="008656AA" w:rsidRPr="009F2FD1">
        <w:t xml:space="preserve"> </w:t>
      </w:r>
      <w:proofErr w:type="spellStart"/>
      <w:r w:rsidR="008656AA" w:rsidRPr="009F2FD1">
        <w:t>Te</w:t>
      </w:r>
      <w:proofErr w:type="spellEnd"/>
      <w:r w:rsidR="008656AA" w:rsidRPr="009F2FD1">
        <w:t xml:space="preserve"> Aroha</w:t>
      </w:r>
      <w:r w:rsidR="008656AA">
        <w:t xml:space="preserve">, </w:t>
      </w:r>
      <w:proofErr w:type="spellStart"/>
      <w:r w:rsidR="008656AA" w:rsidRPr="009F2FD1">
        <w:rPr>
          <w:lang w:val="en-NZ"/>
        </w:rPr>
        <w:t>Te</w:t>
      </w:r>
      <w:proofErr w:type="spellEnd"/>
      <w:r w:rsidR="008656AA" w:rsidRPr="009F2FD1">
        <w:rPr>
          <w:lang w:val="en-NZ"/>
        </w:rPr>
        <w:t xml:space="preserve"> </w:t>
      </w:r>
      <w:proofErr w:type="spellStart"/>
      <w:r w:rsidR="008656AA" w:rsidRPr="009F2FD1">
        <w:rPr>
          <w:lang w:val="en-NZ"/>
        </w:rPr>
        <w:t>Kuiti</w:t>
      </w:r>
      <w:proofErr w:type="spellEnd"/>
      <w:r w:rsidR="008656AA" w:rsidRPr="009F2FD1">
        <w:rPr>
          <w:lang w:val="en-NZ"/>
        </w:rPr>
        <w:t xml:space="preserve">, </w:t>
      </w:r>
      <w:proofErr w:type="spellStart"/>
      <w:r w:rsidR="008656AA" w:rsidRPr="009F2FD1">
        <w:rPr>
          <w:lang w:val="en-NZ"/>
        </w:rPr>
        <w:t>Tokoroa</w:t>
      </w:r>
      <w:proofErr w:type="spellEnd"/>
      <w:r w:rsidR="008656AA" w:rsidRPr="009F2FD1">
        <w:rPr>
          <w:lang w:val="en-NZ"/>
        </w:rPr>
        <w:t xml:space="preserve"> and </w:t>
      </w:r>
      <w:proofErr w:type="spellStart"/>
      <w:r w:rsidR="008656AA" w:rsidRPr="009F2FD1">
        <w:rPr>
          <w:lang w:val="en-NZ"/>
        </w:rPr>
        <w:t>Taumarunu</w:t>
      </w:r>
      <w:r w:rsidR="00BA789C">
        <w:rPr>
          <w:lang w:val="en-NZ"/>
        </w:rPr>
        <w:t>i</w:t>
      </w:r>
      <w:proofErr w:type="spellEnd"/>
      <w:r w:rsidR="008656AA">
        <w:rPr>
          <w:lang w:val="en-NZ"/>
        </w:rPr>
        <w:t>.</w:t>
      </w:r>
    </w:p>
    <w:p w14:paraId="43B70C70" w14:textId="77777777" w:rsidR="008656AA" w:rsidRPr="000C507A" w:rsidRDefault="008656AA" w:rsidP="008656AA">
      <w:pPr>
        <w:tabs>
          <w:tab w:val="right" w:pos="9020"/>
        </w:tabs>
      </w:pPr>
      <w:r w:rsidRPr="000C507A">
        <w:t>The DHB provides the Midland Regional Forensic Psychiatric Service (</w:t>
      </w:r>
      <w:proofErr w:type="spellStart"/>
      <w:r w:rsidRPr="000C507A">
        <w:t>Puawai</w:t>
      </w:r>
      <w:proofErr w:type="spellEnd"/>
      <w:r w:rsidRPr="000C507A">
        <w:t xml:space="preserve">) in partnership with </w:t>
      </w:r>
      <w:proofErr w:type="spellStart"/>
      <w:r w:rsidRPr="000C507A">
        <w:t>Hauora</w:t>
      </w:r>
      <w:proofErr w:type="spellEnd"/>
      <w:r w:rsidRPr="000C507A">
        <w:t xml:space="preserve"> Waikato under a one</w:t>
      </w:r>
      <w:r>
        <w:t>-</w:t>
      </w:r>
      <w:r w:rsidRPr="000C507A">
        <w:t>service</w:t>
      </w:r>
      <w:r>
        <w:t>,</w:t>
      </w:r>
      <w:r w:rsidRPr="000C507A">
        <w:t xml:space="preserve"> two</w:t>
      </w:r>
      <w:r>
        <w:t>-</w:t>
      </w:r>
      <w:r w:rsidRPr="000C507A">
        <w:t xml:space="preserve">provider model. </w:t>
      </w:r>
      <w:proofErr w:type="spellStart"/>
      <w:r w:rsidR="00BA789C">
        <w:t>Puawai</w:t>
      </w:r>
      <w:proofErr w:type="spellEnd"/>
      <w:r w:rsidR="00BA789C">
        <w:t xml:space="preserve"> </w:t>
      </w:r>
      <w:r w:rsidRPr="000C507A">
        <w:t xml:space="preserve">provides services to courts and prisons, community follow-up </w:t>
      </w:r>
      <w:r w:rsidR="00BA789C">
        <w:t xml:space="preserve">and </w:t>
      </w:r>
      <w:r w:rsidRPr="000C507A">
        <w:t>inpatient services.</w:t>
      </w:r>
    </w:p>
    <w:p w14:paraId="6064ED24" w14:textId="77777777" w:rsidR="008656AA" w:rsidRPr="000C507A" w:rsidRDefault="00BA789C" w:rsidP="008656AA">
      <w:pPr>
        <w:tabs>
          <w:tab w:val="right" w:pos="9020"/>
        </w:tabs>
      </w:pPr>
      <w:r>
        <w:t xml:space="preserve">The DHB purchases </w:t>
      </w:r>
      <w:r w:rsidR="008656AA" w:rsidRPr="000C507A">
        <w:t xml:space="preserve">a significant </w:t>
      </w:r>
      <w:r>
        <w:t xml:space="preserve">extent of </w:t>
      </w:r>
      <w:r w:rsidR="008656AA" w:rsidRPr="000C507A">
        <w:t>NGO service</w:t>
      </w:r>
      <w:r>
        <w:t>s</w:t>
      </w:r>
      <w:r w:rsidR="008656AA" w:rsidRPr="000C507A">
        <w:t xml:space="preserve"> (approximately 40% of </w:t>
      </w:r>
      <w:r>
        <w:t xml:space="preserve">its </w:t>
      </w:r>
      <w:r w:rsidR="0086290F" w:rsidRPr="0086290F">
        <w:t xml:space="preserve">mental health and addiction service </w:t>
      </w:r>
      <w:r w:rsidR="008656AA" w:rsidRPr="000C507A">
        <w:t xml:space="preserve">spend) – this includes the contract with </w:t>
      </w:r>
      <w:proofErr w:type="spellStart"/>
      <w:r w:rsidR="008656AA" w:rsidRPr="000C507A">
        <w:t>Hauora</w:t>
      </w:r>
      <w:proofErr w:type="spellEnd"/>
      <w:r w:rsidR="008656AA" w:rsidRPr="000C507A">
        <w:t xml:space="preserve"> Waikato. </w:t>
      </w:r>
      <w:r>
        <w:t xml:space="preserve">Non-governmental organisation </w:t>
      </w:r>
      <w:r w:rsidR="008656AA" w:rsidRPr="000C507A">
        <w:t xml:space="preserve">contracts also include community residential facilities. In addition, </w:t>
      </w:r>
      <w:r>
        <w:t xml:space="preserve">the DHB </w:t>
      </w:r>
      <w:r w:rsidR="008656AA" w:rsidRPr="000C507A">
        <w:t>refers child and adolescent inpatients to Starship</w:t>
      </w:r>
      <w:r w:rsidR="008656AA">
        <w:t xml:space="preserve"> </w:t>
      </w:r>
      <w:r>
        <w:t>H</w:t>
      </w:r>
      <w:r w:rsidR="008656AA">
        <w:t>ospital in Auckland</w:t>
      </w:r>
      <w:r w:rsidR="008656AA" w:rsidRPr="000C507A">
        <w:t>.</w:t>
      </w:r>
    </w:p>
    <w:p w14:paraId="1AEA70B9" w14:textId="77777777" w:rsidR="008656AA" w:rsidRPr="000C507A" w:rsidRDefault="008656AA" w:rsidP="008656AA">
      <w:pPr>
        <w:tabs>
          <w:tab w:val="right" w:pos="9020"/>
        </w:tabs>
      </w:pPr>
      <w:r w:rsidRPr="000C507A">
        <w:t>Th</w:t>
      </w:r>
      <w:r w:rsidR="00220DEE">
        <w:t>e</w:t>
      </w:r>
      <w:r w:rsidRPr="000C507A">
        <w:t xml:space="preserve"> </w:t>
      </w:r>
      <w:r>
        <w:t>i</w:t>
      </w:r>
      <w:r w:rsidRPr="000C507A">
        <w:t xml:space="preserve">nspection concentrated on the adult service provision of the </w:t>
      </w:r>
      <w:r w:rsidR="004B39BE">
        <w:t>MHAS</w:t>
      </w:r>
      <w:r w:rsidRPr="000C507A">
        <w:t xml:space="preserve">. </w:t>
      </w:r>
      <w:r w:rsidR="00BA789C">
        <w:t xml:space="preserve">To a lesser extent, it </w:t>
      </w:r>
      <w:r w:rsidRPr="000C507A">
        <w:t>look</w:t>
      </w:r>
      <w:r>
        <w:t>ed</w:t>
      </w:r>
      <w:r w:rsidRPr="000C507A">
        <w:t xml:space="preserve"> at how the community components of the Infant Child and Adolescent Mental Health Services (ICAMHS) and Mental Health for Older Person</w:t>
      </w:r>
      <w:r w:rsidR="00220DEE">
        <w:t>s</w:t>
      </w:r>
      <w:r w:rsidRPr="000C507A">
        <w:t xml:space="preserve"> Services were functioning. </w:t>
      </w:r>
      <w:r w:rsidR="00BA789C">
        <w:t>The Inspection Team looked at</w:t>
      </w:r>
      <w:r w:rsidRPr="000C507A">
        <w:t xml:space="preserve"> NGO service provision only in so far as it </w:t>
      </w:r>
      <w:r w:rsidR="00BA789C">
        <w:t xml:space="preserve">aided their </w:t>
      </w:r>
      <w:r w:rsidRPr="000C507A">
        <w:t xml:space="preserve">understanding </w:t>
      </w:r>
      <w:r w:rsidR="00BA789C">
        <w:t xml:space="preserve">of </w:t>
      </w:r>
      <w:r w:rsidRPr="000C507A">
        <w:t xml:space="preserve">the relationships with the </w:t>
      </w:r>
      <w:r w:rsidR="00220DEE">
        <w:t xml:space="preserve">DHB </w:t>
      </w:r>
      <w:r w:rsidRPr="000C507A">
        <w:t>provider</w:t>
      </w:r>
      <w:r>
        <w:t>-</w:t>
      </w:r>
      <w:r w:rsidRPr="000C507A">
        <w:t>arm services.</w:t>
      </w:r>
      <w:r w:rsidRPr="000C507A">
        <w:tab/>
      </w:r>
    </w:p>
    <w:p w14:paraId="2EF3193D" w14:textId="77777777" w:rsidR="00BD4152" w:rsidRPr="000C507A" w:rsidRDefault="00BD4152" w:rsidP="00BD4152">
      <w:pPr>
        <w:pStyle w:val="Heading1"/>
      </w:pPr>
      <w:bookmarkStart w:id="16" w:name="_Toc448394332"/>
      <w:r w:rsidRPr="000C507A">
        <w:t xml:space="preserve">Governance, </w:t>
      </w:r>
      <w:r w:rsidR="00BA789C">
        <w:t>l</w:t>
      </w:r>
      <w:r w:rsidRPr="000C507A">
        <w:t xml:space="preserve">eadership and </w:t>
      </w:r>
      <w:r w:rsidR="00BA789C">
        <w:t>m</w:t>
      </w:r>
      <w:r w:rsidRPr="000C507A">
        <w:t>anagement</w:t>
      </w:r>
      <w:bookmarkEnd w:id="16"/>
    </w:p>
    <w:p w14:paraId="3F1BFD32" w14:textId="77777777" w:rsidR="001E6ED6" w:rsidRPr="000C507A" w:rsidRDefault="001E6ED6" w:rsidP="001E6ED6">
      <w:pPr>
        <w:pStyle w:val="Heading2"/>
      </w:pPr>
      <w:bookmarkStart w:id="17" w:name="_Toc448394333"/>
      <w:r w:rsidRPr="000C507A">
        <w:t xml:space="preserve">Service </w:t>
      </w:r>
      <w:r w:rsidR="00BA789C">
        <w:t>d</w:t>
      </w:r>
      <w:r w:rsidRPr="000C507A">
        <w:t>evelopment</w:t>
      </w:r>
      <w:bookmarkEnd w:id="17"/>
    </w:p>
    <w:p w14:paraId="2FCD3E4F" w14:textId="77777777" w:rsidR="001E6ED6" w:rsidRPr="000C507A" w:rsidRDefault="00BA789C" w:rsidP="001E6ED6">
      <w:r>
        <w:t xml:space="preserve">Mental health </w:t>
      </w:r>
      <w:r w:rsidR="001E6ED6" w:rsidRPr="000C507A">
        <w:t xml:space="preserve">services </w:t>
      </w:r>
      <w:r>
        <w:t xml:space="preserve">in Waikato DHB – </w:t>
      </w:r>
      <w:r w:rsidR="001E6ED6" w:rsidRPr="000C507A">
        <w:t xml:space="preserve">particularly adult mental health services </w:t>
      </w:r>
      <w:r>
        <w:t xml:space="preserve">– </w:t>
      </w:r>
      <w:r w:rsidR="001E6ED6" w:rsidRPr="000C507A">
        <w:t xml:space="preserve">have been going through a major change process since 2008/9. </w:t>
      </w:r>
      <w:r w:rsidR="001E6ED6">
        <w:t>A</w:t>
      </w:r>
      <w:r w:rsidR="001E6ED6" w:rsidRPr="000C507A">
        <w:t xml:space="preserve"> major review of adult mental health and addiction services was commissioned</w:t>
      </w:r>
      <w:r w:rsidR="001E6ED6">
        <w:t xml:space="preserve"> in 2009</w:t>
      </w:r>
      <w:r w:rsidR="001E6ED6" w:rsidRPr="000C507A">
        <w:t xml:space="preserve"> – </w:t>
      </w:r>
      <w:r>
        <w:t xml:space="preserve">resulting in the report </w:t>
      </w:r>
      <w:r w:rsidR="001E6ED6" w:rsidRPr="000C507A">
        <w:rPr>
          <w:i/>
        </w:rPr>
        <w:t>A Time for Change</w:t>
      </w:r>
      <w:r>
        <w:t>.</w:t>
      </w:r>
      <w:r w:rsidR="001E6ED6" w:rsidRPr="00B15699">
        <w:rPr>
          <w:vertAlign w:val="superscript"/>
        </w:rPr>
        <w:footnoteReference w:id="5"/>
      </w:r>
      <w:r w:rsidR="001E6ED6" w:rsidRPr="000C507A">
        <w:t xml:space="preserve"> Th</w:t>
      </w:r>
      <w:r w:rsidR="001E6ED6">
        <w:t>is review</w:t>
      </w:r>
      <w:r w:rsidR="001E6ED6" w:rsidRPr="000C507A">
        <w:t xml:space="preserve"> and the subsequent strategic plan covering 2009–2014 </w:t>
      </w:r>
      <w:r w:rsidR="008C29D2">
        <w:t xml:space="preserve">have </w:t>
      </w:r>
      <w:r w:rsidR="001E6ED6" w:rsidRPr="000C507A">
        <w:t xml:space="preserve">governed the </w:t>
      </w:r>
      <w:r w:rsidR="001E6ED6">
        <w:t>services</w:t>
      </w:r>
      <w:r w:rsidR="008C29D2">
        <w:t>’</w:t>
      </w:r>
      <w:r w:rsidR="001E6ED6">
        <w:t xml:space="preserve"> agenda for improvement over the last five years</w:t>
      </w:r>
      <w:r w:rsidR="001E6ED6" w:rsidRPr="000C507A">
        <w:t>.</w:t>
      </w:r>
    </w:p>
    <w:p w14:paraId="6FDC19B0" w14:textId="77777777" w:rsidR="001E6ED6" w:rsidRPr="000C507A" w:rsidRDefault="001E6ED6" w:rsidP="001E6ED6">
      <w:r w:rsidRPr="000C507A">
        <w:lastRenderedPageBreak/>
        <w:t xml:space="preserve">Essentially </w:t>
      </w:r>
      <w:proofErr w:type="gramStart"/>
      <w:r w:rsidRPr="000C507A">
        <w:rPr>
          <w:i/>
        </w:rPr>
        <w:t>A</w:t>
      </w:r>
      <w:proofErr w:type="gramEnd"/>
      <w:r w:rsidRPr="000C507A">
        <w:rPr>
          <w:i/>
        </w:rPr>
        <w:t xml:space="preserve"> Time for Change</w:t>
      </w:r>
      <w:r w:rsidRPr="000C507A">
        <w:t xml:space="preserve"> identified problems in the following broad areas:</w:t>
      </w:r>
    </w:p>
    <w:p w14:paraId="69D26F98" w14:textId="77777777" w:rsidR="001E6ED6" w:rsidRPr="000C507A" w:rsidRDefault="001E6ED6" w:rsidP="001E6ED6">
      <w:pPr>
        <w:pStyle w:val="ListParagraph"/>
        <w:numPr>
          <w:ilvl w:val="0"/>
          <w:numId w:val="31"/>
        </w:numPr>
      </w:pPr>
      <w:r>
        <w:t>c</w:t>
      </w:r>
      <w:r w:rsidRPr="000C507A">
        <w:t>ulture</w:t>
      </w:r>
    </w:p>
    <w:p w14:paraId="49100165" w14:textId="77777777" w:rsidR="001E6ED6" w:rsidRPr="000C507A" w:rsidRDefault="001E6ED6" w:rsidP="001E6ED6">
      <w:pPr>
        <w:pStyle w:val="ListParagraph"/>
        <w:numPr>
          <w:ilvl w:val="0"/>
          <w:numId w:val="31"/>
        </w:numPr>
      </w:pPr>
      <w:r>
        <w:t>c</w:t>
      </w:r>
      <w:r w:rsidRPr="000C507A">
        <w:t xml:space="preserve">linical </w:t>
      </w:r>
      <w:r>
        <w:t>g</w:t>
      </w:r>
      <w:r w:rsidRPr="000C507A">
        <w:t xml:space="preserve">overnance and </w:t>
      </w:r>
      <w:r>
        <w:t>l</w:t>
      </w:r>
      <w:r w:rsidRPr="000C507A">
        <w:t>eadership</w:t>
      </w:r>
    </w:p>
    <w:p w14:paraId="06125E1B" w14:textId="77777777" w:rsidR="001E6ED6" w:rsidRPr="000C507A" w:rsidRDefault="001E6ED6" w:rsidP="001E6ED6">
      <w:pPr>
        <w:pStyle w:val="ListParagraph"/>
        <w:numPr>
          <w:ilvl w:val="0"/>
          <w:numId w:val="31"/>
        </w:numPr>
      </w:pPr>
      <w:r>
        <w:t>s</w:t>
      </w:r>
      <w:r w:rsidRPr="000C507A">
        <w:t xml:space="preserve">tructural </w:t>
      </w:r>
      <w:r w:rsidR="008C29D2">
        <w:t xml:space="preserve">elements </w:t>
      </w:r>
      <w:r w:rsidRPr="000C507A">
        <w:t>(service configuration issues)</w:t>
      </w:r>
    </w:p>
    <w:p w14:paraId="09B0E031" w14:textId="77777777" w:rsidR="001E6ED6" w:rsidRPr="000C507A" w:rsidRDefault="001E6ED6" w:rsidP="001E6ED6">
      <w:pPr>
        <w:pStyle w:val="ListParagraph"/>
        <w:numPr>
          <w:ilvl w:val="0"/>
          <w:numId w:val="31"/>
        </w:numPr>
      </w:pPr>
      <w:r>
        <w:t>f</w:t>
      </w:r>
      <w:r w:rsidRPr="000C507A">
        <w:t>acilities</w:t>
      </w:r>
    </w:p>
    <w:p w14:paraId="61957BFC" w14:textId="77777777" w:rsidR="001E6ED6" w:rsidRPr="000C507A" w:rsidRDefault="001E6ED6" w:rsidP="001E6ED6">
      <w:pPr>
        <w:pStyle w:val="ListParagraph"/>
        <w:numPr>
          <w:ilvl w:val="0"/>
          <w:numId w:val="31"/>
        </w:numPr>
      </w:pPr>
      <w:proofErr w:type="gramStart"/>
      <w:r>
        <w:t>q</w:t>
      </w:r>
      <w:r w:rsidRPr="000C507A">
        <w:t>uality</w:t>
      </w:r>
      <w:proofErr w:type="gramEnd"/>
      <w:r w:rsidRPr="000C507A">
        <w:t xml:space="preserve"> and </w:t>
      </w:r>
      <w:r>
        <w:t>s</w:t>
      </w:r>
      <w:r w:rsidRPr="000C507A">
        <w:t>afety</w:t>
      </w:r>
      <w:r>
        <w:t>.</w:t>
      </w:r>
    </w:p>
    <w:p w14:paraId="3EC257A0" w14:textId="77777777" w:rsidR="001E6ED6" w:rsidRPr="000C507A" w:rsidRDefault="008C29D2" w:rsidP="001E6ED6">
      <w:r>
        <w:t>A</w:t>
      </w:r>
      <w:r w:rsidR="001E6ED6" w:rsidRPr="000C507A">
        <w:t>ppendices</w:t>
      </w:r>
      <w:r>
        <w:t xml:space="preserve"> 1, 2 and 3 to this report reproduce t</w:t>
      </w:r>
      <w:r w:rsidRPr="000C507A">
        <w:t xml:space="preserve">he </w:t>
      </w:r>
      <w:r w:rsidR="006B2CCA">
        <w:t>executive summary</w:t>
      </w:r>
      <w:r>
        <w:t xml:space="preserve"> </w:t>
      </w:r>
      <w:r w:rsidR="006B2CCA">
        <w:t xml:space="preserve">and </w:t>
      </w:r>
      <w:r>
        <w:t>the recommendations</w:t>
      </w:r>
      <w:r w:rsidR="006B2CCA">
        <w:t xml:space="preserve"> of </w:t>
      </w:r>
      <w:r w:rsidR="006B2CCA" w:rsidRPr="008D149C">
        <w:rPr>
          <w:i/>
        </w:rPr>
        <w:t>A Time for Change</w:t>
      </w:r>
      <w:r>
        <w:t>,</w:t>
      </w:r>
      <w:r w:rsidRPr="000C507A">
        <w:t xml:space="preserve"> and the </w:t>
      </w:r>
      <w:r w:rsidR="006B2CCA">
        <w:t xml:space="preserve">resulting </w:t>
      </w:r>
      <w:r>
        <w:t>s</w:t>
      </w:r>
      <w:r w:rsidRPr="000C507A">
        <w:t xml:space="preserve">trategic </w:t>
      </w:r>
      <w:r>
        <w:t>p</w:t>
      </w:r>
      <w:r w:rsidRPr="000C507A">
        <w:t>lan</w:t>
      </w:r>
      <w:r w:rsidR="001E6ED6">
        <w:t>.</w:t>
      </w:r>
    </w:p>
    <w:p w14:paraId="40A8703D" w14:textId="77777777" w:rsidR="00BD4152" w:rsidRPr="000C507A" w:rsidRDefault="00BD4152" w:rsidP="00BD4152">
      <w:pPr>
        <w:pStyle w:val="Heading2"/>
      </w:pPr>
      <w:bookmarkStart w:id="18" w:name="_Toc448394334"/>
      <w:r w:rsidRPr="000C507A">
        <w:t>Mental Health and Addiction Services with</w:t>
      </w:r>
      <w:r w:rsidR="008C29D2">
        <w:t>in</w:t>
      </w:r>
      <w:r w:rsidRPr="000C507A">
        <w:t xml:space="preserve"> the </w:t>
      </w:r>
      <w:r w:rsidR="008C29D2">
        <w:t>w</w:t>
      </w:r>
      <w:r w:rsidRPr="000C507A">
        <w:t xml:space="preserve">ider </w:t>
      </w:r>
      <w:r w:rsidR="008C29D2">
        <w:t>district health board</w:t>
      </w:r>
      <w:r>
        <w:rPr>
          <w:rStyle w:val="FootnoteReference"/>
          <w:rFonts w:eastAsiaTheme="majorEastAsia"/>
        </w:rPr>
        <w:footnoteReference w:id="6"/>
      </w:r>
      <w:bookmarkEnd w:id="18"/>
    </w:p>
    <w:p w14:paraId="18E6A935" w14:textId="77777777" w:rsidR="00BD4152" w:rsidRPr="000C507A" w:rsidRDefault="008037AF" w:rsidP="00BD4152">
      <w:r>
        <w:t xml:space="preserve">As part of </w:t>
      </w:r>
      <w:r w:rsidR="00BD4152">
        <w:t>changes to the wider W</w:t>
      </w:r>
      <w:r w:rsidR="008C29D2">
        <w:t xml:space="preserve">aikato </w:t>
      </w:r>
      <w:r w:rsidR="00BD4152">
        <w:t xml:space="preserve">DHB executive structure </w:t>
      </w:r>
      <w:r>
        <w:t xml:space="preserve">in 2015, </w:t>
      </w:r>
      <w:r w:rsidR="00BD4152" w:rsidRPr="000C507A">
        <w:t xml:space="preserve">the </w:t>
      </w:r>
      <w:r w:rsidR="008C29D2">
        <w:t xml:space="preserve">role of </w:t>
      </w:r>
      <w:r w:rsidR="00BD4152" w:rsidRPr="000C507A">
        <w:t xml:space="preserve">Executive Director of </w:t>
      </w:r>
      <w:r w:rsidR="005F423D">
        <w:t xml:space="preserve">the </w:t>
      </w:r>
      <w:r w:rsidR="008C29D2">
        <w:t xml:space="preserve">MHAS changed, to </w:t>
      </w:r>
      <w:r w:rsidR="00BD4152" w:rsidRPr="000C507A">
        <w:t>report</w:t>
      </w:r>
      <w:r w:rsidR="00BD4152">
        <w:t xml:space="preserve"> </w:t>
      </w:r>
      <w:r w:rsidR="008C29D2">
        <w:t xml:space="preserve">directly </w:t>
      </w:r>
      <w:r w:rsidR="00BD4152">
        <w:t>to the Chief Executive</w:t>
      </w:r>
      <w:r w:rsidR="00BD4152" w:rsidRPr="000C507A">
        <w:t>. Th</w:t>
      </w:r>
      <w:r>
        <w:t>e Executive Director’s</w:t>
      </w:r>
      <w:r w:rsidR="00BD4152" w:rsidRPr="000C507A">
        <w:t xml:space="preserve"> position </w:t>
      </w:r>
      <w:r w:rsidR="00BD4152">
        <w:t>was</w:t>
      </w:r>
      <w:r w:rsidR="00BD4152" w:rsidRPr="000C507A">
        <w:t xml:space="preserve"> vacant </w:t>
      </w:r>
      <w:r w:rsidR="00BD4152">
        <w:t>at the time of the Inspection visits</w:t>
      </w:r>
      <w:r w:rsidR="008C29D2">
        <w:t>;</w:t>
      </w:r>
      <w:r w:rsidR="00BD4152" w:rsidRPr="000C507A">
        <w:t xml:space="preserve"> Dr Rees </w:t>
      </w:r>
      <w:proofErr w:type="spellStart"/>
      <w:r w:rsidR="00BD4152" w:rsidRPr="000C507A">
        <w:t>Tapsell</w:t>
      </w:r>
      <w:proofErr w:type="spellEnd"/>
      <w:r w:rsidR="00BD4152" w:rsidRPr="000C507A">
        <w:t xml:space="preserve"> </w:t>
      </w:r>
      <w:r w:rsidR="00BD4152">
        <w:t>was</w:t>
      </w:r>
      <w:r w:rsidR="00BD4152" w:rsidRPr="000C507A">
        <w:t xml:space="preserve"> occupying both </w:t>
      </w:r>
      <w:r>
        <w:t>t</w:t>
      </w:r>
      <w:r w:rsidR="00BD4152" w:rsidRPr="000C507A">
        <w:t xml:space="preserve">his </w:t>
      </w:r>
      <w:r>
        <w:t xml:space="preserve">role and his </w:t>
      </w:r>
      <w:r w:rsidR="00BD4152" w:rsidRPr="000C507A">
        <w:t xml:space="preserve">extant role </w:t>
      </w:r>
      <w:r>
        <w:t>as</w:t>
      </w:r>
      <w:r w:rsidR="00BD4152" w:rsidRPr="000C507A">
        <w:t xml:space="preserve"> Director of Clinical Services.</w:t>
      </w:r>
    </w:p>
    <w:p w14:paraId="63F60FF2" w14:textId="4649524D" w:rsidR="00BD4152" w:rsidRPr="000C507A" w:rsidRDefault="00BD4152" w:rsidP="00BD4152">
      <w:r>
        <w:t xml:space="preserve">A </w:t>
      </w:r>
      <w:r w:rsidRPr="000C507A">
        <w:t>professional reporting line</w:t>
      </w:r>
      <w:r>
        <w:t xml:space="preserve"> exists</w:t>
      </w:r>
      <w:r w:rsidRPr="000C507A">
        <w:t xml:space="preserve"> </w:t>
      </w:r>
      <w:r>
        <w:t>from the Director of Clinical Service</w:t>
      </w:r>
      <w:r w:rsidR="00220DEE">
        <w:t>s</w:t>
      </w:r>
      <w:r>
        <w:t xml:space="preserve"> </w:t>
      </w:r>
      <w:r w:rsidRPr="000C507A">
        <w:t xml:space="preserve">to the Chief Medical </w:t>
      </w:r>
      <w:proofErr w:type="gramStart"/>
      <w:r w:rsidRPr="000C507A">
        <w:t>Officer</w:t>
      </w:r>
      <w:r w:rsidR="008C29D2">
        <w:t>,</w:t>
      </w:r>
      <w:proofErr w:type="gramEnd"/>
      <w:r>
        <w:t xml:space="preserve"> and from the MHAS </w:t>
      </w:r>
      <w:r w:rsidR="00394427">
        <w:t>Nurse Director</w:t>
      </w:r>
      <w:r>
        <w:t xml:space="preserve"> to the </w:t>
      </w:r>
      <w:r w:rsidR="00394427">
        <w:t xml:space="preserve">DHB </w:t>
      </w:r>
      <w:r>
        <w:rPr>
          <w:rFonts w:cs="Arial"/>
          <w:color w:val="000000"/>
        </w:rPr>
        <w:t xml:space="preserve">Director of Nursing </w:t>
      </w:r>
      <w:r w:rsidR="008C29D2">
        <w:rPr>
          <w:rFonts w:cs="Arial"/>
          <w:color w:val="000000"/>
        </w:rPr>
        <w:t xml:space="preserve">and </w:t>
      </w:r>
      <w:r>
        <w:rPr>
          <w:rFonts w:cs="Arial"/>
          <w:color w:val="000000"/>
        </w:rPr>
        <w:t>Midwifery</w:t>
      </w:r>
      <w:r w:rsidR="009E4D1B">
        <w:rPr>
          <w:rFonts w:cs="Arial"/>
          <w:color w:val="000000"/>
        </w:rPr>
        <w:t xml:space="preserve"> (DON/M)</w:t>
      </w:r>
      <w:r>
        <w:rPr>
          <w:rFonts w:cs="Arial"/>
          <w:color w:val="000000"/>
        </w:rPr>
        <w:t>.</w:t>
      </w:r>
      <w:r>
        <w:t xml:space="preserve"> This latter position was being filled at the time of the Inspection. </w:t>
      </w:r>
      <w:r w:rsidRPr="000C507A">
        <w:t xml:space="preserve">Under the new </w:t>
      </w:r>
      <w:r w:rsidR="008037AF">
        <w:t>W</w:t>
      </w:r>
      <w:r w:rsidR="008C29D2">
        <w:t xml:space="preserve">aikato </w:t>
      </w:r>
      <w:r w:rsidR="008037AF">
        <w:t xml:space="preserve">DHB </w:t>
      </w:r>
      <w:r w:rsidR="008C29D2">
        <w:t>e</w:t>
      </w:r>
      <w:r w:rsidRPr="000C507A">
        <w:t xml:space="preserve">xecutive </w:t>
      </w:r>
      <w:r w:rsidR="008C29D2">
        <w:t>s</w:t>
      </w:r>
      <w:r w:rsidRPr="000C507A">
        <w:t>tructure</w:t>
      </w:r>
      <w:r w:rsidRPr="00A524F1">
        <w:t xml:space="preserve">, </w:t>
      </w:r>
      <w:r w:rsidR="008C29D2">
        <w:t xml:space="preserve">the DHB </w:t>
      </w:r>
      <w:r w:rsidR="008037AF" w:rsidRPr="00A524F1">
        <w:t>envisage</w:t>
      </w:r>
      <w:r w:rsidR="008C29D2">
        <w:t>s</w:t>
      </w:r>
      <w:r w:rsidR="008037AF" w:rsidRPr="00A524F1">
        <w:t xml:space="preserve"> that</w:t>
      </w:r>
      <w:r w:rsidR="008037AF">
        <w:rPr>
          <w:i/>
        </w:rPr>
        <w:t xml:space="preserve"> </w:t>
      </w:r>
      <w:r w:rsidRPr="000C507A">
        <w:t xml:space="preserve">the Director of Quality </w:t>
      </w:r>
      <w:r w:rsidR="008C29D2">
        <w:t xml:space="preserve">and </w:t>
      </w:r>
      <w:r>
        <w:t>P</w:t>
      </w:r>
      <w:r w:rsidRPr="000C507A">
        <w:t xml:space="preserve">atient Safety, the Director of Allied Health and the Clinical Director of Primary and Integrated Care will also have </w:t>
      </w:r>
      <w:r>
        <w:t xml:space="preserve">improved linkages with governance of the </w:t>
      </w:r>
      <w:r w:rsidR="004B39BE">
        <w:t>MHAS</w:t>
      </w:r>
      <w:r w:rsidRPr="000C507A">
        <w:t>.</w:t>
      </w:r>
    </w:p>
    <w:p w14:paraId="71CEB1DE" w14:textId="77777777" w:rsidR="008037AF" w:rsidRPr="000C507A" w:rsidRDefault="008037AF" w:rsidP="008037AF">
      <w:pPr>
        <w:pStyle w:val="Heading2"/>
      </w:pPr>
      <w:bookmarkStart w:id="19" w:name="_Toc448394335"/>
      <w:r w:rsidRPr="000C507A">
        <w:t xml:space="preserve">Operational and </w:t>
      </w:r>
      <w:r w:rsidR="00FC5C77">
        <w:t>c</w:t>
      </w:r>
      <w:r w:rsidRPr="000C507A">
        <w:t xml:space="preserve">linical </w:t>
      </w:r>
      <w:r w:rsidR="00FC5C77">
        <w:t>g</w:t>
      </w:r>
      <w:r w:rsidRPr="000C507A">
        <w:t xml:space="preserve">overnance, </w:t>
      </w:r>
      <w:r w:rsidR="00FC5C77">
        <w:t>l</w:t>
      </w:r>
      <w:r w:rsidRPr="000C507A">
        <w:t xml:space="preserve">eadership and </w:t>
      </w:r>
      <w:r w:rsidR="00FC5C77">
        <w:t>s</w:t>
      </w:r>
      <w:r w:rsidRPr="000C507A">
        <w:t xml:space="preserve">ervice </w:t>
      </w:r>
      <w:r w:rsidR="00FC5C77">
        <w:t>d</w:t>
      </w:r>
      <w:r w:rsidRPr="000C507A">
        <w:t>irection</w:t>
      </w:r>
      <w:bookmarkEnd w:id="19"/>
    </w:p>
    <w:p w14:paraId="218A94A0" w14:textId="77777777" w:rsidR="00FA2652" w:rsidRDefault="00FA2652" w:rsidP="00FA2652">
      <w:r>
        <w:t xml:space="preserve">The </w:t>
      </w:r>
      <w:r w:rsidR="00FC5C77">
        <w:t xml:space="preserve">DHB saw the </w:t>
      </w:r>
      <w:r>
        <w:t xml:space="preserve">programme of change </w:t>
      </w:r>
      <w:r w:rsidR="00FC5C77">
        <w:t xml:space="preserve">outlined in </w:t>
      </w:r>
      <w:r>
        <w:rPr>
          <w:i/>
        </w:rPr>
        <w:t xml:space="preserve">A Time for Change </w:t>
      </w:r>
      <w:r>
        <w:t>as a phased process</w:t>
      </w:r>
      <w:r w:rsidR="00FC5C77">
        <w:t>,</w:t>
      </w:r>
      <w:r>
        <w:t xml:space="preserve"> with the </w:t>
      </w:r>
      <w:r w:rsidR="00FC5C77">
        <w:t xml:space="preserve">following </w:t>
      </w:r>
      <w:r>
        <w:t>major components:</w:t>
      </w:r>
    </w:p>
    <w:p w14:paraId="5C748515" w14:textId="77777777" w:rsidR="00FA2652" w:rsidRDefault="00220DEE" w:rsidP="00FA2652">
      <w:pPr>
        <w:pStyle w:val="ListParagraph"/>
        <w:numPr>
          <w:ilvl w:val="0"/>
          <w:numId w:val="42"/>
        </w:numPr>
      </w:pPr>
      <w:r>
        <w:t>f</w:t>
      </w:r>
      <w:r w:rsidR="00FA2652">
        <w:t xml:space="preserve">unctional service orientation (model of care, </w:t>
      </w:r>
      <w:proofErr w:type="spellStart"/>
      <w:r w:rsidR="00FA2652">
        <w:t>etc</w:t>
      </w:r>
      <w:proofErr w:type="spellEnd"/>
      <w:r w:rsidR="00FA2652">
        <w:t>)</w:t>
      </w:r>
    </w:p>
    <w:p w14:paraId="7D2250FD" w14:textId="77777777" w:rsidR="00FA2652" w:rsidRDefault="00FA2652" w:rsidP="00FA2652">
      <w:pPr>
        <w:pStyle w:val="ListParagraph"/>
        <w:numPr>
          <w:ilvl w:val="0"/>
          <w:numId w:val="42"/>
        </w:numPr>
      </w:pPr>
      <w:r>
        <w:t>realignment of structure to function (including the integrated care pathway)</w:t>
      </w:r>
    </w:p>
    <w:p w14:paraId="2889FC5D" w14:textId="77777777" w:rsidR="00FA2652" w:rsidRDefault="00220DEE" w:rsidP="00FA2652">
      <w:pPr>
        <w:pStyle w:val="ListParagraph"/>
        <w:numPr>
          <w:ilvl w:val="0"/>
          <w:numId w:val="42"/>
        </w:numPr>
      </w:pPr>
      <w:proofErr w:type="gramStart"/>
      <w:r>
        <w:t>p</w:t>
      </w:r>
      <w:r w:rsidR="00FA2652">
        <w:t>ractice</w:t>
      </w:r>
      <w:proofErr w:type="gramEnd"/>
      <w:r w:rsidR="00FA2652">
        <w:t xml:space="preserve"> improvement</w:t>
      </w:r>
      <w:r>
        <w:t>.</w:t>
      </w:r>
    </w:p>
    <w:p w14:paraId="50A33867" w14:textId="77777777" w:rsidR="00FA2652" w:rsidRDefault="00FC5C77" w:rsidP="00FA2652">
      <w:r>
        <w:t xml:space="preserve">The programme of change also </w:t>
      </w:r>
      <w:r w:rsidR="00FA2652">
        <w:t>focus</w:t>
      </w:r>
      <w:r>
        <w:t>ed</w:t>
      </w:r>
      <w:r w:rsidR="00FA2652">
        <w:t xml:space="preserve"> on clarifying the accountability pathway. All disciplines working in </w:t>
      </w:r>
      <w:r w:rsidR="005F423D">
        <w:t xml:space="preserve">the </w:t>
      </w:r>
      <w:r w:rsidR="00FA2652">
        <w:t>MHAS report via one point of accountability through the operational management line.</w:t>
      </w:r>
      <w:r w:rsidR="00FA2652" w:rsidRPr="002C3A91">
        <w:t xml:space="preserve"> </w:t>
      </w:r>
      <w:r w:rsidR="00801FA3" w:rsidRPr="00801FA3">
        <w:t xml:space="preserve">The service saw this accountability pathway as enabling </w:t>
      </w:r>
      <w:r w:rsidR="00FA2652" w:rsidRPr="000C507A">
        <w:t>a focus on managing across the boundaries to ensure good integration of care</w:t>
      </w:r>
      <w:r w:rsidR="00801FA3">
        <w:t>.</w:t>
      </w:r>
      <w:r w:rsidR="00FA2652" w:rsidRPr="000C507A">
        <w:t xml:space="preserve">  </w:t>
      </w:r>
    </w:p>
    <w:p w14:paraId="20B79F3C" w14:textId="77777777" w:rsidR="00BD4152" w:rsidRDefault="00BD4152" w:rsidP="00075655">
      <w:r>
        <w:t xml:space="preserve">It is worth noting that </w:t>
      </w:r>
      <w:r w:rsidR="00FC5C77">
        <w:t xml:space="preserve">a </w:t>
      </w:r>
      <w:r w:rsidR="00E47B9A">
        <w:t>review</w:t>
      </w:r>
      <w:r>
        <w:t xml:space="preserve"> of</w:t>
      </w:r>
      <w:r w:rsidR="00E47B9A">
        <w:t xml:space="preserve"> </w:t>
      </w:r>
      <w:r>
        <w:t>Waikato DHB in 2014</w:t>
      </w:r>
      <w:r w:rsidR="00A17520">
        <w:t xml:space="preserve"> </w:t>
      </w:r>
      <w:r w:rsidR="00FC5C77">
        <w:t xml:space="preserve">produced </w:t>
      </w:r>
      <w:r w:rsidR="00A17520">
        <w:t xml:space="preserve">for the </w:t>
      </w:r>
      <w:r w:rsidR="00FC5C77">
        <w:t xml:space="preserve">use of the </w:t>
      </w:r>
      <w:r w:rsidR="00A17520">
        <w:t>incoming chief executive</w:t>
      </w:r>
      <w:r>
        <w:rPr>
          <w:rStyle w:val="FootnoteReference"/>
        </w:rPr>
        <w:footnoteReference w:id="7"/>
      </w:r>
      <w:r>
        <w:t xml:space="preserve"> commented favourably on the </w:t>
      </w:r>
      <w:r w:rsidR="008037AF">
        <w:t xml:space="preserve">clinical governance of the </w:t>
      </w:r>
      <w:r w:rsidR="00FC5C77">
        <w:t>MHAS</w:t>
      </w:r>
      <w:r w:rsidR="005F423D">
        <w:t>,</w:t>
      </w:r>
      <w:r w:rsidR="00FC5C77">
        <w:t xml:space="preserve"> </w:t>
      </w:r>
      <w:r w:rsidR="008037AF">
        <w:t>observing that:</w:t>
      </w:r>
    </w:p>
    <w:p w14:paraId="3F649624" w14:textId="77777777" w:rsidR="00BD4152" w:rsidRPr="003F6883" w:rsidRDefault="00BD4152" w:rsidP="00BD4152">
      <w:pPr>
        <w:ind w:left="720"/>
      </w:pPr>
      <w:r w:rsidRPr="003F6883">
        <w:lastRenderedPageBreak/>
        <w:t>Waikato’s Mental Health service provides a useful model for developing a true clinical governance structure where the manager, medical, nursing and allied health teams have engaged in collective decision making, robust d</w:t>
      </w:r>
      <w:r w:rsidR="008037AF" w:rsidRPr="003F6883">
        <w:t>ebate and shared accountability.</w:t>
      </w:r>
    </w:p>
    <w:p w14:paraId="10E0B8A6" w14:textId="77777777" w:rsidR="008037AF" w:rsidRDefault="008037AF" w:rsidP="00BD4152">
      <w:r w:rsidRPr="000C507A">
        <w:t xml:space="preserve">The documentation </w:t>
      </w:r>
      <w:r w:rsidR="005F423D">
        <w:t xml:space="preserve">the </w:t>
      </w:r>
      <w:r w:rsidR="00FC5C77">
        <w:t xml:space="preserve">MHAS </w:t>
      </w:r>
      <w:r w:rsidRPr="000C507A">
        <w:t>provided</w:t>
      </w:r>
      <w:r w:rsidR="004B39BE">
        <w:t xml:space="preserve"> to the Inspection Team</w:t>
      </w:r>
      <w:r w:rsidRPr="000C507A">
        <w:t xml:space="preserve"> (supported by individual interviews) demonstrate</w:t>
      </w:r>
      <w:r>
        <w:t>d</w:t>
      </w:r>
      <w:r w:rsidRPr="000C507A">
        <w:t xml:space="preserve"> </w:t>
      </w:r>
      <w:r>
        <w:t>a</w:t>
      </w:r>
      <w:r w:rsidRPr="000C507A">
        <w:t xml:space="preserve"> robust</w:t>
      </w:r>
      <w:r>
        <w:t xml:space="preserve"> strategic,</w:t>
      </w:r>
      <w:r w:rsidRPr="000C507A">
        <w:t xml:space="preserve"> operational and clinical governance</w:t>
      </w:r>
      <w:r w:rsidR="004916E8">
        <w:t xml:space="preserve"> structure</w:t>
      </w:r>
      <w:r w:rsidRPr="000C507A">
        <w:t xml:space="preserve">.  </w:t>
      </w:r>
    </w:p>
    <w:p w14:paraId="18187C6B" w14:textId="77777777" w:rsidR="00BD4152" w:rsidRDefault="00BD4152" w:rsidP="00BD4152">
      <w:r>
        <w:t>The</w:t>
      </w:r>
      <w:r w:rsidRPr="000C507A">
        <w:t xml:space="preserve"> Executive Director</w:t>
      </w:r>
      <w:r w:rsidR="007A743F">
        <w:t>,</w:t>
      </w:r>
      <w:r>
        <w:t xml:space="preserve"> with support from two assistant group managers</w:t>
      </w:r>
      <w:r w:rsidR="004916E8">
        <w:t>,</w:t>
      </w:r>
      <w:r w:rsidR="00A524F1">
        <w:t xml:space="preserve"> three operational managers, </w:t>
      </w:r>
      <w:r w:rsidR="004B39BE">
        <w:t xml:space="preserve">the Director of Clinical </w:t>
      </w:r>
      <w:r w:rsidR="00FC5C77">
        <w:t>S</w:t>
      </w:r>
      <w:r w:rsidR="004B39BE">
        <w:t>ervices</w:t>
      </w:r>
      <w:r w:rsidR="00A524F1">
        <w:t>,</w:t>
      </w:r>
      <w:r w:rsidR="004916E8">
        <w:t xml:space="preserve"> </w:t>
      </w:r>
      <w:r w:rsidR="004B39BE">
        <w:t>the Nurse Director</w:t>
      </w:r>
      <w:r>
        <w:t xml:space="preserve"> and </w:t>
      </w:r>
      <w:r w:rsidR="00A524F1">
        <w:t xml:space="preserve">the </w:t>
      </w:r>
      <w:r w:rsidR="00E013DD">
        <w:t>professional leads for social work, psychology and occupational therapy</w:t>
      </w:r>
      <w:r>
        <w:t xml:space="preserve">. </w:t>
      </w:r>
    </w:p>
    <w:p w14:paraId="7E69CC9D" w14:textId="77777777" w:rsidR="00BD4152" w:rsidRDefault="00BD4152" w:rsidP="00BD4152">
      <w:r>
        <w:t>Around the time of the review in August 2015</w:t>
      </w:r>
      <w:r w:rsidRPr="000C507A">
        <w:t xml:space="preserve">, there </w:t>
      </w:r>
      <w:r>
        <w:t>was</w:t>
      </w:r>
      <w:r w:rsidRPr="000C507A">
        <w:t xml:space="preserve"> a realignment of the role</w:t>
      </w:r>
      <w:r w:rsidR="001E6ED6">
        <w:t xml:space="preserve">s of </w:t>
      </w:r>
      <w:r>
        <w:t xml:space="preserve">the operations </w:t>
      </w:r>
      <w:r w:rsidRPr="000C507A">
        <w:t>managers</w:t>
      </w:r>
      <w:r w:rsidR="00442356">
        <w:t>:</w:t>
      </w:r>
      <w:r w:rsidRPr="000C507A">
        <w:t xml:space="preserve"> the </w:t>
      </w:r>
      <w:r w:rsidR="00442356">
        <w:t xml:space="preserve">DHB extended the role of </w:t>
      </w:r>
      <w:r w:rsidRPr="000C507A">
        <w:t>operations manager for forensics across all of the HRBC</w:t>
      </w:r>
      <w:r>
        <w:t xml:space="preserve"> inpatient units (</w:t>
      </w:r>
      <w:r w:rsidRPr="000C507A">
        <w:t>that is</w:t>
      </w:r>
      <w:r w:rsidR="00442356">
        <w:t>,</w:t>
      </w:r>
      <w:r w:rsidRPr="000C507A">
        <w:t xml:space="preserve"> adult and forensic inpatient services</w:t>
      </w:r>
      <w:r>
        <w:t>)</w:t>
      </w:r>
      <w:r w:rsidRPr="000C507A">
        <w:t>.</w:t>
      </w:r>
      <w:r>
        <w:t xml:space="preserve"> This was to ensure that the management of the </w:t>
      </w:r>
      <w:r w:rsidR="00E87976">
        <w:t xml:space="preserve">combined </w:t>
      </w:r>
      <w:r>
        <w:t>inpatient unit</w:t>
      </w:r>
      <w:r w:rsidR="00E87976">
        <w:t>s</w:t>
      </w:r>
      <w:r>
        <w:t xml:space="preserve"> (HRBC) came under one manager. The person holding </w:t>
      </w:r>
      <w:r w:rsidR="00442356">
        <w:t xml:space="preserve">this </w:t>
      </w:r>
      <w:r>
        <w:t xml:space="preserve">role </w:t>
      </w:r>
      <w:r w:rsidR="00442356">
        <w:t xml:space="preserve">must </w:t>
      </w:r>
      <w:r>
        <w:t>have a detailed knowledge of inpatient care, the ability to work with clinical nurse managers</w:t>
      </w:r>
      <w:r w:rsidR="00E013DD">
        <w:t>,</w:t>
      </w:r>
      <w:r>
        <w:t xml:space="preserve"> and a clear understanding of nursing care.</w:t>
      </w:r>
      <w:r>
        <w:rPr>
          <w:rStyle w:val="FootnoteReference"/>
        </w:rPr>
        <w:footnoteReference w:id="8"/>
      </w:r>
    </w:p>
    <w:p w14:paraId="3BDBA8A2" w14:textId="77777777" w:rsidR="008037AF" w:rsidRDefault="00442356" w:rsidP="008037AF">
      <w:r>
        <w:t>Individual</w:t>
      </w:r>
      <w:r w:rsidR="008037AF">
        <w:t xml:space="preserve"> service</w:t>
      </w:r>
      <w:r>
        <w:t>s</w:t>
      </w:r>
      <w:r w:rsidR="008037AF">
        <w:t xml:space="preserve"> </w:t>
      </w:r>
      <w:r w:rsidR="001E6ED6">
        <w:t>(</w:t>
      </w:r>
      <w:r w:rsidR="008037AF">
        <w:t>for Older Persons, Adult</w:t>
      </w:r>
      <w:r w:rsidR="008037AF" w:rsidRPr="000C507A">
        <w:t xml:space="preserve">, Forensics, Alcohol and Other Drugs, and </w:t>
      </w:r>
      <w:r w:rsidR="008037AF">
        <w:t>Child and Adolescent)</w:t>
      </w:r>
      <w:r w:rsidR="008037AF" w:rsidRPr="000C507A">
        <w:t xml:space="preserve"> </w:t>
      </w:r>
      <w:r>
        <w:t xml:space="preserve">replicate </w:t>
      </w:r>
      <w:r w:rsidR="008037AF">
        <w:t xml:space="preserve">the clinical/operational governance </w:t>
      </w:r>
      <w:r>
        <w:t xml:space="preserve">structure: </w:t>
      </w:r>
      <w:r w:rsidR="008037AF" w:rsidRPr="000C507A">
        <w:t>clinical directors</w:t>
      </w:r>
      <w:r w:rsidR="008037AF">
        <w:t xml:space="preserve"> </w:t>
      </w:r>
      <w:r>
        <w:t>and c</w:t>
      </w:r>
      <w:r w:rsidR="008037AF">
        <w:t xml:space="preserve">linical </w:t>
      </w:r>
      <w:r>
        <w:t>n</w:t>
      </w:r>
      <w:r w:rsidR="008037AF">
        <w:t xml:space="preserve">urse </w:t>
      </w:r>
      <w:r>
        <w:t>m</w:t>
      </w:r>
      <w:r w:rsidR="008037AF">
        <w:t>anagers/team leaders report operationally to operations managers and professionally to their respective clinical leads</w:t>
      </w:r>
      <w:r w:rsidR="008037AF" w:rsidRPr="000C507A">
        <w:t xml:space="preserve">. </w:t>
      </w:r>
    </w:p>
    <w:p w14:paraId="74E12398" w14:textId="77777777" w:rsidR="00BD4152" w:rsidRPr="000C507A" w:rsidRDefault="00E013DD" w:rsidP="00BD4152">
      <w:r>
        <w:t>At the MHAS t</w:t>
      </w:r>
      <w:r w:rsidR="00BD4152" w:rsidRPr="000C507A">
        <w:t xml:space="preserve">here is a clear focus on the use of </w:t>
      </w:r>
      <w:r w:rsidR="00BD4152">
        <w:t>data and information</w:t>
      </w:r>
      <w:r w:rsidR="00BD4152" w:rsidRPr="000C507A">
        <w:t xml:space="preserve"> to understand how the </w:t>
      </w:r>
      <w:r w:rsidR="00BD4152">
        <w:t>s</w:t>
      </w:r>
      <w:r w:rsidR="00BD4152" w:rsidRPr="000C507A">
        <w:t>ervice is functioning. The documentation shows attention to</w:t>
      </w:r>
      <w:r w:rsidR="00BD4152">
        <w:t xml:space="preserve"> detail with respect to the service</w:t>
      </w:r>
      <w:r w:rsidR="00BD4152" w:rsidRPr="000C507A">
        <w:t xml:space="preserve"> work plan</w:t>
      </w:r>
      <w:r w:rsidR="00BD4152">
        <w:t xml:space="preserve"> </w:t>
      </w:r>
      <w:r w:rsidR="00BD4152" w:rsidRPr="000C507A">
        <w:t xml:space="preserve">and the development of policies and procedures. There is </w:t>
      </w:r>
      <w:r w:rsidR="00BD4152">
        <w:t xml:space="preserve">a </w:t>
      </w:r>
      <w:r w:rsidR="00BD4152" w:rsidRPr="000C507A">
        <w:t>clear</w:t>
      </w:r>
      <w:r w:rsidR="00BD4152">
        <w:t xml:space="preserve"> process</w:t>
      </w:r>
      <w:r w:rsidR="00BD4152" w:rsidRPr="000C507A">
        <w:t xml:space="preserve"> </w:t>
      </w:r>
      <w:r w:rsidR="00BD4152">
        <w:t xml:space="preserve">for </w:t>
      </w:r>
      <w:r w:rsidR="00442356">
        <w:t xml:space="preserve">signing off </w:t>
      </w:r>
      <w:r w:rsidR="00BD4152">
        <w:t>formal documents</w:t>
      </w:r>
      <w:r w:rsidR="00BD4152" w:rsidRPr="000C507A">
        <w:t xml:space="preserve">. </w:t>
      </w:r>
      <w:r w:rsidR="00442356">
        <w:t>The service clearly documents its r</w:t>
      </w:r>
      <w:r w:rsidR="00BD4152" w:rsidRPr="000C507A">
        <w:t>eviews of issues</w:t>
      </w:r>
      <w:r w:rsidR="00442356">
        <w:t xml:space="preserve">, </w:t>
      </w:r>
      <w:r w:rsidR="00BD4152" w:rsidRPr="000C507A">
        <w:t>sign</w:t>
      </w:r>
      <w:r w:rsidR="00442356">
        <w:t>s</w:t>
      </w:r>
      <w:r w:rsidR="00BD4152" w:rsidRPr="000C507A">
        <w:t xml:space="preserve"> off decisions and follow</w:t>
      </w:r>
      <w:r w:rsidR="00442356">
        <w:t>s</w:t>
      </w:r>
      <w:r w:rsidR="00BD4152" w:rsidRPr="000C507A">
        <w:t xml:space="preserve"> through</w:t>
      </w:r>
      <w:r w:rsidR="00442356">
        <w:t xml:space="preserve"> where necessary</w:t>
      </w:r>
      <w:r w:rsidR="00BD4152" w:rsidRPr="000C507A">
        <w:t>.</w:t>
      </w:r>
    </w:p>
    <w:p w14:paraId="7C1F68C3" w14:textId="77777777" w:rsidR="00BD4152" w:rsidRDefault="00BD4152" w:rsidP="00BD4152">
      <w:r w:rsidRPr="000C507A">
        <w:t>From the interviews it was clear that</w:t>
      </w:r>
      <w:r w:rsidR="001936AB">
        <w:t>,</w:t>
      </w:r>
      <w:r w:rsidRPr="000C507A">
        <w:t xml:space="preserve"> prior to </w:t>
      </w:r>
      <w:r>
        <w:t>the</w:t>
      </w:r>
      <w:r w:rsidRPr="000C507A">
        <w:t xml:space="preserve"> departure </w:t>
      </w:r>
      <w:r>
        <w:t>of the Group Manager</w:t>
      </w:r>
      <w:r w:rsidR="004916E8">
        <w:t xml:space="preserve"> (later replaced by a new </w:t>
      </w:r>
      <w:r w:rsidR="00442356">
        <w:t>role</w:t>
      </w:r>
      <w:r w:rsidR="004916E8">
        <w:t>, the Executive Director of Mental Health Services)</w:t>
      </w:r>
      <w:r>
        <w:t xml:space="preserve">, </w:t>
      </w:r>
      <w:r w:rsidRPr="000C507A">
        <w:t xml:space="preserve">the Director of Clinical Services and Group Manager had enjoyed an effective working relationship that had enabled them to drive service changes. </w:t>
      </w:r>
      <w:r w:rsidR="001936AB">
        <w:t xml:space="preserve">Together, they </w:t>
      </w:r>
      <w:r w:rsidRPr="000C507A">
        <w:t xml:space="preserve">provided effective leadership to the senior team through the </w:t>
      </w:r>
      <w:r>
        <w:t xml:space="preserve">early </w:t>
      </w:r>
      <w:r w:rsidRPr="000C507A">
        <w:t xml:space="preserve">change process.  </w:t>
      </w:r>
    </w:p>
    <w:p w14:paraId="5C030C6E" w14:textId="77777777" w:rsidR="008037AF" w:rsidRPr="000C507A" w:rsidRDefault="008037AF" w:rsidP="008037AF">
      <w:r w:rsidRPr="000C507A">
        <w:t>The tw</w:t>
      </w:r>
      <w:r>
        <w:t>o associate group managers (AGMs</w:t>
      </w:r>
      <w:r w:rsidRPr="000C507A">
        <w:t>) were clearly across their portfolios and knew what changes were necessary in their areas. They demonstrated how they worked effectively with their clinical leaders.</w:t>
      </w:r>
    </w:p>
    <w:p w14:paraId="7C00C115" w14:textId="77777777" w:rsidR="008037AF" w:rsidRDefault="008037AF" w:rsidP="008037AF">
      <w:r w:rsidRPr="000C507A">
        <w:t>The operational man</w:t>
      </w:r>
      <w:r>
        <w:t>a</w:t>
      </w:r>
      <w:r w:rsidRPr="000C507A">
        <w:t xml:space="preserve">gers were focused on the operational management of their areas.  Their direct reports were the team leaders and charge nurse managers.  They reported to the AGMs and </w:t>
      </w:r>
      <w:r w:rsidR="001E6ED6">
        <w:t>G</w:t>
      </w:r>
      <w:r w:rsidRPr="000C507A">
        <w:t xml:space="preserve">roup </w:t>
      </w:r>
      <w:r w:rsidR="001E6ED6">
        <w:t>M</w:t>
      </w:r>
      <w:r w:rsidRPr="000C507A">
        <w:t xml:space="preserve">anager (now </w:t>
      </w:r>
      <w:r w:rsidR="001E6ED6">
        <w:t>the E</w:t>
      </w:r>
      <w:r w:rsidRPr="000C507A">
        <w:t xml:space="preserve">xecutive </w:t>
      </w:r>
      <w:r w:rsidR="001E6ED6">
        <w:t>D</w:t>
      </w:r>
      <w:r w:rsidRPr="000C507A">
        <w:t>irector).</w:t>
      </w:r>
      <w:r>
        <w:t xml:space="preserve"> Like the AGMs</w:t>
      </w:r>
      <w:r w:rsidR="001936AB">
        <w:t>,</w:t>
      </w:r>
      <w:r>
        <w:t xml:space="preserve"> </w:t>
      </w:r>
      <w:r w:rsidR="001936AB">
        <w:t xml:space="preserve">operational managers </w:t>
      </w:r>
      <w:r>
        <w:t>demonstrated a significant understanding of the challenges faced by the services they were responsible for.</w:t>
      </w:r>
    </w:p>
    <w:p w14:paraId="43FC3CC3" w14:textId="77777777" w:rsidR="00BD4152" w:rsidRPr="000C507A" w:rsidRDefault="00BD4152" w:rsidP="00BD4152">
      <w:r>
        <w:t xml:space="preserve">A number of staff commented that the Director of Clinical Services had a clear and effective strategic vision for the service. Furthermore, </w:t>
      </w:r>
      <w:r w:rsidR="001936AB">
        <w:t xml:space="preserve">they </w:t>
      </w:r>
      <w:r>
        <w:t xml:space="preserve">observed that this vision was well supported by the other </w:t>
      </w:r>
      <w:r w:rsidR="001936AB">
        <w:t>c</w:t>
      </w:r>
      <w:r>
        <w:t xml:space="preserve">linical </w:t>
      </w:r>
      <w:r w:rsidR="001936AB">
        <w:t>d</w:t>
      </w:r>
      <w:r>
        <w:t xml:space="preserve">irectors at the DHB. </w:t>
      </w:r>
    </w:p>
    <w:p w14:paraId="3EB3E1AD" w14:textId="77777777" w:rsidR="00BD4152" w:rsidRPr="000C507A" w:rsidRDefault="00BD4152" w:rsidP="00BD4152">
      <w:r w:rsidRPr="000C507A">
        <w:lastRenderedPageBreak/>
        <w:t xml:space="preserve">The goals of the service and the steps </w:t>
      </w:r>
      <w:r w:rsidR="001936AB">
        <w:t xml:space="preserve">it has documented </w:t>
      </w:r>
      <w:r w:rsidRPr="000C507A">
        <w:t xml:space="preserve">to </w:t>
      </w:r>
      <w:r>
        <w:t>achieve these goals</w:t>
      </w:r>
      <w:r w:rsidRPr="000C507A">
        <w:t xml:space="preserve"> are consistent with contemporary mental health service development. There seem</w:t>
      </w:r>
      <w:r w:rsidR="001E6ED6">
        <w:t>s</w:t>
      </w:r>
      <w:r w:rsidRPr="000C507A">
        <w:t xml:space="preserve"> to be appropriate engagement with external parties</w:t>
      </w:r>
      <w:r w:rsidR="001936AB">
        <w:t>,</w:t>
      </w:r>
      <w:r w:rsidR="001E6ED6">
        <w:t xml:space="preserve"> and</w:t>
      </w:r>
      <w:r w:rsidRPr="000C507A">
        <w:t xml:space="preserve"> innovative developments </w:t>
      </w:r>
      <w:r>
        <w:t>involving cross</w:t>
      </w:r>
      <w:r w:rsidR="001936AB">
        <w:t>-</w:t>
      </w:r>
      <w:r>
        <w:t>agency linkages and linkages</w:t>
      </w:r>
      <w:r w:rsidRPr="000C507A">
        <w:t xml:space="preserve"> to in the wider community (</w:t>
      </w:r>
      <w:r w:rsidR="001936AB">
        <w:t>examples include</w:t>
      </w:r>
      <w:r w:rsidRPr="000C507A">
        <w:t xml:space="preserve"> </w:t>
      </w:r>
      <w:r w:rsidRPr="001F46BC">
        <w:t>The People’s Project</w:t>
      </w:r>
      <w:r w:rsidR="001936AB" w:rsidRPr="001F46BC">
        <w:t>,</w:t>
      </w:r>
      <w:r w:rsidRPr="001F46BC">
        <w:rPr>
          <w:rStyle w:val="FootnoteReference"/>
        </w:rPr>
        <w:footnoteReference w:id="9"/>
      </w:r>
      <w:r>
        <w:t xml:space="preserve"> </w:t>
      </w:r>
      <w:r w:rsidR="001936AB">
        <w:t xml:space="preserve">a </w:t>
      </w:r>
      <w:r w:rsidR="00733115">
        <w:t>‘</w:t>
      </w:r>
      <w:r>
        <w:t>frequent presenters</w:t>
      </w:r>
      <w:r w:rsidR="00733115">
        <w:t>’</w:t>
      </w:r>
      <w:r>
        <w:t xml:space="preserve"> trial with police and ambulance</w:t>
      </w:r>
      <w:r>
        <w:rPr>
          <w:rStyle w:val="FootnoteReference"/>
        </w:rPr>
        <w:footnoteReference w:id="10"/>
      </w:r>
      <w:r>
        <w:t xml:space="preserve"> </w:t>
      </w:r>
      <w:r w:rsidR="001936AB">
        <w:t xml:space="preserve">and </w:t>
      </w:r>
      <w:r>
        <w:t xml:space="preserve">joint work with Child, Youth and Family </w:t>
      </w:r>
      <w:r w:rsidR="001936AB">
        <w:t>s</w:t>
      </w:r>
      <w:r>
        <w:t>ervices).</w:t>
      </w:r>
    </w:p>
    <w:p w14:paraId="15E585B6" w14:textId="77777777" w:rsidR="00BD4152" w:rsidRPr="000C507A" w:rsidRDefault="00BD4152" w:rsidP="00BD4152">
      <w:r w:rsidRPr="000C507A">
        <w:t>The documentation and</w:t>
      </w:r>
      <w:r>
        <w:t xml:space="preserve"> interview</w:t>
      </w:r>
      <w:r w:rsidRPr="000C507A">
        <w:t xml:space="preserve"> comments supported a significant </w:t>
      </w:r>
      <w:r w:rsidR="001936AB">
        <w:t>increase</w:t>
      </w:r>
      <w:r w:rsidR="001936AB" w:rsidRPr="000C507A">
        <w:t xml:space="preserve"> </w:t>
      </w:r>
      <w:r w:rsidRPr="000C507A">
        <w:t xml:space="preserve">in </w:t>
      </w:r>
      <w:r w:rsidR="005F423D">
        <w:t xml:space="preserve">the </w:t>
      </w:r>
      <w:r w:rsidR="001936AB">
        <w:t xml:space="preserve">MHAS’ </w:t>
      </w:r>
      <w:r w:rsidRPr="000C507A">
        <w:t xml:space="preserve">engagement with people using the service and their </w:t>
      </w:r>
      <w:proofErr w:type="spellStart"/>
      <w:r>
        <w:t>whānau</w:t>
      </w:r>
      <w:proofErr w:type="spellEnd"/>
      <w:r>
        <w:t xml:space="preserve"> since the report </w:t>
      </w:r>
      <w:r>
        <w:rPr>
          <w:i/>
        </w:rPr>
        <w:t>A Time for Change</w:t>
      </w:r>
      <w:r w:rsidRPr="00503E4C">
        <w:t>.</w:t>
      </w:r>
      <w:r w:rsidRPr="000C507A">
        <w:t xml:space="preserve"> The </w:t>
      </w:r>
      <w:r>
        <w:t>s</w:t>
      </w:r>
      <w:r w:rsidRPr="000C507A">
        <w:t xml:space="preserve">ervice was </w:t>
      </w:r>
      <w:r w:rsidR="001936AB">
        <w:t xml:space="preserve">an </w:t>
      </w:r>
      <w:r w:rsidRPr="000C507A">
        <w:t xml:space="preserve">early </w:t>
      </w:r>
      <w:r w:rsidR="001936AB">
        <w:t xml:space="preserve">user </w:t>
      </w:r>
      <w:r w:rsidRPr="000C507A">
        <w:t xml:space="preserve">of </w:t>
      </w:r>
      <w:r w:rsidR="001936AB">
        <w:t xml:space="preserve">the </w:t>
      </w:r>
      <w:r w:rsidRPr="00503E4C">
        <w:t>Real Time Feedback Tool</w:t>
      </w:r>
      <w:r w:rsidRPr="000C507A">
        <w:t xml:space="preserve"> developed by the Mental Health Commission</w:t>
      </w:r>
      <w:r w:rsidR="00503E4C">
        <w:t xml:space="preserve"> (for more detail see section </w:t>
      </w:r>
      <w:r w:rsidR="00503E4C">
        <w:fldChar w:fldCharType="begin"/>
      </w:r>
      <w:r w:rsidR="00503E4C">
        <w:instrText xml:space="preserve"> REF _Ref448171820 \r \h </w:instrText>
      </w:r>
      <w:r w:rsidR="00503E4C">
        <w:fldChar w:fldCharType="separate"/>
      </w:r>
      <w:r w:rsidR="005341C3">
        <w:t>7</w:t>
      </w:r>
      <w:r w:rsidR="00503E4C">
        <w:fldChar w:fldCharType="end"/>
      </w:r>
      <w:r w:rsidR="00503E4C">
        <w:t>)</w:t>
      </w:r>
      <w:r w:rsidRPr="000C507A">
        <w:t xml:space="preserve"> However, senior leaders noted that</w:t>
      </w:r>
      <w:r w:rsidR="001936AB">
        <w:t>,</w:t>
      </w:r>
      <w:r w:rsidRPr="000C507A">
        <w:t xml:space="preserve"> while there had been progress</w:t>
      </w:r>
      <w:r>
        <w:t>,</w:t>
      </w:r>
      <w:r w:rsidRPr="000C507A">
        <w:t xml:space="preserve"> they were</w:t>
      </w:r>
      <w:r w:rsidR="00E013DD">
        <w:t xml:space="preserve"> still</w:t>
      </w:r>
      <w:r w:rsidRPr="000C507A">
        <w:t xml:space="preserve"> in the implementation phase of </w:t>
      </w:r>
      <w:r>
        <w:t>the plan to improve consumer</w:t>
      </w:r>
      <w:r w:rsidRPr="000C507A">
        <w:t xml:space="preserve"> engagement.</w:t>
      </w:r>
    </w:p>
    <w:p w14:paraId="2147651F" w14:textId="77777777" w:rsidR="00C10526" w:rsidRDefault="00C10526" w:rsidP="00C10526">
      <w:pPr>
        <w:pStyle w:val="Heading2"/>
      </w:pPr>
      <w:bookmarkStart w:id="20" w:name="_Ref446927231"/>
      <w:bookmarkStart w:id="21" w:name="_Toc448394336"/>
      <w:r>
        <w:t xml:space="preserve">Nursing </w:t>
      </w:r>
      <w:r w:rsidR="001936AB">
        <w:t>and a</w:t>
      </w:r>
      <w:r>
        <w:t xml:space="preserve">llied </w:t>
      </w:r>
      <w:r w:rsidR="001936AB">
        <w:t>h</w:t>
      </w:r>
      <w:r>
        <w:t xml:space="preserve">ealth </w:t>
      </w:r>
      <w:r w:rsidR="001936AB">
        <w:t>l</w:t>
      </w:r>
      <w:r>
        <w:t>eadership</w:t>
      </w:r>
      <w:bookmarkEnd w:id="20"/>
      <w:bookmarkEnd w:id="21"/>
    </w:p>
    <w:p w14:paraId="4AFF0D1C" w14:textId="77777777" w:rsidR="00C10526" w:rsidRDefault="00C10526" w:rsidP="00C10526">
      <w:pPr>
        <w:rPr>
          <w:rFonts w:cs="Arial"/>
          <w:color w:val="000000"/>
        </w:rPr>
      </w:pPr>
      <w:r>
        <w:rPr>
          <w:rFonts w:cs="Arial"/>
          <w:color w:val="000000"/>
        </w:rPr>
        <w:t>The Inspection Team received conflicting information about th</w:t>
      </w:r>
      <w:r w:rsidR="00E013DD">
        <w:rPr>
          <w:rFonts w:cs="Arial"/>
          <w:color w:val="000000"/>
        </w:rPr>
        <w:t>e</w:t>
      </w:r>
      <w:r>
        <w:rPr>
          <w:rFonts w:cs="Arial"/>
          <w:color w:val="000000"/>
        </w:rPr>
        <w:t xml:space="preserve"> area </w:t>
      </w:r>
      <w:r w:rsidR="00E013DD">
        <w:rPr>
          <w:rFonts w:cs="Arial"/>
          <w:color w:val="000000"/>
        </w:rPr>
        <w:t xml:space="preserve">of nursing and </w:t>
      </w:r>
      <w:r w:rsidR="001936AB">
        <w:rPr>
          <w:rFonts w:cs="Arial"/>
          <w:color w:val="000000"/>
        </w:rPr>
        <w:t>a</w:t>
      </w:r>
      <w:r w:rsidR="00E013DD">
        <w:rPr>
          <w:rFonts w:cs="Arial"/>
          <w:color w:val="000000"/>
        </w:rPr>
        <w:t xml:space="preserve">llied </w:t>
      </w:r>
      <w:r w:rsidR="001936AB">
        <w:rPr>
          <w:rFonts w:cs="Arial"/>
          <w:color w:val="000000"/>
        </w:rPr>
        <w:t>h</w:t>
      </w:r>
      <w:r w:rsidR="00E013DD">
        <w:rPr>
          <w:rFonts w:cs="Arial"/>
          <w:color w:val="000000"/>
        </w:rPr>
        <w:t xml:space="preserve">ealth leadership, </w:t>
      </w:r>
      <w:r>
        <w:rPr>
          <w:rFonts w:cs="Arial"/>
          <w:color w:val="000000"/>
        </w:rPr>
        <w:t xml:space="preserve">and sought further clarification from the DHB. </w:t>
      </w:r>
      <w:r w:rsidR="00775FE4">
        <w:rPr>
          <w:rFonts w:cs="Arial"/>
          <w:color w:val="000000"/>
        </w:rPr>
        <w:t xml:space="preserve">The Team </w:t>
      </w:r>
      <w:r w:rsidR="001936AB">
        <w:rPr>
          <w:rFonts w:cs="Arial"/>
          <w:color w:val="000000"/>
        </w:rPr>
        <w:t xml:space="preserve">saw </w:t>
      </w:r>
      <w:r>
        <w:rPr>
          <w:rFonts w:cs="Arial"/>
          <w:color w:val="000000"/>
        </w:rPr>
        <w:t xml:space="preserve">this </w:t>
      </w:r>
      <w:r w:rsidR="001936AB">
        <w:rPr>
          <w:rFonts w:cs="Arial"/>
          <w:color w:val="000000"/>
        </w:rPr>
        <w:t xml:space="preserve">as </w:t>
      </w:r>
      <w:r w:rsidR="009E4D1B">
        <w:rPr>
          <w:rFonts w:cs="Arial"/>
          <w:color w:val="000000"/>
        </w:rPr>
        <w:t xml:space="preserve">particularly </w:t>
      </w:r>
      <w:r w:rsidR="001936AB">
        <w:rPr>
          <w:rFonts w:cs="Arial"/>
          <w:color w:val="000000"/>
        </w:rPr>
        <w:t xml:space="preserve">important </w:t>
      </w:r>
      <w:r>
        <w:rPr>
          <w:rFonts w:cs="Arial"/>
          <w:color w:val="000000"/>
        </w:rPr>
        <w:t xml:space="preserve">in view of the level of practice change inherent within the service transformation occurring within </w:t>
      </w:r>
      <w:r w:rsidR="001936AB">
        <w:rPr>
          <w:rFonts w:cs="Arial"/>
          <w:color w:val="000000"/>
        </w:rPr>
        <w:t xml:space="preserve">the </w:t>
      </w:r>
      <w:r>
        <w:rPr>
          <w:rFonts w:cs="Arial"/>
          <w:color w:val="000000"/>
        </w:rPr>
        <w:t>MHAS</w:t>
      </w:r>
      <w:r w:rsidR="00075655">
        <w:rPr>
          <w:rFonts w:cs="Arial"/>
          <w:color w:val="000000"/>
        </w:rPr>
        <w:t xml:space="preserve"> and the importance of</w:t>
      </w:r>
      <w:r>
        <w:rPr>
          <w:rFonts w:cs="Arial"/>
          <w:color w:val="000000"/>
        </w:rPr>
        <w:t xml:space="preserve"> solid clinical leadership across all disciplines </w:t>
      </w:r>
      <w:r w:rsidR="00075655">
        <w:rPr>
          <w:rFonts w:cs="Arial"/>
          <w:color w:val="000000"/>
        </w:rPr>
        <w:t>to support effective change</w:t>
      </w:r>
      <w:r>
        <w:rPr>
          <w:rFonts w:cs="Arial"/>
          <w:color w:val="000000"/>
        </w:rPr>
        <w:t>.</w:t>
      </w:r>
    </w:p>
    <w:p w14:paraId="35A6C383" w14:textId="77777777" w:rsidR="001E6ED6" w:rsidRDefault="009E4D1B" w:rsidP="001E6ED6">
      <w:pPr>
        <w:rPr>
          <w:rFonts w:cs="Arial"/>
          <w:color w:val="000000"/>
        </w:rPr>
      </w:pPr>
      <w:r>
        <w:rPr>
          <w:rFonts w:cs="Arial"/>
          <w:color w:val="000000"/>
        </w:rPr>
        <w:t>T</w:t>
      </w:r>
      <w:r w:rsidR="001E6ED6">
        <w:t xml:space="preserve">he senior leadership team </w:t>
      </w:r>
      <w:r>
        <w:t xml:space="preserve">acknowledged </w:t>
      </w:r>
      <w:r w:rsidR="001E6ED6">
        <w:t xml:space="preserve">that professional practice leadership in the nursing and </w:t>
      </w:r>
      <w:r>
        <w:t>a</w:t>
      </w:r>
      <w:r w:rsidR="001E6ED6">
        <w:t xml:space="preserve">llied </w:t>
      </w:r>
      <w:r>
        <w:t>h</w:t>
      </w:r>
      <w:r w:rsidR="001E6ED6">
        <w:t xml:space="preserve">ealth </w:t>
      </w:r>
      <w:r w:rsidR="00E013DD">
        <w:t xml:space="preserve">area </w:t>
      </w:r>
      <w:r w:rsidR="001E6ED6">
        <w:t>may have been initially underplayed</w:t>
      </w:r>
      <w:r>
        <w:t>,</w:t>
      </w:r>
      <w:r w:rsidR="001E6ED6">
        <w:t xml:space="preserve"> and </w:t>
      </w:r>
      <w:r>
        <w:t xml:space="preserve">that </w:t>
      </w:r>
      <w:r w:rsidR="001E6ED6">
        <w:t xml:space="preserve">they were seeking to strengthen this. The Inspection </w:t>
      </w:r>
      <w:r w:rsidR="001C1DCB">
        <w:t>T</w:t>
      </w:r>
      <w:r w:rsidR="001E6ED6">
        <w:t xml:space="preserve">eam heard evidence of this relative under-recognition from a number of nursing and allied health staff. </w:t>
      </w:r>
    </w:p>
    <w:p w14:paraId="59A75859" w14:textId="77777777" w:rsidR="001E6ED6" w:rsidRDefault="001E6ED6" w:rsidP="001E6ED6">
      <w:r>
        <w:t xml:space="preserve">The magnitude of the clinical practice changes left some clinical staff with a view that </w:t>
      </w:r>
      <w:r w:rsidR="009E4D1B">
        <w:t xml:space="preserve">the service required </w:t>
      </w:r>
      <w:r>
        <w:t>more</w:t>
      </w:r>
      <w:r w:rsidR="00A600E5">
        <w:t xml:space="preserve"> </w:t>
      </w:r>
      <w:r w:rsidR="00A600E5">
        <w:rPr>
          <w:rFonts w:cs="Arial"/>
          <w:color w:val="000000"/>
        </w:rPr>
        <w:t>discipline</w:t>
      </w:r>
      <w:r w:rsidR="009E4D1B">
        <w:rPr>
          <w:rFonts w:cs="Arial"/>
          <w:color w:val="000000"/>
        </w:rPr>
        <w:t>-</w:t>
      </w:r>
      <w:r w:rsidR="00A600E5">
        <w:rPr>
          <w:rFonts w:cs="Arial"/>
          <w:color w:val="000000"/>
        </w:rPr>
        <w:t>specific</w:t>
      </w:r>
      <w:r>
        <w:t xml:space="preserve"> professional practice leadership. </w:t>
      </w:r>
      <w:r>
        <w:rPr>
          <w:rFonts w:cs="Arial"/>
          <w:color w:val="000000"/>
        </w:rPr>
        <w:t>Given the extent of the front</w:t>
      </w:r>
      <w:r w:rsidR="009E4D1B">
        <w:rPr>
          <w:rFonts w:cs="Arial"/>
          <w:color w:val="000000"/>
        </w:rPr>
        <w:t>-</w:t>
      </w:r>
      <w:r>
        <w:rPr>
          <w:rFonts w:cs="Arial"/>
          <w:color w:val="000000"/>
        </w:rPr>
        <w:t xml:space="preserve">line practice changes that need to </w:t>
      </w:r>
      <w:r w:rsidR="009E4D1B">
        <w:rPr>
          <w:rFonts w:cs="Arial"/>
          <w:color w:val="000000"/>
        </w:rPr>
        <w:t xml:space="preserve">occur as a result of </w:t>
      </w:r>
      <w:r w:rsidR="00A44582">
        <w:rPr>
          <w:rFonts w:cs="Arial"/>
          <w:color w:val="000000"/>
        </w:rPr>
        <w:t>its current change programme</w:t>
      </w:r>
      <w:r w:rsidR="009E4D1B">
        <w:rPr>
          <w:rFonts w:cs="Arial"/>
          <w:color w:val="000000"/>
        </w:rPr>
        <w:t xml:space="preserve">, </w:t>
      </w:r>
      <w:r>
        <w:rPr>
          <w:rFonts w:cs="Arial"/>
          <w:color w:val="000000"/>
        </w:rPr>
        <w:t xml:space="preserve">the service may need to explore </w:t>
      </w:r>
      <w:r w:rsidR="00A44582">
        <w:rPr>
          <w:rFonts w:cs="Arial"/>
          <w:color w:val="000000"/>
        </w:rPr>
        <w:t xml:space="preserve">how </w:t>
      </w:r>
      <w:r>
        <w:rPr>
          <w:rFonts w:cs="Arial"/>
          <w:color w:val="000000"/>
        </w:rPr>
        <w:t xml:space="preserve">this area </w:t>
      </w:r>
      <w:r w:rsidR="00A44582">
        <w:rPr>
          <w:rFonts w:cs="Arial"/>
          <w:color w:val="000000"/>
        </w:rPr>
        <w:t xml:space="preserve">may be </w:t>
      </w:r>
      <w:r>
        <w:rPr>
          <w:rFonts w:cs="Arial"/>
          <w:color w:val="000000"/>
        </w:rPr>
        <w:t>further strengthened.</w:t>
      </w:r>
      <w:r w:rsidRPr="009A29B9">
        <w:t xml:space="preserve"> </w:t>
      </w:r>
    </w:p>
    <w:p w14:paraId="03F52D6C" w14:textId="77777777" w:rsidR="00C10526" w:rsidRDefault="009E4D1B" w:rsidP="00C10526">
      <w:pPr>
        <w:rPr>
          <w:rFonts w:cs="Arial"/>
          <w:color w:val="000000"/>
        </w:rPr>
      </w:pPr>
      <w:r>
        <w:rPr>
          <w:rFonts w:cs="Arial"/>
          <w:color w:val="000000"/>
        </w:rPr>
        <w:t>N</w:t>
      </w:r>
      <w:r w:rsidR="00C10526">
        <w:rPr>
          <w:rFonts w:cs="Arial"/>
          <w:color w:val="000000"/>
        </w:rPr>
        <w:t xml:space="preserve">ursing leadership within the service and its relationship to the professional nursing direction across the DHB has been an evolving area. At the time of the initial </w:t>
      </w:r>
      <w:r>
        <w:rPr>
          <w:rFonts w:cs="Arial"/>
          <w:color w:val="000000"/>
        </w:rPr>
        <w:t>i</w:t>
      </w:r>
      <w:r w:rsidR="00C10526">
        <w:rPr>
          <w:rFonts w:cs="Arial"/>
          <w:color w:val="000000"/>
        </w:rPr>
        <w:t>nspection visits</w:t>
      </w:r>
      <w:r>
        <w:rPr>
          <w:rFonts w:cs="Arial"/>
          <w:color w:val="000000"/>
        </w:rPr>
        <w:t>,</w:t>
      </w:r>
      <w:r w:rsidR="00C10526">
        <w:rPr>
          <w:rFonts w:cs="Arial"/>
          <w:color w:val="000000"/>
        </w:rPr>
        <w:t xml:space="preserve"> a new Nurs</w:t>
      </w:r>
      <w:r w:rsidR="00490FE1">
        <w:rPr>
          <w:rFonts w:cs="Arial"/>
          <w:color w:val="000000"/>
        </w:rPr>
        <w:t>e</w:t>
      </w:r>
      <w:r w:rsidR="00C10526">
        <w:rPr>
          <w:rFonts w:cs="Arial"/>
          <w:color w:val="000000"/>
        </w:rPr>
        <w:t xml:space="preserve"> Director for </w:t>
      </w:r>
      <w:r w:rsidR="005F423D">
        <w:rPr>
          <w:rFonts w:cs="Arial"/>
          <w:color w:val="000000"/>
        </w:rPr>
        <w:t xml:space="preserve">the </w:t>
      </w:r>
      <w:r>
        <w:rPr>
          <w:rFonts w:cs="Arial"/>
          <w:color w:val="000000"/>
        </w:rPr>
        <w:t>MHAS</w:t>
      </w:r>
      <w:r w:rsidR="00C10526">
        <w:rPr>
          <w:rFonts w:cs="Arial"/>
          <w:color w:val="000000"/>
        </w:rPr>
        <w:t xml:space="preserve"> had</w:t>
      </w:r>
      <w:r>
        <w:rPr>
          <w:rFonts w:cs="Arial"/>
          <w:color w:val="000000"/>
        </w:rPr>
        <w:t xml:space="preserve"> just</w:t>
      </w:r>
      <w:r w:rsidR="00C10526">
        <w:rPr>
          <w:rFonts w:cs="Arial"/>
          <w:color w:val="000000"/>
        </w:rPr>
        <w:t xml:space="preserve"> been appointed. As she was on leave for part of the </w:t>
      </w:r>
      <w:r>
        <w:rPr>
          <w:rFonts w:cs="Arial"/>
          <w:color w:val="000000"/>
        </w:rPr>
        <w:t xml:space="preserve">duration </w:t>
      </w:r>
      <w:r w:rsidR="00C10526">
        <w:rPr>
          <w:rFonts w:cs="Arial"/>
          <w:color w:val="000000"/>
        </w:rPr>
        <w:t xml:space="preserve">of the </w:t>
      </w:r>
      <w:r>
        <w:rPr>
          <w:rFonts w:cs="Arial"/>
          <w:color w:val="000000"/>
        </w:rPr>
        <w:t>i</w:t>
      </w:r>
      <w:r w:rsidR="00C10526">
        <w:rPr>
          <w:rFonts w:cs="Arial"/>
          <w:color w:val="000000"/>
        </w:rPr>
        <w:t>nspection</w:t>
      </w:r>
      <w:r>
        <w:rPr>
          <w:rFonts w:cs="Arial"/>
          <w:color w:val="000000"/>
        </w:rPr>
        <w:t>,</w:t>
      </w:r>
      <w:r w:rsidR="00C10526">
        <w:rPr>
          <w:rFonts w:cs="Arial"/>
          <w:color w:val="000000"/>
        </w:rPr>
        <w:t xml:space="preserve"> it was difficult </w:t>
      </w:r>
      <w:r>
        <w:rPr>
          <w:rFonts w:cs="Arial"/>
          <w:color w:val="000000"/>
        </w:rPr>
        <w:t xml:space="preserve">for the Team </w:t>
      </w:r>
      <w:r w:rsidR="00C10526">
        <w:rPr>
          <w:rFonts w:cs="Arial"/>
          <w:color w:val="000000"/>
        </w:rPr>
        <w:t>to clarify the overall direction of travel of the nursing leadership within the service. Further</w:t>
      </w:r>
      <w:r w:rsidR="00A600E5">
        <w:rPr>
          <w:rFonts w:cs="Arial"/>
          <w:color w:val="000000"/>
        </w:rPr>
        <w:t>,</w:t>
      </w:r>
      <w:r w:rsidR="00C10526">
        <w:rPr>
          <w:rFonts w:cs="Arial"/>
          <w:color w:val="000000"/>
        </w:rPr>
        <w:t xml:space="preserve"> the number of people who were in acting roles at the time of the </w:t>
      </w:r>
      <w:r>
        <w:rPr>
          <w:rFonts w:cs="Arial"/>
          <w:color w:val="000000"/>
        </w:rPr>
        <w:t>i</w:t>
      </w:r>
      <w:r w:rsidR="00C10526">
        <w:rPr>
          <w:rFonts w:cs="Arial"/>
          <w:color w:val="000000"/>
        </w:rPr>
        <w:t xml:space="preserve">nspection no doubt contributed to </w:t>
      </w:r>
      <w:r>
        <w:rPr>
          <w:rFonts w:cs="Arial"/>
          <w:color w:val="000000"/>
        </w:rPr>
        <w:t xml:space="preserve">a </w:t>
      </w:r>
      <w:r w:rsidR="00C10526">
        <w:rPr>
          <w:rFonts w:cs="Arial"/>
          <w:color w:val="000000"/>
        </w:rPr>
        <w:t xml:space="preserve">perception </w:t>
      </w:r>
      <w:r>
        <w:rPr>
          <w:rFonts w:cs="Arial"/>
          <w:color w:val="000000"/>
        </w:rPr>
        <w:t xml:space="preserve">among </w:t>
      </w:r>
      <w:r w:rsidR="00A600E5">
        <w:rPr>
          <w:rFonts w:cs="Arial"/>
          <w:color w:val="000000"/>
        </w:rPr>
        <w:t>a number of</w:t>
      </w:r>
      <w:r w:rsidR="00C10526">
        <w:rPr>
          <w:rFonts w:cs="Arial"/>
          <w:color w:val="000000"/>
        </w:rPr>
        <w:t xml:space="preserve"> staff </w:t>
      </w:r>
      <w:r>
        <w:rPr>
          <w:rFonts w:cs="Arial"/>
          <w:color w:val="000000"/>
        </w:rPr>
        <w:t xml:space="preserve">of a </w:t>
      </w:r>
      <w:r w:rsidR="00C10526">
        <w:rPr>
          <w:rFonts w:cs="Arial"/>
          <w:color w:val="000000"/>
        </w:rPr>
        <w:t>lack of front</w:t>
      </w:r>
      <w:r>
        <w:rPr>
          <w:rFonts w:cs="Arial"/>
          <w:color w:val="000000"/>
        </w:rPr>
        <w:t>-</w:t>
      </w:r>
      <w:r w:rsidR="00C10526">
        <w:rPr>
          <w:rFonts w:cs="Arial"/>
          <w:color w:val="000000"/>
        </w:rPr>
        <w:t>line discipline</w:t>
      </w:r>
      <w:r w:rsidR="00175EBE">
        <w:rPr>
          <w:rFonts w:cs="Arial"/>
          <w:color w:val="000000"/>
        </w:rPr>
        <w:t>-</w:t>
      </w:r>
      <w:r w:rsidR="00C10526">
        <w:rPr>
          <w:rFonts w:cs="Arial"/>
          <w:color w:val="000000"/>
        </w:rPr>
        <w:t>specific leadership.</w:t>
      </w:r>
    </w:p>
    <w:p w14:paraId="6FDC289A" w14:textId="77777777" w:rsidR="00C10526" w:rsidRDefault="00C10526" w:rsidP="00C10526">
      <w:r>
        <w:t xml:space="preserve">The Nurse Director for </w:t>
      </w:r>
      <w:r w:rsidR="005F423D">
        <w:t xml:space="preserve">the </w:t>
      </w:r>
      <w:r>
        <w:t>MHAS reports to the Executive Director</w:t>
      </w:r>
      <w:r w:rsidR="009E4D1B">
        <w:t>,</w:t>
      </w:r>
      <w:r>
        <w:t xml:space="preserve"> and</w:t>
      </w:r>
      <w:r w:rsidR="009E4D1B">
        <w:t>,</w:t>
      </w:r>
      <w:r>
        <w:t xml:space="preserve"> professionally</w:t>
      </w:r>
      <w:r w:rsidR="009E4D1B">
        <w:t>,</w:t>
      </w:r>
      <w:r>
        <w:t xml:space="preserve"> to the </w:t>
      </w:r>
      <w:r w:rsidR="009E4D1B">
        <w:t xml:space="preserve">DHB’s </w:t>
      </w:r>
      <w:r>
        <w:t>DON/M</w:t>
      </w:r>
      <w:r w:rsidR="00A600E5">
        <w:t xml:space="preserve"> </w:t>
      </w:r>
      <w:r>
        <w:t>(</w:t>
      </w:r>
      <w:r w:rsidR="00A600E5">
        <w:t>t</w:t>
      </w:r>
      <w:r>
        <w:t xml:space="preserve">his is </w:t>
      </w:r>
      <w:r w:rsidR="00BB7EE0">
        <w:t>in line with</w:t>
      </w:r>
      <w:r>
        <w:t xml:space="preserve"> similar nursing directors within the DHB.)</w:t>
      </w:r>
    </w:p>
    <w:p w14:paraId="6C0E87C4" w14:textId="77777777" w:rsidR="00075655" w:rsidRDefault="001D3183" w:rsidP="00075655">
      <w:pPr>
        <w:rPr>
          <w:rFonts w:cs="Arial"/>
          <w:color w:val="000000"/>
        </w:rPr>
      </w:pPr>
      <w:r>
        <w:rPr>
          <w:rFonts w:cs="Arial"/>
          <w:color w:val="000000"/>
        </w:rPr>
        <w:t>A</w:t>
      </w:r>
      <w:r w:rsidR="00075655">
        <w:rPr>
          <w:rFonts w:cs="Arial"/>
          <w:color w:val="000000"/>
        </w:rPr>
        <w:t>s part of the restructuring within the service</w:t>
      </w:r>
      <w:r w:rsidR="009E4D1B">
        <w:rPr>
          <w:rFonts w:cs="Arial"/>
          <w:color w:val="000000"/>
        </w:rPr>
        <w:t>,</w:t>
      </w:r>
      <w:r w:rsidR="00075655">
        <w:rPr>
          <w:rFonts w:cs="Arial"/>
          <w:color w:val="000000"/>
        </w:rPr>
        <w:t xml:space="preserve"> </w:t>
      </w:r>
      <w:r w:rsidR="009E4D1B">
        <w:rPr>
          <w:rFonts w:cs="Arial"/>
          <w:color w:val="000000"/>
        </w:rPr>
        <w:t xml:space="preserve">the DHB has appointed </w:t>
      </w:r>
      <w:r w:rsidR="00075655">
        <w:rPr>
          <w:rFonts w:cs="Arial"/>
          <w:color w:val="000000"/>
        </w:rPr>
        <w:t xml:space="preserve">professional allied health </w:t>
      </w:r>
      <w:r w:rsidR="008E6563">
        <w:rPr>
          <w:rFonts w:cs="Arial"/>
          <w:color w:val="000000"/>
        </w:rPr>
        <w:t xml:space="preserve">clinical </w:t>
      </w:r>
      <w:r w:rsidR="00075655">
        <w:rPr>
          <w:rFonts w:cs="Arial"/>
          <w:color w:val="000000"/>
        </w:rPr>
        <w:t xml:space="preserve">leads </w:t>
      </w:r>
      <w:r w:rsidR="008E6563">
        <w:rPr>
          <w:rFonts w:cs="Arial"/>
          <w:color w:val="000000"/>
        </w:rPr>
        <w:t>(</w:t>
      </w:r>
      <w:r w:rsidR="00075655">
        <w:rPr>
          <w:rFonts w:cs="Arial"/>
          <w:color w:val="000000"/>
        </w:rPr>
        <w:t xml:space="preserve">0.2 </w:t>
      </w:r>
      <w:r w:rsidR="001A5A22">
        <w:rPr>
          <w:rFonts w:cs="Arial"/>
          <w:color w:val="000000"/>
        </w:rPr>
        <w:t xml:space="preserve">full-time </w:t>
      </w:r>
      <w:proofErr w:type="gramStart"/>
      <w:r w:rsidR="001A5A22">
        <w:rPr>
          <w:rFonts w:cs="Arial"/>
          <w:color w:val="000000"/>
        </w:rPr>
        <w:t>equivalent</w:t>
      </w:r>
      <w:proofErr w:type="gramEnd"/>
      <w:r w:rsidR="001A5A22">
        <w:rPr>
          <w:rFonts w:cs="Arial"/>
          <w:color w:val="000000"/>
        </w:rPr>
        <w:t xml:space="preserve"> (</w:t>
      </w:r>
      <w:r w:rsidR="00075655">
        <w:rPr>
          <w:rFonts w:cs="Arial"/>
          <w:color w:val="000000"/>
        </w:rPr>
        <w:t>FTE</w:t>
      </w:r>
      <w:r w:rsidR="001A5A22">
        <w:rPr>
          <w:rFonts w:cs="Arial"/>
          <w:color w:val="000000"/>
        </w:rPr>
        <w:t>)</w:t>
      </w:r>
      <w:r w:rsidR="00075655">
        <w:rPr>
          <w:rFonts w:cs="Arial"/>
          <w:color w:val="000000"/>
        </w:rPr>
        <w:t>) in the subservice areas.</w:t>
      </w:r>
    </w:p>
    <w:p w14:paraId="047B52BB" w14:textId="77777777" w:rsidR="00C10526" w:rsidRDefault="001A5A22" w:rsidP="00C10526">
      <w:r>
        <w:lastRenderedPageBreak/>
        <w:t xml:space="preserve">In the </w:t>
      </w:r>
      <w:r w:rsidR="00C10526">
        <w:t xml:space="preserve">months since the commencement of the </w:t>
      </w:r>
      <w:r>
        <w:t>i</w:t>
      </w:r>
      <w:r w:rsidR="00C10526">
        <w:t>nspection</w:t>
      </w:r>
      <w:r>
        <w:t>,</w:t>
      </w:r>
      <w:r w:rsidR="00C10526">
        <w:t xml:space="preserve"> professional nursing leadership within the </w:t>
      </w:r>
      <w:r>
        <w:t xml:space="preserve">MHAS </w:t>
      </w:r>
      <w:r w:rsidR="00C10526">
        <w:t>has strengthened.</w:t>
      </w:r>
    </w:p>
    <w:p w14:paraId="0A219266" w14:textId="5E16F519" w:rsidR="00C10526" w:rsidRDefault="00C10526" w:rsidP="00C10526">
      <w:pPr>
        <w:rPr>
          <w:rFonts w:cs="Arial"/>
          <w:color w:val="000000"/>
        </w:rPr>
      </w:pPr>
      <w:r w:rsidRPr="000C507A">
        <w:rPr>
          <w:rFonts w:cs="Arial"/>
          <w:color w:val="000000"/>
        </w:rPr>
        <w:t xml:space="preserve">The </w:t>
      </w:r>
      <w:r>
        <w:rPr>
          <w:rFonts w:cs="Arial"/>
          <w:color w:val="000000"/>
        </w:rPr>
        <w:t xml:space="preserve">DHB </w:t>
      </w:r>
      <w:r w:rsidRPr="000C507A">
        <w:rPr>
          <w:rFonts w:cs="Arial"/>
          <w:color w:val="000000"/>
        </w:rPr>
        <w:t xml:space="preserve">DON/M </w:t>
      </w:r>
      <w:r>
        <w:rPr>
          <w:rFonts w:cs="Arial"/>
          <w:color w:val="000000"/>
        </w:rPr>
        <w:t xml:space="preserve">has been working to improve the effectiveness of linkages with the </w:t>
      </w:r>
      <w:r w:rsidR="00075655">
        <w:rPr>
          <w:rFonts w:cs="Arial"/>
          <w:color w:val="000000"/>
        </w:rPr>
        <w:t xml:space="preserve">newly appointed </w:t>
      </w:r>
      <w:r w:rsidR="00D90107">
        <w:rPr>
          <w:rFonts w:cs="Arial"/>
          <w:color w:val="000000"/>
        </w:rPr>
        <w:t>Nurse Director</w:t>
      </w:r>
      <w:r w:rsidR="001A5A22">
        <w:rPr>
          <w:rFonts w:cs="Arial"/>
          <w:color w:val="000000"/>
        </w:rPr>
        <w:t xml:space="preserve"> for</w:t>
      </w:r>
      <w:r>
        <w:rPr>
          <w:rFonts w:cs="Arial"/>
          <w:color w:val="000000"/>
        </w:rPr>
        <w:t xml:space="preserve"> </w:t>
      </w:r>
      <w:r w:rsidR="005F423D">
        <w:rPr>
          <w:rFonts w:cs="Arial"/>
          <w:color w:val="000000"/>
        </w:rPr>
        <w:t xml:space="preserve">the </w:t>
      </w:r>
      <w:r>
        <w:rPr>
          <w:rFonts w:cs="Arial"/>
          <w:color w:val="000000"/>
        </w:rPr>
        <w:t>MHAS and supporting the strengthening of professional practice.</w:t>
      </w:r>
    </w:p>
    <w:p w14:paraId="44FA0AF4" w14:textId="77777777" w:rsidR="00075655" w:rsidRDefault="00075655" w:rsidP="00075655">
      <w:r>
        <w:rPr>
          <w:rFonts w:cs="Arial"/>
          <w:color w:val="000000"/>
        </w:rPr>
        <w:t xml:space="preserve">It is noteworthy that six months on from the </w:t>
      </w:r>
      <w:r w:rsidR="001D3183">
        <w:rPr>
          <w:rFonts w:cs="Arial"/>
          <w:color w:val="000000"/>
        </w:rPr>
        <w:t>inspection</w:t>
      </w:r>
      <w:r>
        <w:rPr>
          <w:rFonts w:cs="Arial"/>
          <w:color w:val="000000"/>
        </w:rPr>
        <w:t>, t</w:t>
      </w:r>
      <w:r w:rsidR="0021766F">
        <w:rPr>
          <w:rFonts w:cs="Arial"/>
          <w:color w:val="000000"/>
        </w:rPr>
        <w:t>he Nurse</w:t>
      </w:r>
      <w:r w:rsidR="00C10526">
        <w:rPr>
          <w:rFonts w:cs="Arial"/>
          <w:color w:val="000000"/>
        </w:rPr>
        <w:t xml:space="preserve"> Director </w:t>
      </w:r>
      <w:r>
        <w:rPr>
          <w:rFonts w:cs="Arial"/>
          <w:color w:val="000000"/>
        </w:rPr>
        <w:t xml:space="preserve">has </w:t>
      </w:r>
      <w:r w:rsidR="00C10526">
        <w:rPr>
          <w:rFonts w:cs="Arial"/>
          <w:color w:val="000000"/>
        </w:rPr>
        <w:t xml:space="preserve">instituted a formal structure of professional reporting across the </w:t>
      </w:r>
      <w:r w:rsidR="001A5A22">
        <w:rPr>
          <w:rFonts w:cs="Arial"/>
          <w:color w:val="000000"/>
        </w:rPr>
        <w:t>s</w:t>
      </w:r>
      <w:r w:rsidR="00C10526">
        <w:rPr>
          <w:rFonts w:cs="Arial"/>
          <w:color w:val="000000"/>
        </w:rPr>
        <w:t>ervice and within each subservice area</w:t>
      </w:r>
      <w:r w:rsidR="001A5A22">
        <w:rPr>
          <w:rFonts w:cs="Arial"/>
          <w:color w:val="000000"/>
        </w:rPr>
        <w:t>,</w:t>
      </w:r>
      <w:r w:rsidR="00A600E5">
        <w:rPr>
          <w:rFonts w:cs="Arial"/>
          <w:color w:val="000000"/>
        </w:rPr>
        <w:t xml:space="preserve"> and </w:t>
      </w:r>
      <w:r w:rsidR="00A600E5">
        <w:t xml:space="preserve">strengthened the link between the </w:t>
      </w:r>
      <w:r w:rsidR="001A5A22">
        <w:t>clinical nurse managers</w:t>
      </w:r>
      <w:r w:rsidR="00A600E5">
        <w:t>/</w:t>
      </w:r>
      <w:r w:rsidR="001A5A22">
        <w:t>t</w:t>
      </w:r>
      <w:r w:rsidR="00A600E5">
        <w:t>eam leaders and front</w:t>
      </w:r>
      <w:r w:rsidR="009E4D1B">
        <w:t>-</w:t>
      </w:r>
      <w:r w:rsidR="00A600E5">
        <w:t>line staff to standardise good clinical practice.</w:t>
      </w:r>
      <w:r w:rsidR="00A600E5">
        <w:rPr>
          <w:rFonts w:cs="Arial"/>
          <w:color w:val="000000"/>
        </w:rPr>
        <w:t xml:space="preserve"> </w:t>
      </w:r>
      <w:r w:rsidR="00C10526">
        <w:rPr>
          <w:rFonts w:cs="Arial"/>
          <w:color w:val="000000"/>
        </w:rPr>
        <w:t xml:space="preserve">All </w:t>
      </w:r>
      <w:r w:rsidR="001A5A22">
        <w:rPr>
          <w:rFonts w:cs="Arial"/>
          <w:color w:val="000000"/>
        </w:rPr>
        <w:t>c</w:t>
      </w:r>
      <w:r w:rsidR="00C10526">
        <w:rPr>
          <w:rFonts w:cs="Arial"/>
          <w:color w:val="000000"/>
        </w:rPr>
        <w:t xml:space="preserve">linical </w:t>
      </w:r>
      <w:r w:rsidR="001A5A22">
        <w:rPr>
          <w:rFonts w:cs="Arial"/>
          <w:color w:val="000000"/>
        </w:rPr>
        <w:t>n</w:t>
      </w:r>
      <w:r w:rsidR="00C10526">
        <w:rPr>
          <w:rFonts w:cs="Arial"/>
          <w:color w:val="000000"/>
        </w:rPr>
        <w:t xml:space="preserve">urse </w:t>
      </w:r>
      <w:r w:rsidR="001A5A22">
        <w:rPr>
          <w:rFonts w:cs="Arial"/>
          <w:color w:val="000000"/>
        </w:rPr>
        <w:t>s</w:t>
      </w:r>
      <w:r w:rsidR="00C10526">
        <w:rPr>
          <w:rFonts w:cs="Arial"/>
          <w:color w:val="000000"/>
        </w:rPr>
        <w:t xml:space="preserve">pecialists have formal </w:t>
      </w:r>
      <w:r w:rsidR="00A600E5">
        <w:rPr>
          <w:rFonts w:cs="Arial"/>
          <w:color w:val="000000"/>
        </w:rPr>
        <w:t xml:space="preserve">professional reporting lines to, and </w:t>
      </w:r>
      <w:r w:rsidR="00C10526">
        <w:rPr>
          <w:rFonts w:cs="Arial"/>
          <w:color w:val="000000"/>
        </w:rPr>
        <w:t>now attend regular meetings with</w:t>
      </w:r>
      <w:r w:rsidR="00A600E5">
        <w:rPr>
          <w:rFonts w:cs="Arial"/>
          <w:color w:val="000000"/>
        </w:rPr>
        <w:t>,</w:t>
      </w:r>
      <w:r w:rsidR="0021766F">
        <w:rPr>
          <w:rFonts w:cs="Arial"/>
          <w:color w:val="000000"/>
        </w:rPr>
        <w:t xml:space="preserve"> the Nurse</w:t>
      </w:r>
      <w:r w:rsidR="00C10526">
        <w:rPr>
          <w:rFonts w:cs="Arial"/>
          <w:color w:val="000000"/>
        </w:rPr>
        <w:t xml:space="preserve"> Director.</w:t>
      </w:r>
      <w:r w:rsidRPr="00075655">
        <w:t xml:space="preserve"> </w:t>
      </w:r>
    </w:p>
    <w:p w14:paraId="4782F973" w14:textId="77777777" w:rsidR="00C10526" w:rsidRDefault="00C10526" w:rsidP="00C10526">
      <w:pPr>
        <w:rPr>
          <w:rFonts w:cs="Arial"/>
          <w:color w:val="000000"/>
        </w:rPr>
      </w:pPr>
      <w:r>
        <w:rPr>
          <w:rFonts w:cs="Arial"/>
          <w:color w:val="000000"/>
        </w:rPr>
        <w:t>There is now a robust process of appointments to senior roles</w:t>
      </w:r>
      <w:r w:rsidR="001A5A22">
        <w:rPr>
          <w:rFonts w:cs="Arial"/>
          <w:color w:val="000000"/>
        </w:rPr>
        <w:t>,</w:t>
      </w:r>
      <w:r>
        <w:rPr>
          <w:rFonts w:cs="Arial"/>
          <w:color w:val="000000"/>
        </w:rPr>
        <w:t xml:space="preserve"> and a recognition that the person in charge of inpatient </w:t>
      </w:r>
      <w:r w:rsidR="001D3183">
        <w:rPr>
          <w:rFonts w:cs="Arial"/>
          <w:color w:val="000000"/>
        </w:rPr>
        <w:t>units</w:t>
      </w:r>
      <w:r>
        <w:rPr>
          <w:rFonts w:cs="Arial"/>
          <w:color w:val="000000"/>
        </w:rPr>
        <w:t xml:space="preserve"> needs to have a detailed knowledge of acute inpatient </w:t>
      </w:r>
      <w:r w:rsidR="00956A8F">
        <w:rPr>
          <w:rFonts w:cs="Arial"/>
          <w:color w:val="000000"/>
        </w:rPr>
        <w:t xml:space="preserve">clinical </w:t>
      </w:r>
      <w:r>
        <w:rPr>
          <w:rFonts w:cs="Arial"/>
          <w:color w:val="000000"/>
        </w:rPr>
        <w:t>care.</w:t>
      </w:r>
    </w:p>
    <w:p w14:paraId="06A87D35" w14:textId="77777777" w:rsidR="00C10526" w:rsidRDefault="00C10526" w:rsidP="00C10526">
      <w:pPr>
        <w:rPr>
          <w:rFonts w:cs="Arial"/>
          <w:color w:val="000000"/>
        </w:rPr>
      </w:pPr>
      <w:r>
        <w:rPr>
          <w:rFonts w:cs="Arial"/>
          <w:color w:val="000000"/>
        </w:rPr>
        <w:t>Opportunities exist to further driv</w:t>
      </w:r>
      <w:r w:rsidR="00075655">
        <w:rPr>
          <w:rFonts w:cs="Arial"/>
          <w:color w:val="000000"/>
        </w:rPr>
        <w:t>e</w:t>
      </w:r>
      <w:r>
        <w:rPr>
          <w:rFonts w:cs="Arial"/>
          <w:color w:val="000000"/>
        </w:rPr>
        <w:t xml:space="preserve"> practice change by </w:t>
      </w:r>
      <w:r w:rsidR="001A5A22">
        <w:rPr>
          <w:rFonts w:cs="Arial"/>
          <w:color w:val="000000"/>
        </w:rPr>
        <w:t xml:space="preserve">using </w:t>
      </w:r>
      <w:r>
        <w:rPr>
          <w:rFonts w:cs="Arial"/>
          <w:color w:val="000000"/>
        </w:rPr>
        <w:t>nurse educators</w:t>
      </w:r>
      <w:r w:rsidR="001A5A22">
        <w:rPr>
          <w:rFonts w:cs="Arial"/>
          <w:color w:val="000000"/>
        </w:rPr>
        <w:t xml:space="preserve"> more effectively</w:t>
      </w:r>
      <w:r>
        <w:rPr>
          <w:rFonts w:cs="Arial"/>
          <w:color w:val="000000"/>
        </w:rPr>
        <w:t xml:space="preserve">. The reporting line for nurse educator in </w:t>
      </w:r>
      <w:r w:rsidR="005F423D">
        <w:rPr>
          <w:rFonts w:cs="Arial"/>
          <w:color w:val="000000"/>
        </w:rPr>
        <w:t xml:space="preserve">the </w:t>
      </w:r>
      <w:r>
        <w:rPr>
          <w:rFonts w:cs="Arial"/>
          <w:color w:val="000000"/>
        </w:rPr>
        <w:t xml:space="preserve">MHAS was moved to the </w:t>
      </w:r>
      <w:r w:rsidR="00956A8F" w:rsidRPr="00BE0BB4">
        <w:rPr>
          <w:rFonts w:cs="Arial"/>
          <w:color w:val="000000"/>
        </w:rPr>
        <w:t>wider DHB</w:t>
      </w:r>
      <w:r w:rsidR="00956A8F">
        <w:rPr>
          <w:rFonts w:cs="Arial"/>
          <w:i/>
          <w:color w:val="000000"/>
        </w:rPr>
        <w:t xml:space="preserve"> </w:t>
      </w:r>
      <w:r w:rsidR="00075655" w:rsidRPr="00BE0BB4">
        <w:rPr>
          <w:rFonts w:cs="Arial"/>
          <w:color w:val="000000"/>
        </w:rPr>
        <w:t xml:space="preserve">Nursing </w:t>
      </w:r>
      <w:r w:rsidR="00BE0BB4">
        <w:rPr>
          <w:rFonts w:cs="Arial"/>
          <w:color w:val="000000"/>
        </w:rPr>
        <w:t xml:space="preserve">and Midwifery </w:t>
      </w:r>
      <w:r w:rsidR="00075655" w:rsidRPr="00BE0BB4">
        <w:rPr>
          <w:rFonts w:cs="Arial"/>
          <w:color w:val="000000"/>
        </w:rPr>
        <w:t>Professional Development</w:t>
      </w:r>
      <w:r w:rsidR="00075655">
        <w:rPr>
          <w:rFonts w:cs="Arial"/>
          <w:color w:val="000000"/>
        </w:rPr>
        <w:t xml:space="preserve"> U</w:t>
      </w:r>
      <w:r>
        <w:rPr>
          <w:rFonts w:cs="Arial"/>
          <w:color w:val="000000"/>
        </w:rPr>
        <w:t>nit following a restructure lead by the DON/M</w:t>
      </w:r>
      <w:r w:rsidR="001A5A22">
        <w:rPr>
          <w:rFonts w:cs="Arial"/>
          <w:color w:val="000000"/>
        </w:rPr>
        <w:t>,</w:t>
      </w:r>
      <w:r>
        <w:rPr>
          <w:rFonts w:cs="Arial"/>
          <w:color w:val="000000"/>
        </w:rPr>
        <w:t xml:space="preserve"> and the reporting line is now through the </w:t>
      </w:r>
      <w:r w:rsidR="00A600E5">
        <w:rPr>
          <w:rFonts w:cs="Arial"/>
          <w:color w:val="000000"/>
        </w:rPr>
        <w:t>C</w:t>
      </w:r>
      <w:r>
        <w:rPr>
          <w:rFonts w:cs="Arial"/>
          <w:color w:val="000000"/>
        </w:rPr>
        <w:t xml:space="preserve">linical </w:t>
      </w:r>
      <w:r w:rsidR="00A600E5">
        <w:rPr>
          <w:rFonts w:cs="Arial"/>
          <w:color w:val="000000"/>
        </w:rPr>
        <w:t>N</w:t>
      </w:r>
      <w:r>
        <w:rPr>
          <w:rFonts w:cs="Arial"/>
          <w:color w:val="000000"/>
        </w:rPr>
        <w:t xml:space="preserve">urse </w:t>
      </w:r>
      <w:r w:rsidR="00A600E5">
        <w:rPr>
          <w:rFonts w:cs="Arial"/>
          <w:color w:val="000000"/>
        </w:rPr>
        <w:t>D</w:t>
      </w:r>
      <w:r>
        <w:rPr>
          <w:rFonts w:cs="Arial"/>
          <w:color w:val="000000"/>
        </w:rPr>
        <w:t>irector/</w:t>
      </w:r>
      <w:r w:rsidR="00A600E5">
        <w:rPr>
          <w:rFonts w:cs="Arial"/>
          <w:color w:val="000000"/>
        </w:rPr>
        <w:t>Professional D</w:t>
      </w:r>
      <w:r>
        <w:rPr>
          <w:rFonts w:cs="Arial"/>
          <w:color w:val="000000"/>
        </w:rPr>
        <w:t xml:space="preserve">evelopment to the DON/M. </w:t>
      </w:r>
      <w:r w:rsidR="001A5A22">
        <w:rPr>
          <w:rFonts w:cs="Arial"/>
          <w:color w:val="000000"/>
        </w:rPr>
        <w:t xml:space="preserve">The </w:t>
      </w:r>
      <w:r w:rsidR="000C07EE">
        <w:rPr>
          <w:rFonts w:cs="Arial"/>
          <w:color w:val="000000"/>
        </w:rPr>
        <w:t xml:space="preserve">Inspection </w:t>
      </w:r>
      <w:r w:rsidR="001A5A22">
        <w:rPr>
          <w:rFonts w:cs="Arial"/>
          <w:color w:val="000000"/>
        </w:rPr>
        <w:t xml:space="preserve">Team agrees </w:t>
      </w:r>
      <w:r>
        <w:rPr>
          <w:rFonts w:cs="Arial"/>
          <w:color w:val="000000"/>
        </w:rPr>
        <w:t xml:space="preserve">with the DHB that it is essential that nurse educators work closely with the service to ensure that the </w:t>
      </w:r>
      <w:r w:rsidR="001A5A22">
        <w:rPr>
          <w:rFonts w:cs="Arial"/>
          <w:color w:val="000000"/>
        </w:rPr>
        <w:t xml:space="preserve">service delivers the </w:t>
      </w:r>
      <w:r>
        <w:rPr>
          <w:rFonts w:cs="Arial"/>
          <w:color w:val="000000"/>
        </w:rPr>
        <w:t xml:space="preserve">objectives of the </w:t>
      </w:r>
      <w:r w:rsidR="001D3183">
        <w:rPr>
          <w:rFonts w:cs="Arial"/>
          <w:color w:val="000000"/>
        </w:rPr>
        <w:t>MHAS’</w:t>
      </w:r>
      <w:r w:rsidR="001A5A22">
        <w:rPr>
          <w:rFonts w:cs="Arial"/>
          <w:color w:val="000000"/>
        </w:rPr>
        <w:t xml:space="preserve"> </w:t>
      </w:r>
      <w:r>
        <w:rPr>
          <w:rFonts w:cs="Arial"/>
          <w:color w:val="000000"/>
        </w:rPr>
        <w:t>Workforce Development Strategy</w:t>
      </w:r>
      <w:r w:rsidR="00A524F1">
        <w:rPr>
          <w:rFonts w:cs="Arial"/>
          <w:color w:val="000000"/>
        </w:rPr>
        <w:t>. The Team</w:t>
      </w:r>
      <w:r>
        <w:rPr>
          <w:rFonts w:cs="Arial"/>
          <w:color w:val="000000"/>
        </w:rPr>
        <w:t xml:space="preserve"> would support a </w:t>
      </w:r>
      <w:r w:rsidR="00956A8F">
        <w:rPr>
          <w:rFonts w:cs="Arial"/>
          <w:color w:val="000000"/>
        </w:rPr>
        <w:t xml:space="preserve">continued </w:t>
      </w:r>
      <w:r>
        <w:rPr>
          <w:rFonts w:cs="Arial"/>
          <w:color w:val="000000"/>
        </w:rPr>
        <w:t>strengthening of the linkage to the MHAS leadership to achieve this.</w:t>
      </w:r>
    </w:p>
    <w:p w14:paraId="08D81839" w14:textId="77777777" w:rsidR="00C10526" w:rsidRPr="00E465D2" w:rsidRDefault="00C10526" w:rsidP="00C10526">
      <w:pPr>
        <w:rPr>
          <w:lang w:val="en-NZ"/>
        </w:rPr>
      </w:pPr>
      <w:r>
        <w:rPr>
          <w:lang w:val="en-NZ"/>
        </w:rPr>
        <w:t>Currently t</w:t>
      </w:r>
      <w:r w:rsidRPr="00E465D2">
        <w:rPr>
          <w:lang w:val="en-NZ"/>
        </w:rPr>
        <w:t>he</w:t>
      </w:r>
      <w:r>
        <w:rPr>
          <w:lang w:val="en-NZ"/>
        </w:rPr>
        <w:t xml:space="preserve"> nurse educators’</w:t>
      </w:r>
      <w:r w:rsidRPr="00E465D2">
        <w:rPr>
          <w:lang w:val="en-NZ"/>
        </w:rPr>
        <w:t xml:space="preserve"> focus </w:t>
      </w:r>
      <w:r>
        <w:rPr>
          <w:lang w:val="en-NZ"/>
        </w:rPr>
        <w:t xml:space="preserve">is </w:t>
      </w:r>
      <w:r w:rsidRPr="00E465D2">
        <w:rPr>
          <w:lang w:val="en-NZ"/>
        </w:rPr>
        <w:t>on the DHB-wide Professional Development and Recognition Programme (PDRP) as a means to grow professional development</w:t>
      </w:r>
      <w:r>
        <w:rPr>
          <w:lang w:val="en-NZ"/>
        </w:rPr>
        <w:t xml:space="preserve">. </w:t>
      </w:r>
      <w:r w:rsidR="00A600E5">
        <w:rPr>
          <w:lang w:val="en-NZ"/>
        </w:rPr>
        <w:t>However, g</w:t>
      </w:r>
      <w:r>
        <w:rPr>
          <w:lang w:val="en-NZ"/>
        </w:rPr>
        <w:t xml:space="preserve">iven that </w:t>
      </w:r>
      <w:r w:rsidR="005F423D">
        <w:rPr>
          <w:lang w:val="en-NZ"/>
        </w:rPr>
        <w:t xml:space="preserve">the </w:t>
      </w:r>
      <w:r w:rsidR="004B39BE">
        <w:rPr>
          <w:lang w:val="en-NZ"/>
        </w:rPr>
        <w:t>MHAS</w:t>
      </w:r>
      <w:r>
        <w:rPr>
          <w:lang w:val="en-NZ"/>
        </w:rPr>
        <w:t xml:space="preserve"> is undergoing transformational change</w:t>
      </w:r>
      <w:r w:rsidR="00207906">
        <w:rPr>
          <w:lang w:val="en-NZ"/>
        </w:rPr>
        <w:t>,</w:t>
      </w:r>
      <w:r>
        <w:rPr>
          <w:lang w:val="en-NZ"/>
        </w:rPr>
        <w:t xml:space="preserve"> </w:t>
      </w:r>
      <w:r w:rsidR="00A600E5">
        <w:rPr>
          <w:lang w:val="en-NZ"/>
        </w:rPr>
        <w:t>it is the Team’s</w:t>
      </w:r>
      <w:r>
        <w:rPr>
          <w:lang w:val="en-NZ"/>
        </w:rPr>
        <w:t xml:space="preserve"> view</w:t>
      </w:r>
      <w:r w:rsidR="003119FD">
        <w:rPr>
          <w:lang w:val="en-NZ"/>
        </w:rPr>
        <w:t xml:space="preserve"> that</w:t>
      </w:r>
      <w:r>
        <w:rPr>
          <w:lang w:val="en-NZ"/>
        </w:rPr>
        <w:t xml:space="preserve"> the</w:t>
      </w:r>
      <w:r w:rsidRPr="00E465D2">
        <w:rPr>
          <w:lang w:val="en-NZ"/>
        </w:rPr>
        <w:t xml:space="preserve"> nurse educators</w:t>
      </w:r>
      <w:r>
        <w:rPr>
          <w:lang w:val="en-NZ"/>
        </w:rPr>
        <w:t>’</w:t>
      </w:r>
      <w:r w:rsidRPr="00E465D2">
        <w:rPr>
          <w:lang w:val="en-NZ"/>
        </w:rPr>
        <w:t xml:space="preserve"> focus </w:t>
      </w:r>
      <w:r w:rsidR="00A600E5">
        <w:rPr>
          <w:lang w:val="en-NZ"/>
        </w:rPr>
        <w:t xml:space="preserve">for the </w:t>
      </w:r>
      <w:r w:rsidR="004B39BE">
        <w:rPr>
          <w:lang w:val="en-NZ"/>
        </w:rPr>
        <w:t>MHAS</w:t>
      </w:r>
      <w:r w:rsidR="00A600E5">
        <w:rPr>
          <w:lang w:val="en-NZ"/>
        </w:rPr>
        <w:t xml:space="preserve"> </w:t>
      </w:r>
      <w:r w:rsidRPr="00E465D2">
        <w:rPr>
          <w:lang w:val="en-NZ"/>
        </w:rPr>
        <w:t>should first be on the managers of front</w:t>
      </w:r>
      <w:r w:rsidR="009E4D1B">
        <w:rPr>
          <w:lang w:val="en-NZ"/>
        </w:rPr>
        <w:t>-</w:t>
      </w:r>
      <w:r w:rsidRPr="00E465D2">
        <w:rPr>
          <w:lang w:val="en-NZ"/>
        </w:rPr>
        <w:t>line clinical staff</w:t>
      </w:r>
      <w:r>
        <w:rPr>
          <w:lang w:val="en-NZ"/>
        </w:rPr>
        <w:t>;</w:t>
      </w:r>
      <w:r w:rsidRPr="00E465D2">
        <w:rPr>
          <w:lang w:val="en-NZ"/>
        </w:rPr>
        <w:t xml:space="preserve"> </w:t>
      </w:r>
      <w:r w:rsidR="00207906">
        <w:rPr>
          <w:lang w:val="en-NZ"/>
        </w:rPr>
        <w:t xml:space="preserve">they should </w:t>
      </w:r>
      <w:r w:rsidRPr="00E465D2">
        <w:rPr>
          <w:lang w:val="en-NZ"/>
        </w:rPr>
        <w:t xml:space="preserve">ensure </w:t>
      </w:r>
      <w:r w:rsidR="00207906">
        <w:rPr>
          <w:lang w:val="en-NZ"/>
        </w:rPr>
        <w:t xml:space="preserve">that </w:t>
      </w:r>
      <w:r w:rsidRPr="00E465D2">
        <w:rPr>
          <w:lang w:val="en-NZ"/>
        </w:rPr>
        <w:t xml:space="preserve">managers </w:t>
      </w:r>
      <w:r w:rsidR="00207906">
        <w:rPr>
          <w:lang w:val="en-NZ"/>
        </w:rPr>
        <w:t xml:space="preserve">know </w:t>
      </w:r>
      <w:r w:rsidRPr="00E465D2">
        <w:rPr>
          <w:lang w:val="en-NZ"/>
        </w:rPr>
        <w:t>how to support best practice</w:t>
      </w:r>
      <w:r>
        <w:rPr>
          <w:lang w:val="en-NZ"/>
        </w:rPr>
        <w:t>,</w:t>
      </w:r>
      <w:r w:rsidRPr="00E465D2">
        <w:rPr>
          <w:lang w:val="en-NZ"/>
        </w:rPr>
        <w:t xml:space="preserve"> how to </w:t>
      </w:r>
      <w:r>
        <w:rPr>
          <w:lang w:val="en-NZ"/>
        </w:rPr>
        <w:t>identify</w:t>
      </w:r>
      <w:r w:rsidRPr="00E465D2">
        <w:rPr>
          <w:lang w:val="en-NZ"/>
        </w:rPr>
        <w:t xml:space="preserve"> unacceptable practice and </w:t>
      </w:r>
      <w:r>
        <w:rPr>
          <w:lang w:val="en-NZ"/>
        </w:rPr>
        <w:t xml:space="preserve">how to </w:t>
      </w:r>
      <w:r w:rsidR="00956A8F">
        <w:rPr>
          <w:lang w:val="en-NZ"/>
        </w:rPr>
        <w:t>guide</w:t>
      </w:r>
      <w:r w:rsidRPr="00E465D2">
        <w:rPr>
          <w:lang w:val="en-NZ"/>
        </w:rPr>
        <w:t xml:space="preserve"> their staff by setting </w:t>
      </w:r>
      <w:r>
        <w:rPr>
          <w:lang w:val="en-NZ"/>
        </w:rPr>
        <w:t xml:space="preserve">standards for </w:t>
      </w:r>
      <w:r w:rsidRPr="00E465D2">
        <w:rPr>
          <w:lang w:val="en-NZ"/>
        </w:rPr>
        <w:t>co</w:t>
      </w:r>
      <w:r>
        <w:rPr>
          <w:lang w:val="en-NZ"/>
        </w:rPr>
        <w:t>nsistent high</w:t>
      </w:r>
      <w:r w:rsidR="00207906">
        <w:rPr>
          <w:lang w:val="en-NZ"/>
        </w:rPr>
        <w:t>-</w:t>
      </w:r>
      <w:r>
        <w:rPr>
          <w:lang w:val="en-NZ"/>
        </w:rPr>
        <w:t>quality care.</w:t>
      </w:r>
      <w:r w:rsidRPr="00B05C53">
        <w:rPr>
          <w:lang w:val="en-NZ"/>
        </w:rPr>
        <w:t xml:space="preserve"> </w:t>
      </w:r>
      <w:r>
        <w:rPr>
          <w:lang w:val="en-NZ"/>
        </w:rPr>
        <w:t>T</w:t>
      </w:r>
      <w:r w:rsidRPr="00E465D2">
        <w:rPr>
          <w:lang w:val="en-NZ"/>
        </w:rPr>
        <w:t>he focus</w:t>
      </w:r>
      <w:r>
        <w:rPr>
          <w:lang w:val="en-NZ"/>
        </w:rPr>
        <w:t xml:space="preserve"> </w:t>
      </w:r>
      <w:r w:rsidR="00A600E5">
        <w:rPr>
          <w:lang w:val="en-NZ"/>
        </w:rPr>
        <w:t>should</w:t>
      </w:r>
      <w:r>
        <w:rPr>
          <w:lang w:val="en-NZ"/>
        </w:rPr>
        <w:t xml:space="preserve"> be</w:t>
      </w:r>
      <w:r w:rsidRPr="00E465D2">
        <w:rPr>
          <w:lang w:val="en-NZ"/>
        </w:rPr>
        <w:t xml:space="preserve"> on roles, responsibilities, accountabilities and the essentials of care. </w:t>
      </w:r>
    </w:p>
    <w:p w14:paraId="6525FE7F" w14:textId="77777777" w:rsidR="00C10526" w:rsidRDefault="00C10526" w:rsidP="00C10526">
      <w:r>
        <w:t>T</w:t>
      </w:r>
      <w:r w:rsidRPr="000C507A">
        <w:t xml:space="preserve">he leadership team spoke about </w:t>
      </w:r>
      <w:r>
        <w:t xml:space="preserve">the need </w:t>
      </w:r>
      <w:r w:rsidR="00207906">
        <w:t xml:space="preserve">for </w:t>
      </w:r>
      <w:r w:rsidRPr="000C507A">
        <w:t>a specific focus on workforce capability</w:t>
      </w:r>
      <w:r w:rsidR="00207906">
        <w:t>,</w:t>
      </w:r>
      <w:r w:rsidRPr="000C507A">
        <w:t xml:space="preserve"> especially in management and leadership. </w:t>
      </w:r>
      <w:r w:rsidR="00207906">
        <w:t xml:space="preserve">At the time of the inspection they were </w:t>
      </w:r>
      <w:r>
        <w:t xml:space="preserve">looking to </w:t>
      </w:r>
      <w:r w:rsidRPr="000C507A">
        <w:t>identif</w:t>
      </w:r>
      <w:r>
        <w:t>y</w:t>
      </w:r>
      <w:r w:rsidRPr="000C507A">
        <w:t xml:space="preserve"> and develop emerging leaders and focus on building leaders across the service. </w:t>
      </w:r>
      <w:r w:rsidR="00207906">
        <w:t>They were also developing a</w:t>
      </w:r>
      <w:r>
        <w:t xml:space="preserve"> new workforce plan</w:t>
      </w:r>
      <w:r w:rsidR="00207906">
        <w:t>,</w:t>
      </w:r>
      <w:r>
        <w:t xml:space="preserve"> to </w:t>
      </w:r>
      <w:r w:rsidR="00207906">
        <w:t xml:space="preserve">clarify </w:t>
      </w:r>
      <w:r w:rsidRPr="000C507A">
        <w:t xml:space="preserve">expectations and </w:t>
      </w:r>
      <w:r w:rsidR="00207906">
        <w:t xml:space="preserve">required </w:t>
      </w:r>
      <w:r w:rsidRPr="000C507A">
        <w:t>competencies.</w:t>
      </w:r>
    </w:p>
    <w:p w14:paraId="7DA14C63" w14:textId="77777777" w:rsidR="00FA2652" w:rsidRDefault="00FA2652" w:rsidP="00FA2652">
      <w:pPr>
        <w:pStyle w:val="Heading2"/>
      </w:pPr>
      <w:bookmarkStart w:id="22" w:name="_Toc448394337"/>
      <w:r>
        <w:t>Clinical and operational leadership: summary</w:t>
      </w:r>
      <w:bookmarkEnd w:id="22"/>
    </w:p>
    <w:p w14:paraId="2FFC74A4" w14:textId="77777777" w:rsidR="00C10526" w:rsidRDefault="00C10526" w:rsidP="00C10526">
      <w:r>
        <w:t xml:space="preserve">The </w:t>
      </w:r>
      <w:r w:rsidR="0067037E">
        <w:t>Team</w:t>
      </w:r>
      <w:r>
        <w:t xml:space="preserve"> were observing the service at a time of intense external pressure</w:t>
      </w:r>
      <w:r w:rsidR="000A39F7">
        <w:t>,</w:t>
      </w:r>
      <w:r>
        <w:t xml:space="preserve"> which clearly had had a serious impact on morale. This was particularly evident to the Director of Mental Health</w:t>
      </w:r>
      <w:r w:rsidR="000A39F7">
        <w:t>,</w:t>
      </w:r>
      <w:r>
        <w:t xml:space="preserve"> who on previous visits had observed that morale and support for change had been much higher. The rapid change forced on the service in response to the external scrutiny had clearly had an impact on the capacity of the service to embed the level of practice change required by their model of care and strategic direction. Given the comments made by a number of staff </w:t>
      </w:r>
      <w:r w:rsidR="001D3183">
        <w:t>to the Inspection T</w:t>
      </w:r>
      <w:r w:rsidR="000A39F7">
        <w:t xml:space="preserve">eam regarding </w:t>
      </w:r>
      <w:r>
        <w:t>the need for discipline</w:t>
      </w:r>
      <w:r w:rsidR="000A39F7">
        <w:t>-</w:t>
      </w:r>
      <w:r>
        <w:t>specific and clinical leadership in the area of practice change, the service should consider regularly evaluating the effectiveness of recent changes to strengthen this area.</w:t>
      </w:r>
    </w:p>
    <w:p w14:paraId="03138907" w14:textId="77777777" w:rsidR="00C10526" w:rsidRDefault="00C10526" w:rsidP="00C10526">
      <w:pPr>
        <w:pStyle w:val="Heading2"/>
      </w:pPr>
      <w:bookmarkStart w:id="23" w:name="_Toc448394338"/>
      <w:r>
        <w:lastRenderedPageBreak/>
        <w:t xml:space="preserve">Consumer and </w:t>
      </w:r>
      <w:proofErr w:type="spellStart"/>
      <w:r w:rsidR="000A39F7">
        <w:t>w</w:t>
      </w:r>
      <w:r>
        <w:t>hānau</w:t>
      </w:r>
      <w:proofErr w:type="spellEnd"/>
      <w:r>
        <w:t xml:space="preserve"> </w:t>
      </w:r>
      <w:r w:rsidR="000A39F7">
        <w:t>l</w:t>
      </w:r>
      <w:r>
        <w:t xml:space="preserve">eadership and </w:t>
      </w:r>
      <w:r w:rsidR="000A39F7">
        <w:t>e</w:t>
      </w:r>
      <w:r>
        <w:t>ngagement</w:t>
      </w:r>
      <w:bookmarkEnd w:id="23"/>
    </w:p>
    <w:p w14:paraId="1F7C9608" w14:textId="77777777" w:rsidR="00C10526" w:rsidRDefault="00C10526" w:rsidP="00C10526">
      <w:r>
        <w:t>The service has defined expectations for consumer engagement at all levels</w:t>
      </w:r>
      <w:r w:rsidR="000A39F7">
        <w:t>,</w:t>
      </w:r>
      <w:r>
        <w:t xml:space="preserve"> and the consumer lead sits on the governance committees. The </w:t>
      </w:r>
      <w:r w:rsidR="000A39F7">
        <w:t xml:space="preserve">service contracts </w:t>
      </w:r>
      <w:r>
        <w:t>provision of a family/</w:t>
      </w:r>
      <w:r w:rsidRPr="00BF3838">
        <w:t xml:space="preserve"> </w:t>
      </w:r>
      <w:proofErr w:type="spellStart"/>
      <w:r>
        <w:t>whānau</w:t>
      </w:r>
      <w:proofErr w:type="spellEnd"/>
      <w:r>
        <w:t xml:space="preserve"> facilitator to an NGO</w:t>
      </w:r>
      <w:r w:rsidR="000A39F7">
        <w:t>,</w:t>
      </w:r>
      <w:r>
        <w:t xml:space="preserve"> to avoid potential conflicts of interest. </w:t>
      </w:r>
      <w:r w:rsidR="000A39F7">
        <w:t xml:space="preserve">The service charges </w:t>
      </w:r>
      <w:r>
        <w:t>a family/</w:t>
      </w:r>
      <w:proofErr w:type="spellStart"/>
      <w:r>
        <w:t>whānau</w:t>
      </w:r>
      <w:proofErr w:type="spellEnd"/>
      <w:r>
        <w:t xml:space="preserve"> steering group with looking at the responsiveness of the service to family</w:t>
      </w:r>
      <w:r w:rsidR="00DD4F72">
        <w:t>/</w:t>
      </w:r>
      <w:proofErr w:type="spellStart"/>
      <w:r>
        <w:t>whānau</w:t>
      </w:r>
      <w:proofErr w:type="spellEnd"/>
      <w:r>
        <w:t xml:space="preserve">. </w:t>
      </w:r>
      <w:r w:rsidR="007D77E0">
        <w:t>Two NGOs provide dedicated support for families</w:t>
      </w:r>
      <w:r>
        <w:t>: Supporting Families</w:t>
      </w:r>
      <w:r w:rsidR="000A39F7">
        <w:t xml:space="preserve"> (SF</w:t>
      </w:r>
      <w:r>
        <w:t>) and People Relying on People</w:t>
      </w:r>
      <w:r w:rsidR="000A39F7">
        <w:t xml:space="preserve"> (PROP</w:t>
      </w:r>
      <w:r>
        <w:t>). There has been a clear focus on rolling out recovery and peer support modules</w:t>
      </w:r>
      <w:r w:rsidR="005F423D">
        <w:t>,</w:t>
      </w:r>
      <w:r>
        <w:t xml:space="preserve"> to ensure effective engagement with people who use services and their and </w:t>
      </w:r>
      <w:r w:rsidR="00DD4F72">
        <w:t>families/</w:t>
      </w:r>
      <w:proofErr w:type="spellStart"/>
      <w:r>
        <w:t>whānau</w:t>
      </w:r>
      <w:proofErr w:type="spellEnd"/>
      <w:r>
        <w:t>.</w:t>
      </w:r>
    </w:p>
    <w:p w14:paraId="09946523" w14:textId="77777777" w:rsidR="00C10526" w:rsidRDefault="00C10526" w:rsidP="00C10526">
      <w:r>
        <w:t xml:space="preserve">The </w:t>
      </w:r>
      <w:r w:rsidR="005F423D">
        <w:t xml:space="preserve">Inspection Team’s </w:t>
      </w:r>
      <w:r>
        <w:t xml:space="preserve">consumer leader </w:t>
      </w:r>
      <w:r w:rsidRPr="005A6349">
        <w:t xml:space="preserve">met with a </w:t>
      </w:r>
      <w:r>
        <w:t>p</w:t>
      </w:r>
      <w:r w:rsidRPr="005A6349">
        <w:t xml:space="preserve">eer </w:t>
      </w:r>
      <w:r>
        <w:t>s</w:t>
      </w:r>
      <w:r w:rsidRPr="005A6349">
        <w:t xml:space="preserve">upport </w:t>
      </w:r>
      <w:r>
        <w:t>w</w:t>
      </w:r>
      <w:r w:rsidRPr="005A6349">
        <w:t>orker from</w:t>
      </w:r>
      <w:r>
        <w:t xml:space="preserve"> </w:t>
      </w:r>
      <w:r w:rsidR="005F423D">
        <w:t xml:space="preserve">the </w:t>
      </w:r>
      <w:r w:rsidR="004B39BE">
        <w:t>MHAS</w:t>
      </w:r>
      <w:r w:rsidRPr="005A6349">
        <w:t xml:space="preserve">, the </w:t>
      </w:r>
      <w:r>
        <w:t>c</w:t>
      </w:r>
      <w:r w:rsidRPr="005A6349">
        <w:t xml:space="preserve">onsumer </w:t>
      </w:r>
      <w:r>
        <w:t>d</w:t>
      </w:r>
      <w:r w:rsidRPr="005A6349">
        <w:t xml:space="preserve">evelopment </w:t>
      </w:r>
      <w:r>
        <w:t>a</w:t>
      </w:r>
      <w:r w:rsidRPr="005A6349">
        <w:t xml:space="preserve">dvisor, and a </w:t>
      </w:r>
      <w:r>
        <w:t>t</w:t>
      </w:r>
      <w:r w:rsidRPr="005A6349">
        <w:t xml:space="preserve">eam </w:t>
      </w:r>
      <w:r>
        <w:t>l</w:t>
      </w:r>
      <w:r w:rsidRPr="005A6349">
        <w:t>eader from Progress to Health</w:t>
      </w:r>
      <w:r w:rsidR="008E1F88">
        <w:rPr>
          <w:rStyle w:val="FootnoteReference"/>
        </w:rPr>
        <w:footnoteReference w:id="11"/>
      </w:r>
      <w:r w:rsidR="005F423D">
        <w:t>,</w:t>
      </w:r>
      <w:r>
        <w:t xml:space="preserve"> who spends time in the adult inpatient wards regularly</w:t>
      </w:r>
      <w:r w:rsidRPr="005A6349">
        <w:t xml:space="preserve">. This group informed </w:t>
      </w:r>
      <w:r>
        <w:t>her</w:t>
      </w:r>
      <w:r w:rsidRPr="005A6349">
        <w:t xml:space="preserve"> that peer support</w:t>
      </w:r>
      <w:r>
        <w:t xml:space="preserve"> and recovery modules are</w:t>
      </w:r>
      <w:r w:rsidRPr="005A6349">
        <w:t xml:space="preserve"> seen as a valuable part of service delivery </w:t>
      </w:r>
      <w:r w:rsidR="005F423D">
        <w:t>in</w:t>
      </w:r>
      <w:r w:rsidR="005F423D" w:rsidRPr="005A6349">
        <w:t xml:space="preserve"> </w:t>
      </w:r>
      <w:r w:rsidRPr="005A6349">
        <w:t>the inpatient wards and in f</w:t>
      </w:r>
      <w:r>
        <w:t>orensic services</w:t>
      </w:r>
      <w:r w:rsidR="005F423D">
        <w:t>,</w:t>
      </w:r>
      <w:r>
        <w:t xml:space="preserve"> and that the </w:t>
      </w:r>
      <w:r w:rsidR="004B39BE">
        <w:t>MHAS</w:t>
      </w:r>
      <w:r w:rsidRPr="005A6349">
        <w:t xml:space="preserve"> </w:t>
      </w:r>
      <w:r w:rsidR="005F423D">
        <w:t xml:space="preserve">is </w:t>
      </w:r>
      <w:r w:rsidRPr="005A6349">
        <w:t>comm</w:t>
      </w:r>
      <w:r>
        <w:t>itted to ensuring that people</w:t>
      </w:r>
      <w:r w:rsidRPr="005A6349">
        <w:t xml:space="preserve"> are involved in service development across all levels. </w:t>
      </w:r>
      <w:r>
        <w:t xml:space="preserve">The group acknowledged that there is bad with good but said that the services were on track overall. </w:t>
      </w:r>
    </w:p>
    <w:p w14:paraId="1CF8AAFC" w14:textId="77777777" w:rsidR="00C10526" w:rsidRPr="00C4282B" w:rsidRDefault="009A29B9" w:rsidP="00C10526">
      <w:r>
        <w:t>The Te</w:t>
      </w:r>
      <w:r w:rsidR="00C10526">
        <w:t xml:space="preserve">am’s consumer leader believes the different consumer roles within the service appear connected and seem to be working well together. </w:t>
      </w:r>
      <w:r w:rsidR="005F423D">
        <w:t xml:space="preserve">Together, people in these roles </w:t>
      </w:r>
      <w:r w:rsidR="00C10526">
        <w:t>have confidence that the system is working hard to realise the visions of people accessing the services</w:t>
      </w:r>
      <w:r w:rsidR="005F423D">
        <w:t>,</w:t>
      </w:r>
      <w:r w:rsidR="00C10526">
        <w:t xml:space="preserve"> and </w:t>
      </w:r>
      <w:r w:rsidR="005F423D">
        <w:t xml:space="preserve">feel </w:t>
      </w:r>
      <w:r w:rsidR="00C10526">
        <w:t>that people accessing the services are included.</w:t>
      </w:r>
      <w:r w:rsidR="004B4BA6">
        <w:t xml:space="preserve"> There is potential for further improvement</w:t>
      </w:r>
      <w:r w:rsidR="005F423D">
        <w:t>,</w:t>
      </w:r>
      <w:r w:rsidR="004B4BA6">
        <w:t xml:space="preserve"> by connecting with the wider consumer movement and pe</w:t>
      </w:r>
      <w:r w:rsidR="004B4BA6" w:rsidRPr="00C4282B">
        <w:t>ople outside the system</w:t>
      </w:r>
      <w:r w:rsidR="003D354C" w:rsidRPr="00C4282B">
        <w:t xml:space="preserve">. This will help improve alignment between public expectations and </w:t>
      </w:r>
      <w:r w:rsidR="000147EB" w:rsidRPr="00C4282B">
        <w:t>the MHAS</w:t>
      </w:r>
      <w:r w:rsidR="00BE0BB4">
        <w:t>’</w:t>
      </w:r>
      <w:r w:rsidR="000147EB" w:rsidRPr="00C4282B">
        <w:t xml:space="preserve"> </w:t>
      </w:r>
      <w:r w:rsidR="003D354C" w:rsidRPr="00C4282B">
        <w:t>ability to deliver.</w:t>
      </w:r>
    </w:p>
    <w:p w14:paraId="0AC45307" w14:textId="77777777" w:rsidR="00BD4152" w:rsidRPr="000C507A" w:rsidRDefault="00BD4152" w:rsidP="00BD4152">
      <w:pPr>
        <w:pStyle w:val="Heading2"/>
        <w:rPr>
          <w:i/>
        </w:rPr>
      </w:pPr>
      <w:bookmarkStart w:id="24" w:name="_Toc448394339"/>
      <w:r>
        <w:t>Governance of i</w:t>
      </w:r>
      <w:r w:rsidRPr="000C507A">
        <w:t xml:space="preserve">mplementation of </w:t>
      </w:r>
      <w:r w:rsidRPr="000C507A">
        <w:rPr>
          <w:i/>
        </w:rPr>
        <w:t>A Time for Change</w:t>
      </w:r>
      <w:bookmarkEnd w:id="24"/>
    </w:p>
    <w:p w14:paraId="28B1DFFA" w14:textId="77777777" w:rsidR="00BD4152" w:rsidRPr="000C507A" w:rsidRDefault="00BD4152" w:rsidP="00BD4152">
      <w:r w:rsidRPr="000C507A">
        <w:t>One of the recommendations</w:t>
      </w:r>
      <w:r>
        <w:t xml:space="preserve"> from </w:t>
      </w:r>
      <w:r w:rsidRPr="00A600E5">
        <w:rPr>
          <w:i/>
        </w:rPr>
        <w:t>A Time for Change</w:t>
      </w:r>
      <w:r w:rsidR="009A29B9">
        <w:t xml:space="preserve"> was</w:t>
      </w:r>
      <w:r>
        <w:t>:</w:t>
      </w:r>
    </w:p>
    <w:p w14:paraId="4AEA48A5" w14:textId="77777777" w:rsidR="00BD4152" w:rsidRPr="000C507A" w:rsidRDefault="009A29B9" w:rsidP="00BD4152">
      <w:pPr>
        <w:ind w:left="720"/>
      </w:pPr>
      <w:r>
        <w:t>…</w:t>
      </w:r>
      <w:r w:rsidR="00BD4152" w:rsidRPr="002E5C4E">
        <w:t xml:space="preserve"> that a committee structure be developed which establishes new or revised terms of reference for each committee to ensure clear lines of authority and effective decision making capacity</w:t>
      </w:r>
      <w:r w:rsidR="00BD4152" w:rsidRPr="000C507A">
        <w:t>.</w:t>
      </w:r>
    </w:p>
    <w:p w14:paraId="18F1BF14" w14:textId="77777777" w:rsidR="00BD4152" w:rsidRDefault="00BD4152" w:rsidP="00BD4152">
      <w:r w:rsidRPr="000C507A">
        <w:t>The documentation</w:t>
      </w:r>
      <w:r w:rsidR="003119FD">
        <w:t xml:space="preserve"> provided to the </w:t>
      </w:r>
      <w:r w:rsidR="005F423D">
        <w:t xml:space="preserve">Inspection </w:t>
      </w:r>
      <w:r w:rsidR="003119FD">
        <w:t>Team</w:t>
      </w:r>
      <w:r>
        <w:t xml:space="preserve"> relating to governance </w:t>
      </w:r>
      <w:r w:rsidR="005F423D">
        <w:t>of</w:t>
      </w:r>
      <w:r>
        <w:t xml:space="preserve"> implementation of the change </w:t>
      </w:r>
      <w:r w:rsidR="005F423D">
        <w:t xml:space="preserve">programme, </w:t>
      </w:r>
      <w:r w:rsidRPr="000C507A">
        <w:t xml:space="preserve">and the </w:t>
      </w:r>
      <w:r w:rsidR="005F423D">
        <w:t xml:space="preserve">Team’s </w:t>
      </w:r>
      <w:r w:rsidRPr="000C507A">
        <w:t>interviews with staff</w:t>
      </w:r>
      <w:r w:rsidR="005F423D">
        <w:t>,</w:t>
      </w:r>
      <w:r w:rsidRPr="000C507A">
        <w:t xml:space="preserve"> clearly demonstr</w:t>
      </w:r>
      <w:r>
        <w:t xml:space="preserve">ated that in the initial </w:t>
      </w:r>
      <w:proofErr w:type="gramStart"/>
      <w:r>
        <w:t>phase</w:t>
      </w:r>
      <w:proofErr w:type="gramEnd"/>
      <w:r>
        <w:t xml:space="preserve"> </w:t>
      </w:r>
      <w:r w:rsidR="005F423D">
        <w:t xml:space="preserve">the DHB followed </w:t>
      </w:r>
      <w:r w:rsidRPr="000C507A">
        <w:t xml:space="preserve">a standard change management approach. There was good documentation of desired </w:t>
      </w:r>
      <w:r>
        <w:t>outcomes,</w:t>
      </w:r>
      <w:r w:rsidRPr="000C507A">
        <w:t xml:space="preserve"> </w:t>
      </w:r>
      <w:r w:rsidR="005F423D">
        <w:t xml:space="preserve">and </w:t>
      </w:r>
      <w:r w:rsidRPr="000C507A">
        <w:t xml:space="preserve">good engagement of key stakeholders.  </w:t>
      </w:r>
    </w:p>
    <w:p w14:paraId="0D3C33A4" w14:textId="77777777" w:rsidR="00BD4152" w:rsidRPr="000C507A" w:rsidRDefault="00BD4152" w:rsidP="00BD4152">
      <w:r w:rsidRPr="000C507A">
        <w:t>The</w:t>
      </w:r>
      <w:r>
        <w:t xml:space="preserve"> DHB</w:t>
      </w:r>
      <w:r w:rsidRPr="000C507A">
        <w:t xml:space="preserve"> set up </w:t>
      </w:r>
      <w:r>
        <w:t>nine</w:t>
      </w:r>
      <w:r w:rsidRPr="000C507A">
        <w:t xml:space="preserve"> working groups to </w:t>
      </w:r>
      <w:r w:rsidR="005F423D">
        <w:t>implement</w:t>
      </w:r>
      <w:r w:rsidRPr="000C507A">
        <w:t xml:space="preserve"> </w:t>
      </w:r>
      <w:r>
        <w:rPr>
          <w:i/>
        </w:rPr>
        <w:t>A Time for Change</w:t>
      </w:r>
      <w:r w:rsidRPr="000C507A">
        <w:t xml:space="preserve">. There appeared to be a good process </w:t>
      </w:r>
      <w:r w:rsidR="005F423D">
        <w:t>for</w:t>
      </w:r>
      <w:r w:rsidR="005F423D" w:rsidRPr="000C507A">
        <w:t xml:space="preserve"> </w:t>
      </w:r>
      <w:r w:rsidRPr="000C507A">
        <w:t xml:space="preserve">engaging people in the </w:t>
      </w:r>
      <w:r>
        <w:t>project</w:t>
      </w:r>
      <w:r w:rsidR="005F423D">
        <w:t>,</w:t>
      </w:r>
      <w:r>
        <w:t xml:space="preserve"> and a </w:t>
      </w:r>
      <w:r w:rsidR="00A600E5">
        <w:t>good</w:t>
      </w:r>
      <w:r w:rsidR="00A600E5" w:rsidRPr="000C507A">
        <w:t xml:space="preserve"> methodology</w:t>
      </w:r>
      <w:r>
        <w:t xml:space="preserve"> for the shift in practice. In addition, </w:t>
      </w:r>
      <w:r w:rsidR="005F423D">
        <w:t xml:space="preserve">the DHB designated </w:t>
      </w:r>
      <w:r w:rsidRPr="000C507A">
        <w:t xml:space="preserve">a specific external </w:t>
      </w:r>
      <w:r>
        <w:t>‘</w:t>
      </w:r>
      <w:r w:rsidRPr="000C507A">
        <w:t>change team</w:t>
      </w:r>
      <w:r>
        <w:t>’ to</w:t>
      </w:r>
      <w:r w:rsidRPr="000C507A">
        <w:t xml:space="preserve"> assist the service in </w:t>
      </w:r>
      <w:r>
        <w:t>the transition</w:t>
      </w:r>
      <w:r w:rsidRPr="000C507A">
        <w:t>.</w:t>
      </w:r>
    </w:p>
    <w:p w14:paraId="5995D818" w14:textId="77777777" w:rsidR="00BD4152" w:rsidRPr="000C507A" w:rsidRDefault="00A524F1" w:rsidP="00BD4152">
      <w:r>
        <w:t>The initial</w:t>
      </w:r>
      <w:r w:rsidRPr="000C507A">
        <w:t xml:space="preserve"> </w:t>
      </w:r>
      <w:r w:rsidR="00BD4152" w:rsidRPr="000C507A">
        <w:t>post</w:t>
      </w:r>
      <w:r w:rsidR="005F423D">
        <w:t>-</w:t>
      </w:r>
      <w:r w:rsidR="00BD4152" w:rsidRPr="000C507A">
        <w:t>implementation review showed significant improvements.</w:t>
      </w:r>
    </w:p>
    <w:p w14:paraId="648FEF6D" w14:textId="77777777" w:rsidR="00BD4152" w:rsidRPr="000C507A" w:rsidRDefault="00BD4152" w:rsidP="00BD4152">
      <w:pPr>
        <w:pStyle w:val="Heading2"/>
        <w:rPr>
          <w:i/>
        </w:rPr>
      </w:pPr>
      <w:bookmarkStart w:id="25" w:name="_Toc448394340"/>
      <w:r>
        <w:lastRenderedPageBreak/>
        <w:t>A change in the implementation process</w:t>
      </w:r>
      <w:bookmarkEnd w:id="25"/>
    </w:p>
    <w:p w14:paraId="00E11938" w14:textId="77777777" w:rsidR="00BD4152" w:rsidRDefault="00BD4152" w:rsidP="00BD4152">
      <w:r>
        <w:t>A</w:t>
      </w:r>
      <w:r w:rsidRPr="000C507A">
        <w:t>round 2013</w:t>
      </w:r>
      <w:r w:rsidR="005F423D">
        <w:t>,</w:t>
      </w:r>
      <w:r w:rsidRPr="000C507A">
        <w:t xml:space="preserve"> there </w:t>
      </w:r>
      <w:r>
        <w:t xml:space="preserve">was a shift in the implementation process for </w:t>
      </w:r>
      <w:r>
        <w:rPr>
          <w:i/>
        </w:rPr>
        <w:t>A Time for Change</w:t>
      </w:r>
      <w:r>
        <w:t xml:space="preserve">. The </w:t>
      </w:r>
      <w:r w:rsidR="005F423D">
        <w:t xml:space="preserve">service told the Inspection </w:t>
      </w:r>
      <w:r w:rsidR="009A29B9">
        <w:t>Team</w:t>
      </w:r>
      <w:r w:rsidRPr="000C507A">
        <w:t xml:space="preserve"> that </w:t>
      </w:r>
      <w:r w:rsidR="005F423D">
        <w:t xml:space="preserve">this followed </w:t>
      </w:r>
      <w:r w:rsidRPr="000C507A">
        <w:t xml:space="preserve">a significant </w:t>
      </w:r>
      <w:r>
        <w:t>demand for</w:t>
      </w:r>
      <w:r w:rsidRPr="000C507A">
        <w:t xml:space="preserve"> fiscal savings </w:t>
      </w:r>
      <w:r>
        <w:t>and</w:t>
      </w:r>
      <w:r w:rsidRPr="000C507A">
        <w:t xml:space="preserve"> efficiencies</w:t>
      </w:r>
      <w:r>
        <w:t xml:space="preserve"> across the DHB</w:t>
      </w:r>
      <w:r w:rsidR="009A29B9">
        <w:t xml:space="preserve"> (see section </w:t>
      </w:r>
      <w:r w:rsidR="007A79F5">
        <w:t>9.2</w:t>
      </w:r>
      <w:r w:rsidR="009A29B9">
        <w:t>)</w:t>
      </w:r>
      <w:r w:rsidRPr="000C507A">
        <w:t>.</w:t>
      </w:r>
      <w:r>
        <w:t xml:space="preserve"> As well as an annually reducing budget, </w:t>
      </w:r>
      <w:r w:rsidRPr="000C507A">
        <w:t>the external change team</w:t>
      </w:r>
      <w:r>
        <w:t xml:space="preserve"> which had been assisting in the change programme came to </w:t>
      </w:r>
      <w:r w:rsidR="00C37FC9">
        <w:t xml:space="preserve">a </w:t>
      </w:r>
      <w:r>
        <w:t>planned end.</w:t>
      </w:r>
    </w:p>
    <w:p w14:paraId="56912D0B" w14:textId="77777777" w:rsidR="007A79F5" w:rsidRPr="000C507A" w:rsidRDefault="003251AD" w:rsidP="007A79F5">
      <w:r w:rsidRPr="007D77E0">
        <w:rPr>
          <w:i/>
        </w:rPr>
        <w:t>A Time for Change</w:t>
      </w:r>
      <w:r w:rsidR="0086290F">
        <w:rPr>
          <w:i/>
        </w:rPr>
        <w:t xml:space="preserve"> </w:t>
      </w:r>
      <w:r w:rsidR="0086290F">
        <w:t>and the service’s strategic plan</w:t>
      </w:r>
      <w:r>
        <w:t xml:space="preserve"> had called for</w:t>
      </w:r>
      <w:r w:rsidR="007A79F5">
        <w:t xml:space="preserve"> transformational change. </w:t>
      </w:r>
      <w:r w:rsidR="007A79F5" w:rsidRPr="000C507A">
        <w:t>Change on this magnitude require</w:t>
      </w:r>
      <w:r>
        <w:t>d</w:t>
      </w:r>
      <w:r w:rsidR="007A79F5" w:rsidRPr="000C507A">
        <w:t xml:space="preserve"> a concerted effort</w:t>
      </w:r>
      <w:r>
        <w:t>,</w:t>
      </w:r>
      <w:r w:rsidR="007A79F5" w:rsidRPr="000C507A">
        <w:t xml:space="preserve"> not just by the </w:t>
      </w:r>
      <w:r w:rsidR="004B39BE">
        <w:t>MHAS</w:t>
      </w:r>
      <w:r w:rsidR="007A79F5" w:rsidRPr="000C507A">
        <w:t xml:space="preserve"> but the wider DHB.  </w:t>
      </w:r>
      <w:r w:rsidR="007A79F5">
        <w:t>The support and resourcing for this type of change is significant and there</w:t>
      </w:r>
      <w:r w:rsidR="007A79F5" w:rsidRPr="000C507A">
        <w:t xml:space="preserve"> are significant risks if it is only partially supported </w:t>
      </w:r>
      <w:r w:rsidR="007D77E0">
        <w:t xml:space="preserve">and </w:t>
      </w:r>
      <w:r w:rsidR="00C37FC9">
        <w:t xml:space="preserve">if </w:t>
      </w:r>
      <w:r w:rsidR="007A79F5">
        <w:t xml:space="preserve">the </w:t>
      </w:r>
      <w:r w:rsidR="007A79F5" w:rsidRPr="000C507A">
        <w:t xml:space="preserve">resources </w:t>
      </w:r>
      <w:r w:rsidR="007A79F5">
        <w:t xml:space="preserve">are </w:t>
      </w:r>
      <w:r w:rsidR="007A79F5" w:rsidRPr="000C507A">
        <w:t xml:space="preserve">removed prematurely. The </w:t>
      </w:r>
      <w:r w:rsidR="001C1DCB">
        <w:t>I</w:t>
      </w:r>
      <w:r w:rsidR="007A79F5" w:rsidRPr="000C507A">
        <w:t xml:space="preserve">nspection </w:t>
      </w:r>
      <w:r w:rsidR="001C1DCB">
        <w:t>T</w:t>
      </w:r>
      <w:r w:rsidR="007A79F5" w:rsidRPr="000C507A">
        <w:t xml:space="preserve">eam believes </w:t>
      </w:r>
      <w:r w:rsidR="007A79F5">
        <w:t>that the resources for change were not sufficient to effectively manage the change and created undue risk</w:t>
      </w:r>
      <w:r w:rsidR="007A79F5" w:rsidRPr="000C507A">
        <w:t>.</w:t>
      </w:r>
    </w:p>
    <w:p w14:paraId="1A79E594" w14:textId="77777777" w:rsidR="008656AA" w:rsidRPr="000C507A" w:rsidRDefault="008656AA" w:rsidP="008656AA">
      <w:pPr>
        <w:pStyle w:val="Heading2"/>
      </w:pPr>
      <w:bookmarkStart w:id="26" w:name="_Ref444973735"/>
      <w:bookmarkStart w:id="27" w:name="_Toc448394341"/>
      <w:r w:rsidRPr="000C507A">
        <w:t xml:space="preserve">External </w:t>
      </w:r>
      <w:r w:rsidR="003251AD">
        <w:t>f</w:t>
      </w:r>
      <w:r w:rsidRPr="000C507A">
        <w:t>actors</w:t>
      </w:r>
      <w:bookmarkEnd w:id="26"/>
      <w:bookmarkEnd w:id="27"/>
    </w:p>
    <w:p w14:paraId="516910E4" w14:textId="77777777" w:rsidR="008656AA" w:rsidRPr="000C507A" w:rsidRDefault="008656AA" w:rsidP="008656AA">
      <w:r>
        <w:t>Waikato</w:t>
      </w:r>
      <w:r w:rsidRPr="000C507A">
        <w:t xml:space="preserve"> </w:t>
      </w:r>
      <w:r w:rsidR="003251AD">
        <w:t xml:space="preserve">DHB </w:t>
      </w:r>
      <w:r w:rsidRPr="000C507A">
        <w:t xml:space="preserve">has been faced with increasing demands on its </w:t>
      </w:r>
      <w:r w:rsidR="004B39BE">
        <w:t>MHAS</w:t>
      </w:r>
      <w:r w:rsidR="003251AD">
        <w:t>,</w:t>
      </w:r>
      <w:r>
        <w:t xml:space="preserve"> at a time when </w:t>
      </w:r>
      <w:r w:rsidRPr="000C507A">
        <w:t xml:space="preserve">significant fiscal pressures </w:t>
      </w:r>
      <w:r>
        <w:t xml:space="preserve">across </w:t>
      </w:r>
      <w:r w:rsidRPr="000C507A">
        <w:t>the DHB over the last two to three years</w:t>
      </w:r>
      <w:r w:rsidR="003659D0">
        <w:t xml:space="preserve"> </w:t>
      </w:r>
      <w:r w:rsidR="003251AD">
        <w:t xml:space="preserve">have </w:t>
      </w:r>
      <w:r w:rsidRPr="000C507A">
        <w:t>meant that</w:t>
      </w:r>
      <w:r>
        <w:t xml:space="preserve"> all services have </w:t>
      </w:r>
      <w:r w:rsidR="003251AD">
        <w:t xml:space="preserve">had </w:t>
      </w:r>
      <w:r>
        <w:t xml:space="preserve">to have savings plans. </w:t>
      </w:r>
      <w:r w:rsidR="003251AD">
        <w:t>A</w:t>
      </w:r>
      <w:r w:rsidRPr="000C507A">
        <w:t xml:space="preserve">ddressing </w:t>
      </w:r>
      <w:r>
        <w:t>these</w:t>
      </w:r>
      <w:r w:rsidRPr="000C507A">
        <w:t xml:space="preserve"> demand pressures has been challenging.</w:t>
      </w:r>
    </w:p>
    <w:p w14:paraId="46B9E886" w14:textId="77777777" w:rsidR="008656AA" w:rsidRDefault="008656AA" w:rsidP="008656AA">
      <w:r w:rsidRPr="000C507A">
        <w:t xml:space="preserve">In addition, </w:t>
      </w:r>
      <w:r w:rsidR="007A79F5">
        <w:t>early in 2015</w:t>
      </w:r>
      <w:r w:rsidRPr="000C507A">
        <w:t xml:space="preserve"> some serious incidents</w:t>
      </w:r>
      <w:r>
        <w:t xml:space="preserve"> </w:t>
      </w:r>
      <w:r w:rsidR="003251AD">
        <w:t xml:space="preserve">within the DHB </w:t>
      </w:r>
      <w:r>
        <w:t xml:space="preserve">led </w:t>
      </w:r>
      <w:r w:rsidRPr="000C507A">
        <w:t xml:space="preserve">to significant </w:t>
      </w:r>
      <w:r>
        <w:t xml:space="preserve">and sustained </w:t>
      </w:r>
      <w:r w:rsidRPr="000C507A">
        <w:t xml:space="preserve">criticism of </w:t>
      </w:r>
      <w:r w:rsidR="003251AD">
        <w:t xml:space="preserve">its </w:t>
      </w:r>
      <w:r w:rsidRPr="000C507A">
        <w:t xml:space="preserve">services, external pressure and </w:t>
      </w:r>
      <w:r w:rsidR="00796E0B">
        <w:t>intense</w:t>
      </w:r>
      <w:r w:rsidR="00796E0B" w:rsidRPr="000C507A">
        <w:t xml:space="preserve"> </w:t>
      </w:r>
      <w:r w:rsidRPr="000C507A">
        <w:t xml:space="preserve">media coverage. The </w:t>
      </w:r>
      <w:r w:rsidR="001C1DCB">
        <w:t>I</w:t>
      </w:r>
      <w:r w:rsidRPr="000C507A">
        <w:t xml:space="preserve">nspection </w:t>
      </w:r>
      <w:r w:rsidR="001C1DCB">
        <w:t>T</w:t>
      </w:r>
      <w:r w:rsidRPr="000C507A">
        <w:t>eam saw clear evidence that this</w:t>
      </w:r>
      <w:r>
        <w:t xml:space="preserve"> </w:t>
      </w:r>
      <w:r w:rsidRPr="000C507A">
        <w:t xml:space="preserve">had adversely impacted </w:t>
      </w:r>
      <w:r>
        <w:t>on services</w:t>
      </w:r>
      <w:r w:rsidR="003251AD">
        <w:t>,</w:t>
      </w:r>
      <w:r>
        <w:t xml:space="preserve"> particularly </w:t>
      </w:r>
      <w:r w:rsidR="003251AD">
        <w:t xml:space="preserve">in terms of </w:t>
      </w:r>
      <w:r>
        <w:t xml:space="preserve">lowered </w:t>
      </w:r>
      <w:r w:rsidRPr="000C507A">
        <w:t xml:space="preserve">morale </w:t>
      </w:r>
      <w:r w:rsidR="003251AD">
        <w:t xml:space="preserve">among </w:t>
      </w:r>
      <w:r w:rsidRPr="000C507A">
        <w:t>staff</w:t>
      </w:r>
      <w:r>
        <w:t>, the development of defensive and more restrictive practices</w:t>
      </w:r>
      <w:r w:rsidR="008228C1">
        <w:t xml:space="preserve"> (see section </w:t>
      </w:r>
      <w:r w:rsidR="00521DB1">
        <w:fldChar w:fldCharType="begin"/>
      </w:r>
      <w:r w:rsidR="00521DB1">
        <w:instrText xml:space="preserve"> REF _Ref432536502 \r \h </w:instrText>
      </w:r>
      <w:r w:rsidR="00521DB1">
        <w:fldChar w:fldCharType="separate"/>
      </w:r>
      <w:r w:rsidR="005341C3">
        <w:t>5.5</w:t>
      </w:r>
      <w:r w:rsidR="00521DB1">
        <w:fldChar w:fldCharType="end"/>
      </w:r>
      <w:r w:rsidR="008228C1">
        <w:t>)</w:t>
      </w:r>
      <w:r>
        <w:t xml:space="preserve">, and </w:t>
      </w:r>
      <w:r w:rsidR="003251AD">
        <w:t xml:space="preserve">a </w:t>
      </w:r>
      <w:r>
        <w:t xml:space="preserve">negative perception of the </w:t>
      </w:r>
      <w:r w:rsidR="00060FC3">
        <w:t>MHAS among people using the services.</w:t>
      </w:r>
    </w:p>
    <w:p w14:paraId="651A3385" w14:textId="77777777" w:rsidR="00DA3654" w:rsidRDefault="003251AD" w:rsidP="008656AA">
      <w:r>
        <w:t xml:space="preserve">The Inspection Team was </w:t>
      </w:r>
      <w:r w:rsidR="008656AA">
        <w:t>particularly concern</w:t>
      </w:r>
      <w:r>
        <w:t>ed</w:t>
      </w:r>
      <w:r w:rsidR="008656AA">
        <w:t xml:space="preserve"> that individual staff (some quite junior) reported being personally harassed by the public. Provision of good mental health care is challenging even under ideal circumstances. </w:t>
      </w:r>
      <w:r w:rsidR="00BE2761">
        <w:t xml:space="preserve">Personal harassment of </w:t>
      </w:r>
      <w:r w:rsidR="008656AA">
        <w:t xml:space="preserve">staff already under significant pressure can only be expected to result in even further reduction of morale, increased staff turnover and the development of defensive practice. The </w:t>
      </w:r>
      <w:r w:rsidR="001C1DCB">
        <w:t>I</w:t>
      </w:r>
      <w:r w:rsidR="008656AA">
        <w:t xml:space="preserve">nspection </w:t>
      </w:r>
      <w:r w:rsidR="001C1DCB">
        <w:t>T</w:t>
      </w:r>
      <w:r w:rsidR="008656AA">
        <w:t xml:space="preserve">eam </w:t>
      </w:r>
      <w:r w:rsidR="003D354C" w:rsidRPr="00BE0BB4">
        <w:rPr>
          <w:color w:val="000000" w:themeColor="text1"/>
        </w:rPr>
        <w:t>heard</w:t>
      </w:r>
      <w:r w:rsidR="008656AA" w:rsidRPr="00BE0BB4">
        <w:rPr>
          <w:color w:val="000000" w:themeColor="text1"/>
        </w:rPr>
        <w:t xml:space="preserve"> </w:t>
      </w:r>
      <w:r w:rsidR="008656AA">
        <w:t>evidence that this had occurred.</w:t>
      </w:r>
      <w:r w:rsidR="0024004F">
        <w:t xml:space="preserve"> </w:t>
      </w:r>
    </w:p>
    <w:p w14:paraId="39376329" w14:textId="77777777" w:rsidR="008656AA" w:rsidRDefault="008656AA" w:rsidP="008656AA">
      <w:r>
        <w:t>To be seen to be decisively addressing the perceived issues</w:t>
      </w:r>
      <w:r w:rsidR="00BE2761">
        <w:t>,</w:t>
      </w:r>
      <w:r>
        <w:t xml:space="preserve"> the service has had to undertake rapid improvement</w:t>
      </w:r>
      <w:r w:rsidR="00BE2761">
        <w:t>,</w:t>
      </w:r>
      <w:r>
        <w:t xml:space="preserve"> which has compounded </w:t>
      </w:r>
      <w:r w:rsidRPr="000C507A">
        <w:t>what was already a challenging transformational change process.</w:t>
      </w:r>
    </w:p>
    <w:p w14:paraId="1CE400AD" w14:textId="77777777" w:rsidR="009A29B9" w:rsidRPr="000C507A" w:rsidRDefault="009A29B9" w:rsidP="009A29B9">
      <w:r>
        <w:t xml:space="preserve">During interviews with staff, the </w:t>
      </w:r>
      <w:r w:rsidR="00BE2761">
        <w:t xml:space="preserve">Inspection </w:t>
      </w:r>
      <w:r>
        <w:t xml:space="preserve">Team gained an impression that articulation of </w:t>
      </w:r>
      <w:r w:rsidRPr="000C507A">
        <w:t>high</w:t>
      </w:r>
      <w:r w:rsidR="00BE2761">
        <w:t>-</w:t>
      </w:r>
      <w:r w:rsidRPr="000C507A">
        <w:t xml:space="preserve">level </w:t>
      </w:r>
      <w:r>
        <w:t>direction</w:t>
      </w:r>
      <w:r w:rsidRPr="000C507A">
        <w:t xml:space="preserve"> </w:t>
      </w:r>
      <w:r>
        <w:t xml:space="preserve">did not readily reconcile with staff experience of </w:t>
      </w:r>
      <w:r w:rsidRPr="000C507A">
        <w:t>changes on the ground</w:t>
      </w:r>
      <w:r>
        <w:t xml:space="preserve">, </w:t>
      </w:r>
      <w:r w:rsidRPr="000C507A">
        <w:t xml:space="preserve">particularly given </w:t>
      </w:r>
      <w:r w:rsidR="00BE2761">
        <w:t>reported</w:t>
      </w:r>
      <w:r w:rsidR="00BE2761" w:rsidRPr="000C507A">
        <w:t xml:space="preserve"> </w:t>
      </w:r>
      <w:r w:rsidRPr="000C507A">
        <w:t xml:space="preserve">work pressures. </w:t>
      </w:r>
      <w:r>
        <w:t>Staff</w:t>
      </w:r>
      <w:r w:rsidRPr="000C507A">
        <w:t xml:space="preserve"> noted that the speed of change </w:t>
      </w:r>
      <w:r>
        <w:t>(particularly in response to external scrutiny o</w:t>
      </w:r>
      <w:r w:rsidR="00BE2761">
        <w:t>f</w:t>
      </w:r>
      <w:r>
        <w:t xml:space="preserve"> the services) </w:t>
      </w:r>
      <w:r w:rsidRPr="000C507A">
        <w:t>and the top</w:t>
      </w:r>
      <w:r w:rsidR="00BE2761">
        <w:t>-</w:t>
      </w:r>
      <w:r w:rsidRPr="000C507A">
        <w:t xml:space="preserve">down driving of the </w:t>
      </w:r>
      <w:r>
        <w:t>implementation process</w:t>
      </w:r>
      <w:r w:rsidRPr="000C507A">
        <w:t xml:space="preserve"> was damaging to morale</w:t>
      </w:r>
      <w:r>
        <w:t>.</w:t>
      </w:r>
      <w:r w:rsidRPr="000C507A">
        <w:t xml:space="preserve"> </w:t>
      </w:r>
      <w:r>
        <w:t>Staff also described the</w:t>
      </w:r>
      <w:r w:rsidRPr="000C507A">
        <w:t xml:space="preserve"> senior management and leadership as more distant</w:t>
      </w:r>
      <w:r>
        <w:t xml:space="preserve"> </w:t>
      </w:r>
      <w:r w:rsidR="00BE2761">
        <w:t xml:space="preserve">than it used to be, </w:t>
      </w:r>
      <w:r>
        <w:t xml:space="preserve">particularly over </w:t>
      </w:r>
      <w:r w:rsidR="00BE2761">
        <w:t xml:space="preserve">the </w:t>
      </w:r>
      <w:r>
        <w:t>past year (2014/15). This appeared to be linked to the focus required by senior management to manage intense media and external scrutiny.</w:t>
      </w:r>
      <w:r w:rsidR="00DA3654">
        <w:t xml:space="preserve"> </w:t>
      </w:r>
    </w:p>
    <w:p w14:paraId="71FAAC16" w14:textId="77777777" w:rsidR="007A79F5" w:rsidRDefault="007A79F5" w:rsidP="007A79F5">
      <w:pPr>
        <w:pStyle w:val="Heading1"/>
      </w:pPr>
      <w:bookmarkStart w:id="28" w:name="_Toc448394342"/>
      <w:r>
        <w:lastRenderedPageBreak/>
        <w:t>Impact of change on front</w:t>
      </w:r>
      <w:r w:rsidR="009E4D1B">
        <w:t>-</w:t>
      </w:r>
      <w:r>
        <w:t>line clinical staff</w:t>
      </w:r>
      <w:bookmarkEnd w:id="28"/>
    </w:p>
    <w:p w14:paraId="38A8AD85" w14:textId="77777777" w:rsidR="00E97C15" w:rsidRDefault="00313FF3" w:rsidP="007A79F5">
      <w:r>
        <w:t xml:space="preserve">The mission of the MHAS is to provide a </w:t>
      </w:r>
      <w:r w:rsidR="00C061C1">
        <w:t>safe and high</w:t>
      </w:r>
      <w:r w:rsidR="00BE2761">
        <w:t>-</w:t>
      </w:r>
      <w:r>
        <w:t xml:space="preserve">quality service for those who seek care when experiencing mental health needs. </w:t>
      </w:r>
      <w:r w:rsidR="00AD175D">
        <w:t>One of the</w:t>
      </w:r>
      <w:r>
        <w:t xml:space="preserve"> </w:t>
      </w:r>
      <w:r w:rsidR="00AD175D">
        <w:t>most important factor</w:t>
      </w:r>
      <w:r w:rsidR="00C061C1">
        <w:t>s (if not</w:t>
      </w:r>
      <w:r w:rsidR="00AD175D">
        <w:t xml:space="preserve"> the most important factor</w:t>
      </w:r>
      <w:r w:rsidR="00C061C1">
        <w:t>)</w:t>
      </w:r>
      <w:r w:rsidR="00AD175D">
        <w:t xml:space="preserve"> determining quality of care </w:t>
      </w:r>
      <w:r w:rsidR="00BE2761">
        <w:t>is</w:t>
      </w:r>
      <w:r w:rsidR="00AD175D">
        <w:t xml:space="preserve"> </w:t>
      </w:r>
      <w:r w:rsidR="00C061C1">
        <w:t>staff</w:t>
      </w:r>
      <w:r w:rsidR="00AD175D">
        <w:t xml:space="preserve">. </w:t>
      </w:r>
    </w:p>
    <w:p w14:paraId="3A15A5F4" w14:textId="77777777" w:rsidR="00313FF3" w:rsidRDefault="00C061C1" w:rsidP="007A79F5">
      <w:r>
        <w:t>The</w:t>
      </w:r>
      <w:r w:rsidR="00AD175D">
        <w:t xml:space="preserve"> Inspection Team made it a priority to speak with staff, ga</w:t>
      </w:r>
      <w:r w:rsidR="00C4282B">
        <w:t>ug</w:t>
      </w:r>
      <w:r w:rsidR="00AD175D">
        <w:t xml:space="preserve">e </w:t>
      </w:r>
      <w:r w:rsidR="00BE2761">
        <w:t xml:space="preserve">their </w:t>
      </w:r>
      <w:r w:rsidR="00AD175D">
        <w:t xml:space="preserve">morale and </w:t>
      </w:r>
      <w:r w:rsidR="00BE2761">
        <w:t xml:space="preserve">seek </w:t>
      </w:r>
      <w:r w:rsidR="00AD175D">
        <w:t xml:space="preserve">an understanding of how </w:t>
      </w:r>
      <w:r w:rsidR="00BE2761">
        <w:t xml:space="preserve">they </w:t>
      </w:r>
      <w:r w:rsidR="00AD175D">
        <w:t xml:space="preserve">were managing with </w:t>
      </w:r>
      <w:r>
        <w:t xml:space="preserve">work pressures, implementing the change programme and looking after those in their care.  </w:t>
      </w:r>
    </w:p>
    <w:p w14:paraId="6B8C44ED" w14:textId="77777777" w:rsidR="007A79F5" w:rsidRDefault="007A79F5" w:rsidP="007A79F5">
      <w:r>
        <w:t xml:space="preserve">The </w:t>
      </w:r>
      <w:r w:rsidR="001C1DCB">
        <w:t>I</w:t>
      </w:r>
      <w:r>
        <w:t xml:space="preserve">nspection </w:t>
      </w:r>
      <w:r w:rsidR="001C1DCB">
        <w:t>T</w:t>
      </w:r>
      <w:r>
        <w:t>eam were particularly keen to gather the views of a cross-section of front</w:t>
      </w:r>
      <w:r w:rsidR="009E4D1B">
        <w:t>-</w:t>
      </w:r>
      <w:r>
        <w:t xml:space="preserve">line clinical staff. While time constraints limited the number </w:t>
      </w:r>
      <w:r w:rsidR="00BE2761">
        <w:t xml:space="preserve">of staff the Team could talk to, </w:t>
      </w:r>
      <w:r>
        <w:t xml:space="preserve">up to 200 clinical staff had an opportunity to meet with one or other of the </w:t>
      </w:r>
      <w:r w:rsidR="001C1DCB">
        <w:t>I</w:t>
      </w:r>
      <w:r>
        <w:t xml:space="preserve">nspection </w:t>
      </w:r>
      <w:r w:rsidR="001C1DCB">
        <w:t>T</w:t>
      </w:r>
      <w:r>
        <w:t>eam members</w:t>
      </w:r>
      <w:r w:rsidR="00BE2761">
        <w:t>.</w:t>
      </w:r>
      <w:r>
        <w:rPr>
          <w:rStyle w:val="FootnoteReference"/>
        </w:rPr>
        <w:footnoteReference w:id="12"/>
      </w:r>
      <w:r>
        <w:t xml:space="preserve"> </w:t>
      </w:r>
      <w:r w:rsidR="00BE2761">
        <w:t>S</w:t>
      </w:r>
      <w:r>
        <w:t xml:space="preserve">taff groupings </w:t>
      </w:r>
      <w:r w:rsidR="00BE2761">
        <w:t xml:space="preserve">the Team talked to </w:t>
      </w:r>
      <w:r>
        <w:t>included senior medical officers, junior medical officers, c</w:t>
      </w:r>
      <w:r w:rsidRPr="008F372A">
        <w:t xml:space="preserve">linical </w:t>
      </w:r>
      <w:r>
        <w:t>n</w:t>
      </w:r>
      <w:r w:rsidRPr="008F372A">
        <w:t xml:space="preserve">urse </w:t>
      </w:r>
      <w:r>
        <w:t>m</w:t>
      </w:r>
      <w:r w:rsidRPr="008F372A">
        <w:t xml:space="preserve">anagers, </w:t>
      </w:r>
      <w:r>
        <w:t>c</w:t>
      </w:r>
      <w:r w:rsidRPr="008F372A">
        <w:t xml:space="preserve">linical </w:t>
      </w:r>
      <w:r>
        <w:t>n</w:t>
      </w:r>
      <w:r w:rsidRPr="008F372A">
        <w:t xml:space="preserve">urse </w:t>
      </w:r>
      <w:r>
        <w:t>s</w:t>
      </w:r>
      <w:r w:rsidRPr="008F372A">
        <w:t>pecialists</w:t>
      </w:r>
      <w:r>
        <w:t>,</w:t>
      </w:r>
      <w:r w:rsidRPr="008F372A">
        <w:t xml:space="preserve"> </w:t>
      </w:r>
      <w:r>
        <w:t>c</w:t>
      </w:r>
      <w:r w:rsidRPr="008F372A">
        <w:t xml:space="preserve">linical </w:t>
      </w:r>
      <w:r>
        <w:t>n</w:t>
      </w:r>
      <w:r w:rsidRPr="008F372A">
        <w:t xml:space="preserve">urse </w:t>
      </w:r>
      <w:r>
        <w:t>e</w:t>
      </w:r>
      <w:r w:rsidRPr="008F372A">
        <w:t>ducators</w:t>
      </w:r>
      <w:r>
        <w:t>, s</w:t>
      </w:r>
      <w:r w:rsidRPr="008F372A">
        <w:t>taff nurses</w:t>
      </w:r>
      <w:r>
        <w:t>,</w:t>
      </w:r>
      <w:r w:rsidRPr="008F372A">
        <w:t xml:space="preserve"> allied health </w:t>
      </w:r>
      <w:r>
        <w:t xml:space="preserve">staff </w:t>
      </w:r>
      <w:r w:rsidRPr="008F372A">
        <w:t>and psychiatric assis</w:t>
      </w:r>
      <w:r>
        <w:t xml:space="preserve">tants. In addition, representatives of the various community teams and specialist </w:t>
      </w:r>
      <w:proofErr w:type="gramStart"/>
      <w:r>
        <w:t xml:space="preserve">teams </w:t>
      </w:r>
      <w:r w:rsidR="00BE2761">
        <w:t xml:space="preserve"> spoke</w:t>
      </w:r>
      <w:proofErr w:type="gramEnd"/>
      <w:r w:rsidR="00BE2761">
        <w:t xml:space="preserve"> with the Team</w:t>
      </w:r>
      <w:r>
        <w:t xml:space="preserve">. </w:t>
      </w:r>
    </w:p>
    <w:p w14:paraId="7F3D1647" w14:textId="77777777" w:rsidR="007A79F5" w:rsidRDefault="007A79F5" w:rsidP="007A79F5">
      <w:pPr>
        <w:pStyle w:val="Heading2"/>
        <w:rPr>
          <w:lang w:val="en-NZ"/>
        </w:rPr>
      </w:pPr>
      <w:bookmarkStart w:id="29" w:name="_Toc448394343"/>
      <w:r>
        <w:rPr>
          <w:lang w:val="en-NZ"/>
        </w:rPr>
        <w:t>Morale</w:t>
      </w:r>
      <w:bookmarkEnd w:id="29"/>
    </w:p>
    <w:p w14:paraId="658CAE6E" w14:textId="77777777" w:rsidR="007A79F5" w:rsidRDefault="007A79F5" w:rsidP="007A79F5">
      <w:r>
        <w:rPr>
          <w:lang w:val="en-NZ"/>
        </w:rPr>
        <w:t>Front</w:t>
      </w:r>
      <w:r w:rsidR="009E4D1B">
        <w:rPr>
          <w:lang w:val="en-NZ"/>
        </w:rPr>
        <w:t>-</w:t>
      </w:r>
      <w:r>
        <w:rPr>
          <w:lang w:val="en-NZ"/>
        </w:rPr>
        <w:t xml:space="preserve">line clinical staff </w:t>
      </w:r>
      <w:r w:rsidR="0088171E">
        <w:rPr>
          <w:lang w:val="en-NZ"/>
        </w:rPr>
        <w:t>appeared to be</w:t>
      </w:r>
      <w:r w:rsidRPr="00E465D2">
        <w:rPr>
          <w:lang w:val="en-NZ"/>
        </w:rPr>
        <w:t xml:space="preserve"> </w:t>
      </w:r>
      <w:r>
        <w:rPr>
          <w:lang w:val="en-NZ"/>
        </w:rPr>
        <w:t>disheartened</w:t>
      </w:r>
      <w:r w:rsidRPr="00E465D2">
        <w:rPr>
          <w:lang w:val="en-NZ"/>
        </w:rPr>
        <w:t xml:space="preserve"> and concerned</w:t>
      </w:r>
      <w:r>
        <w:rPr>
          <w:lang w:val="en-NZ"/>
        </w:rPr>
        <w:t xml:space="preserve">. They commented that, in their opinion, morale was as low as </w:t>
      </w:r>
      <w:r w:rsidR="0088171E">
        <w:rPr>
          <w:lang w:val="en-NZ"/>
        </w:rPr>
        <w:t xml:space="preserve">it had </w:t>
      </w:r>
      <w:r>
        <w:rPr>
          <w:lang w:val="en-NZ"/>
        </w:rPr>
        <w:t xml:space="preserve">ever been. </w:t>
      </w:r>
      <w:r w:rsidR="00C70A9C">
        <w:rPr>
          <w:lang w:val="en-NZ"/>
        </w:rPr>
        <w:t>Other sections document s</w:t>
      </w:r>
      <w:proofErr w:type="spellStart"/>
      <w:r>
        <w:t>ome</w:t>
      </w:r>
      <w:proofErr w:type="spellEnd"/>
      <w:r>
        <w:t xml:space="preserve"> of the themes that emerged from interviews and group meetings</w:t>
      </w:r>
      <w:r w:rsidR="0023666B">
        <w:t>.</w:t>
      </w:r>
    </w:p>
    <w:p w14:paraId="610CAFEA" w14:textId="77777777" w:rsidR="007A79F5" w:rsidRPr="00E465D2" w:rsidRDefault="00C70A9C" w:rsidP="007A79F5">
      <w:pPr>
        <w:rPr>
          <w:lang w:val="en-NZ"/>
        </w:rPr>
      </w:pPr>
      <w:r>
        <w:rPr>
          <w:lang w:val="en-NZ"/>
        </w:rPr>
        <w:t>Some staff told t</w:t>
      </w:r>
      <w:r w:rsidR="007A79F5">
        <w:rPr>
          <w:lang w:val="en-NZ"/>
        </w:rPr>
        <w:t xml:space="preserve">he Team </w:t>
      </w:r>
      <w:r>
        <w:rPr>
          <w:lang w:val="en-NZ"/>
        </w:rPr>
        <w:t xml:space="preserve">they were </w:t>
      </w:r>
      <w:r w:rsidR="007A79F5">
        <w:rPr>
          <w:lang w:val="en-NZ"/>
        </w:rPr>
        <w:t>afraid to speak up about their concerns; some felt they would be punished if they did.</w:t>
      </w:r>
    </w:p>
    <w:p w14:paraId="3EC58ACF" w14:textId="77777777" w:rsidR="007A79F5" w:rsidRDefault="007A79F5" w:rsidP="007A79F5">
      <w:r>
        <w:t xml:space="preserve">In the main, the specialised teams and subservices appeared to have greater morale and team cohesion. While </w:t>
      </w:r>
      <w:r w:rsidR="00C70A9C">
        <w:t xml:space="preserve">staff in </w:t>
      </w:r>
      <w:r>
        <w:t>all teams spoke about demand pressures and the challenges of service changes, these issues were most noticeable in the adult services. Staff involved in the acute end of community services (crisis and community teams) appeared to be particularly under pressure</w:t>
      </w:r>
      <w:r w:rsidR="00C70A9C">
        <w:t>,</w:t>
      </w:r>
      <w:r>
        <w:t xml:space="preserve"> and noticeably demoralised. </w:t>
      </w:r>
    </w:p>
    <w:p w14:paraId="3B6B0922" w14:textId="77777777" w:rsidR="007A79F5" w:rsidRPr="00E465D2" w:rsidRDefault="007A79F5" w:rsidP="007A79F5">
      <w:pPr>
        <w:rPr>
          <w:lang w:val="en-NZ"/>
        </w:rPr>
      </w:pPr>
      <w:r>
        <w:t xml:space="preserve">The adult inpatient staff appeared especially affected by the recent changes of structure and process. </w:t>
      </w:r>
    </w:p>
    <w:p w14:paraId="144A2057" w14:textId="77777777" w:rsidR="007A79F5" w:rsidRDefault="007A79F5" w:rsidP="007A79F5">
      <w:pPr>
        <w:pStyle w:val="Heading2"/>
      </w:pPr>
      <w:bookmarkStart w:id="30" w:name="_Toc448394344"/>
      <w:r>
        <w:t>Workload pressures</w:t>
      </w:r>
      <w:bookmarkEnd w:id="30"/>
    </w:p>
    <w:p w14:paraId="7AC76BEA" w14:textId="77777777" w:rsidR="007A79F5" w:rsidRDefault="00C70A9C" w:rsidP="007A79F5">
      <w:r>
        <w:t>F</w:t>
      </w:r>
      <w:r w:rsidR="0023666B">
        <w:t xml:space="preserve">rom the staff interviews </w:t>
      </w:r>
      <w:r>
        <w:t xml:space="preserve">the Inspection Team developed a sense </w:t>
      </w:r>
      <w:r w:rsidR="007A79F5">
        <w:t>of significant demand and workload pressure. This was evident across all</w:t>
      </w:r>
      <w:r w:rsidR="0023666B">
        <w:t xml:space="preserve"> staff groups and disciplines. </w:t>
      </w:r>
      <w:r w:rsidR="007A79F5">
        <w:t xml:space="preserve">In some meetings there was discussion about how the additional pressures brought </w:t>
      </w:r>
      <w:r>
        <w:t xml:space="preserve">to bear </w:t>
      </w:r>
      <w:r w:rsidR="007A79F5">
        <w:t>on staff by service and role changes ha</w:t>
      </w:r>
      <w:r>
        <w:t>d</w:t>
      </w:r>
      <w:r w:rsidR="007A79F5">
        <w:t xml:space="preserve"> compounded the </w:t>
      </w:r>
      <w:r>
        <w:t>effect</w:t>
      </w:r>
      <w:r w:rsidR="0023666B">
        <w:t xml:space="preserve">. </w:t>
      </w:r>
      <w:r w:rsidR="007A79F5">
        <w:t>The increased documentation</w:t>
      </w:r>
      <w:r>
        <w:t xml:space="preserve"> </w:t>
      </w:r>
      <w:r w:rsidR="007A79F5">
        <w:t xml:space="preserve">and the </w:t>
      </w:r>
      <w:r>
        <w:t xml:space="preserve">fact that a </w:t>
      </w:r>
      <w:r w:rsidR="007A79F5">
        <w:t xml:space="preserve">mix of electronic and paper-based documentation </w:t>
      </w:r>
      <w:r>
        <w:t xml:space="preserve">were required </w:t>
      </w:r>
      <w:r w:rsidR="007A79F5">
        <w:t>also added to staff stress</w:t>
      </w:r>
      <w:r>
        <w:t>,</w:t>
      </w:r>
      <w:r w:rsidR="007A79F5">
        <w:t xml:space="preserve"> and </w:t>
      </w:r>
      <w:r>
        <w:t xml:space="preserve">fostered </w:t>
      </w:r>
      <w:r w:rsidR="007A79F5">
        <w:t xml:space="preserve">a perception of increased risk </w:t>
      </w:r>
      <w:r>
        <w:t xml:space="preserve">among </w:t>
      </w:r>
      <w:r w:rsidR="007A79F5">
        <w:t xml:space="preserve">staff who </w:t>
      </w:r>
      <w:r>
        <w:t xml:space="preserve">were </w:t>
      </w:r>
      <w:r w:rsidR="007A79F5">
        <w:t xml:space="preserve">working remotely and </w:t>
      </w:r>
      <w:r>
        <w:t xml:space="preserve">could not </w:t>
      </w:r>
      <w:r w:rsidR="007A79F5">
        <w:t>immediately access electronic records</w:t>
      </w:r>
      <w:r w:rsidR="0023666B">
        <w:t xml:space="preserve">. </w:t>
      </w:r>
      <w:r w:rsidR="007A79F5">
        <w:t xml:space="preserve">The need </w:t>
      </w:r>
      <w:r>
        <w:t xml:space="preserve">for these staff </w:t>
      </w:r>
      <w:r w:rsidR="007A79F5">
        <w:t>to return back to base to documen</w:t>
      </w:r>
      <w:r w:rsidR="0023666B">
        <w:t>t assessments add</w:t>
      </w:r>
      <w:r>
        <w:t>ed</w:t>
      </w:r>
      <w:r w:rsidR="007A79F5">
        <w:t xml:space="preserve"> to </w:t>
      </w:r>
      <w:r>
        <w:t>the</w:t>
      </w:r>
      <w:r w:rsidR="005F01C3">
        <w:t>ir</w:t>
      </w:r>
      <w:r>
        <w:t xml:space="preserve"> </w:t>
      </w:r>
      <w:r w:rsidR="007A79F5">
        <w:t>workload pressure</w:t>
      </w:r>
      <w:r w:rsidR="005F01C3">
        <w:t>s.</w:t>
      </w:r>
    </w:p>
    <w:p w14:paraId="4F83E6B2" w14:textId="77777777" w:rsidR="007A79F5" w:rsidRDefault="00C70A9C" w:rsidP="007A79F5">
      <w:pPr>
        <w:rPr>
          <w:lang w:val="en-NZ"/>
        </w:rPr>
      </w:pPr>
      <w:r>
        <w:t>Staff expressed p</w:t>
      </w:r>
      <w:r w:rsidR="007A79F5">
        <w:t xml:space="preserve">articular concerns about the situation for staff working in </w:t>
      </w:r>
      <w:r w:rsidR="0023666B">
        <w:t xml:space="preserve">adult community teams. The </w:t>
      </w:r>
      <w:r>
        <w:t xml:space="preserve">Inspection </w:t>
      </w:r>
      <w:r w:rsidR="0023666B">
        <w:t>T</w:t>
      </w:r>
      <w:r w:rsidR="007A79F5">
        <w:t xml:space="preserve">eam received reports of </w:t>
      </w:r>
      <w:r>
        <w:t xml:space="preserve">individual </w:t>
      </w:r>
      <w:r w:rsidR="007A79F5" w:rsidRPr="00E465D2">
        <w:rPr>
          <w:lang w:val="en-NZ"/>
        </w:rPr>
        <w:t xml:space="preserve">caseloads of 53 </w:t>
      </w:r>
      <w:r>
        <w:rPr>
          <w:lang w:val="en-NZ"/>
        </w:rPr>
        <w:t xml:space="preserve">and </w:t>
      </w:r>
      <w:r w:rsidR="007A79F5">
        <w:rPr>
          <w:lang w:val="en-NZ"/>
        </w:rPr>
        <w:t xml:space="preserve">upwards. There were also high vacancy rates in some teams. Staff reported a rapid turnover of key </w:t>
      </w:r>
      <w:r w:rsidR="007A79F5">
        <w:rPr>
          <w:lang w:val="en-NZ"/>
        </w:rPr>
        <w:lastRenderedPageBreak/>
        <w:t xml:space="preserve">staff, including team leaders, and </w:t>
      </w:r>
      <w:r>
        <w:rPr>
          <w:lang w:val="en-NZ"/>
        </w:rPr>
        <w:t xml:space="preserve">said that some </w:t>
      </w:r>
      <w:r w:rsidR="007A79F5">
        <w:rPr>
          <w:lang w:val="en-NZ"/>
        </w:rPr>
        <w:t xml:space="preserve">staff </w:t>
      </w:r>
      <w:proofErr w:type="gramStart"/>
      <w:r>
        <w:rPr>
          <w:lang w:val="en-NZ"/>
        </w:rPr>
        <w:t>were</w:t>
      </w:r>
      <w:proofErr w:type="gramEnd"/>
      <w:r>
        <w:rPr>
          <w:lang w:val="en-NZ"/>
        </w:rPr>
        <w:t xml:space="preserve"> </w:t>
      </w:r>
      <w:r w:rsidR="007A79F5">
        <w:rPr>
          <w:lang w:val="en-NZ"/>
        </w:rPr>
        <w:t xml:space="preserve">not covered while on leave. There was a sense in some meetings </w:t>
      </w:r>
      <w:r w:rsidR="00376E0D">
        <w:rPr>
          <w:lang w:val="en-NZ"/>
        </w:rPr>
        <w:t xml:space="preserve">of job dissatisfaction among front-line community services staff: if they were </w:t>
      </w:r>
      <w:r w:rsidR="007A79F5">
        <w:rPr>
          <w:lang w:val="en-NZ"/>
        </w:rPr>
        <w:t xml:space="preserve">given the opportunity to change roles, </w:t>
      </w:r>
      <w:r w:rsidR="00376E0D">
        <w:rPr>
          <w:lang w:val="en-NZ"/>
        </w:rPr>
        <w:t xml:space="preserve">they </w:t>
      </w:r>
      <w:r w:rsidR="007A79F5">
        <w:rPr>
          <w:lang w:val="en-NZ"/>
        </w:rPr>
        <w:t>would take it.</w:t>
      </w:r>
    </w:p>
    <w:p w14:paraId="123609B7" w14:textId="77777777" w:rsidR="007A79F5" w:rsidRPr="00E465D2" w:rsidRDefault="007A79F5" w:rsidP="007A79F5">
      <w:pPr>
        <w:rPr>
          <w:lang w:val="en-NZ"/>
        </w:rPr>
      </w:pPr>
      <w:r w:rsidRPr="00E465D2">
        <w:rPr>
          <w:lang w:val="en-NZ"/>
        </w:rPr>
        <w:t xml:space="preserve">Community staff reported that in the past </w:t>
      </w:r>
      <w:r>
        <w:rPr>
          <w:lang w:val="en-NZ"/>
        </w:rPr>
        <w:t>eight</w:t>
      </w:r>
      <w:r w:rsidRPr="00E465D2">
        <w:rPr>
          <w:lang w:val="en-NZ"/>
        </w:rPr>
        <w:t xml:space="preserve"> months they </w:t>
      </w:r>
      <w:r>
        <w:rPr>
          <w:lang w:val="en-NZ"/>
        </w:rPr>
        <w:t>had experienced a range of pressures</w:t>
      </w:r>
      <w:r w:rsidR="00376E0D">
        <w:rPr>
          <w:lang w:val="en-NZ"/>
        </w:rPr>
        <w:t>,</w:t>
      </w:r>
      <w:r>
        <w:rPr>
          <w:lang w:val="en-NZ"/>
        </w:rPr>
        <w:t xml:space="preserve"> including </w:t>
      </w:r>
      <w:r w:rsidR="00376E0D">
        <w:rPr>
          <w:lang w:val="en-NZ"/>
        </w:rPr>
        <w:t xml:space="preserve">having to </w:t>
      </w:r>
      <w:r>
        <w:rPr>
          <w:lang w:val="en-NZ"/>
        </w:rPr>
        <w:t>car</w:t>
      </w:r>
      <w:r w:rsidR="00376E0D">
        <w:rPr>
          <w:lang w:val="en-NZ"/>
        </w:rPr>
        <w:t>e</w:t>
      </w:r>
      <w:r>
        <w:rPr>
          <w:lang w:val="en-NZ"/>
        </w:rPr>
        <w:t xml:space="preserve"> for </w:t>
      </w:r>
      <w:r w:rsidR="00376E0D">
        <w:rPr>
          <w:lang w:val="en-NZ"/>
        </w:rPr>
        <w:t xml:space="preserve">acutely unwell </w:t>
      </w:r>
      <w:r>
        <w:rPr>
          <w:lang w:val="en-NZ"/>
        </w:rPr>
        <w:t xml:space="preserve">people </w:t>
      </w:r>
      <w:r w:rsidR="0023666B">
        <w:rPr>
          <w:lang w:val="en-NZ"/>
        </w:rPr>
        <w:t>with</w:t>
      </w:r>
      <w:r w:rsidR="00376E0D">
        <w:rPr>
          <w:lang w:val="en-NZ"/>
        </w:rPr>
        <w:t xml:space="preserve">out being allowed the </w:t>
      </w:r>
      <w:r w:rsidRPr="00E465D2">
        <w:rPr>
          <w:lang w:val="en-NZ"/>
        </w:rPr>
        <w:t>t</w:t>
      </w:r>
      <w:r>
        <w:rPr>
          <w:lang w:val="en-NZ"/>
        </w:rPr>
        <w:t>ime for long</w:t>
      </w:r>
      <w:r w:rsidR="00376E0D">
        <w:rPr>
          <w:lang w:val="en-NZ"/>
        </w:rPr>
        <w:t>-</w:t>
      </w:r>
      <w:r>
        <w:rPr>
          <w:lang w:val="en-NZ"/>
        </w:rPr>
        <w:t xml:space="preserve">term care planning, and </w:t>
      </w:r>
      <w:r w:rsidR="0023666B">
        <w:rPr>
          <w:lang w:val="en-NZ"/>
        </w:rPr>
        <w:t xml:space="preserve">a </w:t>
      </w:r>
      <w:r>
        <w:rPr>
          <w:lang w:val="en-NZ"/>
        </w:rPr>
        <w:t>sense of</w:t>
      </w:r>
      <w:r w:rsidRPr="00E465D2">
        <w:rPr>
          <w:lang w:val="en-NZ"/>
        </w:rPr>
        <w:t xml:space="preserve"> </w:t>
      </w:r>
      <w:r w:rsidR="00376E0D">
        <w:rPr>
          <w:lang w:val="en-NZ"/>
        </w:rPr>
        <w:t xml:space="preserve">having </w:t>
      </w:r>
      <w:r w:rsidRPr="00E465D2">
        <w:rPr>
          <w:lang w:val="en-NZ"/>
        </w:rPr>
        <w:t>no time for the basics. They reported that community caseloads ha</w:t>
      </w:r>
      <w:r w:rsidR="00376E0D">
        <w:rPr>
          <w:lang w:val="en-NZ"/>
        </w:rPr>
        <w:t>d</w:t>
      </w:r>
      <w:r w:rsidRPr="00E465D2">
        <w:rPr>
          <w:lang w:val="en-NZ"/>
        </w:rPr>
        <w:t xml:space="preserve"> risen</w:t>
      </w:r>
      <w:r w:rsidR="00376E0D">
        <w:rPr>
          <w:lang w:val="en-NZ"/>
        </w:rPr>
        <w:t>,</w:t>
      </w:r>
      <w:r w:rsidRPr="00E465D2">
        <w:rPr>
          <w:lang w:val="en-NZ"/>
        </w:rPr>
        <w:t xml:space="preserve"> </w:t>
      </w:r>
      <w:r w:rsidR="00376E0D">
        <w:rPr>
          <w:lang w:val="en-NZ"/>
        </w:rPr>
        <w:t xml:space="preserve">while the standard of </w:t>
      </w:r>
      <w:r w:rsidRPr="00E465D2">
        <w:rPr>
          <w:lang w:val="en-NZ"/>
        </w:rPr>
        <w:t>quality service</w:t>
      </w:r>
      <w:r w:rsidR="00376E0D">
        <w:rPr>
          <w:lang w:val="en-NZ"/>
        </w:rPr>
        <w:t xml:space="preserve"> remained high</w:t>
      </w:r>
      <w:r>
        <w:rPr>
          <w:lang w:val="en-NZ"/>
        </w:rPr>
        <w:t>. For</w:t>
      </w:r>
      <w:r w:rsidRPr="00E465D2">
        <w:rPr>
          <w:lang w:val="en-NZ"/>
        </w:rPr>
        <w:t xml:space="preserve"> key worker</w:t>
      </w:r>
      <w:r>
        <w:rPr>
          <w:lang w:val="en-NZ"/>
        </w:rPr>
        <w:t>s</w:t>
      </w:r>
      <w:r w:rsidR="0060445B">
        <w:rPr>
          <w:lang w:val="en-NZ"/>
        </w:rPr>
        <w:t>,</w:t>
      </w:r>
      <w:r>
        <w:rPr>
          <w:lang w:val="en-NZ"/>
        </w:rPr>
        <w:t xml:space="preserve"> </w:t>
      </w:r>
      <w:r w:rsidR="00376E0D">
        <w:rPr>
          <w:lang w:val="en-NZ"/>
        </w:rPr>
        <w:t xml:space="preserve">maintaining that standard included carrying out </w:t>
      </w:r>
      <w:r>
        <w:rPr>
          <w:lang w:val="en-NZ"/>
        </w:rPr>
        <w:t xml:space="preserve">tasks such as </w:t>
      </w:r>
      <w:r w:rsidRPr="00E465D2">
        <w:rPr>
          <w:lang w:val="en-NZ"/>
        </w:rPr>
        <w:t>completing comprehensive assessments</w:t>
      </w:r>
      <w:r>
        <w:rPr>
          <w:lang w:val="en-NZ"/>
        </w:rPr>
        <w:t xml:space="preserve"> and </w:t>
      </w:r>
      <w:r w:rsidRPr="00E465D2">
        <w:rPr>
          <w:lang w:val="en-NZ"/>
        </w:rPr>
        <w:t>monitoring</w:t>
      </w:r>
      <w:r>
        <w:rPr>
          <w:lang w:val="en-NZ"/>
        </w:rPr>
        <w:t xml:space="preserve"> the </w:t>
      </w:r>
      <w:r w:rsidRPr="00E465D2">
        <w:rPr>
          <w:lang w:val="en-NZ"/>
        </w:rPr>
        <w:t xml:space="preserve">duty phone. </w:t>
      </w:r>
    </w:p>
    <w:p w14:paraId="3E1F7D29" w14:textId="77777777" w:rsidR="007A79F5" w:rsidRDefault="007A79F5" w:rsidP="007A79F5">
      <w:pPr>
        <w:rPr>
          <w:lang w:val="en-NZ"/>
        </w:rPr>
      </w:pPr>
      <w:proofErr w:type="gramStart"/>
      <w:r>
        <w:rPr>
          <w:lang w:val="en-NZ"/>
        </w:rPr>
        <w:t>Staff were</w:t>
      </w:r>
      <w:proofErr w:type="gramEnd"/>
      <w:r>
        <w:rPr>
          <w:lang w:val="en-NZ"/>
        </w:rPr>
        <w:t xml:space="preserve"> concerned about the impacts on people using the service. They</w:t>
      </w:r>
      <w:r w:rsidRPr="00E465D2">
        <w:rPr>
          <w:lang w:val="en-NZ"/>
        </w:rPr>
        <w:t xml:space="preserve"> were aware that </w:t>
      </w:r>
      <w:r>
        <w:rPr>
          <w:lang w:val="en-NZ"/>
        </w:rPr>
        <w:t>people using the service</w:t>
      </w:r>
      <w:r w:rsidRPr="00E465D2">
        <w:rPr>
          <w:lang w:val="en-NZ"/>
        </w:rPr>
        <w:t xml:space="preserve"> notice</w:t>
      </w:r>
      <w:r w:rsidR="00376E0D">
        <w:rPr>
          <w:lang w:val="en-NZ"/>
        </w:rPr>
        <w:t>d</w:t>
      </w:r>
      <w:r w:rsidRPr="00E465D2">
        <w:rPr>
          <w:lang w:val="en-NZ"/>
        </w:rPr>
        <w:t xml:space="preserve"> they </w:t>
      </w:r>
      <w:r w:rsidR="00376E0D">
        <w:rPr>
          <w:lang w:val="en-NZ"/>
        </w:rPr>
        <w:t xml:space="preserve">were </w:t>
      </w:r>
      <w:r w:rsidRPr="00E465D2">
        <w:rPr>
          <w:lang w:val="en-NZ"/>
        </w:rPr>
        <w:t>busy</w:t>
      </w:r>
      <w:r w:rsidR="00C37FC9">
        <w:rPr>
          <w:lang w:val="en-NZ"/>
        </w:rPr>
        <w:t xml:space="preserve">. </w:t>
      </w:r>
      <w:r>
        <w:rPr>
          <w:lang w:val="en-NZ"/>
        </w:rPr>
        <w:t xml:space="preserve">Staff reported that people using the service had expressed significant frustration due to frequent </w:t>
      </w:r>
      <w:r w:rsidRPr="00E465D2">
        <w:rPr>
          <w:lang w:val="en-NZ"/>
        </w:rPr>
        <w:t>changes of key workers</w:t>
      </w:r>
      <w:r>
        <w:rPr>
          <w:lang w:val="en-NZ"/>
        </w:rPr>
        <w:t>.</w:t>
      </w:r>
      <w:r w:rsidRPr="00E465D2">
        <w:rPr>
          <w:lang w:val="en-NZ"/>
        </w:rPr>
        <w:t xml:space="preserve"> </w:t>
      </w:r>
      <w:r>
        <w:rPr>
          <w:lang w:val="en-NZ"/>
        </w:rPr>
        <w:t xml:space="preserve">There were comments about </w:t>
      </w:r>
      <w:r w:rsidRPr="00E465D2">
        <w:rPr>
          <w:lang w:val="en-NZ"/>
        </w:rPr>
        <w:t xml:space="preserve">changes of psychiatrist </w:t>
      </w:r>
      <w:r>
        <w:rPr>
          <w:lang w:val="en-NZ"/>
        </w:rPr>
        <w:t>impacting on</w:t>
      </w:r>
      <w:r w:rsidRPr="00E465D2">
        <w:rPr>
          <w:lang w:val="en-NZ"/>
        </w:rPr>
        <w:t xml:space="preserve"> changes of treatment</w:t>
      </w:r>
      <w:r>
        <w:rPr>
          <w:lang w:val="en-NZ"/>
        </w:rPr>
        <w:t xml:space="preserve">. </w:t>
      </w:r>
      <w:r w:rsidR="00376E0D">
        <w:rPr>
          <w:lang w:val="en-NZ"/>
        </w:rPr>
        <w:t xml:space="preserve">Staff </w:t>
      </w:r>
      <w:r>
        <w:rPr>
          <w:lang w:val="en-NZ"/>
        </w:rPr>
        <w:t>were concerned</w:t>
      </w:r>
      <w:r w:rsidRPr="00E465D2">
        <w:rPr>
          <w:lang w:val="en-NZ"/>
        </w:rPr>
        <w:t xml:space="preserve"> </w:t>
      </w:r>
      <w:r>
        <w:rPr>
          <w:lang w:val="en-NZ"/>
        </w:rPr>
        <w:t>that this was not only</w:t>
      </w:r>
      <w:r w:rsidRPr="00E465D2">
        <w:rPr>
          <w:lang w:val="en-NZ"/>
        </w:rPr>
        <w:t xml:space="preserve"> frustrating </w:t>
      </w:r>
      <w:r>
        <w:rPr>
          <w:lang w:val="en-NZ"/>
        </w:rPr>
        <w:t>but potentially unsafe.</w:t>
      </w:r>
    </w:p>
    <w:p w14:paraId="591152E7" w14:textId="77777777" w:rsidR="007A79F5" w:rsidRDefault="007A79F5" w:rsidP="007A79F5">
      <w:pPr>
        <w:rPr>
          <w:lang w:val="en-NZ"/>
        </w:rPr>
      </w:pPr>
      <w:r>
        <w:rPr>
          <w:lang w:val="en-NZ"/>
        </w:rPr>
        <w:t xml:space="preserve">While staff noted that cover </w:t>
      </w:r>
      <w:r w:rsidR="00057BEB">
        <w:rPr>
          <w:lang w:val="en-NZ"/>
        </w:rPr>
        <w:t xml:space="preserve">for leave and vacancies </w:t>
      </w:r>
      <w:r>
        <w:rPr>
          <w:lang w:val="en-NZ"/>
        </w:rPr>
        <w:t>was provided by bureau nurses (in the wards and</w:t>
      </w:r>
      <w:r w:rsidR="00376E0D">
        <w:rPr>
          <w:lang w:val="en-NZ"/>
        </w:rPr>
        <w:t>,</w:t>
      </w:r>
      <w:r>
        <w:rPr>
          <w:lang w:val="en-NZ"/>
        </w:rPr>
        <w:t xml:space="preserve"> to a lesser extent</w:t>
      </w:r>
      <w:r w:rsidR="00376E0D">
        <w:rPr>
          <w:lang w:val="en-NZ"/>
        </w:rPr>
        <w:t>,</w:t>
      </w:r>
      <w:r>
        <w:rPr>
          <w:lang w:val="en-NZ"/>
        </w:rPr>
        <w:t xml:space="preserve"> in the community), </w:t>
      </w:r>
      <w:r w:rsidR="00376E0D">
        <w:rPr>
          <w:lang w:val="en-NZ"/>
        </w:rPr>
        <w:t xml:space="preserve">they noted that </w:t>
      </w:r>
      <w:r>
        <w:rPr>
          <w:lang w:val="en-NZ"/>
        </w:rPr>
        <w:t>this was not ideal in terms of continuity of care.</w:t>
      </w:r>
    </w:p>
    <w:p w14:paraId="08A64CED" w14:textId="77777777" w:rsidR="007A79F5" w:rsidRPr="00E465D2" w:rsidRDefault="0023666B" w:rsidP="007A79F5">
      <w:pPr>
        <w:pStyle w:val="Heading2"/>
        <w:rPr>
          <w:lang w:val="en-NZ"/>
        </w:rPr>
      </w:pPr>
      <w:bookmarkStart w:id="31" w:name="_Toc434777434"/>
      <w:bookmarkStart w:id="32" w:name="_Toc448394345"/>
      <w:bookmarkEnd w:id="31"/>
      <w:r>
        <w:rPr>
          <w:lang w:val="en-NZ"/>
        </w:rPr>
        <w:t>M</w:t>
      </w:r>
      <w:r w:rsidR="007A79F5" w:rsidRPr="00E465D2">
        <w:rPr>
          <w:lang w:val="en-NZ"/>
        </w:rPr>
        <w:t>eeting</w:t>
      </w:r>
      <w:r w:rsidR="00376E0D">
        <w:rPr>
          <w:lang w:val="en-NZ"/>
        </w:rPr>
        <w:t>s</w:t>
      </w:r>
      <w:r w:rsidR="007A79F5" w:rsidRPr="00E465D2">
        <w:rPr>
          <w:lang w:val="en-NZ"/>
        </w:rPr>
        <w:t xml:space="preserve"> with </w:t>
      </w:r>
      <w:r w:rsidR="00376E0D">
        <w:rPr>
          <w:lang w:val="en-NZ"/>
        </w:rPr>
        <w:t>unions</w:t>
      </w:r>
      <w:r w:rsidR="007A79F5">
        <w:rPr>
          <w:rStyle w:val="FootnoteReference"/>
          <w:lang w:val="en-NZ"/>
        </w:rPr>
        <w:footnoteReference w:id="13"/>
      </w:r>
      <w:bookmarkEnd w:id="32"/>
    </w:p>
    <w:p w14:paraId="6EE1CDE0" w14:textId="77777777" w:rsidR="007A79F5" w:rsidRDefault="007A79F5" w:rsidP="007A79F5">
      <w:pPr>
        <w:rPr>
          <w:lang w:val="en-NZ"/>
        </w:rPr>
      </w:pPr>
      <w:r>
        <w:rPr>
          <w:lang w:val="en-NZ"/>
        </w:rPr>
        <w:t xml:space="preserve">A number of the observations </w:t>
      </w:r>
      <w:r w:rsidR="00376E0D">
        <w:rPr>
          <w:lang w:val="en-NZ"/>
        </w:rPr>
        <w:t xml:space="preserve">the Inspection Team heard </w:t>
      </w:r>
      <w:r w:rsidR="00C37FC9">
        <w:rPr>
          <w:lang w:val="en-NZ"/>
        </w:rPr>
        <w:t>from</w:t>
      </w:r>
      <w:r>
        <w:rPr>
          <w:lang w:val="en-NZ"/>
        </w:rPr>
        <w:t xml:space="preserve"> the unions </w:t>
      </w:r>
      <w:r w:rsidR="00376E0D">
        <w:rPr>
          <w:lang w:val="en-NZ"/>
        </w:rPr>
        <w:t xml:space="preserve">it consulted with </w:t>
      </w:r>
      <w:r>
        <w:rPr>
          <w:lang w:val="en-NZ"/>
        </w:rPr>
        <w:t xml:space="preserve">were similar to </w:t>
      </w:r>
      <w:r w:rsidR="00376E0D">
        <w:rPr>
          <w:lang w:val="en-NZ"/>
        </w:rPr>
        <w:t xml:space="preserve">those </w:t>
      </w:r>
      <w:r w:rsidR="00651B85">
        <w:rPr>
          <w:lang w:val="en-NZ"/>
        </w:rPr>
        <w:t xml:space="preserve">it heard </w:t>
      </w:r>
      <w:r>
        <w:rPr>
          <w:lang w:val="en-NZ"/>
        </w:rPr>
        <w:t>from other</w:t>
      </w:r>
      <w:r w:rsidR="00651B85">
        <w:rPr>
          <w:lang w:val="en-NZ"/>
        </w:rPr>
        <w:t xml:space="preserve"> </w:t>
      </w:r>
      <w:r w:rsidR="00057BEB">
        <w:rPr>
          <w:lang w:val="en-NZ"/>
        </w:rPr>
        <w:t>interviews and group meetings</w:t>
      </w:r>
      <w:r>
        <w:rPr>
          <w:lang w:val="en-NZ"/>
        </w:rPr>
        <w:t xml:space="preserve">. </w:t>
      </w:r>
      <w:r w:rsidR="00376E0D">
        <w:rPr>
          <w:lang w:val="en-NZ"/>
        </w:rPr>
        <w:t xml:space="preserve">This section covers </w:t>
      </w:r>
      <w:r>
        <w:rPr>
          <w:lang w:val="en-NZ"/>
        </w:rPr>
        <w:t xml:space="preserve">some </w:t>
      </w:r>
      <w:r w:rsidR="00376E0D">
        <w:rPr>
          <w:lang w:val="en-NZ"/>
        </w:rPr>
        <w:t xml:space="preserve">further </w:t>
      </w:r>
      <w:r>
        <w:rPr>
          <w:lang w:val="en-NZ"/>
        </w:rPr>
        <w:t>specific observations</w:t>
      </w:r>
      <w:r w:rsidR="00651B85">
        <w:rPr>
          <w:lang w:val="en-NZ"/>
        </w:rPr>
        <w:t xml:space="preserve"> from unions</w:t>
      </w:r>
      <w:r>
        <w:rPr>
          <w:lang w:val="en-NZ"/>
        </w:rPr>
        <w:t>.</w:t>
      </w:r>
    </w:p>
    <w:p w14:paraId="67A409E7" w14:textId="77777777" w:rsidR="007A79F5" w:rsidRPr="00E465D2" w:rsidRDefault="007A79F5" w:rsidP="007A79F5">
      <w:pPr>
        <w:rPr>
          <w:lang w:val="en-NZ"/>
        </w:rPr>
      </w:pPr>
      <w:r>
        <w:rPr>
          <w:lang w:val="en-NZ"/>
        </w:rPr>
        <w:t xml:space="preserve">In general, the Team </w:t>
      </w:r>
      <w:r w:rsidR="00651B85">
        <w:rPr>
          <w:lang w:val="en-NZ"/>
        </w:rPr>
        <w:t xml:space="preserve">developed </w:t>
      </w:r>
      <w:r>
        <w:rPr>
          <w:lang w:val="en-NZ"/>
        </w:rPr>
        <w:t xml:space="preserve">the impression that </w:t>
      </w:r>
      <w:r w:rsidRPr="00E465D2">
        <w:rPr>
          <w:lang w:val="en-NZ"/>
        </w:rPr>
        <w:t>health unions and staff would welcome a more collaborative, more respectful</w:t>
      </w:r>
      <w:r>
        <w:rPr>
          <w:lang w:val="en-NZ"/>
        </w:rPr>
        <w:t>,</w:t>
      </w:r>
      <w:r w:rsidRPr="00E465D2">
        <w:rPr>
          <w:lang w:val="en-NZ"/>
        </w:rPr>
        <w:t xml:space="preserve"> </w:t>
      </w:r>
      <w:r w:rsidR="00227E43">
        <w:rPr>
          <w:lang w:val="en-NZ"/>
        </w:rPr>
        <w:t xml:space="preserve">relationship </w:t>
      </w:r>
      <w:r w:rsidR="005F01C3">
        <w:t xml:space="preserve">with the DHB and </w:t>
      </w:r>
      <w:proofErr w:type="gramStart"/>
      <w:r w:rsidR="005F01C3">
        <w:t>service</w:t>
      </w:r>
      <w:r w:rsidR="005F01C3">
        <w:rPr>
          <w:rStyle w:val="CommentReference"/>
        </w:rPr>
        <w:t xml:space="preserve"> </w:t>
      </w:r>
      <w:r w:rsidRPr="00E465D2">
        <w:rPr>
          <w:lang w:val="en-NZ"/>
        </w:rPr>
        <w:t>.</w:t>
      </w:r>
      <w:proofErr w:type="gramEnd"/>
      <w:r w:rsidRPr="00E465D2">
        <w:rPr>
          <w:lang w:val="en-NZ"/>
        </w:rPr>
        <w:t xml:space="preserve"> </w:t>
      </w:r>
      <w:r>
        <w:rPr>
          <w:lang w:val="en-NZ"/>
        </w:rPr>
        <w:t>On a positive note</w:t>
      </w:r>
      <w:r w:rsidR="00651B85">
        <w:rPr>
          <w:lang w:val="en-NZ"/>
        </w:rPr>
        <w:t>,</w:t>
      </w:r>
      <w:r>
        <w:rPr>
          <w:lang w:val="en-NZ"/>
        </w:rPr>
        <w:t xml:space="preserve"> more recently, there appeared to have been a collaborative approach between the DHB and the unions </w:t>
      </w:r>
      <w:r w:rsidR="00651B85">
        <w:rPr>
          <w:lang w:val="en-NZ"/>
        </w:rPr>
        <w:t>towards</w:t>
      </w:r>
      <w:r w:rsidR="00651B85" w:rsidRPr="00E465D2">
        <w:rPr>
          <w:lang w:val="en-NZ"/>
        </w:rPr>
        <w:t xml:space="preserve"> </w:t>
      </w:r>
      <w:r w:rsidR="00470C36">
        <w:rPr>
          <w:lang w:val="en-NZ"/>
        </w:rPr>
        <w:t xml:space="preserve">staff </w:t>
      </w:r>
      <w:r w:rsidRPr="00E465D2">
        <w:rPr>
          <w:lang w:val="en-NZ"/>
        </w:rPr>
        <w:t>assaults</w:t>
      </w:r>
      <w:r w:rsidR="00651B85">
        <w:rPr>
          <w:lang w:val="en-NZ"/>
        </w:rPr>
        <w:t>;</w:t>
      </w:r>
      <w:r w:rsidRPr="00E465D2">
        <w:rPr>
          <w:lang w:val="en-NZ"/>
        </w:rPr>
        <w:t xml:space="preserve"> </w:t>
      </w:r>
      <w:r>
        <w:rPr>
          <w:lang w:val="en-NZ"/>
        </w:rPr>
        <w:t>this has been positive</w:t>
      </w:r>
      <w:r w:rsidRPr="00E465D2">
        <w:rPr>
          <w:lang w:val="en-NZ"/>
        </w:rPr>
        <w:t xml:space="preserve"> from </w:t>
      </w:r>
      <w:r>
        <w:rPr>
          <w:lang w:val="en-NZ"/>
        </w:rPr>
        <w:t xml:space="preserve">the </w:t>
      </w:r>
      <w:r w:rsidRPr="00E465D2">
        <w:rPr>
          <w:lang w:val="en-NZ"/>
        </w:rPr>
        <w:t>unions’ viewpoint. A ninety</w:t>
      </w:r>
      <w:r w:rsidR="00651B85">
        <w:rPr>
          <w:lang w:val="en-NZ"/>
        </w:rPr>
        <w:t>-</w:t>
      </w:r>
      <w:r w:rsidRPr="00E465D2">
        <w:rPr>
          <w:lang w:val="en-NZ"/>
        </w:rPr>
        <w:t xml:space="preserve">day plan is in place. </w:t>
      </w:r>
      <w:r w:rsidR="00651B85">
        <w:rPr>
          <w:lang w:val="en-NZ"/>
        </w:rPr>
        <w:t>Union representatives gave some o</w:t>
      </w:r>
      <w:r>
        <w:rPr>
          <w:lang w:val="en-NZ"/>
        </w:rPr>
        <w:t xml:space="preserve">ther examples of some innovative joint practice </w:t>
      </w:r>
      <w:r w:rsidR="00651B85">
        <w:rPr>
          <w:lang w:val="en-NZ"/>
        </w:rPr>
        <w:t xml:space="preserve">developments </w:t>
      </w:r>
      <w:r>
        <w:rPr>
          <w:lang w:val="en-NZ"/>
        </w:rPr>
        <w:t>that were in the early days.</w:t>
      </w:r>
    </w:p>
    <w:p w14:paraId="1B1CC2C1" w14:textId="77777777" w:rsidR="007A79F5" w:rsidRDefault="00651B85" w:rsidP="007A79F5">
      <w:pPr>
        <w:rPr>
          <w:lang w:val="en-NZ"/>
        </w:rPr>
      </w:pPr>
      <w:r>
        <w:rPr>
          <w:lang w:val="en-NZ"/>
        </w:rPr>
        <w:t>T</w:t>
      </w:r>
      <w:r w:rsidR="007A79F5">
        <w:rPr>
          <w:lang w:val="en-NZ"/>
        </w:rPr>
        <w:t>he unions reported challenging relationship</w:t>
      </w:r>
      <w:r>
        <w:rPr>
          <w:lang w:val="en-NZ"/>
        </w:rPr>
        <w:t>s</w:t>
      </w:r>
      <w:r w:rsidR="007A79F5">
        <w:rPr>
          <w:lang w:val="en-NZ"/>
        </w:rPr>
        <w:t xml:space="preserve"> with the DHB as a whole. Specific issues raised included the influenza policy and negotiations </w:t>
      </w:r>
      <w:r>
        <w:rPr>
          <w:lang w:val="en-NZ"/>
        </w:rPr>
        <w:t xml:space="preserve">concerning </w:t>
      </w:r>
      <w:r w:rsidR="007A79F5">
        <w:rPr>
          <w:lang w:val="en-NZ"/>
        </w:rPr>
        <w:t xml:space="preserve">the </w:t>
      </w:r>
      <w:r w:rsidR="005E10E1">
        <w:rPr>
          <w:lang w:val="en-NZ"/>
        </w:rPr>
        <w:t xml:space="preserve">4 on 2 off </w:t>
      </w:r>
      <w:r w:rsidR="007A79F5">
        <w:rPr>
          <w:lang w:val="en-NZ"/>
        </w:rPr>
        <w:t xml:space="preserve">roster. However, </w:t>
      </w:r>
      <w:r>
        <w:rPr>
          <w:lang w:val="en-NZ"/>
        </w:rPr>
        <w:t xml:space="preserve">the Inspection Team was particularly concerned with </w:t>
      </w:r>
      <w:r w:rsidR="007A79F5">
        <w:rPr>
          <w:lang w:val="en-NZ"/>
        </w:rPr>
        <w:t>more general sense of a difficult engagement process with delays in response to issues raised</w:t>
      </w:r>
      <w:r w:rsidR="00FC3877">
        <w:rPr>
          <w:lang w:val="en-NZ"/>
        </w:rPr>
        <w:t>,</w:t>
      </w:r>
      <w:r w:rsidR="007A79F5">
        <w:rPr>
          <w:lang w:val="en-NZ"/>
        </w:rPr>
        <w:t xml:space="preserve"> was of concern.</w:t>
      </w:r>
    </w:p>
    <w:p w14:paraId="396825CE" w14:textId="77777777" w:rsidR="007A79F5" w:rsidRDefault="00651B85" w:rsidP="007A79F5">
      <w:pPr>
        <w:rPr>
          <w:lang w:val="en-NZ"/>
        </w:rPr>
      </w:pPr>
      <w:r>
        <w:rPr>
          <w:lang w:val="en-NZ"/>
        </w:rPr>
        <w:t>U</w:t>
      </w:r>
      <w:r w:rsidR="007A79F5">
        <w:rPr>
          <w:lang w:val="en-NZ"/>
        </w:rPr>
        <w:t xml:space="preserve">nion representatives </w:t>
      </w:r>
      <w:r>
        <w:rPr>
          <w:lang w:val="en-NZ"/>
        </w:rPr>
        <w:t xml:space="preserve">told the Team </w:t>
      </w:r>
      <w:r w:rsidR="007A79F5">
        <w:rPr>
          <w:lang w:val="en-NZ"/>
        </w:rPr>
        <w:t>that staff had reported that they had been told by senior DHB staff not to take concerns to their unions. The union representatives felt that the DHB culture either passively or actively discouraged feedback. In their opinion, this resulted in innovative ideas not being encouraged.</w:t>
      </w:r>
    </w:p>
    <w:p w14:paraId="6B7F1272" w14:textId="77777777" w:rsidR="007A79F5" w:rsidRDefault="007A79F5" w:rsidP="007A79F5">
      <w:pPr>
        <w:rPr>
          <w:lang w:val="en-NZ"/>
        </w:rPr>
      </w:pPr>
      <w:r>
        <w:rPr>
          <w:lang w:val="en-NZ"/>
        </w:rPr>
        <w:t xml:space="preserve">The RDA reported issues </w:t>
      </w:r>
      <w:r w:rsidR="00651B85">
        <w:rPr>
          <w:lang w:val="en-NZ"/>
        </w:rPr>
        <w:t xml:space="preserve">concerning </w:t>
      </w:r>
      <w:r>
        <w:rPr>
          <w:lang w:val="en-NZ"/>
        </w:rPr>
        <w:t>the culture</w:t>
      </w:r>
      <w:r w:rsidR="00FC3877">
        <w:rPr>
          <w:lang w:val="en-NZ"/>
        </w:rPr>
        <w:t xml:space="preserve"> within the service</w:t>
      </w:r>
      <w:r w:rsidR="00C37FC9">
        <w:rPr>
          <w:lang w:val="en-NZ"/>
        </w:rPr>
        <w:t>,</w:t>
      </w:r>
      <w:r>
        <w:rPr>
          <w:lang w:val="en-NZ"/>
        </w:rPr>
        <w:t xml:space="preserve"> </w:t>
      </w:r>
      <w:r w:rsidR="00C37FC9">
        <w:rPr>
          <w:lang w:val="en-NZ"/>
        </w:rPr>
        <w:t>the</w:t>
      </w:r>
      <w:r>
        <w:rPr>
          <w:lang w:val="en-NZ"/>
        </w:rPr>
        <w:t xml:space="preserve"> </w:t>
      </w:r>
      <w:r w:rsidRPr="00E465D2">
        <w:rPr>
          <w:lang w:val="en-NZ"/>
        </w:rPr>
        <w:t xml:space="preserve">difficulty </w:t>
      </w:r>
      <w:r w:rsidR="00651B85">
        <w:rPr>
          <w:lang w:val="en-NZ"/>
        </w:rPr>
        <w:t xml:space="preserve">of </w:t>
      </w:r>
      <w:r w:rsidRPr="00E465D2">
        <w:rPr>
          <w:lang w:val="en-NZ"/>
        </w:rPr>
        <w:t>attracting and retaining registrars</w:t>
      </w:r>
      <w:r>
        <w:rPr>
          <w:lang w:val="en-NZ"/>
        </w:rPr>
        <w:t xml:space="preserve"> and </w:t>
      </w:r>
      <w:r w:rsidR="00651B85">
        <w:rPr>
          <w:lang w:val="en-NZ"/>
        </w:rPr>
        <w:t xml:space="preserve">the difficulty </w:t>
      </w:r>
      <w:r>
        <w:rPr>
          <w:lang w:val="en-NZ"/>
        </w:rPr>
        <w:t xml:space="preserve">of attracting junior doctors into psychiatry. It is worth noting that the junior doctors </w:t>
      </w:r>
      <w:r w:rsidR="00651B85">
        <w:rPr>
          <w:lang w:val="en-NZ"/>
        </w:rPr>
        <w:t xml:space="preserve">the Inspection Team </w:t>
      </w:r>
      <w:r>
        <w:rPr>
          <w:lang w:val="en-NZ"/>
        </w:rPr>
        <w:t xml:space="preserve">spoke to </w:t>
      </w:r>
      <w:proofErr w:type="gramStart"/>
      <w:r>
        <w:rPr>
          <w:lang w:val="en-NZ"/>
        </w:rPr>
        <w:t>had</w:t>
      </w:r>
      <w:proofErr w:type="gramEnd"/>
      <w:r>
        <w:rPr>
          <w:lang w:val="en-NZ"/>
        </w:rPr>
        <w:t xml:space="preserve"> a more positive view of the support they received from their consultants and of the training program</w:t>
      </w:r>
      <w:r w:rsidR="00651B85">
        <w:rPr>
          <w:lang w:val="en-NZ"/>
        </w:rPr>
        <w:t>me</w:t>
      </w:r>
      <w:r>
        <w:rPr>
          <w:lang w:val="en-NZ"/>
        </w:rPr>
        <w:t>. The RDA</w:t>
      </w:r>
      <w:r w:rsidR="00651B85">
        <w:rPr>
          <w:lang w:val="en-NZ"/>
        </w:rPr>
        <w:t>’s</w:t>
      </w:r>
      <w:r>
        <w:rPr>
          <w:lang w:val="en-NZ"/>
        </w:rPr>
        <w:t xml:space="preserve"> view </w:t>
      </w:r>
      <w:r w:rsidR="00651B85">
        <w:rPr>
          <w:lang w:val="en-NZ"/>
        </w:rPr>
        <w:t xml:space="preserve">was </w:t>
      </w:r>
      <w:r>
        <w:rPr>
          <w:lang w:val="en-NZ"/>
        </w:rPr>
        <w:t>that t</w:t>
      </w:r>
      <w:r w:rsidRPr="00E465D2">
        <w:rPr>
          <w:lang w:val="en-NZ"/>
        </w:rPr>
        <w:t xml:space="preserve">he DHB </w:t>
      </w:r>
      <w:r>
        <w:rPr>
          <w:lang w:val="en-NZ"/>
        </w:rPr>
        <w:t>need</w:t>
      </w:r>
      <w:r w:rsidR="00651B85">
        <w:rPr>
          <w:lang w:val="en-NZ"/>
        </w:rPr>
        <w:t>ed</w:t>
      </w:r>
      <w:r>
        <w:rPr>
          <w:lang w:val="en-NZ"/>
        </w:rPr>
        <w:t xml:space="preserve"> to</w:t>
      </w:r>
      <w:r w:rsidRPr="00E465D2">
        <w:rPr>
          <w:lang w:val="en-NZ"/>
        </w:rPr>
        <w:t xml:space="preserve"> rethink its </w:t>
      </w:r>
      <w:r w:rsidR="00057BEB">
        <w:rPr>
          <w:lang w:val="en-NZ"/>
        </w:rPr>
        <w:t>employment relations/human resources</w:t>
      </w:r>
      <w:r w:rsidRPr="00E465D2">
        <w:rPr>
          <w:lang w:val="en-NZ"/>
        </w:rPr>
        <w:t xml:space="preserve"> approach. </w:t>
      </w:r>
    </w:p>
    <w:p w14:paraId="04F38B9D" w14:textId="77777777" w:rsidR="00443933" w:rsidRPr="000C507A" w:rsidRDefault="00443933" w:rsidP="00443933">
      <w:pPr>
        <w:pStyle w:val="Heading1"/>
      </w:pPr>
      <w:bookmarkStart w:id="33" w:name="_Toc448394346"/>
      <w:r w:rsidRPr="000C507A">
        <w:lastRenderedPageBreak/>
        <w:t xml:space="preserve">Quality and </w:t>
      </w:r>
      <w:r w:rsidR="00651B85">
        <w:t>s</w:t>
      </w:r>
      <w:r w:rsidRPr="000C507A">
        <w:t>afety</w:t>
      </w:r>
      <w:bookmarkEnd w:id="33"/>
    </w:p>
    <w:p w14:paraId="0E3FC49B" w14:textId="77777777" w:rsidR="00443933" w:rsidRDefault="00443933" w:rsidP="00443933">
      <w:pPr>
        <w:pStyle w:val="Heading2"/>
      </w:pPr>
      <w:bookmarkStart w:id="34" w:name="_Toc448394347"/>
      <w:r>
        <w:t xml:space="preserve">Clinical </w:t>
      </w:r>
      <w:r w:rsidR="00651B85">
        <w:t>g</w:t>
      </w:r>
      <w:r>
        <w:t xml:space="preserve">overnance and </w:t>
      </w:r>
      <w:r w:rsidR="00651B85">
        <w:t>o</w:t>
      </w:r>
      <w:r>
        <w:t>versight</w:t>
      </w:r>
      <w:bookmarkEnd w:id="34"/>
    </w:p>
    <w:p w14:paraId="3F66151F" w14:textId="77777777" w:rsidR="00443933" w:rsidRPr="000C507A" w:rsidRDefault="00443933" w:rsidP="00443933">
      <w:r>
        <w:t>As</w:t>
      </w:r>
      <w:r w:rsidRPr="000C507A">
        <w:t xml:space="preserve"> noted </w:t>
      </w:r>
      <w:r>
        <w:t xml:space="preserve">in </w:t>
      </w:r>
      <w:r w:rsidR="00BF0CBE">
        <w:t>s</w:t>
      </w:r>
      <w:r>
        <w:t xml:space="preserve">ection </w:t>
      </w:r>
      <w:r w:rsidR="007A79F5">
        <w:t>3.2</w:t>
      </w:r>
      <w:r w:rsidR="00651B85">
        <w:t>,</w:t>
      </w:r>
      <w:r w:rsidR="007A79F5">
        <w:t xml:space="preserve"> </w:t>
      </w:r>
      <w:r w:rsidRPr="000C507A">
        <w:t xml:space="preserve">the </w:t>
      </w:r>
      <w:r w:rsidR="00651B85">
        <w:t>s</w:t>
      </w:r>
      <w:r w:rsidRPr="000C507A">
        <w:t xml:space="preserve">ervice has focused on ensuring </w:t>
      </w:r>
      <w:r w:rsidR="00FC3877">
        <w:t xml:space="preserve">there is </w:t>
      </w:r>
      <w:r w:rsidRPr="000C507A">
        <w:t xml:space="preserve">appropriate </w:t>
      </w:r>
      <w:r w:rsidR="00651B85">
        <w:t>c</w:t>
      </w:r>
      <w:r w:rsidRPr="000C507A">
        <w:t xml:space="preserve">linical </w:t>
      </w:r>
      <w:r w:rsidR="00651B85">
        <w:t>g</w:t>
      </w:r>
      <w:r w:rsidRPr="000C507A">
        <w:t>overnance</w:t>
      </w:r>
      <w:r w:rsidR="00FC3877">
        <w:t xml:space="preserve"> in place</w:t>
      </w:r>
      <w:r w:rsidRPr="000C507A">
        <w:t xml:space="preserve">. This extends to ensuring incidents are dealt with in an appropriate and timely fashion. </w:t>
      </w:r>
      <w:r w:rsidR="00651B85">
        <w:t>The service provided the Inspection Team with d</w:t>
      </w:r>
      <w:r w:rsidRPr="000C507A">
        <w:t xml:space="preserve">ocumentation </w:t>
      </w:r>
      <w:r w:rsidR="00651B85">
        <w:t xml:space="preserve">proving </w:t>
      </w:r>
      <w:r w:rsidR="003E24C1">
        <w:t>that its</w:t>
      </w:r>
      <w:r w:rsidR="003E24C1" w:rsidRPr="000C507A">
        <w:t xml:space="preserve"> </w:t>
      </w:r>
      <w:r w:rsidRPr="000C507A">
        <w:t xml:space="preserve">policies and procedures </w:t>
      </w:r>
      <w:r w:rsidR="00651B85">
        <w:t xml:space="preserve">were </w:t>
      </w:r>
      <w:r w:rsidR="003E24C1">
        <w:t>appropriate</w:t>
      </w:r>
      <w:r w:rsidRPr="000C507A">
        <w:t xml:space="preserve">. Documentation from </w:t>
      </w:r>
      <w:r w:rsidR="00651B85">
        <w:t>c</w:t>
      </w:r>
      <w:r w:rsidRPr="000C507A">
        <w:t xml:space="preserve">linical </w:t>
      </w:r>
      <w:r w:rsidR="00651B85">
        <w:t>g</w:t>
      </w:r>
      <w:r w:rsidRPr="000C507A">
        <w:t>overnance meetings at the whole</w:t>
      </w:r>
      <w:r w:rsidR="00651B85">
        <w:t>-</w:t>
      </w:r>
      <w:r w:rsidRPr="000C507A">
        <w:t>of</w:t>
      </w:r>
      <w:r w:rsidR="00651B85">
        <w:t>-s</w:t>
      </w:r>
      <w:r w:rsidRPr="000C507A">
        <w:t>ervice and subservice level illustrated an appropriate focus on service quality</w:t>
      </w:r>
      <w:r w:rsidR="00651B85">
        <w:t>,</w:t>
      </w:r>
      <w:r w:rsidRPr="000C507A">
        <w:t xml:space="preserve"> includ</w:t>
      </w:r>
      <w:r w:rsidR="00651B85">
        <w:t>ing</w:t>
      </w:r>
      <w:r w:rsidRPr="000C507A">
        <w:t xml:space="preserve"> the monitoring of key quality indicators</w:t>
      </w:r>
      <w:r w:rsidR="00651B85">
        <w:t xml:space="preserve"> (KPIs)</w:t>
      </w:r>
      <w:r>
        <w:t xml:space="preserve"> (including national KPIs). </w:t>
      </w:r>
      <w:r w:rsidR="00651B85">
        <w:t>I</w:t>
      </w:r>
      <w:r w:rsidRPr="000C507A">
        <w:t>nterviews</w:t>
      </w:r>
      <w:r w:rsidR="00651B85">
        <w:t xml:space="preserve"> confirmed this</w:t>
      </w:r>
      <w:r w:rsidRPr="000C507A">
        <w:t>.</w:t>
      </w:r>
      <w:r>
        <w:t xml:space="preserve"> </w:t>
      </w:r>
      <w:r w:rsidR="00651B85">
        <w:t>The Team’s a</w:t>
      </w:r>
      <w:r>
        <w:t xml:space="preserve">nalysis of reporting shows the </w:t>
      </w:r>
      <w:r w:rsidR="00651B85">
        <w:t>s</w:t>
      </w:r>
      <w:r>
        <w:t xml:space="preserve">ervice has been making good progress on </w:t>
      </w:r>
      <w:r w:rsidR="00651B85">
        <w:t>KPIs</w:t>
      </w:r>
      <w:r>
        <w:t xml:space="preserve">. </w:t>
      </w:r>
    </w:p>
    <w:p w14:paraId="4A45238C" w14:textId="77777777" w:rsidR="00443933" w:rsidRPr="000C507A" w:rsidRDefault="00443933" w:rsidP="00443933">
      <w:pPr>
        <w:pStyle w:val="Heading2"/>
      </w:pPr>
      <w:bookmarkStart w:id="35" w:name="_Toc448394348"/>
      <w:r w:rsidRPr="000C507A">
        <w:t xml:space="preserve">Serious and </w:t>
      </w:r>
      <w:r w:rsidR="003E24C1">
        <w:t>s</w:t>
      </w:r>
      <w:r w:rsidRPr="000C507A">
        <w:t xml:space="preserve">entinel </w:t>
      </w:r>
      <w:r w:rsidR="003E24C1">
        <w:t>e</w:t>
      </w:r>
      <w:r w:rsidRPr="000C507A">
        <w:t>vents</w:t>
      </w:r>
      <w:bookmarkEnd w:id="35"/>
    </w:p>
    <w:p w14:paraId="5971912B" w14:textId="77777777" w:rsidR="00443933" w:rsidRPr="000C507A" w:rsidRDefault="003E24C1" w:rsidP="00443933">
      <w:r>
        <w:t>The service’s d</w:t>
      </w:r>
      <w:r w:rsidR="00443933" w:rsidRPr="000C507A">
        <w:t xml:space="preserve">ocumentation and </w:t>
      </w:r>
      <w:r>
        <w:t xml:space="preserve">the Inspection Team’s </w:t>
      </w:r>
      <w:r w:rsidR="00443933" w:rsidRPr="000C507A">
        <w:t>discussion</w:t>
      </w:r>
      <w:r>
        <w:t>s</w:t>
      </w:r>
      <w:r w:rsidR="00443933" w:rsidRPr="000C507A">
        <w:t xml:space="preserve"> with key staff indicate that the </w:t>
      </w:r>
      <w:r>
        <w:t xml:space="preserve">service’s </w:t>
      </w:r>
      <w:r w:rsidR="00443933" w:rsidRPr="000C507A">
        <w:t>handling of serious and sentinel events is appropriate and consistent with best practice.</w:t>
      </w:r>
    </w:p>
    <w:p w14:paraId="74DAFA41" w14:textId="77777777" w:rsidR="00443933" w:rsidRPr="000C507A" w:rsidRDefault="00443933" w:rsidP="00443933">
      <w:r w:rsidRPr="000C507A">
        <w:t xml:space="preserve">The </w:t>
      </w:r>
      <w:r w:rsidR="003E24C1">
        <w:t xml:space="preserve">service’s </w:t>
      </w:r>
      <w:r w:rsidRPr="000C507A">
        <w:t xml:space="preserve">Serious and Sentinel Events Committee has responsibility for the oversight of management of these events. </w:t>
      </w:r>
      <w:r w:rsidR="003E24C1">
        <w:t>Its m</w:t>
      </w:r>
      <w:r w:rsidRPr="000C507A">
        <w:t>embership consists of the Director of Clinical Services (</w:t>
      </w:r>
      <w:r>
        <w:t>c</w:t>
      </w:r>
      <w:r w:rsidRPr="000C507A">
        <w:t xml:space="preserve">hair), </w:t>
      </w:r>
      <w:r w:rsidR="003E24C1">
        <w:t xml:space="preserve">the </w:t>
      </w:r>
      <w:r w:rsidRPr="000C507A">
        <w:t xml:space="preserve">Senior Consumer Advisor, </w:t>
      </w:r>
      <w:r w:rsidR="003E24C1">
        <w:t xml:space="preserve">the </w:t>
      </w:r>
      <w:r w:rsidRPr="000C507A">
        <w:t xml:space="preserve">Clinical Nurse Director, </w:t>
      </w:r>
      <w:r w:rsidR="003E24C1">
        <w:t xml:space="preserve">an </w:t>
      </w:r>
      <w:r>
        <w:t>a</w:t>
      </w:r>
      <w:r w:rsidRPr="000C507A">
        <w:t xml:space="preserve">dministration person </w:t>
      </w:r>
      <w:r w:rsidR="003E24C1">
        <w:t xml:space="preserve">who </w:t>
      </w:r>
      <w:r w:rsidRPr="000C507A">
        <w:t>record</w:t>
      </w:r>
      <w:r w:rsidR="003E24C1">
        <w:t>s</w:t>
      </w:r>
      <w:r w:rsidRPr="000C507A">
        <w:t xml:space="preserve"> minutes, </w:t>
      </w:r>
      <w:r>
        <w:t>p</w:t>
      </w:r>
      <w:r w:rsidRPr="000C507A">
        <w:t xml:space="preserve">rofessional </w:t>
      </w:r>
      <w:r>
        <w:t>a</w:t>
      </w:r>
      <w:r w:rsidRPr="000C507A">
        <w:t xml:space="preserve">dvisors, </w:t>
      </w:r>
      <w:r>
        <w:t>s</w:t>
      </w:r>
      <w:r w:rsidRPr="000C507A">
        <w:t xml:space="preserve">ervice </w:t>
      </w:r>
      <w:r>
        <w:t>m</w:t>
      </w:r>
      <w:r w:rsidRPr="000C507A">
        <w:t xml:space="preserve">anagers, </w:t>
      </w:r>
      <w:r w:rsidR="003E24C1">
        <w:t xml:space="preserve">the </w:t>
      </w:r>
      <w:r w:rsidRPr="000C507A">
        <w:t xml:space="preserve">Service Quality Coordinator, </w:t>
      </w:r>
      <w:r w:rsidR="003E24C1">
        <w:t>the C</w:t>
      </w:r>
      <w:r w:rsidRPr="000C507A">
        <w:t xml:space="preserve">linical </w:t>
      </w:r>
      <w:r w:rsidR="003E24C1">
        <w:t>D</w:t>
      </w:r>
      <w:r w:rsidRPr="000C507A">
        <w:t>irector(s)</w:t>
      </w:r>
      <w:r w:rsidR="003E24C1">
        <w:t>,</w:t>
      </w:r>
      <w:r w:rsidRPr="000C507A">
        <w:t xml:space="preserve"> the </w:t>
      </w:r>
      <w:r w:rsidR="003E24C1">
        <w:t>G</w:t>
      </w:r>
      <w:r w:rsidRPr="000C507A">
        <w:t xml:space="preserve">roup </w:t>
      </w:r>
      <w:r w:rsidR="003E24C1">
        <w:t>M</w:t>
      </w:r>
      <w:r w:rsidRPr="000C507A">
        <w:t>anager</w:t>
      </w:r>
      <w:r w:rsidR="003E24C1">
        <w:t xml:space="preserve"> and</w:t>
      </w:r>
      <w:r w:rsidR="003E24C1" w:rsidRPr="003E24C1">
        <w:t xml:space="preserve"> </w:t>
      </w:r>
      <w:r w:rsidR="003E24C1">
        <w:t>t</w:t>
      </w:r>
      <w:r w:rsidR="003E24C1" w:rsidRPr="000C507A">
        <w:t>he Clinical Director of the</w:t>
      </w:r>
      <w:r w:rsidR="003E24C1">
        <w:t xml:space="preserve"> DHB’s</w:t>
      </w:r>
      <w:r w:rsidR="003E24C1" w:rsidRPr="000C507A">
        <w:t xml:space="preserve"> major partner, </w:t>
      </w:r>
      <w:proofErr w:type="spellStart"/>
      <w:r w:rsidR="003E24C1" w:rsidRPr="000C507A">
        <w:t>Hauora</w:t>
      </w:r>
      <w:proofErr w:type="spellEnd"/>
      <w:r w:rsidR="003E24C1" w:rsidRPr="000C507A">
        <w:t xml:space="preserve"> Waikato</w:t>
      </w:r>
      <w:r w:rsidRPr="000C507A">
        <w:t xml:space="preserve">. The Chief Medical Advisor or </w:t>
      </w:r>
      <w:r w:rsidR="003E24C1">
        <w:t xml:space="preserve">a </w:t>
      </w:r>
      <w:r w:rsidRPr="000C507A">
        <w:t xml:space="preserve">delegate and </w:t>
      </w:r>
      <w:r w:rsidR="003E24C1">
        <w:t xml:space="preserve">the </w:t>
      </w:r>
      <w:r w:rsidRPr="000C507A">
        <w:t xml:space="preserve">Manager Quality </w:t>
      </w:r>
      <w:r w:rsidR="003E24C1">
        <w:t xml:space="preserve">and </w:t>
      </w:r>
      <w:r w:rsidRPr="000C507A">
        <w:t xml:space="preserve">Risk may attend meetings </w:t>
      </w:r>
      <w:r>
        <w:t xml:space="preserve">on </w:t>
      </w:r>
      <w:r w:rsidRPr="000C507A">
        <w:t>request. The</w:t>
      </w:r>
      <w:r>
        <w:t xml:space="preserve"> committee</w:t>
      </w:r>
      <w:r w:rsidRPr="000C507A">
        <w:t xml:space="preserve"> </w:t>
      </w:r>
      <w:r w:rsidR="00C37FC9">
        <w:t>request</w:t>
      </w:r>
      <w:r w:rsidR="003E24C1">
        <w:t>s</w:t>
      </w:r>
      <w:r w:rsidR="00C37FC9">
        <w:t xml:space="preserve"> attendance by</w:t>
      </w:r>
      <w:r w:rsidRPr="000C507A">
        <w:t xml:space="preserve"> specialist advisors when required. The minutes of this committee</w:t>
      </w:r>
      <w:r w:rsidR="003E24C1">
        <w:t>’s meetings</w:t>
      </w:r>
      <w:r w:rsidRPr="000C507A">
        <w:t xml:space="preserve"> demonstrate</w:t>
      </w:r>
      <w:r w:rsidR="003E24C1">
        <w:t>d to the Inspection Team</w:t>
      </w:r>
      <w:r w:rsidRPr="000C507A">
        <w:t xml:space="preserve"> that </w:t>
      </w:r>
      <w:r w:rsidR="00470C36">
        <w:t xml:space="preserve">the </w:t>
      </w:r>
      <w:r w:rsidR="003E24C1">
        <w:t>s</w:t>
      </w:r>
      <w:r w:rsidR="00470C36">
        <w:t>ervice</w:t>
      </w:r>
      <w:r w:rsidR="00470C36" w:rsidRPr="000C507A">
        <w:t xml:space="preserve"> </w:t>
      </w:r>
      <w:r w:rsidRPr="000C507A">
        <w:t>address</w:t>
      </w:r>
      <w:r w:rsidR="00470C36">
        <w:t>es</w:t>
      </w:r>
      <w:r w:rsidRPr="000C507A">
        <w:t xml:space="preserve"> </w:t>
      </w:r>
      <w:r w:rsidR="003E24C1">
        <w:t xml:space="preserve">serious and sentinel events </w:t>
      </w:r>
      <w:r w:rsidRPr="000C507A">
        <w:t>and follow</w:t>
      </w:r>
      <w:r w:rsidR="00470C36">
        <w:t>s</w:t>
      </w:r>
      <w:r w:rsidRPr="000C507A">
        <w:t xml:space="preserve"> up </w:t>
      </w:r>
      <w:r w:rsidR="003E24C1">
        <w:t xml:space="preserve">its </w:t>
      </w:r>
      <w:r>
        <w:t xml:space="preserve">recommendations </w:t>
      </w:r>
      <w:r w:rsidRPr="000C507A">
        <w:t>appropriately.</w:t>
      </w:r>
    </w:p>
    <w:p w14:paraId="0FBF9570" w14:textId="77777777" w:rsidR="00443933" w:rsidRPr="000C507A" w:rsidRDefault="003E24C1" w:rsidP="00443933">
      <w:r>
        <w:t>The Inspection Team reviewed the d</w:t>
      </w:r>
      <w:r w:rsidR="00443933" w:rsidRPr="000C507A">
        <w:t xml:space="preserve">etails of how </w:t>
      </w:r>
      <w:r>
        <w:t xml:space="preserve">the committee handled </w:t>
      </w:r>
      <w:r w:rsidR="00443933" w:rsidRPr="000C507A">
        <w:t>specific incidents</w:t>
      </w:r>
      <w:r>
        <w:t>,</w:t>
      </w:r>
      <w:r w:rsidR="00443933" w:rsidRPr="000C507A">
        <w:t xml:space="preserve"> and discussed </w:t>
      </w:r>
      <w:r>
        <w:t xml:space="preserve">them </w:t>
      </w:r>
      <w:r w:rsidR="00443933" w:rsidRPr="000C507A">
        <w:t xml:space="preserve">at interview. There is a standard triage process that commences once </w:t>
      </w:r>
      <w:r>
        <w:t>an</w:t>
      </w:r>
      <w:r w:rsidRPr="000C507A">
        <w:t xml:space="preserve"> </w:t>
      </w:r>
      <w:r w:rsidR="00443933" w:rsidRPr="000C507A">
        <w:t xml:space="preserve">incident form is received (or a serious incident is notified). </w:t>
      </w:r>
      <w:r w:rsidR="00443933">
        <w:t>If possible (depending on the committee’s meeting schedule),</w:t>
      </w:r>
      <w:r>
        <w:t xml:space="preserve"> </w:t>
      </w:r>
      <w:r w:rsidR="00443933" w:rsidRPr="000C507A">
        <w:t xml:space="preserve">the whole committee </w:t>
      </w:r>
      <w:r w:rsidR="00FC3877">
        <w:t>examine</w:t>
      </w:r>
      <w:r w:rsidR="00443933" w:rsidRPr="000C507A">
        <w:t xml:space="preserve"> the incident. </w:t>
      </w:r>
      <w:r w:rsidR="00443933">
        <w:t>If</w:t>
      </w:r>
      <w:r w:rsidR="00443933" w:rsidRPr="000C507A">
        <w:t xml:space="preserve"> not</w:t>
      </w:r>
      <w:r w:rsidR="00443933">
        <w:t>,</w:t>
      </w:r>
      <w:r w:rsidR="00443933" w:rsidRPr="000C507A">
        <w:t xml:space="preserve"> a subcommittee consisting of the Director of Clinical Services, the Clinical Nurse Director and </w:t>
      </w:r>
      <w:r>
        <w:t xml:space="preserve">the </w:t>
      </w:r>
      <w:r w:rsidR="00443933" w:rsidRPr="000C507A">
        <w:t xml:space="preserve">Senior Consumer Advisor </w:t>
      </w:r>
      <w:r w:rsidR="00FC3877">
        <w:t>examines</w:t>
      </w:r>
      <w:r w:rsidR="00443933" w:rsidRPr="000C507A">
        <w:t xml:space="preserve"> </w:t>
      </w:r>
      <w:r>
        <w:t>it</w:t>
      </w:r>
      <w:r w:rsidR="00443933" w:rsidRPr="000C507A">
        <w:t xml:space="preserve">. The </w:t>
      </w:r>
      <w:r w:rsidR="00443933">
        <w:t>c</w:t>
      </w:r>
      <w:r w:rsidR="00443933" w:rsidRPr="000C507A">
        <w:t xml:space="preserve">ommittee makes a decision on whether to change or confirm the </w:t>
      </w:r>
      <w:r w:rsidR="00443933">
        <w:t>Severity Assessment Code</w:t>
      </w:r>
      <w:r w:rsidR="00443933">
        <w:rPr>
          <w:rStyle w:val="FootnoteReference"/>
        </w:rPr>
        <w:footnoteReference w:id="14"/>
      </w:r>
      <w:r w:rsidR="00443933">
        <w:t xml:space="preserve"> (SAC)</w:t>
      </w:r>
      <w:r w:rsidR="00443933" w:rsidRPr="000C507A">
        <w:t xml:space="preserve"> rating</w:t>
      </w:r>
      <w:r>
        <w:t>,</w:t>
      </w:r>
      <w:r w:rsidR="00443933" w:rsidRPr="000C507A">
        <w:t xml:space="preserve"> and on the type of review </w:t>
      </w:r>
      <w:r>
        <w:t xml:space="preserve">it will </w:t>
      </w:r>
      <w:r w:rsidR="00443933" w:rsidRPr="000C507A">
        <w:t>undertake.</w:t>
      </w:r>
    </w:p>
    <w:p w14:paraId="43D4AD0C" w14:textId="77777777" w:rsidR="00443933" w:rsidRPr="000C507A" w:rsidRDefault="00443933" w:rsidP="00443933">
      <w:r w:rsidRPr="000C507A">
        <w:t>The service has several levels of review:</w:t>
      </w:r>
    </w:p>
    <w:p w14:paraId="50FF8A83" w14:textId="77777777" w:rsidR="00443933" w:rsidRPr="000C507A" w:rsidRDefault="003A05A1" w:rsidP="00443933">
      <w:pPr>
        <w:pStyle w:val="ListParagraph"/>
        <w:numPr>
          <w:ilvl w:val="0"/>
          <w:numId w:val="33"/>
        </w:numPr>
      </w:pPr>
      <w:r>
        <w:t>i</w:t>
      </w:r>
      <w:r w:rsidR="00443933" w:rsidRPr="000C507A">
        <w:t>nformal</w:t>
      </w:r>
      <w:r w:rsidR="003E24C1">
        <w:t xml:space="preserve"> review</w:t>
      </w:r>
      <w:r w:rsidR="00443933" w:rsidRPr="000C507A">
        <w:t>: file review and engagement with person</w:t>
      </w:r>
      <w:r w:rsidR="003E24C1">
        <w:t xml:space="preserve"> concerned</w:t>
      </w:r>
      <w:r w:rsidR="00443933" w:rsidRPr="000C507A">
        <w:t xml:space="preserve"> and their </w:t>
      </w:r>
      <w:proofErr w:type="spellStart"/>
      <w:r w:rsidR="00443933">
        <w:t>whānau</w:t>
      </w:r>
      <w:proofErr w:type="spellEnd"/>
    </w:p>
    <w:p w14:paraId="7671A5AB" w14:textId="77777777" w:rsidR="00443933" w:rsidRPr="000C507A" w:rsidRDefault="00443933" w:rsidP="00443933">
      <w:pPr>
        <w:pStyle w:val="ListParagraph"/>
        <w:numPr>
          <w:ilvl w:val="0"/>
          <w:numId w:val="33"/>
        </w:numPr>
      </w:pPr>
      <w:r>
        <w:t>f</w:t>
      </w:r>
      <w:r w:rsidRPr="000C507A">
        <w:t>ormal review:</w:t>
      </w:r>
    </w:p>
    <w:p w14:paraId="00ED8869" w14:textId="77777777" w:rsidR="00443933" w:rsidRPr="000C507A" w:rsidRDefault="00443933" w:rsidP="005341C3">
      <w:pPr>
        <w:pStyle w:val="ListParagraph"/>
        <w:numPr>
          <w:ilvl w:val="1"/>
          <w:numId w:val="33"/>
        </w:numPr>
        <w:ind w:left="709" w:firstLine="0"/>
      </w:pPr>
      <w:r>
        <w:t>i</w:t>
      </w:r>
      <w:r w:rsidRPr="000C507A">
        <w:t xml:space="preserve">ncludes involvement of a </w:t>
      </w:r>
      <w:r>
        <w:t>clinical director</w:t>
      </w:r>
      <w:r w:rsidRPr="000C507A">
        <w:t xml:space="preserve"> or other </w:t>
      </w:r>
      <w:r w:rsidR="003E24C1">
        <w:t xml:space="preserve">role </w:t>
      </w:r>
      <w:r w:rsidRPr="000C507A">
        <w:t>external to the subservice or</w:t>
      </w:r>
    </w:p>
    <w:p w14:paraId="3396DE37" w14:textId="77777777" w:rsidR="00443933" w:rsidRPr="000C507A" w:rsidRDefault="003E24C1" w:rsidP="005341C3">
      <w:pPr>
        <w:pStyle w:val="ListParagraph"/>
        <w:numPr>
          <w:ilvl w:val="1"/>
          <w:numId w:val="33"/>
        </w:numPr>
        <w:ind w:hanging="731"/>
      </w:pPr>
      <w:r>
        <w:lastRenderedPageBreak/>
        <w:t xml:space="preserve">is </w:t>
      </w:r>
      <w:r w:rsidR="00443933">
        <w:t>led by an e</w:t>
      </w:r>
      <w:r w:rsidR="00443933" w:rsidRPr="000C507A">
        <w:t xml:space="preserve">xternal </w:t>
      </w:r>
      <w:r w:rsidR="004B39BE">
        <w:t>MHAS</w:t>
      </w:r>
      <w:r w:rsidR="00443933" w:rsidRPr="000C507A">
        <w:t xml:space="preserve"> but involv</w:t>
      </w:r>
      <w:r>
        <w:t>es</w:t>
      </w:r>
      <w:r w:rsidR="00443933" w:rsidRPr="000C507A">
        <w:t xml:space="preserve"> </w:t>
      </w:r>
      <w:proofErr w:type="spellStart"/>
      <w:r w:rsidR="00443933" w:rsidRPr="000C507A">
        <w:t>Hauora</w:t>
      </w:r>
      <w:proofErr w:type="spellEnd"/>
      <w:r w:rsidR="00443933" w:rsidRPr="000C507A">
        <w:t xml:space="preserve"> Waikato</w:t>
      </w:r>
    </w:p>
    <w:p w14:paraId="3DD7B50E" w14:textId="77777777" w:rsidR="00443933" w:rsidRPr="000C507A" w:rsidRDefault="00443933" w:rsidP="00443933">
      <w:pPr>
        <w:pStyle w:val="ListParagraph"/>
        <w:numPr>
          <w:ilvl w:val="0"/>
          <w:numId w:val="33"/>
        </w:numPr>
      </w:pPr>
      <w:proofErr w:type="gramStart"/>
      <w:r>
        <w:t>f</w:t>
      </w:r>
      <w:r w:rsidRPr="000C507A">
        <w:t>ormal</w:t>
      </w:r>
      <w:proofErr w:type="gramEnd"/>
      <w:r w:rsidRPr="000C507A">
        <w:t xml:space="preserve"> review completely external to </w:t>
      </w:r>
      <w:r w:rsidR="004B39BE">
        <w:t>MHAS</w:t>
      </w:r>
      <w:r w:rsidRPr="000C507A">
        <w:t xml:space="preserve"> and </w:t>
      </w:r>
      <w:proofErr w:type="spellStart"/>
      <w:r w:rsidRPr="000C507A">
        <w:t>Hauora</w:t>
      </w:r>
      <w:proofErr w:type="spellEnd"/>
      <w:r w:rsidRPr="000C507A">
        <w:t xml:space="preserve"> Waikato.</w:t>
      </w:r>
    </w:p>
    <w:p w14:paraId="1749AD99" w14:textId="77777777" w:rsidR="00443933" w:rsidRPr="000C507A" w:rsidRDefault="00443933" w:rsidP="00443933">
      <w:r w:rsidRPr="000C507A">
        <w:t xml:space="preserve">The </w:t>
      </w:r>
      <w:r>
        <w:t>s</w:t>
      </w:r>
      <w:r w:rsidRPr="000C507A">
        <w:t>ervice encourages the use of the London Protocol</w:t>
      </w:r>
      <w:r>
        <w:rPr>
          <w:rStyle w:val="FootnoteReference"/>
        </w:rPr>
        <w:footnoteReference w:id="15"/>
      </w:r>
      <w:r w:rsidRPr="000C507A">
        <w:t xml:space="preserve"> for its formal reviews.</w:t>
      </w:r>
    </w:p>
    <w:p w14:paraId="009577BD" w14:textId="77777777" w:rsidR="00443933" w:rsidRPr="000C507A" w:rsidRDefault="00443933" w:rsidP="00443933">
      <w:r w:rsidRPr="000C507A">
        <w:t xml:space="preserve">The </w:t>
      </w:r>
      <w:r>
        <w:t>c</w:t>
      </w:r>
      <w:r w:rsidRPr="000C507A">
        <w:t>ommittee monitors reviews</w:t>
      </w:r>
      <w:r w:rsidR="00BF01F3">
        <w:t>,</w:t>
      </w:r>
      <w:r w:rsidRPr="000C507A">
        <w:t xml:space="preserve"> and can as</w:t>
      </w:r>
      <w:r>
        <w:t>k</w:t>
      </w:r>
      <w:r w:rsidRPr="000C507A">
        <w:t xml:space="preserve"> for further details. It can also decide to increase the formality of </w:t>
      </w:r>
      <w:r w:rsidR="00BF01F3">
        <w:t>a particular</w:t>
      </w:r>
      <w:r w:rsidR="00BF01F3" w:rsidRPr="000C507A">
        <w:t xml:space="preserve"> </w:t>
      </w:r>
      <w:r w:rsidRPr="000C507A">
        <w:t>review.</w:t>
      </w:r>
    </w:p>
    <w:p w14:paraId="011F4722" w14:textId="77777777" w:rsidR="00443933" w:rsidRPr="000C507A" w:rsidRDefault="00BF01F3" w:rsidP="00443933">
      <w:r>
        <w:t>T</w:t>
      </w:r>
      <w:r w:rsidR="00443933" w:rsidRPr="000C507A">
        <w:t>he subservice Clinical Governance Forum</w:t>
      </w:r>
      <w:r>
        <w:t xml:space="preserve"> reviews SAC3 events</w:t>
      </w:r>
      <w:r w:rsidR="00443933" w:rsidRPr="000C507A">
        <w:t xml:space="preserve">. </w:t>
      </w:r>
      <w:r>
        <w:t>U</w:t>
      </w:r>
      <w:r w:rsidR="00443933" w:rsidRPr="000C507A">
        <w:t>ntil recently</w:t>
      </w:r>
      <w:r>
        <w:t>,</w:t>
      </w:r>
      <w:r w:rsidR="00443933" w:rsidRPr="000C507A">
        <w:t xml:space="preserve"> there was no monitoring</w:t>
      </w:r>
      <w:r w:rsidR="00443933">
        <w:t xml:space="preserve"> at the executive level</w:t>
      </w:r>
      <w:r w:rsidR="00443933" w:rsidRPr="000C507A">
        <w:t xml:space="preserve">. </w:t>
      </w:r>
      <w:r>
        <w:t xml:space="preserve">Since </w:t>
      </w:r>
      <w:r w:rsidR="00443933" w:rsidRPr="000C507A">
        <w:t xml:space="preserve">the end of </w:t>
      </w:r>
      <w:r w:rsidR="00443933">
        <w:t>2014</w:t>
      </w:r>
      <w:r w:rsidR="00443933" w:rsidRPr="000C507A">
        <w:t xml:space="preserve"> there has been an expectation of a </w:t>
      </w:r>
      <w:r w:rsidR="00443933">
        <w:t>six</w:t>
      </w:r>
      <w:r>
        <w:t>-</w:t>
      </w:r>
      <w:r w:rsidR="00443933" w:rsidRPr="000C507A">
        <w:t>monthly review</w:t>
      </w:r>
      <w:r w:rsidR="00443933">
        <w:t xml:space="preserve"> of all SAC3 events</w:t>
      </w:r>
      <w:r w:rsidR="00443933" w:rsidRPr="000C507A">
        <w:t>.</w:t>
      </w:r>
    </w:p>
    <w:p w14:paraId="27F8A30B" w14:textId="77777777" w:rsidR="00443933" w:rsidRPr="000C507A" w:rsidRDefault="00BF01F3" w:rsidP="00443933">
      <w:r>
        <w:t xml:space="preserve">The </w:t>
      </w:r>
      <w:r w:rsidR="00443933" w:rsidRPr="000C507A">
        <w:t>Serious and Sentinel Events Committee</w:t>
      </w:r>
      <w:r>
        <w:t xml:space="preserve"> centrally monitors SAC1 and SAC2 events,</w:t>
      </w:r>
      <w:r w:rsidR="00443933" w:rsidRPr="000C507A">
        <w:t xml:space="preserve"> </w:t>
      </w:r>
      <w:r>
        <w:t xml:space="preserve">through to </w:t>
      </w:r>
      <w:r w:rsidR="00443933" w:rsidRPr="000C507A">
        <w:t>completion of the review (including ensuring that families</w:t>
      </w:r>
      <w:r w:rsidR="00443933">
        <w:t>/</w:t>
      </w:r>
      <w:proofErr w:type="spellStart"/>
      <w:r w:rsidR="00443933">
        <w:t>whānau</w:t>
      </w:r>
      <w:proofErr w:type="spellEnd"/>
      <w:r w:rsidR="00443933" w:rsidRPr="000C507A">
        <w:t xml:space="preserve"> have had an opportunity to engage</w:t>
      </w:r>
      <w:r w:rsidR="00443933">
        <w:t xml:space="preserve"> in the review process</w:t>
      </w:r>
      <w:r w:rsidR="00443933" w:rsidRPr="000C507A">
        <w:t xml:space="preserve">). There is a process for ensuring </w:t>
      </w:r>
      <w:r>
        <w:t xml:space="preserve">that </w:t>
      </w:r>
      <w:r w:rsidR="00443933" w:rsidRPr="000C507A">
        <w:t>learning from a</w:t>
      </w:r>
      <w:r w:rsidR="00443933">
        <w:t xml:space="preserve"> serious</w:t>
      </w:r>
      <w:r w:rsidR="00443933" w:rsidRPr="000C507A">
        <w:t xml:space="preserve"> event is </w:t>
      </w:r>
      <w:r w:rsidR="00443933">
        <w:t>fed back</w:t>
      </w:r>
      <w:r w:rsidR="00443933" w:rsidRPr="000C507A">
        <w:t xml:space="preserve"> to the team involved and </w:t>
      </w:r>
      <w:r>
        <w:t xml:space="preserve">to </w:t>
      </w:r>
      <w:r w:rsidR="00443933" w:rsidRPr="000C507A">
        <w:t xml:space="preserve">the </w:t>
      </w:r>
      <w:r w:rsidR="00443933">
        <w:t>person using the service</w:t>
      </w:r>
      <w:r w:rsidR="00443933" w:rsidRPr="000C507A">
        <w:t xml:space="preserve"> and </w:t>
      </w:r>
      <w:r>
        <w:t xml:space="preserve">their </w:t>
      </w:r>
      <w:r w:rsidR="00443933" w:rsidRPr="000C507A">
        <w:t>family</w:t>
      </w:r>
      <w:r w:rsidR="00443933">
        <w:t>/</w:t>
      </w:r>
      <w:proofErr w:type="spellStart"/>
      <w:r w:rsidR="00443933">
        <w:t>whānau</w:t>
      </w:r>
      <w:proofErr w:type="spellEnd"/>
      <w:r w:rsidR="00443933" w:rsidRPr="000C507A">
        <w:t>.  As for the SAC3 events there is a</w:t>
      </w:r>
      <w:r w:rsidR="00FC3877">
        <w:t xml:space="preserve">n </w:t>
      </w:r>
      <w:r w:rsidR="00443933" w:rsidRPr="000C507A">
        <w:t xml:space="preserve">analysis every </w:t>
      </w:r>
      <w:r w:rsidR="00443933">
        <w:t>six</w:t>
      </w:r>
      <w:r w:rsidR="00443933" w:rsidRPr="000C507A">
        <w:t xml:space="preserve"> months that </w:t>
      </w:r>
      <w:r w:rsidR="00443933">
        <w:t>can be accessed by staff</w:t>
      </w:r>
      <w:r w:rsidR="00443933" w:rsidRPr="000C507A">
        <w:t xml:space="preserve"> (on a shared drive).</w:t>
      </w:r>
    </w:p>
    <w:p w14:paraId="0893AB1C" w14:textId="77777777" w:rsidR="00443933" w:rsidRPr="000C507A" w:rsidRDefault="00443933" w:rsidP="00443933">
      <w:pPr>
        <w:pStyle w:val="Heading2"/>
      </w:pPr>
      <w:bookmarkStart w:id="36" w:name="_Toc448394349"/>
      <w:r w:rsidRPr="000C507A">
        <w:t xml:space="preserve">Quality and </w:t>
      </w:r>
      <w:r w:rsidR="00BF01F3">
        <w:t>r</w:t>
      </w:r>
      <w:r w:rsidRPr="000C507A">
        <w:t xml:space="preserve">isk – </w:t>
      </w:r>
      <w:r w:rsidR="00BF01F3">
        <w:t>w</w:t>
      </w:r>
      <w:r w:rsidRPr="000C507A">
        <w:t xml:space="preserve">ider DHB </w:t>
      </w:r>
      <w:r w:rsidR="00BF01F3">
        <w:t>e</w:t>
      </w:r>
      <w:r w:rsidRPr="000C507A">
        <w:t>ngagement</w:t>
      </w:r>
      <w:bookmarkEnd w:id="36"/>
    </w:p>
    <w:p w14:paraId="24180EA7" w14:textId="77777777" w:rsidR="00443933" w:rsidRPr="000C507A" w:rsidRDefault="00443933" w:rsidP="00443933">
      <w:r>
        <w:t>As noted earlier</w:t>
      </w:r>
      <w:r w:rsidR="00BF01F3">
        <w:t>,</w:t>
      </w:r>
      <w:r>
        <w:t xml:space="preserve"> there have been changes in wider </w:t>
      </w:r>
      <w:r w:rsidR="00BF01F3">
        <w:t xml:space="preserve">Waikato </w:t>
      </w:r>
      <w:r>
        <w:t>DHB leadership and governance processes. These changes have resulted in an increased integration of the MHAS with the</w:t>
      </w:r>
      <w:r w:rsidRPr="000C507A">
        <w:t xml:space="preserve"> </w:t>
      </w:r>
      <w:proofErr w:type="spellStart"/>
      <w:r w:rsidRPr="000C507A">
        <w:t>the</w:t>
      </w:r>
      <w:proofErr w:type="spellEnd"/>
      <w:r w:rsidRPr="000C507A">
        <w:t xml:space="preserve"> wider DHB</w:t>
      </w:r>
      <w:r>
        <w:t xml:space="preserve"> with regard to quality and risk management</w:t>
      </w:r>
      <w:r w:rsidRPr="000C507A">
        <w:t xml:space="preserve">. The </w:t>
      </w:r>
      <w:r w:rsidR="00BF01F3">
        <w:t xml:space="preserve">DHB </w:t>
      </w:r>
      <w:r w:rsidRPr="000C507A">
        <w:t xml:space="preserve">is implementing a regional </w:t>
      </w:r>
      <w:r w:rsidR="00BF01F3">
        <w:t>q</w:t>
      </w:r>
      <w:r w:rsidRPr="000C507A">
        <w:t xml:space="preserve">uality and </w:t>
      </w:r>
      <w:r w:rsidR="00BF01F3">
        <w:t>r</w:t>
      </w:r>
      <w:r w:rsidRPr="000C507A">
        <w:t xml:space="preserve">isk </w:t>
      </w:r>
      <w:r w:rsidR="00BF01F3">
        <w:t>m</w:t>
      </w:r>
      <w:r w:rsidRPr="000C507A">
        <w:t>anagement tool (</w:t>
      </w:r>
      <w:proofErr w:type="spellStart"/>
      <w:r w:rsidRPr="000C507A">
        <w:t>Datex</w:t>
      </w:r>
      <w:proofErr w:type="spellEnd"/>
      <w:r w:rsidRPr="000C507A">
        <w:t xml:space="preserve">) </w:t>
      </w:r>
      <w:r w:rsidR="00BF01F3">
        <w:t xml:space="preserve">that </w:t>
      </w:r>
      <w:r w:rsidRPr="000C507A">
        <w:t>should assist</w:t>
      </w:r>
      <w:r>
        <w:t xml:space="preserve"> with broader staff engagement</w:t>
      </w:r>
      <w:r w:rsidRPr="000C507A">
        <w:t xml:space="preserve">. The </w:t>
      </w:r>
      <w:r w:rsidR="00BF01F3">
        <w:t xml:space="preserve">DHB </w:t>
      </w:r>
      <w:r>
        <w:t>sees</w:t>
      </w:r>
      <w:r w:rsidRPr="000C507A">
        <w:t xml:space="preserve"> the risk register for </w:t>
      </w:r>
      <w:r w:rsidR="004B39BE">
        <w:t>MHAS</w:t>
      </w:r>
      <w:r w:rsidRPr="000C507A">
        <w:t xml:space="preserve">. </w:t>
      </w:r>
      <w:r>
        <w:t xml:space="preserve">In addition, </w:t>
      </w:r>
      <w:r w:rsidR="00BF01F3">
        <w:t xml:space="preserve">the MHAS is now using the </w:t>
      </w:r>
      <w:proofErr w:type="spellStart"/>
      <w:r>
        <w:t>t</w:t>
      </w:r>
      <w:r w:rsidRPr="000C507A">
        <w:t>he</w:t>
      </w:r>
      <w:proofErr w:type="spellEnd"/>
      <w:r w:rsidRPr="000C507A">
        <w:t xml:space="preserve"> wider DHB </w:t>
      </w:r>
      <w:r>
        <w:t xml:space="preserve">Risk Register, Clinical Audit and Complaint Management </w:t>
      </w:r>
      <w:r w:rsidRPr="000C507A">
        <w:t>systems</w:t>
      </w:r>
      <w:r>
        <w:t>.</w:t>
      </w:r>
      <w:r w:rsidRPr="000C507A">
        <w:t xml:space="preserve"> </w:t>
      </w:r>
      <w:r w:rsidR="00BF01F3">
        <w:t xml:space="preserve">The </w:t>
      </w:r>
      <w:r w:rsidRPr="000C507A">
        <w:t xml:space="preserve">DHB </w:t>
      </w:r>
      <w:r w:rsidR="00BF01F3">
        <w:t xml:space="preserve">wishes to ensure </w:t>
      </w:r>
      <w:r w:rsidRPr="000C507A">
        <w:t xml:space="preserve">that </w:t>
      </w:r>
      <w:r>
        <w:t xml:space="preserve">all </w:t>
      </w:r>
      <w:r w:rsidRPr="000C507A">
        <w:t>SAC1 events</w:t>
      </w:r>
      <w:r>
        <w:t xml:space="preserve"> undergo review by a clinician external to the </w:t>
      </w:r>
      <w:r w:rsidR="004B39BE">
        <w:t>MHAS</w:t>
      </w:r>
      <w:r w:rsidRPr="000C507A">
        <w:t xml:space="preserve">. </w:t>
      </w:r>
    </w:p>
    <w:p w14:paraId="49F6E4B6" w14:textId="77777777" w:rsidR="00443933" w:rsidRPr="000C507A" w:rsidRDefault="00443933" w:rsidP="00443933">
      <w:pPr>
        <w:pStyle w:val="Heading2"/>
      </w:pPr>
      <w:bookmarkStart w:id="37" w:name="_Toc448394350"/>
      <w:r>
        <w:t xml:space="preserve">Compulsory </w:t>
      </w:r>
      <w:r w:rsidR="00504474">
        <w:t>c</w:t>
      </w:r>
      <w:r>
        <w:t xml:space="preserve">are, </w:t>
      </w:r>
      <w:r w:rsidR="00504474">
        <w:t>s</w:t>
      </w:r>
      <w:r>
        <w:t xml:space="preserve">eclusion and </w:t>
      </w:r>
      <w:r w:rsidR="00504474">
        <w:t>r</w:t>
      </w:r>
      <w:r>
        <w:t xml:space="preserve">estrictive </w:t>
      </w:r>
      <w:r w:rsidR="00504474">
        <w:t>c</w:t>
      </w:r>
      <w:r>
        <w:t>are</w:t>
      </w:r>
      <w:bookmarkEnd w:id="37"/>
    </w:p>
    <w:p w14:paraId="1FB0F99E" w14:textId="77777777" w:rsidR="00443933" w:rsidRDefault="00443933" w:rsidP="00443933">
      <w:r>
        <w:t>Waikato DHB’s quarterly reporting to the Office of the Director of Mental Health indicates similar performance</w:t>
      </w:r>
      <w:r w:rsidR="00C10526">
        <w:t xml:space="preserve"> </w:t>
      </w:r>
      <w:r>
        <w:t>to comparable DHBs across a range of indicators such as seclusion, family/</w:t>
      </w:r>
      <w:proofErr w:type="spellStart"/>
      <w:r>
        <w:t>whānau</w:t>
      </w:r>
      <w:proofErr w:type="spellEnd"/>
      <w:r>
        <w:t xml:space="preserve"> consultation and use of the Mental Health (Compulsory Assessment and Treatment) Act 1992 (the Mental Health Act). As </w:t>
      </w:r>
      <w:r w:rsidR="00504474">
        <w:t xml:space="preserve">in </w:t>
      </w:r>
      <w:r>
        <w:t>most DHBs</w:t>
      </w:r>
      <w:r w:rsidR="00504474">
        <w:t>,</w:t>
      </w:r>
      <w:r>
        <w:t xml:space="preserve"> there are areas for improvement </w:t>
      </w:r>
      <w:r w:rsidR="003A05A1">
        <w:t>(</w:t>
      </w:r>
      <w:r>
        <w:t>for instance, in the ratio of Māori versus non</w:t>
      </w:r>
      <w:r w:rsidR="00504474">
        <w:t>-</w:t>
      </w:r>
      <w:r>
        <w:t>Māori compulsory treatment orders</w:t>
      </w:r>
      <w:r w:rsidR="003A05A1">
        <w:t>)</w:t>
      </w:r>
      <w:r>
        <w:t>.</w:t>
      </w:r>
    </w:p>
    <w:p w14:paraId="6364D5F3" w14:textId="77777777" w:rsidR="00443933" w:rsidRDefault="00443933" w:rsidP="00443933">
      <w:r>
        <w:t xml:space="preserve">Over the last few years the </w:t>
      </w:r>
      <w:r w:rsidR="00504474">
        <w:t xml:space="preserve">DHB </w:t>
      </w:r>
      <w:r>
        <w:t xml:space="preserve">has </w:t>
      </w:r>
      <w:r w:rsidR="00504474">
        <w:t xml:space="preserve">made a concerted effort across all levels to reduce </w:t>
      </w:r>
      <w:r>
        <w:t>the use of seclusion in adult inpatient units</w:t>
      </w:r>
      <w:r w:rsidR="00504474">
        <w:t>, with significant success, according to t</w:t>
      </w:r>
      <w:r>
        <w:t xml:space="preserve">rend data. This is particularly remarkable given the problematic layout of the adult acute unit. </w:t>
      </w:r>
    </w:p>
    <w:p w14:paraId="2E70A3EB" w14:textId="77777777" w:rsidR="00443933" w:rsidRDefault="00443933" w:rsidP="00443933">
      <w:pPr>
        <w:pStyle w:val="Heading2"/>
      </w:pPr>
      <w:bookmarkStart w:id="38" w:name="_Ref432536502"/>
      <w:bookmarkStart w:id="39" w:name="_Toc448394351"/>
      <w:r>
        <w:t xml:space="preserve">Defensive </w:t>
      </w:r>
      <w:r w:rsidR="00504474">
        <w:t>p</w:t>
      </w:r>
      <w:r>
        <w:t xml:space="preserve">ractice and </w:t>
      </w:r>
      <w:r w:rsidR="00504474">
        <w:t>r</w:t>
      </w:r>
      <w:r>
        <w:t xml:space="preserve">estrictive </w:t>
      </w:r>
      <w:r w:rsidR="00504474">
        <w:t>c</w:t>
      </w:r>
      <w:r>
        <w:t>are</w:t>
      </w:r>
      <w:bookmarkEnd w:id="38"/>
      <w:bookmarkEnd w:id="39"/>
    </w:p>
    <w:p w14:paraId="324D43A4" w14:textId="77777777" w:rsidR="00443933" w:rsidRDefault="00443933" w:rsidP="00443933">
      <w:r>
        <w:t>In response to</w:t>
      </w:r>
      <w:r w:rsidR="00BE0BB4">
        <w:t xml:space="preserve"> </w:t>
      </w:r>
      <w:r w:rsidR="00504474">
        <w:t xml:space="preserve">recent </w:t>
      </w:r>
      <w:r w:rsidR="007B334E">
        <w:t xml:space="preserve">serious incidents </w:t>
      </w:r>
      <w:r w:rsidR="00504474">
        <w:t xml:space="preserve">and subsequent </w:t>
      </w:r>
      <w:r>
        <w:t xml:space="preserve">external </w:t>
      </w:r>
      <w:r w:rsidR="00BE0BB4">
        <w:t>criticism and intense</w:t>
      </w:r>
      <w:r>
        <w:t xml:space="preserve"> media attention</w:t>
      </w:r>
      <w:r w:rsidR="00504474">
        <w:t>,</w:t>
      </w:r>
      <w:r>
        <w:t xml:space="preserve"> the service has felt pressured to make reactive changes towards more defensive, risk-based care. In practice</w:t>
      </w:r>
      <w:r w:rsidR="00504474">
        <w:t>,</w:t>
      </w:r>
      <w:r>
        <w:t xml:space="preserve"> this has meant increased </w:t>
      </w:r>
      <w:r w:rsidR="0067037E">
        <w:t>use of</w:t>
      </w:r>
      <w:r>
        <w:t xml:space="preserve"> the </w:t>
      </w:r>
      <w:r w:rsidRPr="00B46297">
        <w:t>Mental Health Act</w:t>
      </w:r>
      <w:r w:rsidR="00504474">
        <w:t>,</w:t>
      </w:r>
      <w:r w:rsidRPr="00B46297">
        <w:t xml:space="preserve"> </w:t>
      </w:r>
      <w:r>
        <w:t>greater reliance on locked facilities and more restrictions on leave.</w:t>
      </w:r>
    </w:p>
    <w:p w14:paraId="5928B92D" w14:textId="77777777" w:rsidR="00443933" w:rsidRDefault="00443933" w:rsidP="00443933">
      <w:r>
        <w:lastRenderedPageBreak/>
        <w:t xml:space="preserve">Senior leaders and staff at all levels expressed concern about </w:t>
      </w:r>
      <w:r w:rsidR="00AC3CD6">
        <w:t xml:space="preserve">this </w:t>
      </w:r>
      <w:r>
        <w:t xml:space="preserve">shift in practice due to the perceived need to control risk and reduce criticism. For instance, senior medical staff </w:t>
      </w:r>
      <w:r w:rsidR="00AC3CD6">
        <w:t xml:space="preserve">noted </w:t>
      </w:r>
      <w:r>
        <w:t xml:space="preserve">the development of </w:t>
      </w:r>
      <w:r w:rsidR="00AC3CD6">
        <w:t xml:space="preserve">increased </w:t>
      </w:r>
      <w:r>
        <w:t xml:space="preserve">defensive use of the Mental Health Act, where previously they would have adopted a more pragmatic and positive management of risk. Other staff described </w:t>
      </w:r>
      <w:r w:rsidR="00AC3CD6">
        <w:t xml:space="preserve">feeling pressured </w:t>
      </w:r>
      <w:r w:rsidR="003A05A1">
        <w:t>by</w:t>
      </w:r>
      <w:r>
        <w:t xml:space="preserve"> </w:t>
      </w:r>
      <w:r w:rsidRPr="00002F7B">
        <w:t>senior staff</w:t>
      </w:r>
      <w:r>
        <w:t xml:space="preserve"> to change decisions perceived as risky to more conservative and risk</w:t>
      </w:r>
      <w:r w:rsidR="00AC3CD6">
        <w:t>-</w:t>
      </w:r>
      <w:r>
        <w:t>averse options. Staff felt this limited the use of their professional judgement and experience and discouraged</w:t>
      </w:r>
      <w:r w:rsidR="00742F08">
        <w:t xml:space="preserve"> pat</w:t>
      </w:r>
      <w:r w:rsidR="00A34B8C">
        <w:t>ie</w:t>
      </w:r>
      <w:r w:rsidR="00742F08">
        <w:t>nt’s</w:t>
      </w:r>
      <w:r>
        <w:t xml:space="preserve"> self-management.</w:t>
      </w:r>
    </w:p>
    <w:p w14:paraId="0A54E1F2" w14:textId="77777777" w:rsidR="00443933" w:rsidRDefault="00443933" w:rsidP="00443933">
      <w:r>
        <w:t>The</w:t>
      </w:r>
      <w:r w:rsidRPr="000846A2">
        <w:t xml:space="preserve"> </w:t>
      </w:r>
      <w:r>
        <w:t>increased steps in signing out of patient leave from the inpatient unit and a limitation on leaves had resulted in a substantial reduction in inpatient leaves.  People using the service made significantly adverse comments on this aspect</w:t>
      </w:r>
      <w:r w:rsidR="00A72C77">
        <w:t>,</w:t>
      </w:r>
      <w:r>
        <w:t xml:space="preserve"> and staff described </w:t>
      </w:r>
      <w:r w:rsidR="00A72C77">
        <w:t xml:space="preserve">the new </w:t>
      </w:r>
      <w:r w:rsidR="00A34B8C">
        <w:t>protocols</w:t>
      </w:r>
      <w:r w:rsidR="00A72C77">
        <w:t xml:space="preserve"> </w:t>
      </w:r>
      <w:r>
        <w:t xml:space="preserve">as </w:t>
      </w:r>
      <w:r w:rsidR="00A72C77">
        <w:t>‘</w:t>
      </w:r>
      <w:r>
        <w:t>micromanagement</w:t>
      </w:r>
      <w:r w:rsidR="00A72C77">
        <w:t>’</w:t>
      </w:r>
      <w:r>
        <w:t>.</w:t>
      </w:r>
    </w:p>
    <w:p w14:paraId="756CB848" w14:textId="77777777" w:rsidR="00443933" w:rsidRDefault="00443933" w:rsidP="00443933">
      <w:r>
        <w:t xml:space="preserve">While these changes are perhaps understandable in view of </w:t>
      </w:r>
      <w:r w:rsidR="00A72C77">
        <w:t xml:space="preserve">recent </w:t>
      </w:r>
      <w:r w:rsidR="008C1274">
        <w:t xml:space="preserve">serious incidents </w:t>
      </w:r>
      <w:r w:rsidR="00A72C77">
        <w:t xml:space="preserve">and subsequent </w:t>
      </w:r>
      <w:r>
        <w:t>scrutiny and criticism</w:t>
      </w:r>
      <w:r w:rsidR="00A72C77">
        <w:t xml:space="preserve">; however, they </w:t>
      </w:r>
      <w:r>
        <w:t xml:space="preserve">are contrary to good clinical practice. Further, they are inconsistent with the intent of legislation </w:t>
      </w:r>
      <w:r w:rsidR="00A72C77">
        <w:t xml:space="preserve">that </w:t>
      </w:r>
      <w:r>
        <w:t>prioriti</w:t>
      </w:r>
      <w:r w:rsidR="00A72C77">
        <w:t>s</w:t>
      </w:r>
      <w:r>
        <w:t xml:space="preserve">es </w:t>
      </w:r>
      <w:r w:rsidR="00A72C77">
        <w:t xml:space="preserve">the </w:t>
      </w:r>
      <w:r>
        <w:t>least restrictive care (particularly when the Mental Health Act is read in conjunction with the New Zealand Bill of Rights Act 1990).</w:t>
      </w:r>
    </w:p>
    <w:p w14:paraId="66E6AB46" w14:textId="77777777" w:rsidR="00443933" w:rsidRDefault="00A72C77" w:rsidP="00443933">
      <w:r>
        <w:t xml:space="preserve">Leaders </w:t>
      </w:r>
      <w:r w:rsidR="00443933">
        <w:t xml:space="preserve">of the MHAS </w:t>
      </w:r>
      <w:r>
        <w:t xml:space="preserve">said </w:t>
      </w:r>
      <w:r w:rsidR="00443933">
        <w:t>that they had felt compelled to take some action to protect staff and to reassure members of the public who might need to access the services.  They faced an environment where they were under increasing pressure from media, families of patients and</w:t>
      </w:r>
      <w:r>
        <w:t>,</w:t>
      </w:r>
      <w:r w:rsidR="00443933">
        <w:t xml:space="preserve"> to an extent</w:t>
      </w:r>
      <w:r>
        <w:t>,</w:t>
      </w:r>
      <w:r w:rsidR="00443933">
        <w:t xml:space="preserve"> judicial officers such as </w:t>
      </w:r>
      <w:r>
        <w:t>c</w:t>
      </w:r>
      <w:r w:rsidR="0023666B">
        <w:t>oroners</w:t>
      </w:r>
      <w:r w:rsidR="00443933">
        <w:t>. They note</w:t>
      </w:r>
      <w:r>
        <w:t>d</w:t>
      </w:r>
      <w:r w:rsidR="00443933">
        <w:t xml:space="preserve"> that the </w:t>
      </w:r>
      <w:r>
        <w:t xml:space="preserve">new </w:t>
      </w:r>
      <w:r w:rsidR="00443933">
        <w:t xml:space="preserve">measures were introduced to reassure patients and their families, </w:t>
      </w:r>
      <w:r>
        <w:t xml:space="preserve">and to provide a </w:t>
      </w:r>
      <w:r w:rsidR="00443933">
        <w:t xml:space="preserve">greater degree of guidance for staff (some of whom were being named and </w:t>
      </w:r>
      <w:r w:rsidR="0023666B">
        <w:t>criticised</w:t>
      </w:r>
      <w:r w:rsidR="00443933">
        <w:t xml:space="preserve"> personally in social media). They considered the steps taken were necessary to encourage those with mental illness to continue to seek care and to support </w:t>
      </w:r>
      <w:proofErr w:type="gramStart"/>
      <w:r w:rsidR="00443933">
        <w:t>staff who were</w:t>
      </w:r>
      <w:proofErr w:type="gramEnd"/>
      <w:r w:rsidR="00443933">
        <w:t xml:space="preserve"> feeling personally exposed and attacked.</w:t>
      </w:r>
    </w:p>
    <w:p w14:paraId="3A4585DB" w14:textId="77777777" w:rsidR="00443933" w:rsidRDefault="00443933" w:rsidP="00443933">
      <w:r>
        <w:t xml:space="preserve">Mental health services </w:t>
      </w:r>
      <w:r w:rsidR="00A72C77">
        <w:t xml:space="preserve">must </w:t>
      </w:r>
      <w:r>
        <w:t>manag</w:t>
      </w:r>
      <w:r w:rsidR="00A72C77">
        <w:t>e</w:t>
      </w:r>
      <w:r>
        <w:t xml:space="preserve"> the risks arising in the context of acute psychiatric illness</w:t>
      </w:r>
      <w:r w:rsidR="00A72C77">
        <w:t xml:space="preserve"> on a daily basis</w:t>
      </w:r>
      <w:r>
        <w:t>. In order to do this effectively and to have the best likelihood of improving patient</w:t>
      </w:r>
      <w:r w:rsidR="00A72C77">
        <w:t>s’</w:t>
      </w:r>
      <w:r>
        <w:t xml:space="preserve"> condition and avoiding adverse outcomes, clinicians must positively manage risk in the context of the individual’s life and </w:t>
      </w:r>
      <w:r w:rsidR="00A72C77">
        <w:t xml:space="preserve">their </w:t>
      </w:r>
      <w:r>
        <w:t xml:space="preserve">wider </w:t>
      </w:r>
      <w:proofErr w:type="spellStart"/>
      <w:r>
        <w:t>whānau</w:t>
      </w:r>
      <w:proofErr w:type="spellEnd"/>
      <w:r>
        <w:t xml:space="preserve"> context. Further, with </w:t>
      </w:r>
      <w:r w:rsidR="003F4199">
        <w:t>increasing knowledge of trauma-</w:t>
      </w:r>
      <w:r>
        <w:t>informed care, clinicians need to do so in such a way that minimises risk of re-traumatisation. Defensive practice and attempts to control</w:t>
      </w:r>
      <w:r w:rsidR="00A72C77">
        <w:t xml:space="preserve"> (rather than manage)</w:t>
      </w:r>
      <w:r>
        <w:t xml:space="preserve"> risk work against this. In some circumstances these practices can result in increased risk. It is therefore particularly concerning that the service has felt it had to take </w:t>
      </w:r>
      <w:r w:rsidR="00A72C77">
        <w:t xml:space="preserve">the </w:t>
      </w:r>
      <w:r>
        <w:t xml:space="preserve">steps </w:t>
      </w:r>
      <w:r w:rsidR="00A72C77">
        <w:t>it has</w:t>
      </w:r>
      <w:r>
        <w:t>.</w:t>
      </w:r>
    </w:p>
    <w:p w14:paraId="182CEBD7" w14:textId="77777777" w:rsidR="008C1274" w:rsidRDefault="008C1274" w:rsidP="00443933">
      <w:r>
        <w:t xml:space="preserve">Delivering mental health services is always a balance between least restrictive care and public and patient safety. </w:t>
      </w:r>
      <w:r w:rsidR="00BE0BB4">
        <w:t xml:space="preserve">How this balance is struck is important in terms of maintaining good outcomes for those who use the services and their </w:t>
      </w:r>
      <w:proofErr w:type="spellStart"/>
      <w:r w:rsidR="00BE0BB4">
        <w:t>whānau</w:t>
      </w:r>
      <w:proofErr w:type="spellEnd"/>
      <w:r w:rsidR="00BE0BB4">
        <w:t xml:space="preserve">. It is also important for maintaining confidence in </w:t>
      </w:r>
      <w:r w:rsidR="00A72C77">
        <w:t xml:space="preserve">mental health </w:t>
      </w:r>
      <w:r w:rsidR="00BE0BB4">
        <w:t xml:space="preserve">services. </w:t>
      </w:r>
    </w:p>
    <w:p w14:paraId="0E606350" w14:textId="77777777" w:rsidR="008656AA" w:rsidRPr="000C507A" w:rsidRDefault="008656AA" w:rsidP="008656AA">
      <w:pPr>
        <w:pStyle w:val="Heading2"/>
      </w:pPr>
      <w:bookmarkStart w:id="40" w:name="_Toc448394352"/>
      <w:r w:rsidRPr="000C507A">
        <w:t xml:space="preserve">Wider DHB </w:t>
      </w:r>
      <w:r w:rsidR="00DE57CD">
        <w:t>e</w:t>
      </w:r>
      <w:r w:rsidRPr="000C507A">
        <w:t>ngagement</w:t>
      </w:r>
      <w:bookmarkEnd w:id="40"/>
    </w:p>
    <w:p w14:paraId="22CE9D20" w14:textId="77777777" w:rsidR="008656AA" w:rsidRDefault="00DE57CD" w:rsidP="008656AA">
      <w:r>
        <w:t xml:space="preserve">The Inspection Team found </w:t>
      </w:r>
      <w:r w:rsidR="008656AA" w:rsidRPr="000C507A">
        <w:t xml:space="preserve">a perception </w:t>
      </w:r>
      <w:r>
        <w:t xml:space="preserve">among staff </w:t>
      </w:r>
      <w:r w:rsidR="008656AA" w:rsidRPr="000C507A">
        <w:t xml:space="preserve">that </w:t>
      </w:r>
      <w:r w:rsidR="00796E0B">
        <w:t>during the time</w:t>
      </w:r>
      <w:r w:rsidR="00796E0B" w:rsidRPr="000C507A">
        <w:t xml:space="preserve"> </w:t>
      </w:r>
      <w:r w:rsidR="008656AA" w:rsidRPr="000C507A">
        <w:t xml:space="preserve">the service </w:t>
      </w:r>
      <w:r w:rsidR="00796E0B">
        <w:t>was</w:t>
      </w:r>
      <w:r w:rsidR="008656AA" w:rsidRPr="000C507A">
        <w:t xml:space="preserve"> dealing with the implementation of </w:t>
      </w:r>
      <w:r w:rsidR="008656AA" w:rsidRPr="000C507A">
        <w:rPr>
          <w:i/>
        </w:rPr>
        <w:t>A Time for Change</w:t>
      </w:r>
      <w:r w:rsidR="008656AA" w:rsidRPr="00B06C46">
        <w:t>,</w:t>
      </w:r>
      <w:r w:rsidR="008656AA" w:rsidRPr="000C507A">
        <w:t xml:space="preserve"> it </w:t>
      </w:r>
      <w:r>
        <w:t xml:space="preserve">became </w:t>
      </w:r>
      <w:r w:rsidR="008656AA" w:rsidRPr="000C507A">
        <w:t>more inward</w:t>
      </w:r>
      <w:r>
        <w:t>-</w:t>
      </w:r>
      <w:r w:rsidR="008656AA" w:rsidRPr="000C507A">
        <w:t xml:space="preserve">looking. This meant that </w:t>
      </w:r>
      <w:r>
        <w:t xml:space="preserve">it was </w:t>
      </w:r>
      <w:r w:rsidR="008656AA" w:rsidRPr="000C507A">
        <w:t xml:space="preserve">slower </w:t>
      </w:r>
      <w:r>
        <w:t xml:space="preserve">to </w:t>
      </w:r>
      <w:r w:rsidR="008656AA" w:rsidRPr="000C507A">
        <w:t xml:space="preserve">engage with the </w:t>
      </w:r>
      <w:r w:rsidR="008656AA">
        <w:t xml:space="preserve">DHB </w:t>
      </w:r>
      <w:r w:rsidR="008656AA" w:rsidRPr="000C507A">
        <w:t>Board of Clinical Governance. As an example</w:t>
      </w:r>
      <w:r w:rsidR="008656AA">
        <w:t>,</w:t>
      </w:r>
      <w:r w:rsidR="008656AA" w:rsidRPr="000C507A">
        <w:t xml:space="preserve"> </w:t>
      </w:r>
      <w:r w:rsidR="008656AA">
        <w:t xml:space="preserve">oversight of </w:t>
      </w:r>
      <w:r w:rsidR="008656AA" w:rsidRPr="000C507A">
        <w:t>serious incidents and their follow-up tended to stop at</w:t>
      </w:r>
      <w:r w:rsidR="008656AA">
        <w:t xml:space="preserve"> the</w:t>
      </w:r>
      <w:r w:rsidR="008656AA" w:rsidRPr="000C507A">
        <w:t xml:space="preserve"> </w:t>
      </w:r>
      <w:r w:rsidR="004B39BE">
        <w:t>MHAS</w:t>
      </w:r>
      <w:r>
        <w:t>;</w:t>
      </w:r>
      <w:r w:rsidR="008656AA">
        <w:t xml:space="preserve"> </w:t>
      </w:r>
      <w:r w:rsidR="008656AA" w:rsidRPr="000C507A">
        <w:lastRenderedPageBreak/>
        <w:t xml:space="preserve">formal reports to the Board of Clinical Governance </w:t>
      </w:r>
      <w:r>
        <w:t xml:space="preserve">were </w:t>
      </w:r>
      <w:r w:rsidR="008656AA" w:rsidRPr="000C507A">
        <w:t>more</w:t>
      </w:r>
      <w:r w:rsidR="008656AA">
        <w:t xml:space="preserve"> focused</w:t>
      </w:r>
      <w:r w:rsidR="008656AA" w:rsidRPr="000C507A">
        <w:t xml:space="preserve"> </w:t>
      </w:r>
      <w:r>
        <w:t xml:space="preserve">on </w:t>
      </w:r>
      <w:r w:rsidR="00470C36">
        <w:t>progress to improve clinical quality</w:t>
      </w:r>
      <w:r w:rsidR="00BC63FD">
        <w:t>,</w:t>
      </w:r>
      <w:r w:rsidR="008656AA" w:rsidRPr="000C507A">
        <w:t xml:space="preserve"> </w:t>
      </w:r>
      <w:r w:rsidR="008656AA">
        <w:t xml:space="preserve">as opposed to </w:t>
      </w:r>
      <w:r w:rsidR="008656AA" w:rsidRPr="000C507A">
        <w:t>the dilemmas and issues facing the service.</w:t>
      </w:r>
    </w:p>
    <w:p w14:paraId="6B6E9CC7" w14:textId="77777777" w:rsidR="008656AA" w:rsidRPr="000C507A" w:rsidRDefault="0023666B" w:rsidP="008656AA">
      <w:pPr>
        <w:rPr>
          <w:rFonts w:cs="Arial"/>
          <w:color w:val="000000"/>
        </w:rPr>
      </w:pPr>
      <w:r>
        <w:t xml:space="preserve">Relationships between </w:t>
      </w:r>
      <w:r w:rsidR="004B39BE">
        <w:t>MHAS</w:t>
      </w:r>
      <w:r>
        <w:t xml:space="preserve"> nursing leaders and the wider DHB leadership network </w:t>
      </w:r>
      <w:r w:rsidR="00DE57CD">
        <w:t xml:space="preserve">were </w:t>
      </w:r>
      <w:r>
        <w:t>not fostered at this time</w:t>
      </w:r>
      <w:r w:rsidR="00DE57CD">
        <w:t>,</w:t>
      </w:r>
      <w:r>
        <w:t xml:space="preserve"> </w:t>
      </w:r>
      <w:r w:rsidR="00DE57CD">
        <w:t xml:space="preserve">meaning that </w:t>
      </w:r>
      <w:r w:rsidR="008656AA">
        <w:t xml:space="preserve">professional nursing input into clinical care and service design decisions </w:t>
      </w:r>
      <w:r w:rsidR="00DE57CD">
        <w:t xml:space="preserve">became </w:t>
      </w:r>
      <w:r w:rsidR="008656AA">
        <w:t>challenging</w:t>
      </w:r>
      <w:r>
        <w:t xml:space="preserve">. The </w:t>
      </w:r>
      <w:r w:rsidR="00EF31E3">
        <w:t xml:space="preserve">importance of </w:t>
      </w:r>
      <w:r w:rsidR="008656AA">
        <w:t>mental health nurse leaders’ connections with the wider DHB nursing structure</w:t>
      </w:r>
      <w:r>
        <w:t xml:space="preserve"> </w:t>
      </w:r>
      <w:r w:rsidR="00EF31E3">
        <w:t xml:space="preserve">has been </w:t>
      </w:r>
      <w:r w:rsidR="001B4C07">
        <w:t xml:space="preserve">reconstituted and strengthened </w:t>
      </w:r>
      <w:r w:rsidR="00EF31E3">
        <w:t xml:space="preserve">in the six months since </w:t>
      </w:r>
      <w:r w:rsidR="00B46297">
        <w:t>the Inspection commenced</w:t>
      </w:r>
      <w:r w:rsidR="008656AA">
        <w:t xml:space="preserve">. </w:t>
      </w:r>
    </w:p>
    <w:p w14:paraId="0D817B6D" w14:textId="77777777" w:rsidR="008656AA" w:rsidRDefault="008656AA" w:rsidP="008656AA">
      <w:pPr>
        <w:pStyle w:val="Heading1"/>
      </w:pPr>
      <w:bookmarkStart w:id="41" w:name="_Toc448394353"/>
      <w:r w:rsidRPr="000C507A">
        <w:t xml:space="preserve">Service </w:t>
      </w:r>
      <w:r w:rsidR="00DE57CD">
        <w:t>p</w:t>
      </w:r>
      <w:r w:rsidRPr="000C507A">
        <w:t xml:space="preserve">lanning, </w:t>
      </w:r>
      <w:r w:rsidR="00DE57CD">
        <w:t>c</w:t>
      </w:r>
      <w:r w:rsidRPr="000C507A">
        <w:t xml:space="preserve">are </w:t>
      </w:r>
      <w:r w:rsidR="00DE57CD">
        <w:t>p</w:t>
      </w:r>
      <w:r w:rsidRPr="000C507A">
        <w:t xml:space="preserve">lanning and </w:t>
      </w:r>
      <w:r w:rsidR="00DE57CD">
        <w:t>p</w:t>
      </w:r>
      <w:r w:rsidRPr="000C507A">
        <w:t>athways</w:t>
      </w:r>
      <w:bookmarkEnd w:id="41"/>
    </w:p>
    <w:p w14:paraId="3B68C543" w14:textId="77777777" w:rsidR="008656AA" w:rsidRPr="000C507A" w:rsidRDefault="008656AA" w:rsidP="008656AA">
      <w:pPr>
        <w:pStyle w:val="Heading2"/>
      </w:pPr>
      <w:bookmarkStart w:id="42" w:name="_Ref432537908"/>
      <w:bookmarkStart w:id="43" w:name="_Toc448394354"/>
      <w:r w:rsidRPr="000C507A">
        <w:t xml:space="preserve">Integrated </w:t>
      </w:r>
      <w:r w:rsidR="00DE57CD">
        <w:t>c</w:t>
      </w:r>
      <w:r w:rsidRPr="000C507A">
        <w:t xml:space="preserve">are </w:t>
      </w:r>
      <w:r w:rsidR="00DE57CD">
        <w:t>p</w:t>
      </w:r>
      <w:r w:rsidRPr="000C507A">
        <w:t>athway</w:t>
      </w:r>
      <w:bookmarkEnd w:id="42"/>
      <w:bookmarkEnd w:id="43"/>
    </w:p>
    <w:p w14:paraId="3D646BD0" w14:textId="77777777" w:rsidR="008656AA" w:rsidRDefault="008656AA" w:rsidP="008656AA">
      <w:r w:rsidRPr="000C507A">
        <w:t xml:space="preserve">The </w:t>
      </w:r>
      <w:r>
        <w:t>s</w:t>
      </w:r>
      <w:r w:rsidRPr="000C507A">
        <w:t xml:space="preserve">ervice has been implementing an </w:t>
      </w:r>
      <w:r w:rsidR="00DE57CD">
        <w:t>i</w:t>
      </w:r>
      <w:r w:rsidRPr="000C507A">
        <w:t xml:space="preserve">ntegrated </w:t>
      </w:r>
      <w:r w:rsidR="00DE57CD">
        <w:t>c</w:t>
      </w:r>
      <w:r w:rsidRPr="000C507A">
        <w:t xml:space="preserve">are </w:t>
      </w:r>
      <w:r w:rsidR="00DE57CD">
        <w:t>p</w:t>
      </w:r>
      <w:r w:rsidRPr="000C507A">
        <w:t xml:space="preserve">athway (ICP). This originated out of </w:t>
      </w:r>
      <w:r w:rsidRPr="000C507A">
        <w:rPr>
          <w:i/>
        </w:rPr>
        <w:t>A Time for Change</w:t>
      </w:r>
      <w:r w:rsidR="00DE57CD">
        <w:t>,</w:t>
      </w:r>
      <w:r w:rsidRPr="000C507A">
        <w:t xml:space="preserve"> and </w:t>
      </w:r>
      <w:r w:rsidR="00DE57CD">
        <w:t xml:space="preserve">is </w:t>
      </w:r>
      <w:r w:rsidRPr="000C507A">
        <w:t xml:space="preserve">central to the transformation into a more integrated service. </w:t>
      </w:r>
      <w:r>
        <w:t xml:space="preserve">The </w:t>
      </w:r>
      <w:r w:rsidR="00DE57CD">
        <w:t xml:space="preserve">service advised the Inspection </w:t>
      </w:r>
      <w:r w:rsidR="001C1DCB">
        <w:t>T</w:t>
      </w:r>
      <w:r>
        <w:t>eam</w:t>
      </w:r>
      <w:r w:rsidRPr="000C507A">
        <w:t xml:space="preserve"> </w:t>
      </w:r>
      <w:r w:rsidR="00DE57CD">
        <w:t xml:space="preserve">that </w:t>
      </w:r>
      <w:r w:rsidRPr="000C507A">
        <w:t xml:space="preserve">there had been good initial consultation over </w:t>
      </w:r>
      <w:r>
        <w:t>the ICP</w:t>
      </w:r>
      <w:r w:rsidRPr="000C507A">
        <w:t xml:space="preserve"> development.  </w:t>
      </w:r>
    </w:p>
    <w:p w14:paraId="5088E78C" w14:textId="77777777" w:rsidR="00E401E6" w:rsidRDefault="008656AA" w:rsidP="008656AA">
      <w:r w:rsidRPr="000C507A">
        <w:t xml:space="preserve">The approach set out in the </w:t>
      </w:r>
      <w:r>
        <w:t xml:space="preserve">ICP </w:t>
      </w:r>
      <w:r w:rsidRPr="000C507A">
        <w:t>document appears consistent with contemporary practice</w:t>
      </w:r>
      <w:r w:rsidR="00DE57CD">
        <w:t>. It</w:t>
      </w:r>
      <w:r w:rsidRPr="000C507A">
        <w:t xml:space="preserve"> </w:t>
      </w:r>
      <w:r>
        <w:t>wa</w:t>
      </w:r>
      <w:r w:rsidRPr="000C507A">
        <w:t xml:space="preserve">s designed to reduce clinical variation and improve the movement </w:t>
      </w:r>
      <w:r w:rsidRPr="002E5C4E">
        <w:t xml:space="preserve">through the system </w:t>
      </w:r>
      <w:r w:rsidRPr="000C507A">
        <w:t xml:space="preserve">of people accessing the services. </w:t>
      </w:r>
      <w:r w:rsidR="00DE57CD">
        <w:t xml:space="preserve">Staff raised some </w:t>
      </w:r>
      <w:r w:rsidRPr="000C507A">
        <w:t xml:space="preserve">issues </w:t>
      </w:r>
      <w:r>
        <w:t xml:space="preserve">about the ICP </w:t>
      </w:r>
      <w:r w:rsidR="00DE57CD">
        <w:t xml:space="preserve">with the Inspection Team, but these </w:t>
      </w:r>
      <w:r w:rsidRPr="000C507A">
        <w:t xml:space="preserve">were </w:t>
      </w:r>
      <w:r w:rsidR="00DE57CD">
        <w:t xml:space="preserve">more </w:t>
      </w:r>
      <w:r w:rsidRPr="000C507A">
        <w:t>about implement</w:t>
      </w:r>
      <w:r w:rsidR="00DE57CD">
        <w:t>ation</w:t>
      </w:r>
      <w:r w:rsidRPr="000C507A">
        <w:t xml:space="preserve"> than </w:t>
      </w:r>
      <w:r w:rsidR="00DE57CD">
        <w:t xml:space="preserve">underlying </w:t>
      </w:r>
      <w:r w:rsidRPr="000C507A">
        <w:t>principles.</w:t>
      </w:r>
    </w:p>
    <w:p w14:paraId="2F27CFA9" w14:textId="77777777" w:rsidR="00A21F9D" w:rsidRDefault="00A21F9D" w:rsidP="00A21F9D">
      <w:r>
        <w:t>The service has</w:t>
      </w:r>
      <w:r w:rsidRPr="000C507A">
        <w:t xml:space="preserve"> continued to develop documentation </w:t>
      </w:r>
      <w:r w:rsidR="00DE57CD">
        <w:t xml:space="preserve">of the ICP. At the time of the inspection, it </w:t>
      </w:r>
      <w:r w:rsidRPr="000C507A">
        <w:t xml:space="preserve">had </w:t>
      </w:r>
      <w:r w:rsidR="00DE57CD">
        <w:t xml:space="preserve">started to establish </w:t>
      </w:r>
      <w:r w:rsidRPr="000C507A">
        <w:t>the role various disciplines would play</w:t>
      </w:r>
      <w:r>
        <w:t xml:space="preserve"> in </w:t>
      </w:r>
      <w:r w:rsidR="00DE57CD">
        <w:t>the ICP</w:t>
      </w:r>
      <w:r w:rsidRPr="000C507A">
        <w:t>.</w:t>
      </w:r>
      <w:r w:rsidRPr="00B0050D">
        <w:t xml:space="preserve"> </w:t>
      </w:r>
      <w:r>
        <w:t>Some</w:t>
      </w:r>
      <w:r w:rsidRPr="000C507A">
        <w:t xml:space="preserve"> </w:t>
      </w:r>
      <w:r>
        <w:t xml:space="preserve">staff </w:t>
      </w:r>
      <w:r w:rsidRPr="000C507A">
        <w:t>thought</w:t>
      </w:r>
      <w:r>
        <w:t xml:space="preserve"> the approach was</w:t>
      </w:r>
      <w:r w:rsidRPr="000C507A">
        <w:t xml:space="preserve"> too generic and </w:t>
      </w:r>
      <w:r>
        <w:t>rigid</w:t>
      </w:r>
      <w:r w:rsidR="00DE57CD">
        <w:t>:</w:t>
      </w:r>
      <w:r>
        <w:t xml:space="preserve"> </w:t>
      </w:r>
      <w:r w:rsidRPr="000C507A">
        <w:t>a production</w:t>
      </w:r>
      <w:r w:rsidR="00DE57CD">
        <w:t>-</w:t>
      </w:r>
      <w:r w:rsidRPr="000C507A">
        <w:t>line approach</w:t>
      </w:r>
      <w:r w:rsidRPr="00E27CA7">
        <w:t xml:space="preserve"> </w:t>
      </w:r>
      <w:r w:rsidRPr="000C507A">
        <w:t xml:space="preserve">that </w:t>
      </w:r>
      <w:r w:rsidR="00DE57CD">
        <w:t xml:space="preserve">was </w:t>
      </w:r>
      <w:r w:rsidRPr="000C507A">
        <w:t>not flexibl</w:t>
      </w:r>
      <w:r w:rsidR="00DE57CD">
        <w:t>e</w:t>
      </w:r>
      <w:r w:rsidRPr="000C507A">
        <w:t xml:space="preserve"> </w:t>
      </w:r>
      <w:r w:rsidR="00DE57CD">
        <w:t xml:space="preserve">enough </w:t>
      </w:r>
      <w:r>
        <w:t>for</w:t>
      </w:r>
      <w:r w:rsidRPr="000C507A">
        <w:t xml:space="preserve"> </w:t>
      </w:r>
      <w:r>
        <w:t xml:space="preserve">individuals and their </w:t>
      </w:r>
      <w:proofErr w:type="spellStart"/>
      <w:r>
        <w:t>whānau</w:t>
      </w:r>
      <w:proofErr w:type="spellEnd"/>
      <w:r>
        <w:t xml:space="preserve">. </w:t>
      </w:r>
      <w:r w:rsidR="00DE57CD">
        <w:t>Some expressed a</w:t>
      </w:r>
      <w:r>
        <w:t xml:space="preserve"> view that the ICP needed</w:t>
      </w:r>
      <w:r w:rsidRPr="000C507A">
        <w:t xml:space="preserve"> to be </w:t>
      </w:r>
      <w:r>
        <w:t>refined</w:t>
      </w:r>
      <w:r w:rsidRPr="000C507A">
        <w:t xml:space="preserve"> to</w:t>
      </w:r>
      <w:r>
        <w:t xml:space="preserve"> better represent</w:t>
      </w:r>
      <w:r w:rsidRPr="000C507A">
        <w:t xml:space="preserve"> specific client groups and issues.</w:t>
      </w:r>
    </w:p>
    <w:p w14:paraId="25564C28" w14:textId="77777777" w:rsidR="005C2805" w:rsidRPr="000C507A" w:rsidRDefault="005C2805" w:rsidP="005C2805">
      <w:pPr>
        <w:pStyle w:val="Heading2"/>
      </w:pPr>
      <w:bookmarkStart w:id="44" w:name="_Toc448394355"/>
      <w:r w:rsidRPr="000C507A">
        <w:t xml:space="preserve">Circle of </w:t>
      </w:r>
      <w:r w:rsidR="00DE57CD">
        <w:t>c</w:t>
      </w:r>
      <w:r w:rsidRPr="000C507A">
        <w:t>are</w:t>
      </w:r>
      <w:bookmarkEnd w:id="44"/>
    </w:p>
    <w:p w14:paraId="7AB45220" w14:textId="77777777" w:rsidR="00AD44FF" w:rsidRDefault="006920A0" w:rsidP="006920A0">
      <w:r w:rsidRPr="000C507A">
        <w:t>Central to the roll</w:t>
      </w:r>
      <w:r w:rsidR="00DE57CD">
        <w:t>-</w:t>
      </w:r>
      <w:r w:rsidRPr="000C507A">
        <w:t xml:space="preserve">out of the ICP has been the concept of a </w:t>
      </w:r>
      <w:r w:rsidR="00DE57CD">
        <w:t>c</w:t>
      </w:r>
      <w:r w:rsidRPr="000C507A">
        <w:t xml:space="preserve">ircle of </w:t>
      </w:r>
      <w:r w:rsidR="00DE57CD">
        <w:t>c</w:t>
      </w:r>
      <w:r w:rsidRPr="000C507A">
        <w:t>are</w:t>
      </w:r>
      <w:r>
        <w:t>, especially within the inpatient environment</w:t>
      </w:r>
      <w:r w:rsidRPr="000C507A">
        <w:t xml:space="preserve">. </w:t>
      </w:r>
      <w:r w:rsidR="00DE57CD">
        <w:t xml:space="preserve">A circle of care is </w:t>
      </w:r>
      <w:r w:rsidRPr="000C507A">
        <w:t xml:space="preserve">in essence a full meeting of the relevant </w:t>
      </w:r>
      <w:r w:rsidR="00DE57CD">
        <w:t>multidisciplinary team (</w:t>
      </w:r>
      <w:r>
        <w:t>MDT</w:t>
      </w:r>
      <w:r w:rsidR="00DE57CD">
        <w:t>)</w:t>
      </w:r>
      <w:r w:rsidRPr="000C507A">
        <w:t xml:space="preserve"> involved in a person’s care wi</w:t>
      </w:r>
      <w:r>
        <w:t xml:space="preserve">th the person and their </w:t>
      </w:r>
      <w:proofErr w:type="spellStart"/>
      <w:r>
        <w:t>whānau</w:t>
      </w:r>
      <w:proofErr w:type="spellEnd"/>
      <w:r>
        <w:t xml:space="preserve">. </w:t>
      </w:r>
    </w:p>
    <w:p w14:paraId="72BF8D48" w14:textId="77777777" w:rsidR="00AD44FF" w:rsidRDefault="00123EE0" w:rsidP="006920A0">
      <w:r>
        <w:t>The service’s documentation describes it thus: ‘</w:t>
      </w:r>
      <w:r w:rsidRPr="008D42D9">
        <w:t>The Circle of Care is the term that refers to the various people involved in the community/ inpatient intervention cycle, inclusive of service user, family</w:t>
      </w:r>
      <w:r w:rsidR="00DD4F72">
        <w:t>/</w:t>
      </w:r>
      <w:proofErr w:type="spellStart"/>
      <w:r>
        <w:t>whānau</w:t>
      </w:r>
      <w:proofErr w:type="spellEnd"/>
      <w:r w:rsidRPr="008D42D9">
        <w:t>, community agencies, and clinical and non-clinical staff.</w:t>
      </w:r>
      <w:r>
        <w:t xml:space="preserve">’ Staff the Inspection Team spoke to </w:t>
      </w:r>
      <w:proofErr w:type="gramStart"/>
      <w:r>
        <w:t>described</w:t>
      </w:r>
      <w:proofErr w:type="gramEnd"/>
      <w:r>
        <w:t xml:space="preserve"> the concept as a good one: it formalises the involvement of the family/</w:t>
      </w:r>
      <w:proofErr w:type="spellStart"/>
      <w:r>
        <w:t>whānau</w:t>
      </w:r>
      <w:proofErr w:type="spellEnd"/>
      <w:r>
        <w:t xml:space="preserve"> and service-user. </w:t>
      </w:r>
    </w:p>
    <w:p w14:paraId="399C0682" w14:textId="77777777" w:rsidR="006920A0" w:rsidRDefault="00123EE0" w:rsidP="006920A0">
      <w:r>
        <w:t>However, the implementation has been challenged by logistics</w:t>
      </w:r>
      <w:r w:rsidR="00D703BC">
        <w:t xml:space="preserve"> </w:t>
      </w:r>
      <w:r>
        <w:t>and other problems, including the speed of implementation.</w:t>
      </w:r>
      <w:r w:rsidR="006920A0">
        <w:t xml:space="preserve"> </w:t>
      </w:r>
      <w:r>
        <w:t xml:space="preserve">However, </w:t>
      </w:r>
      <w:r w:rsidR="006920A0">
        <w:t xml:space="preserve">at the time of the </w:t>
      </w:r>
      <w:r>
        <w:t>i</w:t>
      </w:r>
      <w:r w:rsidR="005C2805">
        <w:t>nspection</w:t>
      </w:r>
      <w:r w:rsidR="006920A0">
        <w:t xml:space="preserve"> </w:t>
      </w:r>
      <w:r>
        <w:t xml:space="preserve">the service was still embedding the concept in its practice, and was </w:t>
      </w:r>
      <w:r w:rsidR="006920A0">
        <w:t xml:space="preserve">subject to pressure to </w:t>
      </w:r>
      <w:r>
        <w:t xml:space="preserve">do so speedily, </w:t>
      </w:r>
      <w:r w:rsidR="006920A0">
        <w:t xml:space="preserve">due to external pressures. </w:t>
      </w:r>
      <w:r>
        <w:t>T</w:t>
      </w:r>
      <w:r w:rsidR="006920A0">
        <w:t>he Inspection Team</w:t>
      </w:r>
      <w:r>
        <w:t>’s analysis</w:t>
      </w:r>
      <w:r w:rsidR="006920A0">
        <w:t xml:space="preserve"> </w:t>
      </w:r>
      <w:r w:rsidR="00470C36">
        <w:t>need</w:t>
      </w:r>
      <w:r>
        <w:t>s</w:t>
      </w:r>
      <w:r w:rsidR="00470C36">
        <w:t xml:space="preserve"> </w:t>
      </w:r>
      <w:r w:rsidR="006920A0">
        <w:t>to be seen in this context.</w:t>
      </w:r>
    </w:p>
    <w:p w14:paraId="31B26CBD" w14:textId="77777777" w:rsidR="006920A0" w:rsidRDefault="006920A0" w:rsidP="006920A0">
      <w:r>
        <w:t xml:space="preserve">The team involved in the implementation of </w:t>
      </w:r>
      <w:r w:rsidR="00123EE0">
        <w:t>the c</w:t>
      </w:r>
      <w:r>
        <w:t xml:space="preserve">ircle of </w:t>
      </w:r>
      <w:r w:rsidR="00123EE0">
        <w:t>c</w:t>
      </w:r>
      <w:r>
        <w:t>are explained that</w:t>
      </w:r>
      <w:r w:rsidR="005D6030">
        <w:t xml:space="preserve"> </w:t>
      </w:r>
      <w:r w:rsidR="00D703BC">
        <w:t xml:space="preserve">management had </w:t>
      </w:r>
      <w:r>
        <w:t xml:space="preserve">asked </w:t>
      </w:r>
      <w:r w:rsidR="005D6030">
        <w:t xml:space="preserve">them </w:t>
      </w:r>
      <w:r>
        <w:t xml:space="preserve">to align it with </w:t>
      </w:r>
      <w:r w:rsidR="00470C36">
        <w:t xml:space="preserve">key </w:t>
      </w:r>
      <w:r>
        <w:t xml:space="preserve">transition points </w:t>
      </w:r>
      <w:r w:rsidR="00470C36">
        <w:t xml:space="preserve">in </w:t>
      </w:r>
      <w:r>
        <w:t xml:space="preserve">care. The model requires three meetings during </w:t>
      </w:r>
      <w:r w:rsidR="005D6030">
        <w:t xml:space="preserve">an </w:t>
      </w:r>
      <w:r>
        <w:t>inpatient stay, the first to be set up within 24 hours and occur within 72 hours. The</w:t>
      </w:r>
      <w:r w:rsidR="005D6030">
        <w:t>se</w:t>
      </w:r>
      <w:r>
        <w:t xml:space="preserve"> tight timeframes placed burdens on ward and community staff. Key workers </w:t>
      </w:r>
      <w:r w:rsidR="005D6030">
        <w:t xml:space="preserve">and </w:t>
      </w:r>
      <w:r>
        <w:t xml:space="preserve">families </w:t>
      </w:r>
      <w:r w:rsidR="005D6030">
        <w:t xml:space="preserve">faced problems in terms of </w:t>
      </w:r>
      <w:r>
        <w:t xml:space="preserve">the need to travel large distances to attend </w:t>
      </w:r>
      <w:r>
        <w:lastRenderedPageBreak/>
        <w:t xml:space="preserve">meetings. </w:t>
      </w:r>
      <w:r w:rsidR="005D6030">
        <w:t>V</w:t>
      </w:r>
      <w:r>
        <w:t>ideoconferencing</w:t>
      </w:r>
      <w:r w:rsidR="005D6030">
        <w:t>,</w:t>
      </w:r>
      <w:r>
        <w:t xml:space="preserve"> </w:t>
      </w:r>
      <w:r w:rsidR="005D6030">
        <w:t xml:space="preserve">which </w:t>
      </w:r>
      <w:r>
        <w:t>might have allowed more options</w:t>
      </w:r>
      <w:r w:rsidR="005D6030">
        <w:t>, was not always available</w:t>
      </w:r>
      <w:r>
        <w:t>.</w:t>
      </w:r>
    </w:p>
    <w:p w14:paraId="25025B64" w14:textId="77777777" w:rsidR="006920A0" w:rsidRDefault="005D6030" w:rsidP="006920A0">
      <w:r>
        <w:t xml:space="preserve">Staff told the Inspection Team that there had been instances in which </w:t>
      </w:r>
      <w:r w:rsidR="006920A0">
        <w:t xml:space="preserve">people </w:t>
      </w:r>
      <w:r w:rsidR="001E33ED">
        <w:t xml:space="preserve">had been </w:t>
      </w:r>
      <w:r w:rsidR="006920A0">
        <w:t xml:space="preserve">acutely unwell </w:t>
      </w:r>
      <w:r w:rsidR="001E33ED">
        <w:t xml:space="preserve">at the time the first meeting was required, </w:t>
      </w:r>
      <w:r w:rsidR="006920A0">
        <w:t xml:space="preserve">and </w:t>
      </w:r>
      <w:r w:rsidR="001E33ED">
        <w:t xml:space="preserve">had </w:t>
      </w:r>
      <w:r w:rsidR="006920A0">
        <w:t>not want</w:t>
      </w:r>
      <w:r w:rsidR="001E33ED">
        <w:t>ed</w:t>
      </w:r>
      <w:r w:rsidR="006920A0">
        <w:t xml:space="preserve"> family involvement. </w:t>
      </w:r>
    </w:p>
    <w:p w14:paraId="6678BECD" w14:textId="77777777" w:rsidR="006920A0" w:rsidRDefault="006920A0" w:rsidP="006920A0">
      <w:r>
        <w:t xml:space="preserve">The </w:t>
      </w:r>
      <w:r w:rsidR="001E33ED">
        <w:t xml:space="preserve">responsibility for </w:t>
      </w:r>
      <w:r>
        <w:t xml:space="preserve">initial implementation of </w:t>
      </w:r>
      <w:r w:rsidR="001E33ED">
        <w:t>the c</w:t>
      </w:r>
      <w:r>
        <w:t xml:space="preserve">ircle of </w:t>
      </w:r>
      <w:r w:rsidR="001E33ED">
        <w:t>c</w:t>
      </w:r>
      <w:r>
        <w:t xml:space="preserve">are </w:t>
      </w:r>
      <w:r w:rsidR="001E33ED">
        <w:t xml:space="preserve">seemed to fall on </w:t>
      </w:r>
      <w:r>
        <w:t>social worker</w:t>
      </w:r>
      <w:r w:rsidR="001E33ED">
        <w:t xml:space="preserve">s and, where there were </w:t>
      </w:r>
      <w:r>
        <w:t>staff vacancies</w:t>
      </w:r>
      <w:r w:rsidR="001E33ED">
        <w:t>,</w:t>
      </w:r>
      <w:r>
        <w:t xml:space="preserve"> occupational therapist</w:t>
      </w:r>
      <w:r w:rsidR="001E33ED">
        <w:t>s</w:t>
      </w:r>
      <w:r>
        <w:t xml:space="preserve">. </w:t>
      </w:r>
      <w:r w:rsidR="001E33ED">
        <w:t xml:space="preserve">Some staff asked </w:t>
      </w:r>
      <w:r>
        <w:t xml:space="preserve">why nurses were not encouraged to attend the </w:t>
      </w:r>
      <w:r w:rsidR="001E33ED">
        <w:t>c</w:t>
      </w:r>
      <w:r>
        <w:t xml:space="preserve">ircle of </w:t>
      </w:r>
      <w:r w:rsidR="001E33ED">
        <w:t>c</w:t>
      </w:r>
      <w:r>
        <w:t>are training programs.</w:t>
      </w:r>
    </w:p>
    <w:p w14:paraId="413CB682" w14:textId="77777777" w:rsidR="00182FFD" w:rsidRDefault="00182FFD" w:rsidP="00182FFD">
      <w:pPr>
        <w:pStyle w:val="Heading2"/>
        <w:rPr>
          <w:lang w:val="en-NZ"/>
        </w:rPr>
      </w:pPr>
      <w:bookmarkStart w:id="45" w:name="_Toc448394356"/>
      <w:r>
        <w:rPr>
          <w:lang w:val="en-NZ"/>
        </w:rPr>
        <w:t xml:space="preserve">Change </w:t>
      </w:r>
      <w:r w:rsidR="002B21CE">
        <w:rPr>
          <w:lang w:val="en-NZ"/>
        </w:rPr>
        <w:t>p</w:t>
      </w:r>
      <w:r>
        <w:rPr>
          <w:lang w:val="en-NZ"/>
        </w:rPr>
        <w:t xml:space="preserve">rogramme and </w:t>
      </w:r>
      <w:r w:rsidR="002B21CE">
        <w:rPr>
          <w:lang w:val="en-NZ"/>
        </w:rPr>
        <w:t>p</w:t>
      </w:r>
      <w:r>
        <w:rPr>
          <w:lang w:val="en-NZ"/>
        </w:rPr>
        <w:t>rocess</w:t>
      </w:r>
      <w:bookmarkEnd w:id="45"/>
    </w:p>
    <w:p w14:paraId="5132729E" w14:textId="77777777" w:rsidR="00182FFD" w:rsidRDefault="001E33ED" w:rsidP="00182FFD">
      <w:pPr>
        <w:rPr>
          <w:lang w:val="en-NZ"/>
        </w:rPr>
      </w:pPr>
      <w:r>
        <w:rPr>
          <w:lang w:val="en-NZ"/>
        </w:rPr>
        <w:t xml:space="preserve">In </w:t>
      </w:r>
      <w:r w:rsidR="00182FFD">
        <w:rPr>
          <w:lang w:val="en-NZ"/>
        </w:rPr>
        <w:t>general</w:t>
      </w:r>
      <w:r>
        <w:rPr>
          <w:lang w:val="en-NZ"/>
        </w:rPr>
        <w:t>, staff told the Inspection Team</w:t>
      </w:r>
      <w:r w:rsidR="00182FFD">
        <w:rPr>
          <w:lang w:val="en-NZ"/>
        </w:rPr>
        <w:t xml:space="preserve"> that the direction set out in </w:t>
      </w:r>
      <w:r w:rsidR="00182FFD">
        <w:rPr>
          <w:i/>
          <w:lang w:val="en-NZ"/>
        </w:rPr>
        <w:t>A Time for Change</w:t>
      </w:r>
      <w:r w:rsidR="00182FFD">
        <w:rPr>
          <w:lang w:val="en-NZ"/>
        </w:rPr>
        <w:t xml:space="preserve"> was appropriate. Staff spoke about the </w:t>
      </w:r>
      <w:r w:rsidR="001B4C07">
        <w:rPr>
          <w:lang w:val="en-NZ"/>
        </w:rPr>
        <w:t>early</w:t>
      </w:r>
      <w:r w:rsidR="00182FFD">
        <w:rPr>
          <w:lang w:val="en-NZ"/>
        </w:rPr>
        <w:t xml:space="preserve"> involvement and engagement </w:t>
      </w:r>
      <w:r>
        <w:rPr>
          <w:lang w:val="en-NZ"/>
        </w:rPr>
        <w:t xml:space="preserve">in the process </w:t>
      </w:r>
      <w:r w:rsidR="00182FFD">
        <w:rPr>
          <w:lang w:val="en-NZ"/>
        </w:rPr>
        <w:t xml:space="preserve">as positive. They reported: </w:t>
      </w:r>
      <w:r>
        <w:rPr>
          <w:lang w:val="en-NZ"/>
        </w:rPr>
        <w:t>‘</w:t>
      </w:r>
      <w:r w:rsidR="00182FFD">
        <w:rPr>
          <w:lang w:val="en-NZ"/>
        </w:rPr>
        <w:t>lots of focus groups</w:t>
      </w:r>
      <w:r>
        <w:rPr>
          <w:lang w:val="en-NZ"/>
        </w:rPr>
        <w:t>’</w:t>
      </w:r>
      <w:r w:rsidR="00182FFD">
        <w:rPr>
          <w:lang w:val="en-NZ"/>
        </w:rPr>
        <w:t xml:space="preserve">, </w:t>
      </w:r>
      <w:r>
        <w:rPr>
          <w:lang w:val="en-NZ"/>
        </w:rPr>
        <w:t>a direction that went ‘</w:t>
      </w:r>
      <w:r w:rsidR="00182FFD">
        <w:rPr>
          <w:lang w:val="en-NZ"/>
        </w:rPr>
        <w:t>back to our roots</w:t>
      </w:r>
      <w:r>
        <w:rPr>
          <w:lang w:val="en-NZ"/>
        </w:rPr>
        <w:t>’</w:t>
      </w:r>
      <w:r w:rsidR="00182FFD">
        <w:rPr>
          <w:lang w:val="en-NZ"/>
        </w:rPr>
        <w:t>, lots of energy</w:t>
      </w:r>
      <w:r w:rsidR="001B4C07">
        <w:rPr>
          <w:lang w:val="en-NZ"/>
        </w:rPr>
        <w:t xml:space="preserve"> </w:t>
      </w:r>
      <w:r>
        <w:rPr>
          <w:lang w:val="en-NZ"/>
        </w:rPr>
        <w:t xml:space="preserve">and </w:t>
      </w:r>
      <w:r w:rsidR="001B4C07">
        <w:rPr>
          <w:lang w:val="en-NZ"/>
        </w:rPr>
        <w:t>good</w:t>
      </w:r>
      <w:r w:rsidR="00182FFD" w:rsidRPr="00E465D2">
        <w:rPr>
          <w:lang w:val="en-NZ"/>
        </w:rPr>
        <w:t xml:space="preserve"> consumer and family support.</w:t>
      </w:r>
      <w:r w:rsidR="00182FFD">
        <w:rPr>
          <w:lang w:val="en-NZ"/>
        </w:rPr>
        <w:t xml:space="preserve"> Some felt that </w:t>
      </w:r>
      <w:r w:rsidR="003A05A1">
        <w:rPr>
          <w:lang w:val="en-NZ"/>
        </w:rPr>
        <w:t xml:space="preserve">a key </w:t>
      </w:r>
      <w:r w:rsidR="00182FFD">
        <w:rPr>
          <w:lang w:val="en-NZ"/>
        </w:rPr>
        <w:t>issue</w:t>
      </w:r>
      <w:r w:rsidR="003A05A1">
        <w:rPr>
          <w:lang w:val="en-NZ"/>
        </w:rPr>
        <w:t xml:space="preserve"> with </w:t>
      </w:r>
      <w:r w:rsidR="003A05A1">
        <w:rPr>
          <w:i/>
          <w:lang w:val="en-NZ"/>
        </w:rPr>
        <w:t>A Time for Change</w:t>
      </w:r>
      <w:r w:rsidR="00182FFD">
        <w:rPr>
          <w:lang w:val="en-NZ"/>
        </w:rPr>
        <w:t xml:space="preserve"> was that </w:t>
      </w:r>
      <w:proofErr w:type="gramStart"/>
      <w:r w:rsidR="00182FFD" w:rsidRPr="00E465D2">
        <w:rPr>
          <w:lang w:val="en-NZ"/>
        </w:rPr>
        <w:t>staff were</w:t>
      </w:r>
      <w:proofErr w:type="gramEnd"/>
      <w:r w:rsidR="00182FFD" w:rsidRPr="00E465D2">
        <w:rPr>
          <w:lang w:val="en-NZ"/>
        </w:rPr>
        <w:t xml:space="preserve"> involved in</w:t>
      </w:r>
      <w:r w:rsidR="00AC6303">
        <w:rPr>
          <w:lang w:val="en-NZ"/>
        </w:rPr>
        <w:t xml:space="preserve"> its</w:t>
      </w:r>
      <w:r w:rsidR="00182FFD" w:rsidRPr="00E465D2">
        <w:rPr>
          <w:lang w:val="en-NZ"/>
        </w:rPr>
        <w:t xml:space="preserve"> design but not in how it was managed.</w:t>
      </w:r>
    </w:p>
    <w:p w14:paraId="1763E5A0" w14:textId="77777777" w:rsidR="00182FFD" w:rsidRDefault="001E33ED" w:rsidP="00182FFD">
      <w:pPr>
        <w:rPr>
          <w:lang w:val="en-NZ"/>
        </w:rPr>
      </w:pPr>
      <w:r>
        <w:rPr>
          <w:lang w:val="en-NZ"/>
        </w:rPr>
        <w:t xml:space="preserve">Staff made </w:t>
      </w:r>
      <w:r w:rsidR="001B4C07">
        <w:rPr>
          <w:lang w:val="en-NZ"/>
        </w:rPr>
        <w:t>similar</w:t>
      </w:r>
      <w:r w:rsidR="00182FFD">
        <w:rPr>
          <w:lang w:val="en-NZ"/>
        </w:rPr>
        <w:t xml:space="preserve"> comments </w:t>
      </w:r>
      <w:r>
        <w:rPr>
          <w:lang w:val="en-NZ"/>
        </w:rPr>
        <w:t xml:space="preserve">about </w:t>
      </w:r>
      <w:r w:rsidR="00182FFD">
        <w:rPr>
          <w:lang w:val="en-NZ"/>
        </w:rPr>
        <w:t xml:space="preserve">the ICP. The consensus was that </w:t>
      </w:r>
      <w:r w:rsidR="00182FFD" w:rsidRPr="00E465D2">
        <w:rPr>
          <w:lang w:val="en-NZ"/>
        </w:rPr>
        <w:t xml:space="preserve">the direction of streamlining of the IPC for consistency, quality and safety </w:t>
      </w:r>
      <w:r w:rsidR="00182FFD">
        <w:rPr>
          <w:lang w:val="en-NZ"/>
        </w:rPr>
        <w:t>was</w:t>
      </w:r>
      <w:r w:rsidR="00182FFD" w:rsidRPr="00E465D2">
        <w:rPr>
          <w:lang w:val="en-NZ"/>
        </w:rPr>
        <w:t xml:space="preserve"> good</w:t>
      </w:r>
      <w:r w:rsidR="00182FFD">
        <w:rPr>
          <w:lang w:val="en-NZ"/>
        </w:rPr>
        <w:t>,</w:t>
      </w:r>
      <w:r w:rsidR="00182FFD" w:rsidRPr="00E465D2">
        <w:rPr>
          <w:lang w:val="en-NZ"/>
        </w:rPr>
        <w:t xml:space="preserve"> but </w:t>
      </w:r>
      <w:r>
        <w:rPr>
          <w:lang w:val="en-NZ"/>
        </w:rPr>
        <w:t xml:space="preserve">that there was an issue with </w:t>
      </w:r>
      <w:r w:rsidR="00182FFD">
        <w:rPr>
          <w:lang w:val="en-NZ"/>
        </w:rPr>
        <w:t>how it was being embedde</w:t>
      </w:r>
      <w:r w:rsidR="001B4C07">
        <w:rPr>
          <w:lang w:val="en-NZ"/>
        </w:rPr>
        <w:t>d and implemented.</w:t>
      </w:r>
    </w:p>
    <w:p w14:paraId="6E6CF6E0" w14:textId="77777777" w:rsidR="001B4C07" w:rsidRPr="000C507A" w:rsidRDefault="001B4C07" w:rsidP="001B4C07">
      <w:r>
        <w:t>It should be noted that the</w:t>
      </w:r>
      <w:r w:rsidR="001E33ED">
        <w:t xml:space="preserve"> service was still rolling out the</w:t>
      </w:r>
      <w:r>
        <w:t xml:space="preserve"> full ICP at the time of the </w:t>
      </w:r>
      <w:r w:rsidR="001E33ED">
        <w:t>i</w:t>
      </w:r>
      <w:r>
        <w:t xml:space="preserve">nspection. </w:t>
      </w:r>
      <w:r w:rsidR="001E33ED">
        <w:t xml:space="preserve">Certain aspects of the roll-out </w:t>
      </w:r>
      <w:r>
        <w:t>(</w:t>
      </w:r>
      <w:r w:rsidR="001E33ED">
        <w:t xml:space="preserve">particularly </w:t>
      </w:r>
      <w:r>
        <w:t xml:space="preserve">in the </w:t>
      </w:r>
      <w:r w:rsidR="001E33ED">
        <w:t xml:space="preserve">context of the </w:t>
      </w:r>
      <w:r>
        <w:t>inpatient environment) occurred more quickly than ideal</w:t>
      </w:r>
      <w:r w:rsidR="001E33ED">
        <w:t>,</w:t>
      </w:r>
      <w:r>
        <w:t xml:space="preserve"> at a time when the service was under pressure to respond to sustained external adverse attention. </w:t>
      </w:r>
      <w:r w:rsidR="001E33ED">
        <w:t xml:space="preserve">This </w:t>
      </w:r>
      <w:r>
        <w:t>no doubt contributed to some of the comments staff</w:t>
      </w:r>
      <w:r w:rsidR="001E33ED">
        <w:t xml:space="preserve"> made to the Inspection Team</w:t>
      </w:r>
      <w:r>
        <w:t>.</w:t>
      </w:r>
    </w:p>
    <w:p w14:paraId="6547E1B7" w14:textId="77777777" w:rsidR="001B4C07" w:rsidRDefault="001B4C07" w:rsidP="001B4C07">
      <w:pPr>
        <w:tabs>
          <w:tab w:val="left" w:pos="2604"/>
        </w:tabs>
        <w:rPr>
          <w:b/>
        </w:rPr>
      </w:pPr>
      <w:r w:rsidRPr="000C507A">
        <w:t>Some</w:t>
      </w:r>
      <w:r>
        <w:t xml:space="preserve"> staff</w:t>
      </w:r>
      <w:r w:rsidRPr="000C507A">
        <w:t xml:space="preserve"> thought the implementation</w:t>
      </w:r>
      <w:r>
        <w:t xml:space="preserve"> of the ICP </w:t>
      </w:r>
      <w:r w:rsidRPr="000C507A">
        <w:t>had been rushed</w:t>
      </w:r>
      <w:r>
        <w:t xml:space="preserve"> and under-resourced </w:t>
      </w:r>
      <w:r w:rsidRPr="000C507A">
        <w:t>in already stretched high</w:t>
      </w:r>
      <w:r>
        <w:t>-</w:t>
      </w:r>
      <w:r w:rsidRPr="000C507A">
        <w:t>volume service areas (</w:t>
      </w:r>
      <w:proofErr w:type="spellStart"/>
      <w:r w:rsidRPr="000C507A">
        <w:t>eg</w:t>
      </w:r>
      <w:proofErr w:type="spellEnd"/>
      <w:r w:rsidR="00B9245B">
        <w:t>,</w:t>
      </w:r>
      <w:r w:rsidRPr="000C507A">
        <w:t xml:space="preserve"> adult community teams).</w:t>
      </w:r>
    </w:p>
    <w:p w14:paraId="11AB0A84" w14:textId="77777777" w:rsidR="001B4C07" w:rsidRDefault="00B9245B" w:rsidP="001B4C07">
      <w:r>
        <w:t>S</w:t>
      </w:r>
      <w:r w:rsidR="001B4C07">
        <w:t xml:space="preserve">taff spoke </w:t>
      </w:r>
      <w:r>
        <w:t xml:space="preserve">to the Inspection Team </w:t>
      </w:r>
      <w:r w:rsidR="001B4C07">
        <w:t>about the sequencing of change</w:t>
      </w:r>
      <w:r w:rsidR="002E1917">
        <w:t>,</w:t>
      </w:r>
      <w:r w:rsidR="001B4C07">
        <w:t xml:space="preserve"> and the need to workshop implementation issues with front</w:t>
      </w:r>
      <w:r w:rsidR="009E4D1B">
        <w:t>-</w:t>
      </w:r>
      <w:r w:rsidR="001B4C07">
        <w:t xml:space="preserve">line staff to ensure that challenges were worked through. </w:t>
      </w:r>
      <w:r w:rsidR="00DD1946">
        <w:t>M</w:t>
      </w:r>
      <w:r w:rsidR="001B4C07">
        <w:t xml:space="preserve">any </w:t>
      </w:r>
      <w:r w:rsidR="00DD1946">
        <w:t xml:space="preserve">staff felt </w:t>
      </w:r>
      <w:r w:rsidR="001B4C07">
        <w:t xml:space="preserve">that the changes had been imposed without the option of </w:t>
      </w:r>
      <w:r w:rsidR="00DD1946">
        <w:t xml:space="preserve">staff </w:t>
      </w:r>
      <w:r w:rsidR="001B4C07">
        <w:t>involve</w:t>
      </w:r>
      <w:r w:rsidR="00DD1946">
        <w:t>ment</w:t>
      </w:r>
      <w:r w:rsidR="001B4C07">
        <w:t xml:space="preserve"> </w:t>
      </w:r>
      <w:r w:rsidR="00DD1946">
        <w:t xml:space="preserve">or the opportunity </w:t>
      </w:r>
      <w:r w:rsidR="001B4C07">
        <w:t>to make suggest</w:t>
      </w:r>
      <w:r w:rsidR="00DD1946">
        <w:t>ions</w:t>
      </w:r>
      <w:r w:rsidR="001B4C07">
        <w:t xml:space="preserve">. </w:t>
      </w:r>
      <w:r w:rsidR="000C080F">
        <w:t>A fine</w:t>
      </w:r>
      <w:r w:rsidR="00BE0BB4">
        <w:t xml:space="preserve"> balance needs to be struck between maintaining the momentum necessary to effe</w:t>
      </w:r>
      <w:r w:rsidR="000C080F">
        <w:t xml:space="preserve">ctively implement change and </w:t>
      </w:r>
      <w:r w:rsidR="003A68F2">
        <w:t xml:space="preserve">working at </w:t>
      </w:r>
      <w:r w:rsidR="000C080F">
        <w:t>a</w:t>
      </w:r>
      <w:r w:rsidR="00BE0BB4">
        <w:t xml:space="preserve"> pace that allows effective uptake. Some staff </w:t>
      </w:r>
      <w:r w:rsidR="000C080F">
        <w:t xml:space="preserve">commented that the pace of change had been too fast. </w:t>
      </w:r>
    </w:p>
    <w:p w14:paraId="69BF260B" w14:textId="77777777" w:rsidR="001B4C07" w:rsidRDefault="0067037E" w:rsidP="001B4C07">
      <w:pPr>
        <w:tabs>
          <w:tab w:val="left" w:pos="2604"/>
        </w:tabs>
        <w:rPr>
          <w:b/>
        </w:rPr>
      </w:pPr>
      <w:r>
        <w:t xml:space="preserve">It seemed </w:t>
      </w:r>
      <w:r w:rsidR="003A68F2">
        <w:t xml:space="preserve">to the Inspection Team that </w:t>
      </w:r>
      <w:r>
        <w:t>many staff</w:t>
      </w:r>
      <w:r w:rsidRPr="001B4C07">
        <w:t xml:space="preserve"> did</w:t>
      </w:r>
      <w:r w:rsidR="003A68F2">
        <w:t xml:space="preserve"> </w:t>
      </w:r>
      <w:r w:rsidRPr="001B4C07">
        <w:t>n</w:t>
      </w:r>
      <w:r w:rsidR="003A68F2">
        <w:t>o</w:t>
      </w:r>
      <w:r w:rsidRPr="001B4C07">
        <w:t xml:space="preserve">t understand </w:t>
      </w:r>
      <w:r>
        <w:t>or had failed to grasp the rationale behind certain changes</w:t>
      </w:r>
      <w:r w:rsidR="006057F9">
        <w:t>:</w:t>
      </w:r>
      <w:r>
        <w:t xml:space="preserve"> </w:t>
      </w:r>
      <w:r w:rsidR="006057F9">
        <w:t xml:space="preserve">they did not </w:t>
      </w:r>
      <w:r w:rsidRPr="001B4C07">
        <w:t>buy into concepts such as generic case management and standardisation</w:t>
      </w:r>
      <w:r>
        <w:t xml:space="preserve"> of practice.</w:t>
      </w:r>
      <w:r w:rsidRPr="0067037E">
        <w:t xml:space="preserve"> </w:t>
      </w:r>
      <w:r w:rsidR="00B412AB">
        <w:t>C</w:t>
      </w:r>
      <w:r>
        <w:t xml:space="preserve">onversations with staff </w:t>
      </w:r>
      <w:r w:rsidR="00B412AB">
        <w:t xml:space="preserve">revealed </w:t>
      </w:r>
      <w:r w:rsidRPr="000C507A">
        <w:t xml:space="preserve">differing understandings of </w:t>
      </w:r>
      <w:r>
        <w:t xml:space="preserve">the </w:t>
      </w:r>
      <w:r w:rsidR="00B412AB">
        <w:t xml:space="preserve">purpose of the </w:t>
      </w:r>
      <w:r>
        <w:t>ICP</w:t>
      </w:r>
      <w:r w:rsidRPr="000C507A">
        <w:t>.</w:t>
      </w:r>
      <w:r>
        <w:t xml:space="preserve"> </w:t>
      </w:r>
      <w:proofErr w:type="gramStart"/>
      <w:r w:rsidR="00B412AB">
        <w:t xml:space="preserve">This </w:t>
      </w:r>
      <w:r w:rsidR="001B4C07" w:rsidRPr="000C507A">
        <w:t>point</w:t>
      </w:r>
      <w:r w:rsidR="00B412AB">
        <w:t>s</w:t>
      </w:r>
      <w:proofErr w:type="gramEnd"/>
      <w:r w:rsidR="001B4C07" w:rsidRPr="000C507A">
        <w:t xml:space="preserve"> to implementation issues</w:t>
      </w:r>
      <w:r w:rsidR="00B412AB">
        <w:t>,</w:t>
      </w:r>
      <w:r w:rsidR="001B4C07" w:rsidRPr="000C507A">
        <w:t xml:space="preserve"> </w:t>
      </w:r>
      <w:r w:rsidR="00B412AB">
        <w:t xml:space="preserve">including the need to </w:t>
      </w:r>
      <w:r w:rsidR="001B4C07" w:rsidRPr="000C507A">
        <w:t>engage front</w:t>
      </w:r>
      <w:r w:rsidR="009E4D1B">
        <w:t>-</w:t>
      </w:r>
      <w:r w:rsidR="001B4C07" w:rsidRPr="000C507A">
        <w:t>line staff</w:t>
      </w:r>
      <w:r w:rsidR="001B4C07">
        <w:t>.</w:t>
      </w:r>
    </w:p>
    <w:p w14:paraId="652367C2" w14:textId="77777777" w:rsidR="001B4C07" w:rsidRPr="00E465D2" w:rsidRDefault="001B4C07" w:rsidP="001B4C07">
      <w:pPr>
        <w:rPr>
          <w:lang w:val="en-NZ"/>
        </w:rPr>
      </w:pPr>
      <w:r>
        <w:rPr>
          <w:lang w:val="en-NZ"/>
        </w:rPr>
        <w:t>S</w:t>
      </w:r>
      <w:r w:rsidR="00B412AB">
        <w:rPr>
          <w:lang w:val="en-NZ"/>
        </w:rPr>
        <w:t>taff s</w:t>
      </w:r>
      <w:r>
        <w:rPr>
          <w:lang w:val="en-NZ"/>
        </w:rPr>
        <w:t>uggest</w:t>
      </w:r>
      <w:r w:rsidR="00B412AB">
        <w:rPr>
          <w:lang w:val="en-NZ"/>
        </w:rPr>
        <w:t>ed</w:t>
      </w:r>
      <w:r w:rsidRPr="00E465D2">
        <w:rPr>
          <w:lang w:val="en-NZ"/>
        </w:rPr>
        <w:t xml:space="preserve"> that the change needed to be slowe</w:t>
      </w:r>
      <w:r w:rsidR="00B412AB">
        <w:rPr>
          <w:lang w:val="en-NZ"/>
        </w:rPr>
        <w:t>r</w:t>
      </w:r>
      <w:r w:rsidRPr="00E465D2">
        <w:rPr>
          <w:lang w:val="en-NZ"/>
        </w:rPr>
        <w:t xml:space="preserve"> so people could have time to process and understand. </w:t>
      </w:r>
      <w:r w:rsidR="00B412AB">
        <w:rPr>
          <w:lang w:val="en-NZ"/>
        </w:rPr>
        <w:t xml:space="preserve">They said </w:t>
      </w:r>
      <w:r w:rsidRPr="00E465D2">
        <w:rPr>
          <w:lang w:val="en-NZ"/>
        </w:rPr>
        <w:t>that managers and clinical leaders needed to understand resistance</w:t>
      </w:r>
      <w:r w:rsidR="00B412AB">
        <w:rPr>
          <w:lang w:val="en-NZ"/>
        </w:rPr>
        <w:t>, making comments like</w:t>
      </w:r>
      <w:r w:rsidRPr="00E465D2">
        <w:rPr>
          <w:lang w:val="en-NZ"/>
        </w:rPr>
        <w:t xml:space="preserve"> </w:t>
      </w:r>
      <w:r w:rsidR="00B412AB">
        <w:rPr>
          <w:lang w:val="en-NZ"/>
        </w:rPr>
        <w:t>‘</w:t>
      </w:r>
      <w:r w:rsidRPr="00E465D2">
        <w:rPr>
          <w:lang w:val="en-NZ"/>
        </w:rPr>
        <w:t>don’t take it as always just about difficult people; resistance sometimes happens for a good reason</w:t>
      </w:r>
      <w:r w:rsidR="00B412AB">
        <w:rPr>
          <w:lang w:val="en-NZ"/>
        </w:rPr>
        <w:t>’</w:t>
      </w:r>
      <w:r w:rsidRPr="00E465D2">
        <w:rPr>
          <w:lang w:val="en-NZ"/>
        </w:rPr>
        <w:t>.</w:t>
      </w:r>
    </w:p>
    <w:p w14:paraId="1A506FAB" w14:textId="77777777" w:rsidR="00A21F9D" w:rsidRDefault="00B412AB" w:rsidP="00A21F9D">
      <w:r>
        <w:t>Some groups raised c</w:t>
      </w:r>
      <w:r w:rsidR="00A21F9D" w:rsidRPr="000C507A">
        <w:t xml:space="preserve">oncerns about the </w:t>
      </w:r>
      <w:r w:rsidR="00A21F9D">
        <w:t>generic case management approach</w:t>
      </w:r>
      <w:r>
        <w:t>,</w:t>
      </w:r>
      <w:r w:rsidR="00A21F9D">
        <w:t xml:space="preserve"> while others raised issues about deployment of profession</w:t>
      </w:r>
      <w:r>
        <w:t>-</w:t>
      </w:r>
      <w:r w:rsidR="00A21F9D">
        <w:t>specific roles and training.</w:t>
      </w:r>
      <w:r w:rsidR="00A21F9D" w:rsidRPr="00B0050D">
        <w:t xml:space="preserve"> </w:t>
      </w:r>
      <w:r>
        <w:t>T</w:t>
      </w:r>
      <w:r w:rsidR="00A21F9D" w:rsidRPr="000C507A">
        <w:t>h</w:t>
      </w:r>
      <w:r w:rsidR="00A21F9D">
        <w:t>e</w:t>
      </w:r>
      <w:r w:rsidR="00A21F9D" w:rsidRPr="000C507A">
        <w:t xml:space="preserve"> concern </w:t>
      </w:r>
      <w:r w:rsidR="00A21F9D">
        <w:t xml:space="preserve">about generic case management </w:t>
      </w:r>
      <w:r w:rsidR="00A21F9D" w:rsidRPr="000C507A">
        <w:t xml:space="preserve">was by no means universal. </w:t>
      </w:r>
      <w:r w:rsidR="004A2FDA">
        <w:t>I</w:t>
      </w:r>
      <w:r w:rsidR="00A21F9D">
        <w:t xml:space="preserve">t </w:t>
      </w:r>
      <w:r w:rsidR="00A21F9D" w:rsidRPr="000C507A">
        <w:t xml:space="preserve">was clear from the documentation </w:t>
      </w:r>
      <w:r w:rsidR="001B4C07">
        <w:lastRenderedPageBreak/>
        <w:t>the Te</w:t>
      </w:r>
      <w:r w:rsidR="00A21F9D">
        <w:t>am</w:t>
      </w:r>
      <w:r w:rsidR="00A21F9D" w:rsidRPr="000C507A">
        <w:t xml:space="preserve"> received that the intention of the </w:t>
      </w:r>
      <w:r w:rsidR="00A21F9D">
        <w:t xml:space="preserve">ICP </w:t>
      </w:r>
      <w:r w:rsidR="00A21F9D" w:rsidRPr="000C507A">
        <w:t>was to develop commonalities of approach while enhancing discipline</w:t>
      </w:r>
      <w:r w:rsidR="004A2FDA">
        <w:t>-</w:t>
      </w:r>
      <w:r w:rsidR="00A21F9D" w:rsidRPr="000C507A">
        <w:t>specific contributions.</w:t>
      </w:r>
      <w:r w:rsidR="00A21F9D">
        <w:t xml:space="preserve"> </w:t>
      </w:r>
      <w:r w:rsidR="00A21F9D" w:rsidRPr="000C507A">
        <w:t xml:space="preserve">Some staff noted that for the ICP to work all staff </w:t>
      </w:r>
      <w:r w:rsidR="00A21F9D">
        <w:t>would need</w:t>
      </w:r>
      <w:r w:rsidR="00A21F9D" w:rsidRPr="000C507A">
        <w:t xml:space="preserve"> to adopt a bio</w:t>
      </w:r>
      <w:r w:rsidR="00A21F9D">
        <w:t>-</w:t>
      </w:r>
      <w:r w:rsidR="00A21F9D" w:rsidRPr="000C507A">
        <w:t>psycho</w:t>
      </w:r>
      <w:r w:rsidR="00A21F9D">
        <w:t>-</w:t>
      </w:r>
      <w:r w:rsidR="00A21F9D" w:rsidRPr="000C507A">
        <w:t>social approach</w:t>
      </w:r>
      <w:r w:rsidR="00A21F9D">
        <w:t>, which</w:t>
      </w:r>
      <w:r w:rsidR="00A21F9D" w:rsidRPr="000C507A">
        <w:t xml:space="preserve"> would require training and support.</w:t>
      </w:r>
    </w:p>
    <w:p w14:paraId="1AD8C612" w14:textId="77777777" w:rsidR="00A21F9D" w:rsidRPr="000C507A" w:rsidRDefault="00A21F9D" w:rsidP="00A21F9D">
      <w:r>
        <w:t>S</w:t>
      </w:r>
      <w:r w:rsidRPr="000C507A">
        <w:t xml:space="preserve">ome </w:t>
      </w:r>
      <w:r>
        <w:t xml:space="preserve">community </w:t>
      </w:r>
      <w:r w:rsidRPr="000C507A">
        <w:t>nurses felt the burden of case management had fall</w:t>
      </w:r>
      <w:r>
        <w:t>en</w:t>
      </w:r>
      <w:r w:rsidRPr="000C507A">
        <w:t xml:space="preserve"> disproportionately on them</w:t>
      </w:r>
      <w:r w:rsidR="004A2FDA">
        <w:t>,</w:t>
      </w:r>
      <w:r w:rsidRPr="000C507A">
        <w:t xml:space="preserve"> at </w:t>
      </w:r>
      <w:r>
        <w:t>a</w:t>
      </w:r>
      <w:r w:rsidRPr="000C507A">
        <w:t xml:space="preserve"> time </w:t>
      </w:r>
      <w:r>
        <w:t>when they were expected t</w:t>
      </w:r>
      <w:r w:rsidRPr="000C507A">
        <w:t>o conduct more face</w:t>
      </w:r>
      <w:r w:rsidR="004A2FDA">
        <w:t>-</w:t>
      </w:r>
      <w:r w:rsidRPr="000C507A">
        <w:t>to</w:t>
      </w:r>
      <w:r w:rsidR="004A2FDA">
        <w:t>-</w:t>
      </w:r>
      <w:r w:rsidRPr="000C507A">
        <w:t>face assessment</w:t>
      </w:r>
      <w:r>
        <w:t>s</w:t>
      </w:r>
      <w:r w:rsidRPr="000C507A">
        <w:t>.</w:t>
      </w:r>
      <w:r w:rsidR="0023666B" w:rsidRPr="0023666B">
        <w:rPr>
          <w:lang w:val="en-NZ"/>
        </w:rPr>
        <w:t xml:space="preserve"> </w:t>
      </w:r>
      <w:r w:rsidR="004A2FDA">
        <w:rPr>
          <w:lang w:val="en-NZ"/>
        </w:rPr>
        <w:t>S</w:t>
      </w:r>
      <w:r w:rsidR="0023666B" w:rsidRPr="00E465D2">
        <w:rPr>
          <w:lang w:val="en-NZ"/>
        </w:rPr>
        <w:t xml:space="preserve">ocial workers and </w:t>
      </w:r>
      <w:r w:rsidR="004A2FDA">
        <w:rPr>
          <w:lang w:val="en-NZ"/>
        </w:rPr>
        <w:t xml:space="preserve">occupational therapists noted that </w:t>
      </w:r>
      <w:r w:rsidR="003A05A1">
        <w:rPr>
          <w:lang w:val="en-NZ"/>
        </w:rPr>
        <w:t>they</w:t>
      </w:r>
      <w:r w:rsidR="0023666B" w:rsidRPr="00E465D2">
        <w:rPr>
          <w:lang w:val="en-NZ"/>
        </w:rPr>
        <w:t xml:space="preserve"> were expected to provide functional and social work assessments for clients other than those on their caseloads</w:t>
      </w:r>
      <w:r w:rsidR="0023666B">
        <w:rPr>
          <w:lang w:val="en-NZ"/>
        </w:rPr>
        <w:t>,</w:t>
      </w:r>
      <w:r w:rsidR="0023666B" w:rsidRPr="00E465D2">
        <w:rPr>
          <w:lang w:val="en-NZ"/>
        </w:rPr>
        <w:t xml:space="preserve"> which added extra pressure.</w:t>
      </w:r>
    </w:p>
    <w:p w14:paraId="093356F1" w14:textId="77777777" w:rsidR="00A21F9D" w:rsidRPr="000C507A" w:rsidRDefault="00A21F9D" w:rsidP="00A21F9D">
      <w:r>
        <w:t>Rural</w:t>
      </w:r>
      <w:r w:rsidRPr="000C507A">
        <w:t xml:space="preserve"> teams </w:t>
      </w:r>
      <w:r w:rsidR="004A2FDA">
        <w:t xml:space="preserve">were concerned about </w:t>
      </w:r>
      <w:r w:rsidRPr="000C507A">
        <w:t xml:space="preserve">how </w:t>
      </w:r>
      <w:r>
        <w:t>the ICP</w:t>
      </w:r>
      <w:r w:rsidRPr="000C507A">
        <w:t xml:space="preserve"> would be rolled out in </w:t>
      </w:r>
      <w:r>
        <w:t xml:space="preserve">more remote </w:t>
      </w:r>
      <w:r w:rsidRPr="000C507A">
        <w:t xml:space="preserve">areas </w:t>
      </w:r>
      <w:r>
        <w:t>with less staff resource</w:t>
      </w:r>
      <w:r w:rsidRPr="000C507A">
        <w:t xml:space="preserve">. </w:t>
      </w:r>
      <w:r>
        <w:t xml:space="preserve">Staffing </w:t>
      </w:r>
      <w:r w:rsidRPr="000C507A">
        <w:t>was seen as a problem in a more general sense for rural teams</w:t>
      </w:r>
      <w:r>
        <w:t>,</w:t>
      </w:r>
      <w:r w:rsidRPr="000C507A">
        <w:t xml:space="preserve"> not just </w:t>
      </w:r>
      <w:r w:rsidR="004A2FDA">
        <w:t xml:space="preserve">in terms </w:t>
      </w:r>
      <w:r w:rsidRPr="000C507A">
        <w:t>of the ICP.</w:t>
      </w:r>
    </w:p>
    <w:p w14:paraId="119B0A16" w14:textId="77777777" w:rsidR="00A21F9D" w:rsidRDefault="004A2FDA" w:rsidP="00A21F9D">
      <w:r>
        <w:t xml:space="preserve">The Inspection Team notes </w:t>
      </w:r>
      <w:r w:rsidR="00A21F9D" w:rsidRPr="000C507A">
        <w:t>that the roll</w:t>
      </w:r>
      <w:r>
        <w:t>-</w:t>
      </w:r>
      <w:r w:rsidR="00A21F9D" w:rsidRPr="000C507A">
        <w:t xml:space="preserve">out </w:t>
      </w:r>
      <w:r>
        <w:t xml:space="preserve">of the ICP </w:t>
      </w:r>
      <w:r w:rsidR="00A21F9D" w:rsidRPr="000C507A">
        <w:t xml:space="preserve">was at different stages </w:t>
      </w:r>
      <w:r>
        <w:t xml:space="preserve">in different areas, </w:t>
      </w:r>
      <w:r w:rsidR="00A21F9D" w:rsidRPr="000C507A">
        <w:t xml:space="preserve">which could account for </w:t>
      </w:r>
      <w:r>
        <w:t>staff uncertainty</w:t>
      </w:r>
      <w:r w:rsidR="00A21F9D" w:rsidRPr="000C507A">
        <w:t xml:space="preserve">. However, </w:t>
      </w:r>
      <w:r>
        <w:t xml:space="preserve">some </w:t>
      </w:r>
      <w:r w:rsidR="00A21F9D" w:rsidRPr="000C507A">
        <w:t xml:space="preserve">staff noted that there </w:t>
      </w:r>
      <w:r>
        <w:t xml:space="preserve">had been </w:t>
      </w:r>
      <w:r w:rsidR="00A21F9D" w:rsidRPr="000C507A">
        <w:t xml:space="preserve">a wave of changes </w:t>
      </w:r>
      <w:r w:rsidR="00A21F9D">
        <w:t>(</w:t>
      </w:r>
      <w:r w:rsidR="00A21F9D" w:rsidRPr="000C507A">
        <w:t>particularly after the adverse media</w:t>
      </w:r>
      <w:r>
        <w:t xml:space="preserve"> attention</w:t>
      </w:r>
      <w:r w:rsidR="00A21F9D">
        <w:t>)</w:t>
      </w:r>
      <w:r w:rsidR="00A21F9D" w:rsidRPr="000C507A">
        <w:t xml:space="preserve"> </w:t>
      </w:r>
      <w:r>
        <w:t xml:space="preserve">at a pace </w:t>
      </w:r>
      <w:r w:rsidR="00A21F9D" w:rsidRPr="000C507A">
        <w:t xml:space="preserve">that </w:t>
      </w:r>
      <w:r>
        <w:t xml:space="preserve">was </w:t>
      </w:r>
      <w:r w:rsidR="00A21F9D" w:rsidRPr="000C507A">
        <w:t xml:space="preserve">difficult to cope with.  </w:t>
      </w:r>
    </w:p>
    <w:p w14:paraId="03DE99C1" w14:textId="77777777" w:rsidR="001B4C07" w:rsidRPr="00E465D2" w:rsidRDefault="004565D2" w:rsidP="001B4C07">
      <w:pPr>
        <w:rPr>
          <w:lang w:val="en-NZ"/>
        </w:rPr>
      </w:pPr>
      <w:r>
        <w:rPr>
          <w:lang w:val="en-NZ"/>
        </w:rPr>
        <w:t>One staff member commented: ‘</w:t>
      </w:r>
      <w:r w:rsidR="001B4C07" w:rsidRPr="00E465D2">
        <w:rPr>
          <w:lang w:val="en-NZ"/>
        </w:rPr>
        <w:t xml:space="preserve">We barely had time to adjust to </w:t>
      </w:r>
      <w:r w:rsidR="001B4C07" w:rsidRPr="00B46297">
        <w:rPr>
          <w:i/>
          <w:lang w:val="en-NZ"/>
        </w:rPr>
        <w:t>A</w:t>
      </w:r>
      <w:r w:rsidR="001B4C07" w:rsidRPr="003A05A1">
        <w:rPr>
          <w:i/>
          <w:lang w:val="en-NZ"/>
        </w:rPr>
        <w:t xml:space="preserve"> </w:t>
      </w:r>
      <w:r w:rsidR="001B4C07" w:rsidRPr="00E465D2">
        <w:rPr>
          <w:i/>
          <w:lang w:val="en-NZ"/>
        </w:rPr>
        <w:t xml:space="preserve">Time </w:t>
      </w:r>
      <w:r w:rsidR="003A05A1">
        <w:rPr>
          <w:i/>
          <w:lang w:val="en-NZ"/>
        </w:rPr>
        <w:t>f</w:t>
      </w:r>
      <w:r w:rsidR="001B4C07" w:rsidRPr="00E465D2">
        <w:rPr>
          <w:i/>
          <w:lang w:val="en-NZ"/>
        </w:rPr>
        <w:t>or Change</w:t>
      </w:r>
      <w:r w:rsidR="001B4C07" w:rsidRPr="00E465D2">
        <w:rPr>
          <w:lang w:val="en-NZ"/>
        </w:rPr>
        <w:t xml:space="preserve"> when restructuring the adult services, the wards, the areas in which doctors worked came on us</w:t>
      </w:r>
      <w:r w:rsidR="001B4C07">
        <w:rPr>
          <w:lang w:val="en-NZ"/>
        </w:rPr>
        <w:t>.</w:t>
      </w:r>
      <w:r>
        <w:rPr>
          <w:lang w:val="en-NZ"/>
        </w:rPr>
        <w:t>’</w:t>
      </w:r>
      <w:r w:rsidR="001B4C07" w:rsidRPr="00E465D2">
        <w:rPr>
          <w:lang w:val="en-NZ"/>
        </w:rPr>
        <w:t xml:space="preserve"> </w:t>
      </w:r>
      <w:r w:rsidR="001B4C07">
        <w:rPr>
          <w:lang w:val="en-NZ"/>
        </w:rPr>
        <w:t>The</w:t>
      </w:r>
      <w:r w:rsidR="001B4C07" w:rsidRPr="00E465D2">
        <w:rPr>
          <w:lang w:val="en-NZ"/>
        </w:rPr>
        <w:t xml:space="preserve"> latter </w:t>
      </w:r>
      <w:r w:rsidR="001B4C07">
        <w:rPr>
          <w:lang w:val="en-NZ"/>
        </w:rPr>
        <w:t xml:space="preserve">was perceived as meaning </w:t>
      </w:r>
      <w:r w:rsidR="001B4C07" w:rsidRPr="00E465D2">
        <w:rPr>
          <w:lang w:val="en-NZ"/>
        </w:rPr>
        <w:t>no conti</w:t>
      </w:r>
      <w:r w:rsidR="001B4C07">
        <w:rPr>
          <w:lang w:val="en-NZ"/>
        </w:rPr>
        <w:t>nuity of care for medical staff</w:t>
      </w:r>
      <w:r w:rsidR="001B4C07" w:rsidRPr="00E465D2">
        <w:rPr>
          <w:lang w:val="en-NZ"/>
        </w:rPr>
        <w:t>.</w:t>
      </w:r>
    </w:p>
    <w:p w14:paraId="0DBD3797" w14:textId="77777777" w:rsidR="008656AA" w:rsidRDefault="008656AA" w:rsidP="008656AA">
      <w:pPr>
        <w:pStyle w:val="Heading2"/>
      </w:pPr>
      <w:bookmarkStart w:id="46" w:name="_Toc448394357"/>
      <w:r>
        <w:t xml:space="preserve">Relationship with </w:t>
      </w:r>
      <w:r w:rsidR="004565D2">
        <w:t>p</w:t>
      </w:r>
      <w:r>
        <w:t xml:space="preserve">rimary </w:t>
      </w:r>
      <w:r w:rsidR="004565D2">
        <w:t>c</w:t>
      </w:r>
      <w:r>
        <w:t>are</w:t>
      </w:r>
      <w:bookmarkEnd w:id="46"/>
    </w:p>
    <w:p w14:paraId="2F0A515B" w14:textId="77777777" w:rsidR="008656AA" w:rsidRDefault="008656AA" w:rsidP="00470C36">
      <w:r>
        <w:t>The service has been working on improved integration with primary care</w:t>
      </w:r>
      <w:r w:rsidR="004565D2">
        <w:t xml:space="preserve"> services</w:t>
      </w:r>
      <w:r>
        <w:t xml:space="preserve">. </w:t>
      </w:r>
      <w:r w:rsidR="004565D2">
        <w:t xml:space="preserve">A </w:t>
      </w:r>
      <w:r w:rsidR="00470C36">
        <w:t xml:space="preserve">clinical management forum </w:t>
      </w:r>
      <w:r w:rsidR="004565D2">
        <w:t xml:space="preserve">is currently driving </w:t>
      </w:r>
      <w:r w:rsidR="00470C36">
        <w:t>change</w:t>
      </w:r>
      <w:r w:rsidR="004565D2">
        <w:t xml:space="preserve"> in this regard</w:t>
      </w:r>
      <w:r w:rsidR="00470C36">
        <w:t xml:space="preserve">. </w:t>
      </w:r>
      <w:r>
        <w:t xml:space="preserve">The DHB has a clinical director for primary care (Dr Damian </w:t>
      </w:r>
      <w:proofErr w:type="spellStart"/>
      <w:r>
        <w:t>Tomic</w:t>
      </w:r>
      <w:proofErr w:type="spellEnd"/>
      <w:r>
        <w:t>)</w:t>
      </w:r>
      <w:r w:rsidR="004565D2">
        <w:t>,</w:t>
      </w:r>
      <w:r>
        <w:t xml:space="preserve"> whose role has been to facilitate conversations </w:t>
      </w:r>
      <w:r w:rsidR="004565D2">
        <w:t xml:space="preserve">between primary and secondary care services, </w:t>
      </w:r>
      <w:r>
        <w:t xml:space="preserve">to forge better outcomes for patients. There have been four to five meetings over six months looking at mental health pathways and how </w:t>
      </w:r>
      <w:r w:rsidR="004565D2">
        <w:t xml:space="preserve">mental health </w:t>
      </w:r>
      <w:r>
        <w:t>services can improve their engagement with primary care.</w:t>
      </w:r>
      <w:r w:rsidR="00470C36">
        <w:t xml:space="preserve"> </w:t>
      </w:r>
      <w:r w:rsidR="004565D2">
        <w:t xml:space="preserve">Staff the Inspection Team talked to </w:t>
      </w:r>
      <w:r>
        <w:t>felt people were on the same page</w:t>
      </w:r>
      <w:r w:rsidR="004565D2">
        <w:t>,</w:t>
      </w:r>
      <w:r>
        <w:t xml:space="preserve"> but </w:t>
      </w:r>
      <w:r w:rsidR="004565D2">
        <w:t xml:space="preserve">that </w:t>
      </w:r>
      <w:r>
        <w:t xml:space="preserve">the challenge </w:t>
      </w:r>
      <w:r w:rsidR="004565D2">
        <w:t xml:space="preserve">was </w:t>
      </w:r>
      <w:r>
        <w:t>to match capacity and resources to desired changes.</w:t>
      </w:r>
    </w:p>
    <w:p w14:paraId="39DFDE0F" w14:textId="77777777" w:rsidR="008656AA" w:rsidRDefault="004565D2" w:rsidP="008656AA">
      <w:r>
        <w:t>A</w:t>
      </w:r>
      <w:r w:rsidR="008656AA">
        <w:t xml:space="preserve"> </w:t>
      </w:r>
      <w:r>
        <w:t xml:space="preserve">DHB </w:t>
      </w:r>
      <w:r w:rsidR="008656AA">
        <w:t>primary/secondary clinical governance group consist</w:t>
      </w:r>
      <w:r>
        <w:t>s</w:t>
      </w:r>
      <w:r w:rsidR="008656AA">
        <w:t xml:space="preserve"> of </w:t>
      </w:r>
      <w:r w:rsidR="0067037E">
        <w:t>representatives</w:t>
      </w:r>
      <w:r w:rsidR="008656AA">
        <w:t xml:space="preserve"> from the three primary health organisations</w:t>
      </w:r>
      <w:r w:rsidR="00466FB7">
        <w:t xml:space="preserve"> (PHOs)</w:t>
      </w:r>
      <w:r>
        <w:t>,</w:t>
      </w:r>
      <w:r w:rsidR="008656AA">
        <w:t xml:space="preserve"> secondary mental </w:t>
      </w:r>
      <w:r w:rsidR="0067037E">
        <w:t>health</w:t>
      </w:r>
      <w:r w:rsidR="008656AA">
        <w:t xml:space="preserve"> </w:t>
      </w:r>
      <w:r>
        <w:t xml:space="preserve">services </w:t>
      </w:r>
      <w:r w:rsidR="008656AA">
        <w:t>and the primary care strategic liaison position. This group overse</w:t>
      </w:r>
      <w:r w:rsidR="003A05A1">
        <w:t>e</w:t>
      </w:r>
      <w:r w:rsidR="008656AA">
        <w:t>s and sets the direction for the Integrated Care Co-ordination Team (ICCT)</w:t>
      </w:r>
      <w:r>
        <w:t xml:space="preserve"> </w:t>
      </w:r>
      <w:r w:rsidR="008656AA">
        <w:t xml:space="preserve">and </w:t>
      </w:r>
      <w:r>
        <w:t xml:space="preserve">the </w:t>
      </w:r>
      <w:r w:rsidR="008656AA">
        <w:t>primary health working group.</w:t>
      </w:r>
    </w:p>
    <w:p w14:paraId="5C56C2A9" w14:textId="77777777" w:rsidR="008656AA" w:rsidRDefault="008656AA" w:rsidP="008656AA">
      <w:r>
        <w:t xml:space="preserve">There were work streams in place for shared care and discharge. However, </w:t>
      </w:r>
      <w:r w:rsidR="004565D2">
        <w:t xml:space="preserve">staff </w:t>
      </w:r>
      <w:r w:rsidR="00466FB7">
        <w:t xml:space="preserve">told </w:t>
      </w:r>
      <w:r>
        <w:t xml:space="preserve">the </w:t>
      </w:r>
      <w:r w:rsidR="004565D2">
        <w:t xml:space="preserve">Inspection </w:t>
      </w:r>
      <w:r w:rsidR="001C1DCB">
        <w:t>T</w:t>
      </w:r>
      <w:r>
        <w:t xml:space="preserve">eam </w:t>
      </w:r>
      <w:r w:rsidR="00466FB7">
        <w:t xml:space="preserve">there was </w:t>
      </w:r>
      <w:r>
        <w:t>inadequate communication between secondary care and primary care (</w:t>
      </w:r>
      <w:proofErr w:type="spellStart"/>
      <w:r w:rsidR="002B21CE">
        <w:t>eg</w:t>
      </w:r>
      <w:proofErr w:type="spellEnd"/>
      <w:r w:rsidR="002B21CE">
        <w:t xml:space="preserve">, </w:t>
      </w:r>
      <w:r>
        <w:t>not receiving discharge letter</w:t>
      </w:r>
      <w:r w:rsidR="006C25A4">
        <w:t>s</w:t>
      </w:r>
      <w:r w:rsidR="0067037E">
        <w:t xml:space="preserve"> </w:t>
      </w:r>
      <w:r>
        <w:t>and lack of consistent support for primary care by secondary care</w:t>
      </w:r>
      <w:r w:rsidR="006C25A4">
        <w:t xml:space="preserve"> services</w:t>
      </w:r>
      <w:r>
        <w:t>). Primary care clinicians expressed confidence in psychiatrists over other members of the crisis team, but reported difficulty accessing them</w:t>
      </w:r>
      <w:r w:rsidR="00466FB7">
        <w:t>. They</w:t>
      </w:r>
      <w:r>
        <w:t xml:space="preserve"> wanted assurance their patients </w:t>
      </w:r>
      <w:r w:rsidR="00466FB7">
        <w:t>c</w:t>
      </w:r>
      <w:r>
        <w:t xml:space="preserve">ould </w:t>
      </w:r>
      <w:r w:rsidR="0067037E">
        <w:t>be seen</w:t>
      </w:r>
      <w:r>
        <w:t xml:space="preserve"> by a psychiatrist in the secondary service. Primary care clinicians believed </w:t>
      </w:r>
      <w:r w:rsidR="00466FB7">
        <w:t xml:space="preserve">that </w:t>
      </w:r>
      <w:r>
        <w:t>only psychiatrists had the knowledge and skills to provide urgent and ongoing advice that would give people who use</w:t>
      </w:r>
      <w:r w:rsidR="00466FB7">
        <w:t>d</w:t>
      </w:r>
      <w:r>
        <w:t xml:space="preserve"> services the confidence to manage in the community.</w:t>
      </w:r>
    </w:p>
    <w:p w14:paraId="0776A5BD" w14:textId="77777777" w:rsidR="008656AA" w:rsidRDefault="00466FB7" w:rsidP="008656AA">
      <w:r>
        <w:t>T</w:t>
      </w:r>
      <w:r w:rsidR="008656AA">
        <w:t>he ICCT</w:t>
      </w:r>
      <w:r>
        <w:t>, established in 2014,</w:t>
      </w:r>
      <w:r w:rsidR="008656AA">
        <w:t xml:space="preserve"> </w:t>
      </w:r>
      <w:r>
        <w:t>provides an example of innovative practice within the DHB</w:t>
      </w:r>
      <w:r w:rsidR="008656AA">
        <w:t xml:space="preserve">. </w:t>
      </w:r>
      <w:r w:rsidR="006C25A4">
        <w:t>It supports primary and secondary integration.</w:t>
      </w:r>
      <w:r w:rsidR="004D4E2D">
        <w:t xml:space="preserve"> </w:t>
      </w:r>
      <w:r>
        <w:t xml:space="preserve">The team facilitates </w:t>
      </w:r>
      <w:r w:rsidR="008656AA">
        <w:t xml:space="preserve">a process whereby adults </w:t>
      </w:r>
      <w:r w:rsidR="008656AA">
        <w:lastRenderedPageBreak/>
        <w:t xml:space="preserve">within the secondary mental and addiction services whose illness is now stable, and who do not have high and/or complex needs, can </w:t>
      </w:r>
      <w:r>
        <w:t xml:space="preserve">receive </w:t>
      </w:r>
      <w:r w:rsidR="008656AA">
        <w:t xml:space="preserve">care within a primary health setting. The team has </w:t>
      </w:r>
      <w:r>
        <w:t xml:space="preserve">four </w:t>
      </w:r>
      <w:r w:rsidR="008656AA">
        <w:t xml:space="preserve">clinical FTE </w:t>
      </w:r>
      <w:r>
        <w:t xml:space="preserve">roles </w:t>
      </w:r>
      <w:r w:rsidR="008656AA">
        <w:t xml:space="preserve">(including </w:t>
      </w:r>
      <w:r w:rsidR="0067037E">
        <w:t>dedicated</w:t>
      </w:r>
      <w:r w:rsidR="008656AA">
        <w:t xml:space="preserve"> psychiatrist time). To support </w:t>
      </w:r>
      <w:r>
        <w:t xml:space="preserve">its work, </w:t>
      </w:r>
      <w:r w:rsidR="008656AA">
        <w:t xml:space="preserve">and to reduce the barriers to accessing GP care, </w:t>
      </w:r>
      <w:r w:rsidR="004D4E2D">
        <w:t>the ICCT has access to</w:t>
      </w:r>
      <w:r>
        <w:t xml:space="preserve"> </w:t>
      </w:r>
      <w:r w:rsidR="008656AA">
        <w:t xml:space="preserve">Packages of Care (POC) flexible funding </w:t>
      </w:r>
      <w:r>
        <w:t xml:space="preserve">for </w:t>
      </w:r>
      <w:r w:rsidR="008656AA">
        <w:t xml:space="preserve">GP consultation co-payments and </w:t>
      </w:r>
      <w:r>
        <w:t xml:space="preserve">to fund </w:t>
      </w:r>
      <w:r w:rsidR="008656AA">
        <w:t xml:space="preserve">intra-muscular injection administration by </w:t>
      </w:r>
      <w:r>
        <w:t xml:space="preserve">primary care </w:t>
      </w:r>
      <w:r w:rsidR="008656AA">
        <w:t>practice nurses.</w:t>
      </w:r>
    </w:p>
    <w:p w14:paraId="6DC0FD0E" w14:textId="77777777" w:rsidR="008656AA" w:rsidRPr="000F065C" w:rsidRDefault="008656AA" w:rsidP="008656AA">
      <w:r>
        <w:t xml:space="preserve">Waikato </w:t>
      </w:r>
      <w:r w:rsidRPr="002E679E">
        <w:t>PHOs run brief i</w:t>
      </w:r>
      <w:r>
        <w:t>ntervention</w:t>
      </w:r>
      <w:r w:rsidR="00466FB7">
        <w:t xml:space="preserve"> services</w:t>
      </w:r>
      <w:r>
        <w:t xml:space="preserve">, </w:t>
      </w:r>
      <w:r w:rsidR="008F5FFD">
        <w:t xml:space="preserve">but </w:t>
      </w:r>
      <w:r>
        <w:t>n</w:t>
      </w:r>
      <w:r w:rsidRPr="002E679E">
        <w:t>ot all adults</w:t>
      </w:r>
      <w:r>
        <w:t xml:space="preserve"> who experience moderately severe illness</w:t>
      </w:r>
      <w:r w:rsidR="0067037E">
        <w:t xml:space="preserve"> </w:t>
      </w:r>
      <w:r w:rsidR="008F5FFD">
        <w:t xml:space="preserve">are able to access such </w:t>
      </w:r>
      <w:r w:rsidRPr="002E679E">
        <w:t>services</w:t>
      </w:r>
      <w:r w:rsidR="008F5FFD">
        <w:t>,</w:t>
      </w:r>
      <w:r w:rsidRPr="002E679E">
        <w:t xml:space="preserve"> </w:t>
      </w:r>
      <w:r>
        <w:t>due to</w:t>
      </w:r>
      <w:r w:rsidRPr="002E679E">
        <w:t xml:space="preserve"> limited access to resources. </w:t>
      </w:r>
    </w:p>
    <w:p w14:paraId="1FB8E12C" w14:textId="77777777" w:rsidR="008656AA" w:rsidRDefault="008F5FFD" w:rsidP="008656AA">
      <w:r>
        <w:t xml:space="preserve">The Inspection </w:t>
      </w:r>
      <w:r w:rsidR="001C1DCB">
        <w:t>T</w:t>
      </w:r>
      <w:r w:rsidR="008656AA">
        <w:t>eam heard some examples of positive collaboration between primary and secondary service providers. For example</w:t>
      </w:r>
      <w:r w:rsidR="0067037E">
        <w:t>, ICAMHS</w:t>
      </w:r>
      <w:r w:rsidR="008656AA">
        <w:t xml:space="preserve"> referrals were all seen with a 20</w:t>
      </w:r>
      <w:r>
        <w:t> percent</w:t>
      </w:r>
      <w:r w:rsidR="008656AA">
        <w:t xml:space="preserve"> uptake after the first appointment.  </w:t>
      </w:r>
    </w:p>
    <w:p w14:paraId="12A31BCB" w14:textId="77777777" w:rsidR="008656AA" w:rsidRDefault="008656AA" w:rsidP="008656AA">
      <w:pPr>
        <w:pStyle w:val="Heading2"/>
      </w:pPr>
      <w:bookmarkStart w:id="47" w:name="_Toc448394358"/>
      <w:r>
        <w:t xml:space="preserve">Relationship with </w:t>
      </w:r>
      <w:r w:rsidR="003A5DE0">
        <w:t>m</w:t>
      </w:r>
      <w:r>
        <w:t xml:space="preserve">ajor </w:t>
      </w:r>
      <w:r w:rsidR="008F5FFD">
        <w:t>non-governmental organisation p</w:t>
      </w:r>
      <w:r>
        <w:t>artners</w:t>
      </w:r>
      <w:bookmarkEnd w:id="47"/>
    </w:p>
    <w:p w14:paraId="166E072D" w14:textId="77777777" w:rsidR="008656AA" w:rsidRDefault="008656AA" w:rsidP="008656AA">
      <w:r>
        <w:t xml:space="preserve">The </w:t>
      </w:r>
      <w:r w:rsidR="008F5FFD">
        <w:t xml:space="preserve">Inspection Team spoke to the service’s </w:t>
      </w:r>
      <w:r>
        <w:t>three major NGO partners</w:t>
      </w:r>
      <w:r w:rsidR="008F5FFD">
        <w:t>:</w:t>
      </w:r>
      <w:r>
        <w:t xml:space="preserve"> Wise Group, Emerge Aotearoa and </w:t>
      </w:r>
      <w:proofErr w:type="spellStart"/>
      <w:r>
        <w:t>Hauora</w:t>
      </w:r>
      <w:proofErr w:type="spellEnd"/>
      <w:r>
        <w:t xml:space="preserve"> Waikato. Overall</w:t>
      </w:r>
      <w:r w:rsidR="008F5FFD">
        <w:t>, the Team found that</w:t>
      </w:r>
      <w:r>
        <w:t xml:space="preserve"> there were effective working relationships</w:t>
      </w:r>
      <w:r w:rsidR="008F5FFD">
        <w:t xml:space="preserve"> between the service and these NGOs</w:t>
      </w:r>
      <w:r>
        <w:t>.</w:t>
      </w:r>
    </w:p>
    <w:p w14:paraId="16160751" w14:textId="77777777" w:rsidR="008656AA" w:rsidRDefault="008F5FFD" w:rsidP="008656AA">
      <w:r>
        <w:t xml:space="preserve">Perhaps the strongest of these working relationships was that between </w:t>
      </w:r>
      <w:proofErr w:type="spellStart"/>
      <w:r w:rsidR="008656AA">
        <w:t>Hauora</w:t>
      </w:r>
      <w:proofErr w:type="spellEnd"/>
      <w:r w:rsidR="008656AA">
        <w:t xml:space="preserve"> Waikato </w:t>
      </w:r>
      <w:r>
        <w:t xml:space="preserve">and </w:t>
      </w:r>
      <w:r w:rsidR="008656AA">
        <w:t xml:space="preserve">the </w:t>
      </w:r>
      <w:r>
        <w:t xml:space="preserve">Midland </w:t>
      </w:r>
      <w:r w:rsidR="008656AA">
        <w:t xml:space="preserve">Regional Forensic </w:t>
      </w:r>
      <w:r w:rsidRPr="000C507A">
        <w:t xml:space="preserve">Psychiatric </w:t>
      </w:r>
      <w:r w:rsidR="008656AA">
        <w:t>Service</w:t>
      </w:r>
      <w:r>
        <w:t>, which work to a</w:t>
      </w:r>
      <w:r w:rsidR="008656AA">
        <w:t xml:space="preserve"> one</w:t>
      </w:r>
      <w:r w:rsidR="00281B43">
        <w:t>-</w:t>
      </w:r>
      <w:r w:rsidR="008656AA">
        <w:t>service</w:t>
      </w:r>
      <w:r>
        <w:t>,</w:t>
      </w:r>
      <w:r w:rsidR="008656AA">
        <w:t xml:space="preserve"> two</w:t>
      </w:r>
      <w:r>
        <w:t>-</w:t>
      </w:r>
      <w:r w:rsidR="008656AA">
        <w:t xml:space="preserve">provider model. It was evident that over the years </w:t>
      </w:r>
      <w:r>
        <w:t xml:space="preserve">these two agencies </w:t>
      </w:r>
      <w:r w:rsidR="008656AA">
        <w:t xml:space="preserve">had worked effectively </w:t>
      </w:r>
      <w:r w:rsidR="00281B43">
        <w:t>under</w:t>
      </w:r>
      <w:r w:rsidR="008656AA">
        <w:t xml:space="preserve"> good operational and clinical governance. </w:t>
      </w:r>
      <w:r w:rsidR="00281B43">
        <w:t>They had worked through s</w:t>
      </w:r>
      <w:r w:rsidR="008656AA">
        <w:t>pecific issues identified as barriers</w:t>
      </w:r>
      <w:r w:rsidR="00281B43">
        <w:t>; t</w:t>
      </w:r>
      <w:r w:rsidR="008656AA">
        <w:t xml:space="preserve">he partnership approach was very evident.  A number of examples were given of how the relationship has developed over the years. </w:t>
      </w:r>
      <w:r w:rsidR="00BA1F8F">
        <w:t>Comment was made that</w:t>
      </w:r>
      <w:r w:rsidR="008656AA">
        <w:t xml:space="preserve"> since recent pressures had been </w:t>
      </w:r>
      <w:r w:rsidR="007A79F5">
        <w:t>placed on</w:t>
      </w:r>
      <w:r w:rsidR="008656AA">
        <w:t xml:space="preserve"> the service</w:t>
      </w:r>
      <w:r w:rsidR="00281B43">
        <w:t>,</w:t>
      </w:r>
      <w:r w:rsidR="008656AA">
        <w:t xml:space="preserve"> there </w:t>
      </w:r>
      <w:r w:rsidR="00281B43">
        <w:t xml:space="preserve">seemed to be some </w:t>
      </w:r>
      <w:r w:rsidR="008656AA">
        <w:t>fragmentation</w:t>
      </w:r>
      <w:r w:rsidR="00281B43">
        <w:t xml:space="preserve"> among </w:t>
      </w:r>
      <w:r w:rsidR="008656AA">
        <w:t>senior managers attempt</w:t>
      </w:r>
      <w:r w:rsidR="00281B43">
        <w:t>ing</w:t>
      </w:r>
      <w:r w:rsidR="008656AA">
        <w:t xml:space="preserve"> to deal with the </w:t>
      </w:r>
      <w:r w:rsidR="00281B43">
        <w:t>issues</w:t>
      </w:r>
      <w:r w:rsidR="008656AA">
        <w:t>.</w:t>
      </w:r>
    </w:p>
    <w:p w14:paraId="66236A37" w14:textId="77777777" w:rsidR="008656AA" w:rsidRDefault="008656AA" w:rsidP="008656AA">
      <w:r>
        <w:t xml:space="preserve">Wise Group and Emerge Aotearoa clearly enjoyed good working relationships with the </w:t>
      </w:r>
      <w:r w:rsidR="00281B43">
        <w:t xml:space="preserve">DHB </w:t>
      </w:r>
      <w:r>
        <w:t xml:space="preserve">provider arm, but </w:t>
      </w:r>
      <w:r w:rsidR="00281B43">
        <w:t xml:space="preserve">that their staff </w:t>
      </w:r>
      <w:r>
        <w:t>felt there were grounds for improvement</w:t>
      </w:r>
      <w:r w:rsidR="00281B43">
        <w:t>.</w:t>
      </w:r>
      <w:r>
        <w:t xml:space="preserve"> </w:t>
      </w:r>
      <w:r w:rsidR="00281B43">
        <w:t>I</w:t>
      </w:r>
      <w:r>
        <w:t xml:space="preserve">n particular, </w:t>
      </w:r>
      <w:r w:rsidR="00281B43">
        <w:t xml:space="preserve">they made </w:t>
      </w:r>
      <w:r>
        <w:t xml:space="preserve">suggestions </w:t>
      </w:r>
      <w:r w:rsidR="00281B43">
        <w:t xml:space="preserve">for </w:t>
      </w:r>
      <w:r>
        <w:t>enhanc</w:t>
      </w:r>
      <w:r w:rsidR="00281B43">
        <w:t>ing</w:t>
      </w:r>
      <w:r>
        <w:t xml:space="preserve"> integration across the provider arm and NGO services if </w:t>
      </w:r>
      <w:r w:rsidR="00281B43">
        <w:t xml:space="preserve">in </w:t>
      </w:r>
      <w:r>
        <w:t xml:space="preserve">the current direction of travel. </w:t>
      </w:r>
      <w:r w:rsidR="00281B43">
        <w:t xml:space="preserve">They </w:t>
      </w:r>
      <w:r>
        <w:t xml:space="preserve">suggested that </w:t>
      </w:r>
      <w:r w:rsidR="00281B43">
        <w:t xml:space="preserve">NGO partners might better be able to provide some </w:t>
      </w:r>
      <w:r>
        <w:t>elements of service.  As noted above, there were some interesting examples of how joint working together had resulted in improvements (</w:t>
      </w:r>
      <w:proofErr w:type="spellStart"/>
      <w:r>
        <w:t>eg</w:t>
      </w:r>
      <w:proofErr w:type="spellEnd"/>
      <w:r w:rsidR="003659D0">
        <w:t>,</w:t>
      </w:r>
      <w:r>
        <w:t xml:space="preserve"> </w:t>
      </w:r>
      <w:r>
        <w:rPr>
          <w:i/>
        </w:rPr>
        <w:t>T</w:t>
      </w:r>
      <w:r w:rsidRPr="00516BDA">
        <w:rPr>
          <w:i/>
        </w:rPr>
        <w:t>he People’s Project</w:t>
      </w:r>
      <w:r>
        <w:t>).</w:t>
      </w:r>
    </w:p>
    <w:p w14:paraId="77AEBE3B" w14:textId="77777777" w:rsidR="008656AA" w:rsidRDefault="008656AA" w:rsidP="008656AA">
      <w:pPr>
        <w:pStyle w:val="Heading2"/>
      </w:pPr>
      <w:bookmarkStart w:id="48" w:name="_Ref448258327"/>
      <w:bookmarkStart w:id="49" w:name="_Toc448394359"/>
      <w:r>
        <w:t>Infant Child and Adolescent Mental Health Service</w:t>
      </w:r>
      <w:bookmarkEnd w:id="48"/>
      <w:bookmarkEnd w:id="49"/>
    </w:p>
    <w:p w14:paraId="05C4E01D" w14:textId="77777777" w:rsidR="008656AA" w:rsidRDefault="008656AA" w:rsidP="008656AA">
      <w:r>
        <w:t xml:space="preserve">The current ICAMHS delivery structure was set up following a major review of services in 2006 by the </w:t>
      </w:r>
      <w:proofErr w:type="spellStart"/>
      <w:r>
        <w:t>Werry</w:t>
      </w:r>
      <w:proofErr w:type="spellEnd"/>
      <w:r>
        <w:t xml:space="preserve"> Centre</w:t>
      </w:r>
      <w:r w:rsidR="003A05A1">
        <w:t>.</w:t>
      </w:r>
      <w:r>
        <w:t xml:space="preserve"> ICAMHS provider arm services </w:t>
      </w:r>
      <w:r w:rsidR="00281B43">
        <w:t xml:space="preserve">now </w:t>
      </w:r>
      <w:r>
        <w:t xml:space="preserve">work in collaboration with NGO providers </w:t>
      </w:r>
      <w:r w:rsidR="00281B43">
        <w:t>in</w:t>
      </w:r>
      <w:r>
        <w:t xml:space="preserve"> a three cluster </w:t>
      </w:r>
      <w:proofErr w:type="spellStart"/>
      <w:r>
        <w:t>approach</w:t>
      </w:r>
      <w:r w:rsidR="00281B43">
        <w:t>.This</w:t>
      </w:r>
      <w:proofErr w:type="spellEnd"/>
      <w:r w:rsidR="00281B43">
        <w:t xml:space="preserve"> approach splits the Waikato region into three geographic areas; a formalised combination of provider arm and NGO services provides coverage to each</w:t>
      </w:r>
      <w:r>
        <w:t xml:space="preserve">. The ICAMHS team described </w:t>
      </w:r>
      <w:r w:rsidR="00281B43">
        <w:t xml:space="preserve">the </w:t>
      </w:r>
      <w:proofErr w:type="spellStart"/>
      <w:r w:rsidR="00281B43">
        <w:t>Werry</w:t>
      </w:r>
      <w:proofErr w:type="spellEnd"/>
      <w:r w:rsidR="00281B43">
        <w:t xml:space="preserve"> Centre’s </w:t>
      </w:r>
      <w:r>
        <w:t xml:space="preserve">review as their equivalent of </w:t>
      </w:r>
      <w:r>
        <w:rPr>
          <w:i/>
        </w:rPr>
        <w:t>A Time for Change</w:t>
      </w:r>
      <w:r w:rsidRPr="00D84B26">
        <w:t>.</w:t>
      </w:r>
      <w:r>
        <w:rPr>
          <w:i/>
        </w:rPr>
        <w:t xml:space="preserve"> </w:t>
      </w:r>
      <w:r w:rsidR="00281B43">
        <w:t>S</w:t>
      </w:r>
      <w:r>
        <w:t>taff</w:t>
      </w:r>
      <w:r w:rsidRPr="00685DAB">
        <w:t xml:space="preserve"> noted there had been no post-implementation review </w:t>
      </w:r>
      <w:r>
        <w:t xml:space="preserve">of the service delivery </w:t>
      </w:r>
      <w:r w:rsidR="00281B43">
        <w:t xml:space="preserve">changes, </w:t>
      </w:r>
      <w:r w:rsidRPr="00685DAB">
        <w:t>and felt that the cluster approach had had the unintended consequence of allowing three different models to develop</w:t>
      </w:r>
      <w:r w:rsidR="00281B43">
        <w:t>,</w:t>
      </w:r>
      <w:r>
        <w:t xml:space="preserve"> </w:t>
      </w:r>
      <w:r w:rsidR="00281B43">
        <w:t xml:space="preserve">with the result that the </w:t>
      </w:r>
      <w:r>
        <w:t xml:space="preserve">Clinical Director </w:t>
      </w:r>
      <w:r w:rsidR="00281B43">
        <w:t xml:space="preserve">faced challenges </w:t>
      </w:r>
      <w:r>
        <w:t xml:space="preserve">in ensuring </w:t>
      </w:r>
      <w:r w:rsidR="00281B43">
        <w:t xml:space="preserve">consistent </w:t>
      </w:r>
      <w:r>
        <w:t xml:space="preserve">clinical governance. In addition to the clusters operating differently there </w:t>
      </w:r>
      <w:r w:rsidR="007F67B5">
        <w:t>were also</w:t>
      </w:r>
      <w:r>
        <w:t xml:space="preserve"> challenges in terms of </w:t>
      </w:r>
      <w:r w:rsidR="00281B43">
        <w:t xml:space="preserve">the </w:t>
      </w:r>
      <w:r>
        <w:t xml:space="preserve">interoperability of computer systems and other systems </w:t>
      </w:r>
      <w:r w:rsidR="00281B43">
        <w:t xml:space="preserve">between ICAMHS and </w:t>
      </w:r>
      <w:r>
        <w:t>their NGO partners.</w:t>
      </w:r>
    </w:p>
    <w:p w14:paraId="6CD6639E" w14:textId="77777777" w:rsidR="008656AA" w:rsidRPr="00AE0E1D" w:rsidRDefault="008656AA" w:rsidP="008656AA">
      <w:r>
        <w:lastRenderedPageBreak/>
        <w:t xml:space="preserve">Despite these challenges, overall </w:t>
      </w:r>
      <w:r w:rsidR="00281B43">
        <w:t xml:space="preserve">staff in </w:t>
      </w:r>
      <w:r>
        <w:t>the ICAMHS team felt they provided a high</w:t>
      </w:r>
      <w:r w:rsidR="00281B43">
        <w:t>-</w:t>
      </w:r>
      <w:r>
        <w:t>quality service</w:t>
      </w:r>
      <w:r w:rsidR="00281B43">
        <w:t xml:space="preserve">, although they noted </w:t>
      </w:r>
      <w:r>
        <w:t>that they were seeing increasing demand pressures</w:t>
      </w:r>
      <w:r w:rsidR="00A37EFC">
        <w:t xml:space="preserve">, in terms of </w:t>
      </w:r>
      <w:r>
        <w:t>increased referrals</w:t>
      </w:r>
      <w:r w:rsidR="00A37EFC">
        <w:t>,</w:t>
      </w:r>
      <w:r>
        <w:t xml:space="preserve"> </w:t>
      </w:r>
      <w:r w:rsidR="00A37EFC">
        <w:t xml:space="preserve">and </w:t>
      </w:r>
      <w:r>
        <w:t xml:space="preserve">increased complexity of issues on referral. </w:t>
      </w:r>
      <w:r w:rsidR="004D18A7">
        <w:t>In the more rural areas,</w:t>
      </w:r>
      <w:r>
        <w:t xml:space="preserve"> </w:t>
      </w:r>
      <w:r w:rsidR="00A37EFC">
        <w:t xml:space="preserve">inability to </w:t>
      </w:r>
      <w:r>
        <w:t xml:space="preserve">recruit suitable staff has </w:t>
      </w:r>
      <w:r w:rsidR="00A37EFC">
        <w:t xml:space="preserve">led </w:t>
      </w:r>
      <w:r>
        <w:t xml:space="preserve">to an increased focus on crisis work and less longer-term therapeutic work. Some </w:t>
      </w:r>
      <w:r w:rsidR="00A37EFC">
        <w:t xml:space="preserve">staff expressed </w:t>
      </w:r>
      <w:r>
        <w:t xml:space="preserve">concerns about </w:t>
      </w:r>
      <w:r w:rsidR="00A37EFC">
        <w:t xml:space="preserve">the </w:t>
      </w:r>
      <w:r>
        <w:t xml:space="preserve">potential adverse impact of these pressures on patient care and staff retention. </w:t>
      </w:r>
    </w:p>
    <w:p w14:paraId="77B88F3E" w14:textId="77777777" w:rsidR="008656AA" w:rsidRDefault="008656AA" w:rsidP="008656AA">
      <w:pPr>
        <w:pStyle w:val="Heading2"/>
      </w:pPr>
      <w:bookmarkStart w:id="50" w:name="_Toc448394360"/>
      <w:r>
        <w:t>Older Person Mental Health Service</w:t>
      </w:r>
      <w:bookmarkEnd w:id="50"/>
    </w:p>
    <w:p w14:paraId="7E5C3E9F" w14:textId="77777777" w:rsidR="008656AA" w:rsidRPr="00685DAB" w:rsidRDefault="008656AA" w:rsidP="008656AA">
      <w:r>
        <w:t xml:space="preserve">Like the </w:t>
      </w:r>
      <w:r w:rsidR="004B39BE">
        <w:t>MHAS</w:t>
      </w:r>
      <w:r>
        <w:t xml:space="preserve">, the </w:t>
      </w:r>
      <w:r w:rsidR="00A37EFC">
        <w:t>Older Person Mental Health</w:t>
      </w:r>
      <w:r w:rsidR="00D84B26">
        <w:t xml:space="preserve"> (OPMHS)</w:t>
      </w:r>
      <w:r w:rsidR="00A37EFC">
        <w:t xml:space="preserve"> </w:t>
      </w:r>
      <w:r>
        <w:t>subservice provides coverage across the district</w:t>
      </w:r>
      <w:r w:rsidR="00A37EFC">
        <w:t xml:space="preserve">: there are </w:t>
      </w:r>
      <w:r>
        <w:t xml:space="preserve">two nursing and 0.5 social worker FTE </w:t>
      </w:r>
      <w:r w:rsidR="00A37EFC">
        <w:t xml:space="preserve">roles </w:t>
      </w:r>
      <w:r>
        <w:t xml:space="preserve">in </w:t>
      </w:r>
      <w:proofErr w:type="gramStart"/>
      <w:r>
        <w:t>Thames</w:t>
      </w:r>
      <w:r w:rsidR="00A37EFC">
        <w:t>,</w:t>
      </w:r>
      <w:proofErr w:type="gramEnd"/>
      <w:r>
        <w:t xml:space="preserve"> and the rest </w:t>
      </w:r>
      <w:r w:rsidR="00A37EFC">
        <w:t xml:space="preserve">of the staff are </w:t>
      </w:r>
      <w:r>
        <w:t>based in Hamilton. The OPMHS use</w:t>
      </w:r>
      <w:r w:rsidR="00A37EFC">
        <w:t>s</w:t>
      </w:r>
      <w:r>
        <w:t xml:space="preserve"> an integrated model of care</w:t>
      </w:r>
      <w:r w:rsidR="00A37EFC">
        <w:t>:</w:t>
      </w:r>
      <w:r>
        <w:t xml:space="preserve"> the same team </w:t>
      </w:r>
      <w:r w:rsidR="00A37EFC">
        <w:t xml:space="preserve">is </w:t>
      </w:r>
      <w:r>
        <w:t xml:space="preserve">involved in the inpatient </w:t>
      </w:r>
      <w:r w:rsidR="002649B6">
        <w:t xml:space="preserve">unit </w:t>
      </w:r>
      <w:r>
        <w:t xml:space="preserve">and </w:t>
      </w:r>
      <w:r w:rsidR="002649B6">
        <w:t xml:space="preserve">in the </w:t>
      </w:r>
      <w:r>
        <w:t xml:space="preserve">community. </w:t>
      </w:r>
      <w:r w:rsidR="002649B6">
        <w:t>I</w:t>
      </w:r>
      <w:r>
        <w:t>npatient care is focused around a recovery model</w:t>
      </w:r>
      <w:r w:rsidR="002649B6">
        <w:t>,</w:t>
      </w:r>
      <w:r>
        <w:t xml:space="preserve"> but the</w:t>
      </w:r>
      <w:r w:rsidR="002649B6">
        <w:t xml:space="preserve"> service </w:t>
      </w:r>
      <w:r w:rsidR="00A37EFC">
        <w:t xml:space="preserve">is </w:t>
      </w:r>
      <w:r w:rsidR="002649B6">
        <w:t>experienc</w:t>
      </w:r>
      <w:r w:rsidR="00A37EFC">
        <w:t>ing</w:t>
      </w:r>
      <w:r>
        <w:t xml:space="preserve"> challenges in ensuring alignment of the required paperwork and actual practice.</w:t>
      </w:r>
    </w:p>
    <w:p w14:paraId="33DB58C4" w14:textId="77777777" w:rsidR="008656AA" w:rsidRDefault="008656AA" w:rsidP="008656AA">
      <w:r>
        <w:t xml:space="preserve">The OPMHS </w:t>
      </w:r>
      <w:r w:rsidR="00A37EFC">
        <w:t xml:space="preserve">has </w:t>
      </w:r>
      <w:r>
        <w:t>recently moved into new facilities. While the new facilities are clean and well</w:t>
      </w:r>
      <w:r w:rsidR="00A37EFC">
        <w:t>-</w:t>
      </w:r>
      <w:r>
        <w:t xml:space="preserve">lit, </w:t>
      </w:r>
      <w:r w:rsidR="00A37EFC">
        <w:t xml:space="preserve">they </w:t>
      </w:r>
      <w:r>
        <w:t xml:space="preserve">have </w:t>
      </w:r>
      <w:r w:rsidR="00A37EFC">
        <w:t xml:space="preserve">posed a particular </w:t>
      </w:r>
      <w:r>
        <w:t>challenge</w:t>
      </w:r>
      <w:r w:rsidR="00A37EFC">
        <w:t>.</w:t>
      </w:r>
      <w:r>
        <w:t xml:space="preserve"> </w:t>
      </w:r>
      <w:proofErr w:type="gramStart"/>
      <w:r>
        <w:t>as</w:t>
      </w:r>
      <w:proofErr w:type="gramEnd"/>
      <w:r>
        <w:t xml:space="preserve"> two distinct patient groups are managed with the one ward; patients with functional psychiatric illness (70</w:t>
      </w:r>
      <w:r w:rsidR="004439BA">
        <w:t>%</w:t>
      </w:r>
      <w:r>
        <w:t>) and those with behavioural problems arising from their dementia or organic illnesses (30</w:t>
      </w:r>
      <w:r w:rsidR="004439BA">
        <w:t>%</w:t>
      </w:r>
      <w:r>
        <w:t xml:space="preserve">).  The needs </w:t>
      </w:r>
      <w:r w:rsidR="004439BA">
        <w:t xml:space="preserve">of </w:t>
      </w:r>
      <w:r>
        <w:t xml:space="preserve">and treatment approach to these groups are different. </w:t>
      </w:r>
      <w:proofErr w:type="gramStart"/>
      <w:r>
        <w:t>Staff have</w:t>
      </w:r>
      <w:proofErr w:type="gramEnd"/>
      <w:r>
        <w:t xml:space="preserve"> made some adaptations to the ward environment to manage these groups. It was evident </w:t>
      </w:r>
      <w:r w:rsidR="004439BA">
        <w:t xml:space="preserve">to the Inspection Team </w:t>
      </w:r>
      <w:r>
        <w:t>that the staff provided a high standard of care.</w:t>
      </w:r>
    </w:p>
    <w:p w14:paraId="00E92C8D" w14:textId="77777777" w:rsidR="008656AA" w:rsidRDefault="008656AA" w:rsidP="008656AA">
      <w:r>
        <w:t xml:space="preserve">There is an increasing elderly population within the </w:t>
      </w:r>
      <w:r w:rsidR="004439BA">
        <w:t xml:space="preserve">Waikato </w:t>
      </w:r>
      <w:r>
        <w:t>DHB district. This is reflected in an increased demand for the OPMHS. Staff working within the community reported relatively high caseloads</w:t>
      </w:r>
      <w:r w:rsidR="004439BA">
        <w:t>:</w:t>
      </w:r>
      <w:r>
        <w:t xml:space="preserve"> 30</w:t>
      </w:r>
      <w:r w:rsidR="004439BA">
        <w:t>–</w:t>
      </w:r>
      <w:r>
        <w:t xml:space="preserve">35 clients per key worker. This had led to increased </w:t>
      </w:r>
      <w:r w:rsidR="004439BA">
        <w:t xml:space="preserve">staff </w:t>
      </w:r>
      <w:r>
        <w:t xml:space="preserve">stress and </w:t>
      </w:r>
      <w:r w:rsidR="004439BA">
        <w:t xml:space="preserve">increased </w:t>
      </w:r>
      <w:r>
        <w:t>use of nursing bureau staff</w:t>
      </w:r>
      <w:r w:rsidR="002649B6">
        <w:t>, resulting in</w:t>
      </w:r>
      <w:r w:rsidR="004439BA">
        <w:t xml:space="preserve"> </w:t>
      </w:r>
      <w:r>
        <w:t>issues related to differences in skill sets.</w:t>
      </w:r>
    </w:p>
    <w:p w14:paraId="0C5ECC6E" w14:textId="77777777" w:rsidR="008656AA" w:rsidRDefault="008656AA" w:rsidP="008656AA">
      <w:r>
        <w:t xml:space="preserve">The OPMHS subservice has multiple entry points. </w:t>
      </w:r>
      <w:r w:rsidR="004439BA">
        <w:t xml:space="preserve">The service is </w:t>
      </w:r>
      <w:r>
        <w:t>in the process of developing one for cognitive disorders.</w:t>
      </w:r>
    </w:p>
    <w:p w14:paraId="2BD55C13" w14:textId="77777777" w:rsidR="008656AA" w:rsidRDefault="008656AA" w:rsidP="008656AA">
      <w:r>
        <w:t>The O</w:t>
      </w:r>
      <w:r w:rsidR="002649B6">
        <w:t>PM</w:t>
      </w:r>
      <w:r>
        <w:t xml:space="preserve">HS </w:t>
      </w:r>
      <w:r w:rsidR="004439BA">
        <w:t xml:space="preserve">has </w:t>
      </w:r>
      <w:r>
        <w:t>not yet adopted the ICP</w:t>
      </w:r>
      <w:r w:rsidR="004439BA">
        <w:t>.</w:t>
      </w:r>
      <w:r>
        <w:t xml:space="preserve"> </w:t>
      </w:r>
      <w:proofErr w:type="gramStart"/>
      <w:r w:rsidR="004439BA">
        <w:t>Staff are</w:t>
      </w:r>
      <w:proofErr w:type="gramEnd"/>
      <w:r w:rsidR="004439BA">
        <w:t xml:space="preserve"> apprehensive about </w:t>
      </w:r>
      <w:r>
        <w:t xml:space="preserve">its introduction given the issues </w:t>
      </w:r>
      <w:r w:rsidR="004439BA">
        <w:t>that have arisen with its implementation elsewhere</w:t>
      </w:r>
      <w:r>
        <w:t xml:space="preserve">. The </w:t>
      </w:r>
      <w:r w:rsidR="001C1DCB">
        <w:t>I</w:t>
      </w:r>
      <w:r>
        <w:t xml:space="preserve">nspection </w:t>
      </w:r>
      <w:r w:rsidR="001C1DCB">
        <w:t>T</w:t>
      </w:r>
      <w:r>
        <w:t xml:space="preserve">eam believes that </w:t>
      </w:r>
      <w:r w:rsidR="004439BA">
        <w:t xml:space="preserve">the DHB should give some </w:t>
      </w:r>
      <w:r>
        <w:t xml:space="preserve">thought to how it </w:t>
      </w:r>
      <w:r w:rsidR="004439BA">
        <w:t xml:space="preserve">could adapt the ICP </w:t>
      </w:r>
      <w:r>
        <w:t>to this area of the service.</w:t>
      </w:r>
    </w:p>
    <w:p w14:paraId="333A0827" w14:textId="77777777" w:rsidR="008656AA" w:rsidRDefault="004439BA" w:rsidP="008656AA">
      <w:pPr>
        <w:pStyle w:val="Heading2"/>
      </w:pPr>
      <w:bookmarkStart w:id="51" w:name="_Toc448394361"/>
      <w:r>
        <w:t xml:space="preserve">Acute Care Coordination and Integration Service </w:t>
      </w:r>
      <w:r w:rsidR="00443933">
        <w:t>and Crisis</w:t>
      </w:r>
      <w:r w:rsidR="008656AA">
        <w:t xml:space="preserve"> and Home Treatment </w:t>
      </w:r>
      <w:r>
        <w:t>services</w:t>
      </w:r>
      <w:bookmarkEnd w:id="51"/>
    </w:p>
    <w:p w14:paraId="545787B0" w14:textId="77777777" w:rsidR="008656AA" w:rsidRDefault="008656AA" w:rsidP="008656AA">
      <w:r>
        <w:t xml:space="preserve">The Acute Care </w:t>
      </w:r>
      <w:r w:rsidR="00443933">
        <w:t>Coordination</w:t>
      </w:r>
      <w:r>
        <w:t xml:space="preserve"> and Integration Service (ACCIS) and the Crisis and Home Treatment (CAHT) services operate </w:t>
      </w:r>
      <w:r w:rsidR="00443933">
        <w:t>from</w:t>
      </w:r>
      <w:r>
        <w:t xml:space="preserve"> </w:t>
      </w:r>
      <w:r w:rsidR="004439BA">
        <w:t xml:space="preserve">a </w:t>
      </w:r>
      <w:r>
        <w:t xml:space="preserve">single point of entry that includes transfers of care. The </w:t>
      </w:r>
      <w:r w:rsidR="004439BA">
        <w:t xml:space="preserve">ACCIS </w:t>
      </w:r>
      <w:r>
        <w:t xml:space="preserve">has undergone significant change </w:t>
      </w:r>
      <w:r w:rsidR="004439BA">
        <w:t xml:space="preserve">recently; it has </w:t>
      </w:r>
      <w:r>
        <w:t>essentially rebuilt itself over the last two years</w:t>
      </w:r>
      <w:r w:rsidR="004439BA">
        <w:t>.</w:t>
      </w:r>
      <w:r>
        <w:t xml:space="preserve"> </w:t>
      </w:r>
      <w:proofErr w:type="gramStart"/>
      <w:r w:rsidR="004439BA">
        <w:t xml:space="preserve">Its </w:t>
      </w:r>
      <w:r>
        <w:t xml:space="preserve">staff </w:t>
      </w:r>
      <w:r w:rsidR="004439BA">
        <w:t>have</w:t>
      </w:r>
      <w:proofErr w:type="gramEnd"/>
      <w:r w:rsidR="004439BA">
        <w:t xml:space="preserve"> embraced </w:t>
      </w:r>
      <w:r>
        <w:t>the change.</w:t>
      </w:r>
    </w:p>
    <w:p w14:paraId="3CFD4005" w14:textId="77777777" w:rsidR="008656AA" w:rsidRDefault="008656AA" w:rsidP="008656AA">
      <w:r>
        <w:t xml:space="preserve">The issues the service reported </w:t>
      </w:r>
      <w:r w:rsidR="004439BA">
        <w:t xml:space="preserve">to the Inspection Team </w:t>
      </w:r>
      <w:r>
        <w:t xml:space="preserve">appeared to be mainly in association with the community teams. </w:t>
      </w:r>
      <w:r w:rsidR="004439BA">
        <w:t xml:space="preserve">Staff </w:t>
      </w:r>
      <w:r>
        <w:t xml:space="preserve">noted that stability </w:t>
      </w:r>
      <w:r w:rsidR="00646377">
        <w:t xml:space="preserve">is lacking in this area, </w:t>
      </w:r>
      <w:r>
        <w:t xml:space="preserve">and that there are significant resourcing challenges, including a high rate of staff turnover. Staff felt the resourcing pressures on the adult teams had resulted in them </w:t>
      </w:r>
      <w:r w:rsidR="00646377">
        <w:t>‘</w:t>
      </w:r>
      <w:r>
        <w:t>picking up the pieces</w:t>
      </w:r>
      <w:r w:rsidR="00646377">
        <w:t>’</w:t>
      </w:r>
      <w:r>
        <w:t>.</w:t>
      </w:r>
    </w:p>
    <w:p w14:paraId="5A8DD023" w14:textId="77777777" w:rsidR="008656AA" w:rsidRDefault="00646377" w:rsidP="008656AA">
      <w:r>
        <w:t xml:space="preserve">Staff expressed </w:t>
      </w:r>
      <w:r w:rsidR="008656AA">
        <w:t xml:space="preserve">some frustrations with </w:t>
      </w:r>
      <w:r w:rsidR="0067037E">
        <w:t>referrals</w:t>
      </w:r>
      <w:r w:rsidR="008656AA">
        <w:t xml:space="preserve"> coming from general practice</w:t>
      </w:r>
      <w:r>
        <w:t>, considering some of them inappropriate</w:t>
      </w:r>
      <w:r w:rsidR="008656AA">
        <w:t>.</w:t>
      </w:r>
    </w:p>
    <w:p w14:paraId="0D76C422" w14:textId="77777777" w:rsidR="008656AA" w:rsidRDefault="008656AA" w:rsidP="008656AA">
      <w:r>
        <w:lastRenderedPageBreak/>
        <w:t xml:space="preserve">Staff expressed concern about what had been happening since </w:t>
      </w:r>
      <w:r w:rsidR="00C740BB">
        <w:t xml:space="preserve">the </w:t>
      </w:r>
      <w:r>
        <w:t xml:space="preserve">external pressures had </w:t>
      </w:r>
      <w:r w:rsidR="00C740BB">
        <w:t>become an issue</w:t>
      </w:r>
      <w:r>
        <w:t xml:space="preserve">. They </w:t>
      </w:r>
      <w:r w:rsidR="00C740BB">
        <w:t xml:space="preserve">said they </w:t>
      </w:r>
      <w:r>
        <w:t xml:space="preserve">felt less supported in their risk management work (especially </w:t>
      </w:r>
      <w:r w:rsidR="00C740BB">
        <w:t xml:space="preserve">in terms of </w:t>
      </w:r>
      <w:r>
        <w:t xml:space="preserve">supporting people accessing the service </w:t>
      </w:r>
      <w:r w:rsidR="00545335">
        <w:t xml:space="preserve">to </w:t>
      </w:r>
      <w:r>
        <w:t xml:space="preserve">self-manage). They </w:t>
      </w:r>
      <w:r w:rsidR="00545335">
        <w:t xml:space="preserve">felt that a more punitive model of care, involving </w:t>
      </w:r>
      <w:r>
        <w:t>restrictive care and micromanagement</w:t>
      </w:r>
      <w:r w:rsidR="00545335">
        <w:t>, was entering the culture of the service</w:t>
      </w:r>
      <w:r>
        <w:t>. This had left them feeling disempowered.</w:t>
      </w:r>
    </w:p>
    <w:p w14:paraId="204EF1AB" w14:textId="77777777" w:rsidR="008656AA" w:rsidRDefault="008656AA" w:rsidP="008656AA">
      <w:pPr>
        <w:pStyle w:val="Heading2"/>
      </w:pPr>
      <w:bookmarkStart w:id="52" w:name="_Toc448394362"/>
      <w:r>
        <w:t xml:space="preserve">Other </w:t>
      </w:r>
      <w:r w:rsidR="00545335">
        <w:t>s</w:t>
      </w:r>
      <w:r>
        <w:t xml:space="preserve">ubspecialty </w:t>
      </w:r>
      <w:r w:rsidR="00545335">
        <w:t>t</w:t>
      </w:r>
      <w:r>
        <w:t>eams</w:t>
      </w:r>
      <w:bookmarkEnd w:id="52"/>
    </w:p>
    <w:p w14:paraId="0F99F222" w14:textId="77777777" w:rsidR="00E35F19" w:rsidRDefault="008656AA" w:rsidP="008656AA">
      <w:r>
        <w:t xml:space="preserve">The </w:t>
      </w:r>
      <w:r w:rsidR="00545335">
        <w:t>s</w:t>
      </w:r>
      <w:r>
        <w:t xml:space="preserve">ervice </w:t>
      </w:r>
      <w:r w:rsidR="00545335">
        <w:t xml:space="preserve">comprises </w:t>
      </w:r>
      <w:r>
        <w:t xml:space="preserve">a number of other </w:t>
      </w:r>
      <w:r w:rsidR="00545335">
        <w:t>s</w:t>
      </w:r>
      <w:r>
        <w:t xml:space="preserve">ubspecialty </w:t>
      </w:r>
      <w:r w:rsidR="00545335">
        <w:t>t</w:t>
      </w:r>
      <w:r>
        <w:t xml:space="preserve">eams: </w:t>
      </w:r>
      <w:r w:rsidR="00545335">
        <w:t>Alcohol and Other Drugs</w:t>
      </w:r>
      <w:r>
        <w:t xml:space="preserve">, Intellectual Disability-Dual Diagnosis, Integrated Recovery, Assertive Community Service, Residential Coordination, Specialist Eating Disorder, Dialectical Behavioural Therapy, Consult Liaison and Perinatal Mental Health. </w:t>
      </w:r>
      <w:r w:rsidR="009A510D">
        <w:t>The Inspection Team spoke to</w:t>
      </w:r>
      <w:r>
        <w:t xml:space="preserve"> representatives of these teams, </w:t>
      </w:r>
      <w:r w:rsidR="009A510D">
        <w:t xml:space="preserve">but </w:t>
      </w:r>
      <w:r>
        <w:t xml:space="preserve">they were not the major focus of </w:t>
      </w:r>
      <w:r w:rsidR="00E35F19">
        <w:t xml:space="preserve">the </w:t>
      </w:r>
      <w:r>
        <w:t xml:space="preserve">inspection. </w:t>
      </w:r>
      <w:r w:rsidR="00E35F19">
        <w:t xml:space="preserve">Staff from these teams </w:t>
      </w:r>
      <w:r>
        <w:t>report</w:t>
      </w:r>
      <w:r w:rsidR="00E35F19">
        <w:t>ed some</w:t>
      </w:r>
      <w:r>
        <w:t xml:space="preserve"> pressure on resources</w:t>
      </w:r>
      <w:r w:rsidR="00E35F19">
        <w:t>,</w:t>
      </w:r>
      <w:r>
        <w:t xml:space="preserve"> but seemed not to have the same concerns as the community and crisis teams. </w:t>
      </w:r>
    </w:p>
    <w:p w14:paraId="1FEAC0FE" w14:textId="77777777" w:rsidR="008656AA" w:rsidRDefault="008656AA" w:rsidP="008656AA">
      <w:r>
        <w:t xml:space="preserve">Similarly, the Regional Forensic </w:t>
      </w:r>
      <w:r w:rsidR="00E35F19">
        <w:t xml:space="preserve">Psychiatric </w:t>
      </w:r>
      <w:r>
        <w:t xml:space="preserve">Service was not inspected in </w:t>
      </w:r>
      <w:proofErr w:type="gramStart"/>
      <w:r>
        <w:t>detail,</w:t>
      </w:r>
      <w:proofErr w:type="gramEnd"/>
      <w:r>
        <w:t xml:space="preserve"> however the </w:t>
      </w:r>
      <w:r w:rsidR="001C1DCB">
        <w:t>I</w:t>
      </w:r>
      <w:r>
        <w:t xml:space="preserve">nspection </w:t>
      </w:r>
      <w:r w:rsidR="001C1DCB">
        <w:t>T</w:t>
      </w:r>
      <w:r>
        <w:t xml:space="preserve">eam did take into account comments from people using the forensic service. </w:t>
      </w:r>
    </w:p>
    <w:p w14:paraId="0BFAA46C" w14:textId="77777777" w:rsidR="00E027ED" w:rsidRDefault="00E027ED" w:rsidP="00E027ED">
      <w:pPr>
        <w:pStyle w:val="Heading1"/>
      </w:pPr>
      <w:bookmarkStart w:id="53" w:name="_Ref448171820"/>
      <w:bookmarkStart w:id="54" w:name="_Toc448394363"/>
      <w:r w:rsidRPr="000C507A">
        <w:t xml:space="preserve">People </w:t>
      </w:r>
      <w:r w:rsidR="00E35F19">
        <w:t>u</w:t>
      </w:r>
      <w:r w:rsidRPr="000C507A">
        <w:t xml:space="preserve">sing the </w:t>
      </w:r>
      <w:r w:rsidR="00E35F19">
        <w:t>s</w:t>
      </w:r>
      <w:r w:rsidRPr="000C507A">
        <w:t xml:space="preserve">ervices and their </w:t>
      </w:r>
      <w:proofErr w:type="spellStart"/>
      <w:r w:rsidR="00E35F19">
        <w:t>w</w:t>
      </w:r>
      <w:r>
        <w:t>hānau</w:t>
      </w:r>
      <w:bookmarkEnd w:id="53"/>
      <w:bookmarkEnd w:id="54"/>
      <w:proofErr w:type="spellEnd"/>
    </w:p>
    <w:p w14:paraId="2982760A" w14:textId="77777777" w:rsidR="0021766F" w:rsidRPr="000C507A" w:rsidRDefault="0021766F" w:rsidP="0021766F">
      <w:pPr>
        <w:rPr>
          <w:szCs w:val="22"/>
        </w:rPr>
      </w:pPr>
      <w:r>
        <w:t xml:space="preserve">The Inspection Team’s consumer leader </w:t>
      </w:r>
      <w:r w:rsidRPr="000C507A">
        <w:t xml:space="preserve">inspected the Waikato </w:t>
      </w:r>
      <w:r>
        <w:t xml:space="preserve">DHB’s mental health services </w:t>
      </w:r>
      <w:r w:rsidRPr="000C507A">
        <w:t>from the perspective</w:t>
      </w:r>
      <w:r>
        <w:t xml:space="preserve"> of people using the services and their </w:t>
      </w:r>
      <w:proofErr w:type="spellStart"/>
      <w:r>
        <w:t>whānau</w:t>
      </w:r>
      <w:proofErr w:type="spellEnd"/>
      <w:r w:rsidRPr="000C507A">
        <w:t>.</w:t>
      </w:r>
      <w:r>
        <w:t xml:space="preserve"> She met with 105 people accessing the services either as </w:t>
      </w:r>
      <w:proofErr w:type="spellStart"/>
      <w:r>
        <w:t>tangata</w:t>
      </w:r>
      <w:proofErr w:type="spellEnd"/>
      <w:r>
        <w:t xml:space="preserve"> </w:t>
      </w:r>
      <w:proofErr w:type="spellStart"/>
      <w:r>
        <w:t>whaiora</w:t>
      </w:r>
      <w:proofErr w:type="spellEnd"/>
      <w:r>
        <w:t xml:space="preserve"> or </w:t>
      </w:r>
      <w:proofErr w:type="spellStart"/>
      <w:r>
        <w:t>whānau</w:t>
      </w:r>
      <w:proofErr w:type="spellEnd"/>
      <w:r>
        <w:t>. Where possible, the Inspection Team has incorporated comments from these people into the wider body of this report.</w:t>
      </w:r>
    </w:p>
    <w:p w14:paraId="0CF716F5" w14:textId="77777777" w:rsidR="0021766F" w:rsidRDefault="0021766F" w:rsidP="0021766F">
      <w:r>
        <w:t xml:space="preserve">As noted earlier (section 3.8) the MHAS has made considerable progress in the areas of consumer and </w:t>
      </w:r>
      <w:proofErr w:type="spellStart"/>
      <w:r>
        <w:t>whānau</w:t>
      </w:r>
      <w:proofErr w:type="spellEnd"/>
      <w:r>
        <w:t xml:space="preserve"> engagement since the </w:t>
      </w:r>
      <w:r>
        <w:rPr>
          <w:i/>
        </w:rPr>
        <w:t>A Time for Change</w:t>
      </w:r>
      <w:r>
        <w:t xml:space="preserve"> report. As part of the process of significant change, the service has defined expectations for consumer engagement at all levels, including at all levels of governance. Further, there has been a clear focus on rolling out recovery and peer support modules for this purpose.</w:t>
      </w:r>
    </w:p>
    <w:p w14:paraId="7E3866C1" w14:textId="77777777" w:rsidR="0021766F" w:rsidRDefault="0021766F" w:rsidP="0021766F">
      <w:r>
        <w:t>The commentary received by the Team’s consumer leader was valuable and demonstrated a willingness by people using the service to provide feedback. T</w:t>
      </w:r>
      <w:r w:rsidR="002C474E">
        <w:t>his feedback is invaluable when</w:t>
      </w:r>
      <w:r>
        <w:t xml:space="preserve"> services are undergoing transformation.  There were both positive and negative experiences and the challenge for the service will be to find mechanisms to build a culture within the service (at all levels) to incorporate those experiences as a driver for further change and improvement.</w:t>
      </w:r>
    </w:p>
    <w:p w14:paraId="54CAEB54" w14:textId="77777777" w:rsidR="0021766F" w:rsidRDefault="0021766F" w:rsidP="0021766F">
      <w:r w:rsidRPr="0021766F">
        <w:t>The service has recently started using the Real Time Feedback Tool,</w:t>
      </w:r>
      <w:r w:rsidRPr="0021766F">
        <w:rPr>
          <w:rStyle w:val="FootnoteReference"/>
        </w:rPr>
        <w:footnoteReference w:id="16"/>
      </w:r>
      <w:r w:rsidRPr="0021766F">
        <w:t xml:space="preserve"> which gathers system-level feedback, and is valuable for service development. Service user networks regionally and nationally are applauding the use of this tool. However, people interviewed reported being most interested in their personal treatment plan and this tool does not account for that. Unfortunately, there is not one system that will work for everything.</w:t>
      </w:r>
    </w:p>
    <w:p w14:paraId="07B2E10B" w14:textId="77777777" w:rsidR="0021766F" w:rsidRDefault="0021766F" w:rsidP="0021766F">
      <w:r>
        <w:lastRenderedPageBreak/>
        <w:t>Other services</w:t>
      </w:r>
      <w:r w:rsidR="00AA67C7">
        <w:t xml:space="preserve">, both within New Zealand and internationally, </w:t>
      </w:r>
      <w:r>
        <w:t>have explored using tools that enable people using a service to provide</w:t>
      </w:r>
      <w:r w:rsidRPr="000C507A">
        <w:t xml:space="preserve"> feedback about their personal treatment and care. </w:t>
      </w:r>
      <w:r>
        <w:t xml:space="preserve">To be effective, a feedback tool needs to ensure that receiving and responding to feedback </w:t>
      </w:r>
      <w:r w:rsidRPr="000C507A">
        <w:t xml:space="preserve">makes a </w:t>
      </w:r>
      <w:r>
        <w:t xml:space="preserve">positive </w:t>
      </w:r>
      <w:r w:rsidRPr="000C507A">
        <w:t xml:space="preserve">difference to the outcome for </w:t>
      </w:r>
      <w:r>
        <w:t xml:space="preserve">an individual </w:t>
      </w:r>
      <w:r w:rsidRPr="000C507A">
        <w:t xml:space="preserve">person and their </w:t>
      </w:r>
      <w:proofErr w:type="spellStart"/>
      <w:r>
        <w:t>whānau</w:t>
      </w:r>
      <w:proofErr w:type="spellEnd"/>
      <w:r w:rsidRPr="000C507A">
        <w:t xml:space="preserve">. </w:t>
      </w:r>
      <w:r>
        <w:t xml:space="preserve">Nationally and internationally there is still some debate as to what tools work best in this regard. </w:t>
      </w:r>
      <w:r w:rsidRPr="000C507A">
        <w:t>Scott Mill</w:t>
      </w:r>
      <w:r>
        <w:t>e</w:t>
      </w:r>
      <w:r w:rsidRPr="000C507A">
        <w:t>r’s evidence</w:t>
      </w:r>
      <w:r>
        <w:t>-</w:t>
      </w:r>
      <w:r w:rsidRPr="000C507A">
        <w:t>based, pan-</w:t>
      </w:r>
      <w:proofErr w:type="gramStart"/>
      <w:r w:rsidRPr="000C507A">
        <w:t>theoretical,</w:t>
      </w:r>
      <w:proofErr w:type="gramEnd"/>
      <w:r w:rsidRPr="000C507A">
        <w:t xml:space="preserve"> Feedback Informed Treatment</w:t>
      </w:r>
      <w:r>
        <w:rPr>
          <w:rStyle w:val="FootnoteReference"/>
        </w:rPr>
        <w:footnoteReference w:id="17"/>
      </w:r>
      <w:r w:rsidRPr="000C507A">
        <w:t xml:space="preserve"> outcome tool is </w:t>
      </w:r>
      <w:r>
        <w:t>one contender</w:t>
      </w:r>
      <w:r w:rsidRPr="000C507A">
        <w:t xml:space="preserve">. </w:t>
      </w:r>
    </w:p>
    <w:p w14:paraId="74700935" w14:textId="77777777" w:rsidR="0021766F" w:rsidRDefault="0021766F" w:rsidP="0021766F">
      <w:r>
        <w:t>In many cases, service users’ experience of staff seemed to predict their experience of their care generally: those who rated their experience of staff as ‘good’ also tended to rate their overall care as ‘good’. The Inspection Team recommends exploring this dynamic, with the aim of maintaining consistency of practice change at the front line. Feedback tools could assist this process.</w:t>
      </w:r>
    </w:p>
    <w:p w14:paraId="091E2886" w14:textId="77777777" w:rsidR="0021766F" w:rsidRDefault="0021766F" w:rsidP="0021766F">
      <w:r>
        <w:t>The MHAS should also explore whether the feedback process should be more multi-faceted. For example, it could include not just people directly accessing services, but those outside the system who have an interest in or are potential users of the services. A broadened base could further enhance knowledge of the effectiveness of a service from a service user perspective. It could in turn drive further transformation and improve public understanding of the service.</w:t>
      </w:r>
    </w:p>
    <w:p w14:paraId="6505504E" w14:textId="77777777" w:rsidR="0021766F" w:rsidRDefault="0021766F" w:rsidP="0021766F">
      <w:r>
        <w:t xml:space="preserve">Some strengthening could occur in the area of </w:t>
      </w:r>
      <w:proofErr w:type="spellStart"/>
      <w:r>
        <w:t>whānau</w:t>
      </w:r>
      <w:proofErr w:type="spellEnd"/>
      <w:r>
        <w:t xml:space="preserve"> engagement within the MHAS. There have been </w:t>
      </w:r>
      <w:r w:rsidRPr="000C507A">
        <w:t xml:space="preserve">significant system developments since </w:t>
      </w:r>
      <w:r w:rsidRPr="0014110A">
        <w:rPr>
          <w:i/>
        </w:rPr>
        <w:t>A Time for Change</w:t>
      </w:r>
      <w:r>
        <w:t>,</w:t>
      </w:r>
      <w:r w:rsidRPr="000C507A">
        <w:t xml:space="preserve"> </w:t>
      </w:r>
      <w:r>
        <w:t xml:space="preserve">including </w:t>
      </w:r>
      <w:r w:rsidRPr="000C507A">
        <w:t xml:space="preserve">the introduction of the Family </w:t>
      </w:r>
      <w:r>
        <w:t>F</w:t>
      </w:r>
      <w:r w:rsidRPr="000C507A">
        <w:t>acilitator</w:t>
      </w:r>
      <w:r>
        <w:t xml:space="preserve"> role</w:t>
      </w:r>
      <w:r w:rsidRPr="000C507A">
        <w:t>, survey options for family</w:t>
      </w:r>
      <w:r>
        <w:t>/</w:t>
      </w:r>
      <w:proofErr w:type="spellStart"/>
      <w:r>
        <w:t>whānau</w:t>
      </w:r>
      <w:proofErr w:type="spellEnd"/>
      <w:r w:rsidRPr="000C507A">
        <w:t xml:space="preserve"> and </w:t>
      </w:r>
      <w:r>
        <w:t xml:space="preserve">the </w:t>
      </w:r>
      <w:r w:rsidRPr="000C507A">
        <w:t xml:space="preserve">Real Time </w:t>
      </w:r>
      <w:r>
        <w:t>F</w:t>
      </w:r>
      <w:r w:rsidRPr="000C507A">
        <w:t>eedback</w:t>
      </w:r>
      <w:r>
        <w:t xml:space="preserve"> Tool</w:t>
      </w:r>
      <w:r w:rsidRPr="000C507A">
        <w:t xml:space="preserve">. However, </w:t>
      </w:r>
      <w:r>
        <w:t>the Inspection Team notes that family/</w:t>
      </w:r>
      <w:proofErr w:type="spellStart"/>
      <w:r>
        <w:t>whānau</w:t>
      </w:r>
      <w:proofErr w:type="spellEnd"/>
      <w:r w:rsidRPr="000C507A">
        <w:t xml:space="preserve"> engagement is everyone’s business</w:t>
      </w:r>
      <w:r>
        <w:t xml:space="preserve">. Currently, </w:t>
      </w:r>
      <w:r w:rsidRPr="000C507A">
        <w:t xml:space="preserve">there appears to be a small group of people responsible for championing </w:t>
      </w:r>
      <w:r>
        <w:t xml:space="preserve">such engagement, within </w:t>
      </w:r>
      <w:r w:rsidRPr="000C507A">
        <w:t>a system that is still largely designed for individuals.</w:t>
      </w:r>
    </w:p>
    <w:p w14:paraId="17E69FF2" w14:textId="77777777" w:rsidR="0021766F" w:rsidRDefault="0021766F" w:rsidP="0021766F">
      <w:r>
        <w:t>Mental health services around the country often find difficulties in balancing the rights and responsibilities to the individuals using the service and those of the</w:t>
      </w:r>
      <w:r w:rsidRPr="000C507A">
        <w:t xml:space="preserve"> </w:t>
      </w:r>
      <w:proofErr w:type="spellStart"/>
      <w:r>
        <w:t>whānau</w:t>
      </w:r>
      <w:proofErr w:type="spellEnd"/>
      <w:r>
        <w:t xml:space="preserve">. On occasions these can be in conflict and staff will need to be supported through this. In Waikato DHB’s MHAS, as part of the cultural change already taken place, there </w:t>
      </w:r>
      <w:r w:rsidRPr="000C507A">
        <w:t xml:space="preserve">needs to be a more consistent commitment to </w:t>
      </w:r>
      <w:r>
        <w:t xml:space="preserve">equally </w:t>
      </w:r>
      <w:r w:rsidRPr="000C507A">
        <w:t>engag</w:t>
      </w:r>
      <w:r>
        <w:t>e</w:t>
      </w:r>
      <w:r w:rsidRPr="000C507A">
        <w:t xml:space="preserve"> individuals accessing services</w:t>
      </w:r>
      <w:r>
        <w:t xml:space="preserve"> and their </w:t>
      </w:r>
      <w:proofErr w:type="spellStart"/>
      <w:r>
        <w:t>whānau</w:t>
      </w:r>
      <w:proofErr w:type="spellEnd"/>
      <w:r>
        <w:t xml:space="preserve">. Such a commitment is likely to assist the MHAS to obtain wider community support for its work. </w:t>
      </w:r>
    </w:p>
    <w:p w14:paraId="0592D811" w14:textId="77777777" w:rsidR="0021766F" w:rsidRDefault="0021766F" w:rsidP="0021766F">
      <w:r>
        <w:t>There are opportunities to further strengthen transition planning between the MHAS and external service providers, and to look at providing services closer to home.</w:t>
      </w:r>
    </w:p>
    <w:p w14:paraId="6D77ACC9" w14:textId="77777777" w:rsidR="0021766F" w:rsidRDefault="0021766F" w:rsidP="0021766F">
      <w:r>
        <w:t>Like front-line staff, some people using the service perceived that the services were under pressure, and that more resources in certain areas would assist. This appeared more evident in the more rural areas.</w:t>
      </w:r>
    </w:p>
    <w:p w14:paraId="232C8618" w14:textId="77777777" w:rsidR="0021766F" w:rsidRDefault="0021766F" w:rsidP="0021766F">
      <w:r>
        <w:t xml:space="preserve">Service users made some favourable comments about forensic and older persons’ services, but raised concerns over the adult inpatient environment. (See further section </w:t>
      </w:r>
      <w:r>
        <w:fldChar w:fldCharType="begin"/>
      </w:r>
      <w:r>
        <w:instrText xml:space="preserve"> REF _Ref446928940 \r \h </w:instrText>
      </w:r>
      <w:r>
        <w:fldChar w:fldCharType="separate"/>
      </w:r>
      <w:r w:rsidR="005341C3">
        <w:t>9.4</w:t>
      </w:r>
      <w:r>
        <w:fldChar w:fldCharType="end"/>
      </w:r>
      <w:r>
        <w:t xml:space="preserve">.) </w:t>
      </w:r>
    </w:p>
    <w:p w14:paraId="7E210FEC" w14:textId="77777777" w:rsidR="0021766F" w:rsidRDefault="0021766F" w:rsidP="0021766F">
      <w:r>
        <w:t xml:space="preserve">Service users also noticed an increasing reliance on defensive practice and restrictive care which was reported to be related to external criticism of the MHAS and </w:t>
      </w:r>
      <w:r w:rsidR="002C474E">
        <w:t>this was experienced negatively</w:t>
      </w:r>
      <w:r>
        <w:t xml:space="preserve"> (see section 5.5).</w:t>
      </w:r>
    </w:p>
    <w:p w14:paraId="556CBC55" w14:textId="77777777" w:rsidR="008656AA" w:rsidRPr="000C507A" w:rsidRDefault="008656AA" w:rsidP="008656AA">
      <w:pPr>
        <w:pStyle w:val="Heading1"/>
      </w:pPr>
      <w:bookmarkStart w:id="55" w:name="_Ref436570960"/>
      <w:bookmarkStart w:id="56" w:name="_Toc448394364"/>
      <w:r w:rsidRPr="000C507A">
        <w:lastRenderedPageBreak/>
        <w:t xml:space="preserve">Cultural </w:t>
      </w:r>
      <w:r w:rsidR="00BF0CBE">
        <w:t>r</w:t>
      </w:r>
      <w:r w:rsidRPr="000C507A">
        <w:t>esponsiveness</w:t>
      </w:r>
      <w:bookmarkEnd w:id="55"/>
      <w:bookmarkEnd w:id="56"/>
    </w:p>
    <w:p w14:paraId="4781DC6C" w14:textId="77777777" w:rsidR="008656AA" w:rsidRPr="000C507A" w:rsidRDefault="008656AA" w:rsidP="008656AA">
      <w:pPr>
        <w:rPr>
          <w:szCs w:val="22"/>
        </w:rPr>
      </w:pPr>
      <w:r w:rsidRPr="000C507A">
        <w:t xml:space="preserve">This </w:t>
      </w:r>
      <w:r>
        <w:t xml:space="preserve">section </w:t>
      </w:r>
      <w:r w:rsidRPr="000C507A">
        <w:t xml:space="preserve">has been compiled by </w:t>
      </w:r>
      <w:r w:rsidR="00BF0CBE">
        <w:t xml:space="preserve">the </w:t>
      </w:r>
      <w:r w:rsidRPr="000C507A">
        <w:t xml:space="preserve">Chief Advisor </w:t>
      </w:r>
      <w:r>
        <w:t>Māori</w:t>
      </w:r>
      <w:r w:rsidRPr="000C507A">
        <w:t xml:space="preserve"> Health.</w:t>
      </w:r>
    </w:p>
    <w:p w14:paraId="5BF20961" w14:textId="77777777" w:rsidR="008656AA" w:rsidRPr="000C507A" w:rsidRDefault="00BF0CBE" w:rsidP="008656AA">
      <w:pPr>
        <w:rPr>
          <w:i/>
          <w:szCs w:val="22"/>
        </w:rPr>
      </w:pPr>
      <w:r>
        <w:rPr>
          <w:szCs w:val="22"/>
        </w:rPr>
        <w:t xml:space="preserve">The report </w:t>
      </w:r>
      <w:r w:rsidR="008656AA" w:rsidRPr="00845EBF">
        <w:rPr>
          <w:i/>
          <w:szCs w:val="22"/>
        </w:rPr>
        <w:t>A Time for a Change</w:t>
      </w:r>
      <w:r w:rsidR="008656AA">
        <w:rPr>
          <w:szCs w:val="22"/>
        </w:rPr>
        <w:t xml:space="preserve"> identified</w:t>
      </w:r>
      <w:r w:rsidR="008656AA" w:rsidRPr="000C507A">
        <w:rPr>
          <w:szCs w:val="22"/>
        </w:rPr>
        <w:t xml:space="preserve"> two main quality issues for </w:t>
      </w:r>
      <w:r w:rsidR="008656AA">
        <w:rPr>
          <w:szCs w:val="22"/>
        </w:rPr>
        <w:t>Māori</w:t>
      </w:r>
      <w:r w:rsidR="008656AA" w:rsidRPr="000C507A">
        <w:rPr>
          <w:szCs w:val="22"/>
        </w:rPr>
        <w:t xml:space="preserve"> </w:t>
      </w:r>
      <w:r w:rsidR="008656AA">
        <w:rPr>
          <w:szCs w:val="22"/>
        </w:rPr>
        <w:t>who use mental health services</w:t>
      </w:r>
      <w:r>
        <w:rPr>
          <w:szCs w:val="22"/>
        </w:rPr>
        <w:t xml:space="preserve"> in Waikato DHB</w:t>
      </w:r>
      <w:r w:rsidR="008656AA">
        <w:rPr>
          <w:szCs w:val="22"/>
        </w:rPr>
        <w:t xml:space="preserve">: </w:t>
      </w:r>
      <w:r w:rsidR="00182FFD" w:rsidRPr="000C507A">
        <w:rPr>
          <w:szCs w:val="22"/>
        </w:rPr>
        <w:t>that</w:t>
      </w:r>
      <w:r w:rsidR="008656AA" w:rsidRPr="000C507A">
        <w:rPr>
          <w:i/>
          <w:szCs w:val="22"/>
        </w:rPr>
        <w:t xml:space="preserve"> </w:t>
      </w:r>
      <w:r w:rsidRPr="004D18A7">
        <w:rPr>
          <w:szCs w:val="22"/>
        </w:rPr>
        <w:t>‘</w:t>
      </w:r>
      <w:r w:rsidR="008656AA" w:rsidRPr="004D18A7">
        <w:rPr>
          <w:szCs w:val="22"/>
        </w:rPr>
        <w:t>there was little evidence of Māori participation in service planning</w:t>
      </w:r>
      <w:r w:rsidRPr="004D18A7">
        <w:rPr>
          <w:szCs w:val="22"/>
        </w:rPr>
        <w:t>’</w:t>
      </w:r>
      <w:r w:rsidR="008656AA" w:rsidRPr="004D18A7">
        <w:rPr>
          <w:szCs w:val="22"/>
        </w:rPr>
        <w:t xml:space="preserve"> and that </w:t>
      </w:r>
      <w:r w:rsidRPr="004D18A7">
        <w:rPr>
          <w:szCs w:val="22"/>
        </w:rPr>
        <w:t>‘</w:t>
      </w:r>
      <w:proofErr w:type="spellStart"/>
      <w:r w:rsidR="008656AA" w:rsidRPr="004D18A7">
        <w:rPr>
          <w:szCs w:val="22"/>
        </w:rPr>
        <w:t>whānau</w:t>
      </w:r>
      <w:proofErr w:type="spellEnd"/>
      <w:r w:rsidR="008656AA" w:rsidRPr="004D18A7">
        <w:rPr>
          <w:szCs w:val="22"/>
        </w:rPr>
        <w:t xml:space="preserve"> were concerned they were not sufficiently involved in decision making with respect to the care of </w:t>
      </w:r>
      <w:proofErr w:type="spellStart"/>
      <w:r w:rsidR="008656AA" w:rsidRPr="004D18A7">
        <w:rPr>
          <w:szCs w:val="22"/>
        </w:rPr>
        <w:t>tangata</w:t>
      </w:r>
      <w:proofErr w:type="spellEnd"/>
      <w:r w:rsidR="008656AA" w:rsidRPr="004D18A7">
        <w:rPr>
          <w:szCs w:val="22"/>
        </w:rPr>
        <w:t xml:space="preserve"> </w:t>
      </w:r>
      <w:proofErr w:type="spellStart"/>
      <w:r w:rsidR="008656AA" w:rsidRPr="004D18A7">
        <w:rPr>
          <w:szCs w:val="22"/>
        </w:rPr>
        <w:t>whaiora</w:t>
      </w:r>
      <w:proofErr w:type="spellEnd"/>
      <w:r w:rsidRPr="004D18A7">
        <w:rPr>
          <w:szCs w:val="22"/>
        </w:rPr>
        <w:t>’</w:t>
      </w:r>
      <w:r w:rsidR="008656AA" w:rsidRPr="004D18A7">
        <w:rPr>
          <w:szCs w:val="22"/>
        </w:rPr>
        <w:t>.</w:t>
      </w:r>
    </w:p>
    <w:p w14:paraId="6F5EA886" w14:textId="77777777" w:rsidR="008656AA" w:rsidRPr="000C507A" w:rsidRDefault="00470C36" w:rsidP="008656AA">
      <w:pPr>
        <w:rPr>
          <w:i/>
          <w:szCs w:val="22"/>
        </w:rPr>
      </w:pPr>
      <w:r>
        <w:rPr>
          <w:szCs w:val="22"/>
        </w:rPr>
        <w:t xml:space="preserve">As part of the Implementation of </w:t>
      </w:r>
      <w:proofErr w:type="gramStart"/>
      <w:r>
        <w:rPr>
          <w:i/>
          <w:szCs w:val="22"/>
        </w:rPr>
        <w:t>A</w:t>
      </w:r>
      <w:proofErr w:type="gramEnd"/>
      <w:r>
        <w:rPr>
          <w:i/>
          <w:szCs w:val="22"/>
        </w:rPr>
        <w:t xml:space="preserve"> Time for </w:t>
      </w:r>
      <w:r w:rsidRPr="00470C36">
        <w:rPr>
          <w:i/>
          <w:szCs w:val="22"/>
        </w:rPr>
        <w:t>Change</w:t>
      </w:r>
      <w:r w:rsidR="00BF0CBE" w:rsidRPr="00C22403">
        <w:rPr>
          <w:szCs w:val="22"/>
        </w:rPr>
        <w:t>,</w:t>
      </w:r>
      <w:r>
        <w:rPr>
          <w:szCs w:val="22"/>
        </w:rPr>
        <w:t xml:space="preserve"> </w:t>
      </w:r>
      <w:proofErr w:type="spellStart"/>
      <w:r w:rsidR="008656AA" w:rsidRPr="00470C36">
        <w:rPr>
          <w:szCs w:val="22"/>
        </w:rPr>
        <w:t>Te</w:t>
      </w:r>
      <w:proofErr w:type="spellEnd"/>
      <w:r w:rsidR="008656AA" w:rsidRPr="000C507A">
        <w:rPr>
          <w:szCs w:val="22"/>
        </w:rPr>
        <w:t xml:space="preserve"> </w:t>
      </w:r>
      <w:proofErr w:type="spellStart"/>
      <w:r w:rsidR="008656AA" w:rsidRPr="000C507A">
        <w:rPr>
          <w:szCs w:val="22"/>
        </w:rPr>
        <w:t>Pou</w:t>
      </w:r>
      <w:proofErr w:type="spellEnd"/>
      <w:r w:rsidR="008656AA" w:rsidRPr="000C507A">
        <w:rPr>
          <w:szCs w:val="22"/>
        </w:rPr>
        <w:t xml:space="preserve"> o </w:t>
      </w:r>
      <w:proofErr w:type="spellStart"/>
      <w:r w:rsidR="008656AA" w:rsidRPr="000C507A">
        <w:rPr>
          <w:szCs w:val="22"/>
        </w:rPr>
        <w:t>Te</w:t>
      </w:r>
      <w:proofErr w:type="spellEnd"/>
      <w:r w:rsidR="008656AA" w:rsidRPr="000C507A">
        <w:rPr>
          <w:szCs w:val="22"/>
        </w:rPr>
        <w:t xml:space="preserve"> </w:t>
      </w:r>
      <w:proofErr w:type="spellStart"/>
      <w:r w:rsidR="008656AA" w:rsidRPr="000C507A">
        <w:rPr>
          <w:szCs w:val="22"/>
        </w:rPr>
        <w:t>Whakaaronui</w:t>
      </w:r>
      <w:proofErr w:type="spellEnd"/>
      <w:r w:rsidR="008656AA" w:rsidRPr="000C507A">
        <w:rPr>
          <w:szCs w:val="22"/>
        </w:rPr>
        <w:t xml:space="preserve"> (</w:t>
      </w:r>
      <w:proofErr w:type="spellStart"/>
      <w:r w:rsidR="008656AA" w:rsidRPr="000C507A">
        <w:rPr>
          <w:szCs w:val="22"/>
        </w:rPr>
        <w:t>Te</w:t>
      </w:r>
      <w:proofErr w:type="spellEnd"/>
      <w:r w:rsidR="008656AA" w:rsidRPr="000C507A">
        <w:rPr>
          <w:szCs w:val="22"/>
        </w:rPr>
        <w:t xml:space="preserve"> </w:t>
      </w:r>
      <w:proofErr w:type="spellStart"/>
      <w:r w:rsidR="008656AA" w:rsidRPr="000C507A">
        <w:rPr>
          <w:szCs w:val="22"/>
        </w:rPr>
        <w:t>Pou</w:t>
      </w:r>
      <w:proofErr w:type="spellEnd"/>
      <w:r w:rsidR="008656AA" w:rsidRPr="000C507A">
        <w:rPr>
          <w:szCs w:val="22"/>
        </w:rPr>
        <w:t xml:space="preserve">), agreed to assist the DHB </w:t>
      </w:r>
      <w:r w:rsidR="00CD40D0">
        <w:rPr>
          <w:szCs w:val="22"/>
        </w:rPr>
        <w:t xml:space="preserve">to </w:t>
      </w:r>
      <w:r w:rsidR="008656AA" w:rsidRPr="000C507A">
        <w:rPr>
          <w:szCs w:val="22"/>
        </w:rPr>
        <w:t xml:space="preserve">strengthen its responsiveness to </w:t>
      </w:r>
      <w:r w:rsidR="008656AA">
        <w:rPr>
          <w:szCs w:val="22"/>
        </w:rPr>
        <w:t>Māori</w:t>
      </w:r>
      <w:r w:rsidR="008656AA" w:rsidRPr="000C507A">
        <w:rPr>
          <w:szCs w:val="22"/>
        </w:rPr>
        <w:t xml:space="preserve">. </w:t>
      </w:r>
      <w:r w:rsidR="00BF0CBE">
        <w:rPr>
          <w:szCs w:val="22"/>
        </w:rPr>
        <w:t xml:space="preserve">The </w:t>
      </w:r>
      <w:proofErr w:type="spellStart"/>
      <w:r w:rsidR="00BF0CBE">
        <w:rPr>
          <w:szCs w:val="22"/>
        </w:rPr>
        <w:t>Te</w:t>
      </w:r>
      <w:proofErr w:type="spellEnd"/>
      <w:r w:rsidR="00BF0CBE">
        <w:rPr>
          <w:szCs w:val="22"/>
        </w:rPr>
        <w:t xml:space="preserve"> </w:t>
      </w:r>
      <w:proofErr w:type="spellStart"/>
      <w:r w:rsidR="00BF0CBE">
        <w:rPr>
          <w:szCs w:val="22"/>
        </w:rPr>
        <w:t>Pou</w:t>
      </w:r>
      <w:proofErr w:type="spellEnd"/>
      <w:r w:rsidR="00BF0CBE">
        <w:rPr>
          <w:szCs w:val="22"/>
        </w:rPr>
        <w:t xml:space="preserve"> consultants identified a</w:t>
      </w:r>
      <w:r w:rsidR="008656AA" w:rsidRPr="000C507A">
        <w:rPr>
          <w:szCs w:val="22"/>
        </w:rPr>
        <w:t xml:space="preserve"> number of areas of work </w:t>
      </w:r>
      <w:r w:rsidR="00BF0CBE">
        <w:rPr>
          <w:szCs w:val="22"/>
        </w:rPr>
        <w:t xml:space="preserve">within which </w:t>
      </w:r>
      <w:r w:rsidR="008656AA" w:rsidRPr="000C507A">
        <w:rPr>
          <w:szCs w:val="22"/>
        </w:rPr>
        <w:t xml:space="preserve">to improve cultural responsiveness to </w:t>
      </w:r>
      <w:r w:rsidR="008656AA">
        <w:rPr>
          <w:szCs w:val="22"/>
        </w:rPr>
        <w:t>Māori</w:t>
      </w:r>
      <w:r w:rsidR="008656AA" w:rsidRPr="000C507A">
        <w:rPr>
          <w:szCs w:val="22"/>
        </w:rPr>
        <w:t xml:space="preserve">, the main focus being that </w:t>
      </w:r>
      <w:r w:rsidR="008656AA" w:rsidRPr="00CD40D0">
        <w:rPr>
          <w:szCs w:val="22"/>
        </w:rPr>
        <w:t xml:space="preserve">the DHB develop an implementation/action plan based on </w:t>
      </w:r>
      <w:r w:rsidR="008656AA" w:rsidRPr="00C22403">
        <w:rPr>
          <w:szCs w:val="22"/>
        </w:rPr>
        <w:t xml:space="preserve">their </w:t>
      </w:r>
      <w:r w:rsidR="00BF0CBE">
        <w:rPr>
          <w:szCs w:val="22"/>
        </w:rPr>
        <w:t>r</w:t>
      </w:r>
      <w:r w:rsidR="008656AA" w:rsidRPr="00C22403">
        <w:rPr>
          <w:szCs w:val="22"/>
        </w:rPr>
        <w:t>eport</w:t>
      </w:r>
      <w:r w:rsidR="008656AA" w:rsidRPr="000C507A">
        <w:rPr>
          <w:i/>
          <w:szCs w:val="22"/>
        </w:rPr>
        <w:t xml:space="preserve"> </w:t>
      </w:r>
      <w:r w:rsidR="008656AA" w:rsidRPr="00C22403">
        <w:rPr>
          <w:i/>
          <w:szCs w:val="22"/>
        </w:rPr>
        <w:t>Building Cultural Responsiveness</w:t>
      </w:r>
      <w:r w:rsidR="00BF0CBE">
        <w:rPr>
          <w:szCs w:val="22"/>
        </w:rPr>
        <w:t>.</w:t>
      </w:r>
      <w:r w:rsidR="008656AA" w:rsidRPr="000C507A">
        <w:rPr>
          <w:rStyle w:val="FootnoteReference"/>
          <w:szCs w:val="22"/>
        </w:rPr>
        <w:footnoteReference w:id="18"/>
      </w:r>
      <w:r w:rsidR="008656AA" w:rsidRPr="000C507A">
        <w:rPr>
          <w:szCs w:val="22"/>
        </w:rPr>
        <w:t xml:space="preserve"> </w:t>
      </w:r>
      <w:r w:rsidR="00BF0CBE">
        <w:rPr>
          <w:szCs w:val="22"/>
        </w:rPr>
        <w:t>T</w:t>
      </w:r>
      <w:r w:rsidR="008656AA" w:rsidRPr="000C507A">
        <w:rPr>
          <w:szCs w:val="22"/>
        </w:rPr>
        <w:t>he MH</w:t>
      </w:r>
      <w:r w:rsidR="00BF0CBE">
        <w:rPr>
          <w:szCs w:val="22"/>
        </w:rPr>
        <w:t>A</w:t>
      </w:r>
      <w:r w:rsidR="008656AA" w:rsidRPr="000C507A">
        <w:rPr>
          <w:szCs w:val="22"/>
        </w:rPr>
        <w:t xml:space="preserve">S is </w:t>
      </w:r>
      <w:r w:rsidR="00BF0CBE">
        <w:rPr>
          <w:szCs w:val="22"/>
        </w:rPr>
        <w:t xml:space="preserve">currently </w:t>
      </w:r>
      <w:r w:rsidR="008656AA" w:rsidRPr="000C507A">
        <w:rPr>
          <w:szCs w:val="22"/>
        </w:rPr>
        <w:t xml:space="preserve">implementing a </w:t>
      </w:r>
      <w:r w:rsidR="00BF0CBE">
        <w:rPr>
          <w:szCs w:val="22"/>
        </w:rPr>
        <w:t>n</w:t>
      </w:r>
      <w:r w:rsidR="008656AA" w:rsidRPr="000C507A">
        <w:rPr>
          <w:szCs w:val="22"/>
        </w:rPr>
        <w:t>inety</w:t>
      </w:r>
      <w:r w:rsidR="00BF0CBE">
        <w:rPr>
          <w:szCs w:val="22"/>
        </w:rPr>
        <w:t>-d</w:t>
      </w:r>
      <w:r w:rsidR="008656AA" w:rsidRPr="000C507A">
        <w:rPr>
          <w:szCs w:val="22"/>
        </w:rPr>
        <w:t xml:space="preserve">ay </w:t>
      </w:r>
      <w:r w:rsidR="00BF0CBE">
        <w:rPr>
          <w:szCs w:val="22"/>
        </w:rPr>
        <w:t>c</w:t>
      </w:r>
      <w:r w:rsidR="008656AA" w:rsidRPr="000C507A">
        <w:rPr>
          <w:szCs w:val="22"/>
        </w:rPr>
        <w:t xml:space="preserve">ultural </w:t>
      </w:r>
      <w:r w:rsidR="00BF0CBE">
        <w:rPr>
          <w:szCs w:val="22"/>
        </w:rPr>
        <w:t>r</w:t>
      </w:r>
      <w:r w:rsidR="008656AA" w:rsidRPr="000C507A">
        <w:rPr>
          <w:szCs w:val="22"/>
        </w:rPr>
        <w:t xml:space="preserve">esponsiveness </w:t>
      </w:r>
      <w:r w:rsidR="00BF0CBE">
        <w:rPr>
          <w:szCs w:val="22"/>
        </w:rPr>
        <w:t>a</w:t>
      </w:r>
      <w:r w:rsidR="008656AA" w:rsidRPr="000C507A">
        <w:rPr>
          <w:szCs w:val="22"/>
        </w:rPr>
        <w:t xml:space="preserve">ction </w:t>
      </w:r>
      <w:r w:rsidR="00BF0CBE">
        <w:rPr>
          <w:szCs w:val="22"/>
        </w:rPr>
        <w:t>p</w:t>
      </w:r>
      <w:r w:rsidR="008656AA" w:rsidRPr="000C507A">
        <w:rPr>
          <w:szCs w:val="22"/>
        </w:rPr>
        <w:t>lan.</w:t>
      </w:r>
      <w:r w:rsidR="008656AA" w:rsidRPr="000C507A">
        <w:rPr>
          <w:i/>
          <w:szCs w:val="22"/>
        </w:rPr>
        <w:t xml:space="preserve"> </w:t>
      </w:r>
    </w:p>
    <w:p w14:paraId="1D74182A" w14:textId="77777777" w:rsidR="008656AA" w:rsidRPr="000C507A" w:rsidRDefault="008656AA" w:rsidP="008656AA">
      <w:pPr>
        <w:rPr>
          <w:color w:val="000000" w:themeColor="text1"/>
          <w:szCs w:val="22"/>
        </w:rPr>
      </w:pPr>
      <w:r w:rsidRPr="000C507A">
        <w:rPr>
          <w:szCs w:val="22"/>
        </w:rPr>
        <w:t>The cultural inspection was not extended to the community mental health teams (CMHTs). This i</w:t>
      </w:r>
      <w:r w:rsidR="00182FFD">
        <w:rPr>
          <w:szCs w:val="22"/>
        </w:rPr>
        <w:t xml:space="preserve">s because </w:t>
      </w:r>
      <w:r w:rsidR="00B93C54">
        <w:rPr>
          <w:szCs w:val="22"/>
        </w:rPr>
        <w:t xml:space="preserve">the DHB’s </w:t>
      </w:r>
      <w:proofErr w:type="spellStart"/>
      <w:r w:rsidR="00B93C54">
        <w:rPr>
          <w:szCs w:val="22"/>
        </w:rPr>
        <w:t>k</w:t>
      </w:r>
      <w:r w:rsidR="00182FFD">
        <w:rPr>
          <w:szCs w:val="22"/>
        </w:rPr>
        <w:t>ai</w:t>
      </w:r>
      <w:r w:rsidRPr="000C507A">
        <w:rPr>
          <w:szCs w:val="22"/>
        </w:rPr>
        <w:t>takawaenga</w:t>
      </w:r>
      <w:proofErr w:type="spellEnd"/>
      <w:r w:rsidRPr="000C507A">
        <w:rPr>
          <w:szCs w:val="22"/>
        </w:rPr>
        <w:t xml:space="preserve"> services, who provide cultural services to the MH</w:t>
      </w:r>
      <w:r w:rsidR="00B93C54">
        <w:rPr>
          <w:szCs w:val="22"/>
        </w:rPr>
        <w:t>A</w:t>
      </w:r>
      <w:r w:rsidRPr="000C507A">
        <w:rPr>
          <w:szCs w:val="22"/>
        </w:rPr>
        <w:t>S, do not yet have sufficient resource</w:t>
      </w:r>
      <w:r w:rsidR="00B93C54">
        <w:rPr>
          <w:szCs w:val="22"/>
        </w:rPr>
        <w:t>s</w:t>
      </w:r>
      <w:r w:rsidRPr="000C507A">
        <w:rPr>
          <w:szCs w:val="22"/>
        </w:rPr>
        <w:t xml:space="preserve"> to provide this service to CMHTs.</w:t>
      </w:r>
    </w:p>
    <w:p w14:paraId="09CFC3ED" w14:textId="77777777" w:rsidR="008656AA" w:rsidRPr="000C507A" w:rsidRDefault="008656AA" w:rsidP="008656AA">
      <w:r w:rsidRPr="000C507A">
        <w:t xml:space="preserve">The inspection </w:t>
      </w:r>
      <w:r w:rsidR="00B93C54">
        <w:t xml:space="preserve">found </w:t>
      </w:r>
      <w:r w:rsidRPr="000C507A">
        <w:t xml:space="preserve">that the </w:t>
      </w:r>
      <w:r w:rsidR="00B93C54">
        <w:t xml:space="preserve">MHAS </w:t>
      </w:r>
      <w:r w:rsidRPr="000C507A">
        <w:t xml:space="preserve">has </w:t>
      </w:r>
      <w:r w:rsidR="00B93C54">
        <w:t>improved its</w:t>
      </w:r>
      <w:r w:rsidR="00B93C54" w:rsidRPr="000C507A">
        <w:t xml:space="preserve"> </w:t>
      </w:r>
      <w:r w:rsidRPr="000C507A">
        <w:t>cultural responsiveness</w:t>
      </w:r>
      <w:r w:rsidR="00B93C54">
        <w:t>.</w:t>
      </w:r>
      <w:r w:rsidRPr="000C507A">
        <w:t xml:space="preserve"> </w:t>
      </w:r>
      <w:r w:rsidR="00B93C54">
        <w:t xml:space="preserve">It </w:t>
      </w:r>
      <w:r w:rsidRPr="000C507A">
        <w:t xml:space="preserve">should be commended for the actions </w:t>
      </w:r>
      <w:r w:rsidR="00B93C54">
        <w:t xml:space="preserve">it has </w:t>
      </w:r>
      <w:r w:rsidRPr="000C507A">
        <w:t xml:space="preserve">taken since </w:t>
      </w:r>
      <w:r w:rsidRPr="00845EBF">
        <w:rPr>
          <w:i/>
        </w:rPr>
        <w:t>A Time for a Change</w:t>
      </w:r>
      <w:r w:rsidRPr="000C507A">
        <w:t xml:space="preserve"> and </w:t>
      </w:r>
      <w:r w:rsidR="00B93C54">
        <w:t xml:space="preserve">the </w:t>
      </w:r>
      <w:proofErr w:type="spellStart"/>
      <w:r w:rsidRPr="000C507A">
        <w:t>Te</w:t>
      </w:r>
      <w:proofErr w:type="spellEnd"/>
      <w:r w:rsidRPr="000C507A">
        <w:t xml:space="preserve"> </w:t>
      </w:r>
      <w:proofErr w:type="spellStart"/>
      <w:r w:rsidRPr="000C507A">
        <w:t>Pou</w:t>
      </w:r>
      <w:proofErr w:type="spellEnd"/>
      <w:r w:rsidRPr="000C507A">
        <w:t xml:space="preserve"> review. However, there is room for improvement</w:t>
      </w:r>
      <w:r w:rsidR="00B93C54">
        <w:t>,</w:t>
      </w:r>
      <w:r w:rsidRPr="000C507A">
        <w:t xml:space="preserve"> particularly </w:t>
      </w:r>
      <w:r w:rsidR="00B93C54">
        <w:t xml:space="preserve">in terms of the need to </w:t>
      </w:r>
      <w:proofErr w:type="spellStart"/>
      <w:r w:rsidR="00B93C54">
        <w:t>appy</w:t>
      </w:r>
      <w:proofErr w:type="spellEnd"/>
      <w:r w:rsidR="00B93C54">
        <w:t xml:space="preserve"> </w:t>
      </w:r>
      <w:r w:rsidRPr="000C507A">
        <w:t xml:space="preserve">a consistent process </w:t>
      </w:r>
      <w:r w:rsidR="00B93C54">
        <w:t xml:space="preserve">to ensure </w:t>
      </w:r>
      <w:r w:rsidRPr="000C507A">
        <w:t xml:space="preserve">cultural responsiveness for all </w:t>
      </w:r>
      <w:r>
        <w:t>Māori</w:t>
      </w:r>
      <w:r w:rsidRPr="000C507A">
        <w:t xml:space="preserve"> across all units of the MH</w:t>
      </w:r>
      <w:r w:rsidR="00B93C54">
        <w:t>A</w:t>
      </w:r>
      <w:r w:rsidRPr="000C507A">
        <w:t xml:space="preserve">S. </w:t>
      </w:r>
      <w:r w:rsidR="00B93C54">
        <w:t xml:space="preserve">The Inspection Team </w:t>
      </w:r>
      <w:r w:rsidRPr="000C507A">
        <w:t>recommend</w:t>
      </w:r>
      <w:r w:rsidR="00B93C54">
        <w:t>s</w:t>
      </w:r>
      <w:r w:rsidRPr="000C507A">
        <w:t xml:space="preserve"> that:</w:t>
      </w:r>
    </w:p>
    <w:p w14:paraId="029C0536" w14:textId="77777777" w:rsidR="008656AA" w:rsidRPr="000C507A" w:rsidRDefault="008656AA" w:rsidP="008656AA">
      <w:pPr>
        <w:pStyle w:val="ListParagraph"/>
        <w:numPr>
          <w:ilvl w:val="0"/>
          <w:numId w:val="34"/>
        </w:numPr>
        <w:rPr>
          <w:i/>
        </w:rPr>
      </w:pPr>
      <w:r w:rsidRPr="000C507A">
        <w:t>the MH</w:t>
      </w:r>
      <w:r w:rsidR="00127883">
        <w:t>A</w:t>
      </w:r>
      <w:r w:rsidRPr="000C507A">
        <w:t xml:space="preserve">S incorporate the recommendations of this inspection into </w:t>
      </w:r>
      <w:r w:rsidR="00B93C54">
        <w:t>its n</w:t>
      </w:r>
      <w:r w:rsidRPr="000C507A">
        <w:t>inety</w:t>
      </w:r>
      <w:r w:rsidR="00B93C54">
        <w:t>-d</w:t>
      </w:r>
      <w:r w:rsidRPr="000C507A">
        <w:t xml:space="preserve">ay </w:t>
      </w:r>
      <w:r w:rsidR="00B93C54">
        <w:t>c</w:t>
      </w:r>
      <w:r w:rsidRPr="000C507A">
        <w:t xml:space="preserve">ultural </w:t>
      </w:r>
      <w:r w:rsidR="00B93C54">
        <w:t>r</w:t>
      </w:r>
      <w:r w:rsidRPr="000C507A">
        <w:t xml:space="preserve">esponsiveness </w:t>
      </w:r>
      <w:r w:rsidR="00B93C54">
        <w:t>a</w:t>
      </w:r>
      <w:r w:rsidRPr="000C507A">
        <w:t xml:space="preserve">ction </w:t>
      </w:r>
      <w:r w:rsidR="00B93C54">
        <w:t>p</w:t>
      </w:r>
      <w:r w:rsidRPr="000C507A">
        <w:t>lan</w:t>
      </w:r>
      <w:r w:rsidR="00B93C54">
        <w:t>,</w:t>
      </w:r>
      <w:r w:rsidRPr="000C507A">
        <w:t xml:space="preserve"> and continue </w:t>
      </w:r>
      <w:r w:rsidR="00B93C54">
        <w:t xml:space="preserve">to </w:t>
      </w:r>
      <w:r w:rsidRPr="000C507A">
        <w:t>implement</w:t>
      </w:r>
      <w:r w:rsidR="00B93C54">
        <w:t xml:space="preserve"> that plan</w:t>
      </w:r>
    </w:p>
    <w:p w14:paraId="36809F3E" w14:textId="77777777" w:rsidR="008656AA" w:rsidRPr="000C507A" w:rsidRDefault="008656AA" w:rsidP="008656AA">
      <w:pPr>
        <w:pStyle w:val="ListParagraph"/>
        <w:numPr>
          <w:ilvl w:val="0"/>
          <w:numId w:val="34"/>
        </w:numPr>
      </w:pPr>
      <w:r w:rsidRPr="000C507A">
        <w:t>the MH</w:t>
      </w:r>
      <w:r w:rsidR="00127883">
        <w:t>A</w:t>
      </w:r>
      <w:r w:rsidRPr="000C507A">
        <w:t xml:space="preserve">S and </w:t>
      </w:r>
      <w:proofErr w:type="spellStart"/>
      <w:r w:rsidRPr="000C507A">
        <w:t>Te</w:t>
      </w:r>
      <w:proofErr w:type="spellEnd"/>
      <w:r w:rsidRPr="000C507A">
        <w:t xml:space="preserve"> </w:t>
      </w:r>
      <w:proofErr w:type="spellStart"/>
      <w:r w:rsidRPr="000C507A">
        <w:t>Puna</w:t>
      </w:r>
      <w:proofErr w:type="spellEnd"/>
      <w:r w:rsidRPr="000C507A">
        <w:t xml:space="preserve"> </w:t>
      </w:r>
      <w:proofErr w:type="spellStart"/>
      <w:r w:rsidRPr="000C507A">
        <w:t>Oranga</w:t>
      </w:r>
      <w:proofErr w:type="spellEnd"/>
      <w:r w:rsidR="00D73B78">
        <w:t xml:space="preserve"> (Waikato DHB Māori Health)</w:t>
      </w:r>
      <w:r w:rsidRPr="000C507A">
        <w:t xml:space="preserve"> review and update their collective governance and operational policies and procedures in relation to </w:t>
      </w:r>
      <w:r>
        <w:t>Māori</w:t>
      </w:r>
      <w:r w:rsidRPr="000C507A">
        <w:t xml:space="preserve"> participation in DHB services with a view to improving coordination and alignment</w:t>
      </w:r>
    </w:p>
    <w:p w14:paraId="7F69D0F5" w14:textId="77777777" w:rsidR="008656AA" w:rsidRPr="000C507A" w:rsidRDefault="00B93C54" w:rsidP="008656AA">
      <w:pPr>
        <w:pStyle w:val="ListParagraph"/>
        <w:numPr>
          <w:ilvl w:val="0"/>
          <w:numId w:val="34"/>
        </w:numPr>
      </w:pPr>
      <w:r>
        <w:t xml:space="preserve">the </w:t>
      </w:r>
      <w:r w:rsidR="008656AA" w:rsidRPr="000C507A">
        <w:t>MH</w:t>
      </w:r>
      <w:r w:rsidR="00127883">
        <w:t>A</w:t>
      </w:r>
      <w:r w:rsidR="008656AA" w:rsidRPr="000C507A">
        <w:t xml:space="preserve">S </w:t>
      </w:r>
      <w:r>
        <w:t xml:space="preserve">provide its </w:t>
      </w:r>
      <w:r w:rsidR="008656AA" w:rsidRPr="000C507A">
        <w:t xml:space="preserve">staff </w:t>
      </w:r>
      <w:r>
        <w:t xml:space="preserve">with the </w:t>
      </w:r>
      <w:r w:rsidR="008656AA" w:rsidRPr="000C507A">
        <w:t>opportunity to attend in</w:t>
      </w:r>
      <w:r>
        <w:t>-</w:t>
      </w:r>
      <w:r w:rsidR="008656AA" w:rsidRPr="000C507A">
        <w:t xml:space="preserve">service training and learn about the </w:t>
      </w:r>
      <w:proofErr w:type="spellStart"/>
      <w:r w:rsidR="008656AA" w:rsidRPr="000C507A">
        <w:t>kaupapa</w:t>
      </w:r>
      <w:proofErr w:type="spellEnd"/>
      <w:r w:rsidR="008656AA" w:rsidRPr="000C507A">
        <w:t xml:space="preserve"> </w:t>
      </w:r>
      <w:r w:rsidR="008656AA">
        <w:t>Māori</w:t>
      </w:r>
      <w:r w:rsidR="008656AA" w:rsidRPr="000C507A">
        <w:t xml:space="preserve"> model, its fit within the ICP and when and how to refer </w:t>
      </w:r>
      <w:proofErr w:type="spellStart"/>
      <w:r w:rsidR="008656AA" w:rsidRPr="000C507A">
        <w:t>tangata</w:t>
      </w:r>
      <w:proofErr w:type="spellEnd"/>
      <w:r w:rsidR="008656AA" w:rsidRPr="000C507A">
        <w:t xml:space="preserve"> </w:t>
      </w:r>
      <w:proofErr w:type="spellStart"/>
      <w:r w:rsidR="008656AA" w:rsidRPr="000C507A">
        <w:t>whaiora</w:t>
      </w:r>
      <w:proofErr w:type="spellEnd"/>
      <w:r w:rsidR="008656AA" w:rsidRPr="000C507A">
        <w:t xml:space="preserve"> to </w:t>
      </w:r>
      <w:proofErr w:type="spellStart"/>
      <w:r w:rsidR="008656AA" w:rsidRPr="000C507A">
        <w:t>kaitakawaenga</w:t>
      </w:r>
      <w:proofErr w:type="spellEnd"/>
      <w:r w:rsidR="008656AA" w:rsidRPr="000C507A">
        <w:t xml:space="preserve"> </w:t>
      </w:r>
    </w:p>
    <w:p w14:paraId="19824A22" w14:textId="77777777" w:rsidR="008656AA" w:rsidRPr="000C507A" w:rsidRDefault="008656AA" w:rsidP="008656AA">
      <w:pPr>
        <w:pStyle w:val="ListParagraph"/>
        <w:numPr>
          <w:ilvl w:val="0"/>
          <w:numId w:val="34"/>
        </w:numPr>
      </w:pPr>
      <w:r w:rsidRPr="000C507A">
        <w:t>MH</w:t>
      </w:r>
      <w:r w:rsidR="00127883">
        <w:t>A</w:t>
      </w:r>
      <w:r w:rsidRPr="000C507A">
        <w:t>S staff receive appropriate cultural competence and health literacy workforce development training</w:t>
      </w:r>
      <w:r w:rsidR="00B93C54">
        <w:t>, so</w:t>
      </w:r>
      <w:r w:rsidRPr="000C507A">
        <w:t xml:space="preserve"> that they may better support </w:t>
      </w:r>
      <w:proofErr w:type="spellStart"/>
      <w:r w:rsidRPr="000C507A">
        <w:t>kaitakawaenga</w:t>
      </w:r>
      <w:proofErr w:type="spellEnd"/>
      <w:r w:rsidRPr="000C507A">
        <w:t xml:space="preserve"> and </w:t>
      </w:r>
      <w:proofErr w:type="spellStart"/>
      <w:r w:rsidRPr="000C507A">
        <w:t>tangata</w:t>
      </w:r>
      <w:proofErr w:type="spellEnd"/>
      <w:r w:rsidRPr="000C507A">
        <w:t xml:space="preserve"> </w:t>
      </w:r>
      <w:proofErr w:type="spellStart"/>
      <w:r w:rsidRPr="000C507A">
        <w:t>whaiora</w:t>
      </w:r>
      <w:proofErr w:type="spellEnd"/>
      <w:r w:rsidRPr="000C507A">
        <w:t xml:space="preserve"> and </w:t>
      </w:r>
      <w:proofErr w:type="spellStart"/>
      <w:r w:rsidRPr="000C507A">
        <w:t>whānau</w:t>
      </w:r>
      <w:proofErr w:type="spellEnd"/>
    </w:p>
    <w:p w14:paraId="3662A908" w14:textId="77777777" w:rsidR="008656AA" w:rsidRPr="000C507A" w:rsidRDefault="008656AA" w:rsidP="008656AA">
      <w:pPr>
        <w:pStyle w:val="ListParagraph"/>
        <w:numPr>
          <w:ilvl w:val="0"/>
          <w:numId w:val="34"/>
        </w:numPr>
      </w:pPr>
      <w:r w:rsidRPr="000C507A">
        <w:t>the MH</w:t>
      </w:r>
      <w:r w:rsidR="00127883">
        <w:t>A</w:t>
      </w:r>
      <w:r w:rsidRPr="000C507A">
        <w:t xml:space="preserve">S review its processes for ensuring that </w:t>
      </w:r>
      <w:proofErr w:type="spellStart"/>
      <w:r w:rsidRPr="000C507A">
        <w:t>tangata</w:t>
      </w:r>
      <w:proofErr w:type="spellEnd"/>
      <w:r w:rsidRPr="000C507A">
        <w:t xml:space="preserve"> </w:t>
      </w:r>
      <w:proofErr w:type="spellStart"/>
      <w:r w:rsidRPr="000C507A">
        <w:t>whaiora</w:t>
      </w:r>
      <w:proofErr w:type="spellEnd"/>
      <w:r w:rsidRPr="000C507A">
        <w:t xml:space="preserve"> receive supportive written and verbal statements of their </w:t>
      </w:r>
      <w:r w:rsidR="00B93C54">
        <w:t>r</w:t>
      </w:r>
      <w:r w:rsidRPr="000C507A">
        <w:t>ights while a patient in the MH</w:t>
      </w:r>
      <w:r w:rsidR="00B93C54">
        <w:t>A</w:t>
      </w:r>
      <w:r w:rsidRPr="000C507A">
        <w:t>S</w:t>
      </w:r>
      <w:r w:rsidR="00B93C54">
        <w:t>,</w:t>
      </w:r>
      <w:r w:rsidRPr="000C507A">
        <w:t xml:space="preserve"> at their earliest convenience</w:t>
      </w:r>
    </w:p>
    <w:p w14:paraId="01FB77F8" w14:textId="77777777" w:rsidR="008656AA" w:rsidRPr="000C507A" w:rsidRDefault="008656AA" w:rsidP="008656AA">
      <w:pPr>
        <w:pStyle w:val="ListParagraph"/>
        <w:numPr>
          <w:ilvl w:val="0"/>
          <w:numId w:val="34"/>
        </w:numPr>
      </w:pPr>
      <w:r w:rsidRPr="000C507A">
        <w:t xml:space="preserve">a policy and procedure for the involvement of </w:t>
      </w:r>
      <w:proofErr w:type="spellStart"/>
      <w:r>
        <w:t>whānau</w:t>
      </w:r>
      <w:proofErr w:type="spellEnd"/>
      <w:r w:rsidRPr="000C507A">
        <w:t xml:space="preserve"> in the planning and development of MH</w:t>
      </w:r>
      <w:r w:rsidR="00127883">
        <w:t>A</w:t>
      </w:r>
      <w:r w:rsidRPr="000C507A">
        <w:t xml:space="preserve">S in an advisory capacity is established and contained in the manuals </w:t>
      </w:r>
      <w:r w:rsidR="00B93C54">
        <w:t xml:space="preserve">of </w:t>
      </w:r>
      <w:r w:rsidR="005727AD">
        <w:t xml:space="preserve"> the </w:t>
      </w:r>
      <w:proofErr w:type="spellStart"/>
      <w:r w:rsidRPr="000C507A">
        <w:t>Te</w:t>
      </w:r>
      <w:proofErr w:type="spellEnd"/>
      <w:r w:rsidRPr="000C507A">
        <w:t xml:space="preserve"> </w:t>
      </w:r>
      <w:proofErr w:type="spellStart"/>
      <w:r w:rsidRPr="000C507A">
        <w:t>Puna</w:t>
      </w:r>
      <w:proofErr w:type="spellEnd"/>
      <w:r w:rsidRPr="000C507A">
        <w:t xml:space="preserve"> </w:t>
      </w:r>
      <w:proofErr w:type="spellStart"/>
      <w:r w:rsidRPr="000C507A">
        <w:t>Oranga</w:t>
      </w:r>
      <w:proofErr w:type="spellEnd"/>
      <w:r w:rsidRPr="000C507A">
        <w:t xml:space="preserve"> </w:t>
      </w:r>
      <w:r>
        <w:t>Māori</w:t>
      </w:r>
      <w:r w:rsidRPr="000C507A">
        <w:t xml:space="preserve"> unit</w:t>
      </w:r>
    </w:p>
    <w:p w14:paraId="27361354" w14:textId="77777777" w:rsidR="008656AA" w:rsidRPr="000C507A" w:rsidRDefault="00B93C54" w:rsidP="008656AA">
      <w:pPr>
        <w:pStyle w:val="ListParagraph"/>
        <w:numPr>
          <w:ilvl w:val="0"/>
          <w:numId w:val="34"/>
        </w:numPr>
      </w:pPr>
      <w:proofErr w:type="gramStart"/>
      <w:r>
        <w:t>the</w:t>
      </w:r>
      <w:proofErr w:type="gramEnd"/>
      <w:r>
        <w:t xml:space="preserve"> MHAS ensures that it appropriately involves </w:t>
      </w:r>
      <w:proofErr w:type="spellStart"/>
      <w:r w:rsidR="008656AA">
        <w:t>whānau</w:t>
      </w:r>
      <w:proofErr w:type="spellEnd"/>
      <w:r w:rsidR="008656AA" w:rsidRPr="000C507A">
        <w:t xml:space="preserve"> in the care planning, treatment and </w:t>
      </w:r>
      <w:r>
        <w:t xml:space="preserve">care </w:t>
      </w:r>
      <w:r w:rsidR="008656AA" w:rsidRPr="000C507A">
        <w:t xml:space="preserve">monitoring of </w:t>
      </w:r>
      <w:proofErr w:type="spellStart"/>
      <w:r>
        <w:t>tangata</w:t>
      </w:r>
      <w:proofErr w:type="spellEnd"/>
      <w:r>
        <w:t xml:space="preserve"> </w:t>
      </w:r>
      <w:proofErr w:type="spellStart"/>
      <w:r>
        <w:t>whaiora</w:t>
      </w:r>
      <w:proofErr w:type="spellEnd"/>
      <w:r>
        <w:t xml:space="preserve"> (with their informed consent),</w:t>
      </w:r>
      <w:r w:rsidR="008656AA" w:rsidRPr="000C507A">
        <w:t xml:space="preserve"> </w:t>
      </w:r>
      <w:r w:rsidR="008656AA" w:rsidRPr="000C507A">
        <w:lastRenderedPageBreak/>
        <w:t xml:space="preserve">and </w:t>
      </w:r>
      <w:r>
        <w:t xml:space="preserve">that </w:t>
      </w:r>
      <w:proofErr w:type="spellStart"/>
      <w:r w:rsidR="008656AA" w:rsidRPr="000C507A">
        <w:t>kaitiaki</w:t>
      </w:r>
      <w:proofErr w:type="spellEnd"/>
      <w:r w:rsidR="008656AA" w:rsidRPr="000C507A">
        <w:t xml:space="preserve"> and </w:t>
      </w:r>
      <w:proofErr w:type="spellStart"/>
      <w:r w:rsidR="008656AA" w:rsidRPr="000C507A">
        <w:t>kaitakawaenga</w:t>
      </w:r>
      <w:proofErr w:type="spellEnd"/>
      <w:r w:rsidR="008656AA" w:rsidRPr="000C507A">
        <w:t xml:space="preserve"> services be made available throughout all units of the MH</w:t>
      </w:r>
      <w:r>
        <w:t>A</w:t>
      </w:r>
      <w:r w:rsidR="008656AA" w:rsidRPr="000C507A">
        <w:t>S</w:t>
      </w:r>
      <w:r>
        <w:t>,</w:t>
      </w:r>
      <w:r w:rsidR="008656AA" w:rsidRPr="000C507A">
        <w:t xml:space="preserve"> including the </w:t>
      </w:r>
      <w:r>
        <w:t>CMHTs</w:t>
      </w:r>
      <w:r w:rsidR="008656AA" w:rsidRPr="000C507A">
        <w:t>.</w:t>
      </w:r>
    </w:p>
    <w:p w14:paraId="609033C4" w14:textId="77777777" w:rsidR="008656AA" w:rsidRDefault="008656AA" w:rsidP="008656AA">
      <w:pPr>
        <w:pStyle w:val="Heading1"/>
      </w:pPr>
      <w:bookmarkStart w:id="57" w:name="_Toc448394365"/>
      <w:r>
        <w:t xml:space="preserve">Planning, </w:t>
      </w:r>
      <w:r w:rsidR="00B93C54">
        <w:t>f</w:t>
      </w:r>
      <w:r>
        <w:t xml:space="preserve">unding, </w:t>
      </w:r>
      <w:r w:rsidR="00B93C54">
        <w:t>f</w:t>
      </w:r>
      <w:r w:rsidR="00443933">
        <w:t xml:space="preserve">acilities, </w:t>
      </w:r>
      <w:r w:rsidR="00B93C54">
        <w:t>f</w:t>
      </w:r>
      <w:r>
        <w:t xml:space="preserve">inancials and IT </w:t>
      </w:r>
      <w:r w:rsidR="00B93C54">
        <w:t>s</w:t>
      </w:r>
      <w:r>
        <w:t>upports</w:t>
      </w:r>
      <w:bookmarkEnd w:id="57"/>
    </w:p>
    <w:p w14:paraId="171EC42B" w14:textId="77777777" w:rsidR="008656AA" w:rsidRDefault="008656AA" w:rsidP="008656AA">
      <w:pPr>
        <w:pStyle w:val="Heading2"/>
      </w:pPr>
      <w:bookmarkStart w:id="58" w:name="_Toc448394366"/>
      <w:r>
        <w:t xml:space="preserve">Planning and </w:t>
      </w:r>
      <w:r w:rsidR="001949CD">
        <w:t>f</w:t>
      </w:r>
      <w:r>
        <w:t>unding</w:t>
      </w:r>
      <w:bookmarkEnd w:id="58"/>
    </w:p>
    <w:p w14:paraId="1258508F" w14:textId="77777777" w:rsidR="008656AA" w:rsidRDefault="008656AA" w:rsidP="008656AA">
      <w:r>
        <w:t xml:space="preserve">The </w:t>
      </w:r>
      <w:r w:rsidR="004B39BE">
        <w:t>MHAS</w:t>
      </w:r>
      <w:r>
        <w:t xml:space="preserve"> </w:t>
      </w:r>
      <w:r w:rsidR="001949CD">
        <w:t xml:space="preserve">delivers </w:t>
      </w:r>
      <w:r>
        <w:t>provider arm services in the context of the broader services contracted and provided by the DHB. Up to 40</w:t>
      </w:r>
      <w:r w:rsidR="00127883">
        <w:t xml:space="preserve"> percent</w:t>
      </w:r>
      <w:r>
        <w:t xml:space="preserve"> of the Waikato DHB mental health and addiction spend goes to non-provider arm services (</w:t>
      </w:r>
      <w:proofErr w:type="spellStart"/>
      <w:r>
        <w:t>eg</w:t>
      </w:r>
      <w:proofErr w:type="spellEnd"/>
      <w:r w:rsidR="001949CD">
        <w:t>,</w:t>
      </w:r>
      <w:r>
        <w:t xml:space="preserve"> NGOs). This is </w:t>
      </w:r>
      <w:r w:rsidR="001949CD">
        <w:t xml:space="preserve">significant in terms of </w:t>
      </w:r>
      <w:r>
        <w:t xml:space="preserve">the planning and delivery of care across the continuum. The </w:t>
      </w:r>
      <w:r w:rsidR="001C1DCB">
        <w:t>I</w:t>
      </w:r>
      <w:r>
        <w:t xml:space="preserve">nspection </w:t>
      </w:r>
      <w:r w:rsidR="001C1DCB">
        <w:t>T</w:t>
      </w:r>
      <w:r>
        <w:t>eam therefore examined coordination across the full continuum of care.</w:t>
      </w:r>
    </w:p>
    <w:p w14:paraId="6117347F" w14:textId="77777777" w:rsidR="008656AA" w:rsidRDefault="00AF79BB" w:rsidP="008656AA">
      <w:proofErr w:type="gramStart"/>
      <w:r>
        <w:t>The DHB</w:t>
      </w:r>
      <w:r w:rsidR="002802FB">
        <w:t xml:space="preserve"> p</w:t>
      </w:r>
      <w:r w:rsidR="008656AA">
        <w:t xml:space="preserve">lanning and </w:t>
      </w:r>
      <w:r w:rsidR="002802FB">
        <w:t>f</w:t>
      </w:r>
      <w:r w:rsidR="008656AA">
        <w:t xml:space="preserve">unding </w:t>
      </w:r>
      <w:r>
        <w:t xml:space="preserve">area </w:t>
      </w:r>
      <w:proofErr w:type="spellStart"/>
      <w:r>
        <w:t>has</w:t>
      </w:r>
      <w:r w:rsidR="002802FB">
        <w:t>have</w:t>
      </w:r>
      <w:proofErr w:type="spellEnd"/>
      <w:r w:rsidR="002802FB">
        <w:t xml:space="preserve"> </w:t>
      </w:r>
      <w:r w:rsidR="008656AA">
        <w:t xml:space="preserve">the task of purchasing and coordination </w:t>
      </w:r>
      <w:r w:rsidR="002802FB">
        <w:t xml:space="preserve">of </w:t>
      </w:r>
      <w:r w:rsidR="008656AA">
        <w:t>various services</w:t>
      </w:r>
      <w:r>
        <w:t>, including in the mental health and addition sector</w:t>
      </w:r>
      <w:r w:rsidR="008656AA">
        <w:t>.</w:t>
      </w:r>
      <w:proofErr w:type="gramEnd"/>
    </w:p>
    <w:p w14:paraId="5245CEF7" w14:textId="77777777" w:rsidR="008656AA" w:rsidRDefault="008656AA" w:rsidP="008656AA">
      <w:r>
        <w:t xml:space="preserve">Planning and </w:t>
      </w:r>
      <w:r w:rsidR="002802FB">
        <w:t>f</w:t>
      </w:r>
      <w:r>
        <w:t xml:space="preserve">unding staff explained </w:t>
      </w:r>
      <w:r w:rsidR="002802FB">
        <w:t xml:space="preserve">to the Inspection Team </w:t>
      </w:r>
      <w:r>
        <w:t>that</w:t>
      </w:r>
      <w:r w:rsidR="002802FB">
        <w:t xml:space="preserve">, in part, </w:t>
      </w:r>
      <w:r>
        <w:t>the</w:t>
      </w:r>
      <w:r w:rsidR="003C5164">
        <w:t xml:space="preserve"> current</w:t>
      </w:r>
      <w:r>
        <w:t xml:space="preserve"> diversity of </w:t>
      </w:r>
      <w:r w:rsidR="002802FB">
        <w:t xml:space="preserve">NGO </w:t>
      </w:r>
      <w:r>
        <w:t xml:space="preserve">providers </w:t>
      </w:r>
      <w:r w:rsidR="002802FB">
        <w:t xml:space="preserve">is a result of the historical structure, in </w:t>
      </w:r>
      <w:r>
        <w:t>the</w:t>
      </w:r>
      <w:r w:rsidR="002802FB">
        <w:t xml:space="preserve"> </w:t>
      </w:r>
      <w:r>
        <w:t xml:space="preserve">Regional Health Authority and Health Funding Authority period. When the devolution to the DHB occurred, </w:t>
      </w:r>
      <w:r w:rsidR="002802FB">
        <w:t xml:space="preserve">there were </w:t>
      </w:r>
      <w:r>
        <w:t xml:space="preserve">a large number of NGO contracts. </w:t>
      </w:r>
      <w:r w:rsidR="002802FB">
        <w:t>I</w:t>
      </w:r>
      <w:r>
        <w:t xml:space="preserve">n the </w:t>
      </w:r>
      <w:r w:rsidR="002802FB">
        <w:t>c</w:t>
      </w:r>
      <w:r>
        <w:t xml:space="preserve">hild and </w:t>
      </w:r>
      <w:r w:rsidR="002802FB">
        <w:t>y</w:t>
      </w:r>
      <w:r>
        <w:t>outh area</w:t>
      </w:r>
      <w:r w:rsidR="002802FB">
        <w:t>,</w:t>
      </w:r>
      <w:r>
        <w:t xml:space="preserve"> 17 NGOs</w:t>
      </w:r>
      <w:r w:rsidR="002802FB">
        <w:t xml:space="preserve"> were providing services (see section </w:t>
      </w:r>
      <w:r w:rsidR="00AF79BB">
        <w:fldChar w:fldCharType="begin"/>
      </w:r>
      <w:r w:rsidR="00AF79BB">
        <w:instrText xml:space="preserve"> REF _Ref448258327 \r \h </w:instrText>
      </w:r>
      <w:r w:rsidR="00AF79BB">
        <w:fldChar w:fldCharType="separate"/>
      </w:r>
      <w:r w:rsidR="005341C3">
        <w:t>6.6</w:t>
      </w:r>
      <w:r w:rsidR="00AF79BB">
        <w:fldChar w:fldCharType="end"/>
      </w:r>
      <w:r w:rsidR="00AF79BB">
        <w:t xml:space="preserve"> </w:t>
      </w:r>
      <w:r w:rsidR="002802FB">
        <w:t>for information on the current situation)</w:t>
      </w:r>
      <w:r>
        <w:t xml:space="preserve">. The contracts in the adult area were more </w:t>
      </w:r>
      <w:r w:rsidR="002802FB">
        <w:t xml:space="preserve">confined </w:t>
      </w:r>
      <w:r>
        <w:t>to traditional services such as residential and community support services. As noted</w:t>
      </w:r>
      <w:r w:rsidR="002802FB">
        <w:t xml:space="preserve"> above</w:t>
      </w:r>
      <w:r>
        <w:t xml:space="preserve">, key NGO partners </w:t>
      </w:r>
      <w:r w:rsidR="002802FB">
        <w:t xml:space="preserve">are now </w:t>
      </w:r>
      <w:r>
        <w:t xml:space="preserve">the Wise Group, Emerge Aotearoa (previously Richmond and Recovery Solutions) and </w:t>
      </w:r>
      <w:proofErr w:type="spellStart"/>
      <w:r>
        <w:t>Hauora</w:t>
      </w:r>
      <w:proofErr w:type="spellEnd"/>
      <w:r>
        <w:t xml:space="preserve"> Waikato.</w:t>
      </w:r>
    </w:p>
    <w:p w14:paraId="5B21C9F9" w14:textId="77777777" w:rsidR="008656AA" w:rsidRDefault="002802FB" w:rsidP="008656AA">
      <w:r>
        <w:t>The Inspection Team received d</w:t>
      </w:r>
      <w:r w:rsidR="008656AA">
        <w:t xml:space="preserve">ocumentation </w:t>
      </w:r>
      <w:r>
        <w:t xml:space="preserve">on </w:t>
      </w:r>
      <w:r w:rsidR="008656AA">
        <w:t xml:space="preserve">reviews </w:t>
      </w:r>
      <w:r>
        <w:t xml:space="preserve">of NGO service provision in certain areas </w:t>
      </w:r>
      <w:r w:rsidR="008656AA">
        <w:t>(</w:t>
      </w:r>
      <w:proofErr w:type="spellStart"/>
      <w:r w:rsidR="008656AA">
        <w:t>eg</w:t>
      </w:r>
      <w:proofErr w:type="spellEnd"/>
      <w:r>
        <w:t>,</w:t>
      </w:r>
      <w:r w:rsidR="008656AA">
        <w:t xml:space="preserve"> for </w:t>
      </w:r>
      <w:r>
        <w:t xml:space="preserve">services for people with </w:t>
      </w:r>
      <w:r w:rsidR="008656AA">
        <w:t xml:space="preserve">high and complex </w:t>
      </w:r>
      <w:r>
        <w:t>needs</w:t>
      </w:r>
      <w:r w:rsidR="008656AA">
        <w:t>).</w:t>
      </w:r>
    </w:p>
    <w:p w14:paraId="3A4E330B" w14:textId="77777777" w:rsidR="008656AA" w:rsidRDefault="008656AA" w:rsidP="008656AA">
      <w:r>
        <w:t>From a planning and fund</w:t>
      </w:r>
      <w:r w:rsidR="002802FB">
        <w:t>ing</w:t>
      </w:r>
      <w:r>
        <w:t xml:space="preserve"> point of view, the relative sizes of </w:t>
      </w:r>
      <w:r w:rsidR="00F50F77">
        <w:t xml:space="preserve">Waikato’s </w:t>
      </w:r>
      <w:r>
        <w:t xml:space="preserve">three PHOs </w:t>
      </w:r>
      <w:r w:rsidR="00F50F77">
        <w:t>in terms of enrolled populations (</w:t>
      </w:r>
      <w:r>
        <w:t>one large, one medium</w:t>
      </w:r>
      <w:r w:rsidR="00F50F77">
        <w:t>-</w:t>
      </w:r>
      <w:r>
        <w:t>size and one small) ha</w:t>
      </w:r>
      <w:r w:rsidR="00F50F77">
        <w:t>s</w:t>
      </w:r>
      <w:r>
        <w:t xml:space="preserve"> posed difficulties in </w:t>
      </w:r>
      <w:r w:rsidR="00F50F77">
        <w:t xml:space="preserve">terms of the DHB’s ability to </w:t>
      </w:r>
      <w:r>
        <w:t>develop a coherent approach across the primary care–secondary care continuum.</w:t>
      </w:r>
    </w:p>
    <w:p w14:paraId="650901D0" w14:textId="77777777" w:rsidR="008656AA" w:rsidRDefault="008656AA" w:rsidP="008656AA">
      <w:r>
        <w:t>The</w:t>
      </w:r>
      <w:r w:rsidR="00F50F77">
        <w:t xml:space="preserve"> DHB </w:t>
      </w:r>
      <w:r>
        <w:t>develop</w:t>
      </w:r>
      <w:r w:rsidR="00F50F77">
        <w:t>ed</w:t>
      </w:r>
      <w:r>
        <w:t xml:space="preserve"> an </w:t>
      </w:r>
      <w:r w:rsidR="00AF79BB">
        <w:t xml:space="preserve">the ICCT </w:t>
      </w:r>
      <w:r>
        <w:t xml:space="preserve">and packages of care to ease </w:t>
      </w:r>
      <w:r w:rsidR="00F50F77">
        <w:t xml:space="preserve">consumers’ </w:t>
      </w:r>
      <w:r>
        <w:t xml:space="preserve">transition out of the </w:t>
      </w:r>
      <w:r w:rsidR="004B39BE">
        <w:t>MHAS</w:t>
      </w:r>
      <w:r>
        <w:t xml:space="preserve"> and back into primary care and other service providers. However, </w:t>
      </w:r>
      <w:r w:rsidR="00F50F77">
        <w:t xml:space="preserve">it is still </w:t>
      </w:r>
      <w:r>
        <w:t>develop</w:t>
      </w:r>
      <w:r w:rsidR="00F50F77">
        <w:t>ing</w:t>
      </w:r>
      <w:r>
        <w:t xml:space="preserve"> </w:t>
      </w:r>
      <w:r w:rsidR="00127883">
        <w:t>a clear process for</w:t>
      </w:r>
      <w:r>
        <w:t xml:space="preserve"> how </w:t>
      </w:r>
      <w:r w:rsidR="00F50F77">
        <w:t xml:space="preserve">different services coordinate the </w:t>
      </w:r>
      <w:r>
        <w:t xml:space="preserve">continuum of care and transitions. The main tool </w:t>
      </w:r>
      <w:r w:rsidR="00F50F77">
        <w:t xml:space="preserve">for this </w:t>
      </w:r>
      <w:r>
        <w:t xml:space="preserve">appeared </w:t>
      </w:r>
      <w:r w:rsidR="00F50F77">
        <w:t xml:space="preserve">to the Inspection Team </w:t>
      </w:r>
      <w:r>
        <w:t>to be the Map of Medicine (focused at the current time on continuing care and dementia).</w:t>
      </w:r>
    </w:p>
    <w:p w14:paraId="25977A15" w14:textId="77777777" w:rsidR="008656AA" w:rsidRDefault="00F50F77" w:rsidP="008656AA">
      <w:r>
        <w:t>The Inspection Team found that, w</w:t>
      </w:r>
      <w:r w:rsidR="008656AA">
        <w:t>hile mechanisms for integration between NGO and provider arm services</w:t>
      </w:r>
      <w:r w:rsidR="004176BF">
        <w:t xml:space="preserve"> were evident across all services</w:t>
      </w:r>
      <w:r w:rsidR="008656AA">
        <w:t xml:space="preserve">, </w:t>
      </w:r>
      <w:r w:rsidR="004176BF">
        <w:t xml:space="preserve">they were </w:t>
      </w:r>
      <w:r w:rsidR="008656AA">
        <w:t xml:space="preserve">much more apparent in the youth and forensic space. While there were clearly clinical and other relationships </w:t>
      </w:r>
      <w:r w:rsidR="00127883">
        <w:t>between NGOs and provider arm services</w:t>
      </w:r>
      <w:r w:rsidR="004176BF">
        <w:t xml:space="preserve"> for adults</w:t>
      </w:r>
      <w:r w:rsidR="00127883">
        <w:t xml:space="preserve">, </w:t>
      </w:r>
      <w:r w:rsidR="008656AA">
        <w:t>quality and reporting relationships worked</w:t>
      </w:r>
      <w:r w:rsidR="004176BF">
        <w:t xml:space="preserve"> differently in those services</w:t>
      </w:r>
      <w:r w:rsidR="008656AA">
        <w:t xml:space="preserve">. </w:t>
      </w:r>
      <w:r w:rsidR="004176BF">
        <w:t xml:space="preserve">Non-governmental organisation services reported </w:t>
      </w:r>
      <w:r w:rsidR="008656AA">
        <w:t xml:space="preserve">to </w:t>
      </w:r>
      <w:r w:rsidR="004176BF">
        <w:t>the DHB’s p</w:t>
      </w:r>
      <w:r w:rsidR="008656AA">
        <w:t xml:space="preserve">lanning and funding </w:t>
      </w:r>
      <w:r w:rsidR="004176BF">
        <w:t xml:space="preserve">function, </w:t>
      </w:r>
      <w:r w:rsidR="008656AA">
        <w:t xml:space="preserve">and provider arm </w:t>
      </w:r>
      <w:r w:rsidR="004176BF">
        <w:t xml:space="preserve">services reported </w:t>
      </w:r>
      <w:r w:rsidR="008656AA">
        <w:t xml:space="preserve">to the Board of Clinical Governance. </w:t>
      </w:r>
      <w:r w:rsidR="00D061A9">
        <w:t>The</w:t>
      </w:r>
      <w:r w:rsidR="00127883">
        <w:t xml:space="preserve"> exception was </w:t>
      </w:r>
      <w:proofErr w:type="spellStart"/>
      <w:r w:rsidR="008656AA">
        <w:t>Hauora</w:t>
      </w:r>
      <w:proofErr w:type="spellEnd"/>
      <w:r w:rsidR="008656AA">
        <w:t xml:space="preserve"> Waikato</w:t>
      </w:r>
      <w:r w:rsidR="00127883">
        <w:t>, which had much better linkages with the provider arm</w:t>
      </w:r>
      <w:r w:rsidR="00F533A1">
        <w:t>,</w:t>
      </w:r>
      <w:r w:rsidR="008656AA">
        <w:t xml:space="preserve"> and used a common overarching clinical governance approach.</w:t>
      </w:r>
    </w:p>
    <w:p w14:paraId="3F333239" w14:textId="77777777" w:rsidR="008656AA" w:rsidRDefault="008656AA" w:rsidP="008656AA">
      <w:pPr>
        <w:pStyle w:val="Heading2"/>
      </w:pPr>
      <w:bookmarkStart w:id="59" w:name="_Toc448394367"/>
      <w:r>
        <w:t>Financial</w:t>
      </w:r>
      <w:r w:rsidR="000E083E">
        <w:t>s</w:t>
      </w:r>
      <w:bookmarkEnd w:id="59"/>
    </w:p>
    <w:p w14:paraId="2A1A9032" w14:textId="77777777" w:rsidR="008656AA" w:rsidRDefault="003659D0" w:rsidP="008656AA">
      <w:r>
        <w:t>The DHB funds both the provider arm services (MHAS) and NGO services</w:t>
      </w:r>
      <w:r w:rsidR="008656AA">
        <w:t>. The provider arm receives internal revenue through the Price Volume Schedule. This is funded on the basis of community FTE, bed days and program</w:t>
      </w:r>
      <w:r w:rsidR="00F43420">
        <w:t>me</w:t>
      </w:r>
      <w:r w:rsidR="008656AA">
        <w:t xml:space="preserve">s and packages of care linked to specific </w:t>
      </w:r>
      <w:r w:rsidR="008656AA">
        <w:lastRenderedPageBreak/>
        <w:t>programmes. The community FTEs are funded on a fully absorbed costs basis.</w:t>
      </w:r>
      <w:r w:rsidR="006C00B6">
        <w:t xml:space="preserve"> NGO services are contracted.</w:t>
      </w:r>
    </w:p>
    <w:p w14:paraId="581A9FAF" w14:textId="77777777" w:rsidR="008656AA" w:rsidRDefault="008656AA" w:rsidP="008656AA">
      <w:r>
        <w:t xml:space="preserve">There is alignment between the </w:t>
      </w:r>
      <w:r w:rsidR="00F43420">
        <w:t xml:space="preserve">human resources </w:t>
      </w:r>
      <w:r>
        <w:t>and financial systems. While there appeared to be some mechanisms to enable the shifting of resource</w:t>
      </w:r>
      <w:r w:rsidR="00F43420">
        <w:t>s</w:t>
      </w:r>
      <w:r>
        <w:t xml:space="preserve"> to </w:t>
      </w:r>
      <w:r w:rsidR="00F43420">
        <w:t xml:space="preserve">accommodate </w:t>
      </w:r>
      <w:r>
        <w:t xml:space="preserve">pressure points and changing demands, the overall rigidity of the systems appeared </w:t>
      </w:r>
      <w:r w:rsidR="00F43420">
        <w:t xml:space="preserve">to the Inspection Team </w:t>
      </w:r>
      <w:r>
        <w:t>to have limited the ability of managers to flexibly respond to demand pressures and service changes.</w:t>
      </w:r>
    </w:p>
    <w:p w14:paraId="106CEE65" w14:textId="77777777" w:rsidR="008656AA" w:rsidRDefault="008656AA" w:rsidP="008656AA">
      <w:r>
        <w:t xml:space="preserve">In recent years there has been a particular focus on </w:t>
      </w:r>
      <w:r w:rsidR="00B22DAF">
        <w:t xml:space="preserve">meeting </w:t>
      </w:r>
      <w:r>
        <w:t>savings targets</w:t>
      </w:r>
      <w:r w:rsidR="00B22DAF">
        <w:t>,</w:t>
      </w:r>
      <w:r>
        <w:t xml:space="preserve"> and senior management has become preoccupied with financial pressures. </w:t>
      </w:r>
      <w:r w:rsidR="00B22DAF">
        <w:t xml:space="preserve">The Inspection Team notes </w:t>
      </w:r>
      <w:r>
        <w:t xml:space="preserve">that the </w:t>
      </w:r>
      <w:r w:rsidR="004B39BE">
        <w:t>MHAS</w:t>
      </w:r>
      <w:r>
        <w:t xml:space="preserve"> has managed effectively within its budget</w:t>
      </w:r>
      <w:r w:rsidR="00B22DAF">
        <w:t>,</w:t>
      </w:r>
      <w:r>
        <w:t xml:space="preserve"> although </w:t>
      </w:r>
      <w:r w:rsidR="00B22DAF">
        <w:t xml:space="preserve">it seems </w:t>
      </w:r>
      <w:r>
        <w:t>there have been</w:t>
      </w:r>
      <w:r w:rsidR="00B22DAF">
        <w:t xml:space="preserve"> some</w:t>
      </w:r>
      <w:r>
        <w:t xml:space="preserve"> challenges in balancing financ</w:t>
      </w:r>
      <w:r w:rsidR="00B22DAF">
        <w:t>es</w:t>
      </w:r>
      <w:r>
        <w:t xml:space="preserve"> </w:t>
      </w:r>
      <w:r w:rsidR="00B22DAF">
        <w:t xml:space="preserve">with </w:t>
      </w:r>
      <w:r>
        <w:t>service quality.</w:t>
      </w:r>
    </w:p>
    <w:p w14:paraId="3E0248CC" w14:textId="77777777" w:rsidR="008656AA" w:rsidRDefault="008656AA" w:rsidP="008656AA">
      <w:r>
        <w:t xml:space="preserve">During the </w:t>
      </w:r>
      <w:r w:rsidR="00B22DAF">
        <w:t>i</w:t>
      </w:r>
      <w:r>
        <w:t>nspection visit</w:t>
      </w:r>
      <w:r w:rsidR="00B22DAF">
        <w:t>,</w:t>
      </w:r>
      <w:r>
        <w:t xml:space="preserve"> and in its response</w:t>
      </w:r>
      <w:r w:rsidR="00840BB7">
        <w:t xml:space="preserve"> to a preliminary version of this report</w:t>
      </w:r>
      <w:r w:rsidR="00B22DAF">
        <w:t>,</w:t>
      </w:r>
      <w:r>
        <w:t xml:space="preserve"> the DHB acknowledged funding pressures on the </w:t>
      </w:r>
      <w:r w:rsidR="00B22DAF">
        <w:t>MHAS</w:t>
      </w:r>
      <w:r>
        <w:t xml:space="preserve">. </w:t>
      </w:r>
      <w:r w:rsidR="00B22DAF">
        <w:t xml:space="preserve">It </w:t>
      </w:r>
      <w:r w:rsidR="00470C36">
        <w:t>reported that t</w:t>
      </w:r>
      <w:r>
        <w:t xml:space="preserve">hese </w:t>
      </w:r>
      <w:r w:rsidR="00B22DAF">
        <w:t xml:space="preserve">were </w:t>
      </w:r>
      <w:r>
        <w:t>a result of:</w:t>
      </w:r>
    </w:p>
    <w:p w14:paraId="78AF851C" w14:textId="77777777" w:rsidR="008656AA" w:rsidRDefault="00840BB7" w:rsidP="008656AA">
      <w:pPr>
        <w:pStyle w:val="ListParagraph"/>
        <w:numPr>
          <w:ilvl w:val="0"/>
          <w:numId w:val="41"/>
        </w:numPr>
      </w:pPr>
      <w:r>
        <w:t>a</w:t>
      </w:r>
      <w:r w:rsidR="008656AA">
        <w:t xml:space="preserve"> </w:t>
      </w:r>
      <w:r w:rsidR="00135FCB">
        <w:t xml:space="preserve">Price Volume Schedule </w:t>
      </w:r>
      <w:r w:rsidR="008656AA">
        <w:t>that did not reflect national pricing levels of inpatient services</w:t>
      </w:r>
    </w:p>
    <w:p w14:paraId="00927C8F" w14:textId="77777777" w:rsidR="008656AA" w:rsidRDefault="00840BB7" w:rsidP="008656AA">
      <w:pPr>
        <w:pStyle w:val="ListParagraph"/>
        <w:numPr>
          <w:ilvl w:val="0"/>
          <w:numId w:val="41"/>
        </w:numPr>
      </w:pPr>
      <w:r>
        <w:t>i</w:t>
      </w:r>
      <w:r w:rsidR="008656AA">
        <w:t xml:space="preserve">nternal provider arm budgeting that did not adequately </w:t>
      </w:r>
      <w:r w:rsidR="00B22DAF">
        <w:t xml:space="preserve">provide </w:t>
      </w:r>
      <w:r w:rsidR="008656AA">
        <w:t>for the mandated ros</w:t>
      </w:r>
      <w:r w:rsidR="007B2EB8">
        <w:t>t</w:t>
      </w:r>
      <w:r w:rsidR="008656AA">
        <w:t xml:space="preserve">ering system (the budget was for a </w:t>
      </w:r>
      <w:r w:rsidR="006C00B6">
        <w:t>5 on 2 off</w:t>
      </w:r>
      <w:r w:rsidR="008656AA">
        <w:t xml:space="preserve"> roster</w:t>
      </w:r>
      <w:r w:rsidR="00B22DAF">
        <w:t>,</w:t>
      </w:r>
      <w:r w:rsidR="008656AA">
        <w:t xml:space="preserve"> but the service was required to run a </w:t>
      </w:r>
      <w:r w:rsidR="006C00B6">
        <w:t>4 on 2 off</w:t>
      </w:r>
      <w:r w:rsidR="008656AA">
        <w:t xml:space="preserve"> roster)</w:t>
      </w:r>
    </w:p>
    <w:p w14:paraId="0EC13752" w14:textId="77777777" w:rsidR="00470C36" w:rsidRDefault="00840BB7" w:rsidP="008656AA">
      <w:pPr>
        <w:pStyle w:val="ListParagraph"/>
        <w:numPr>
          <w:ilvl w:val="0"/>
          <w:numId w:val="41"/>
        </w:numPr>
      </w:pPr>
      <w:proofErr w:type="gramStart"/>
      <w:r>
        <w:t>a</w:t>
      </w:r>
      <w:proofErr w:type="gramEnd"/>
      <w:r w:rsidR="008656AA">
        <w:t xml:space="preserve"> provider arm requirement to meet organisational savings targets that involved a budget that assumed a FTE vacancy factor of approximately 25 FTE per year</w:t>
      </w:r>
      <w:r w:rsidR="00470C36">
        <w:t>.</w:t>
      </w:r>
    </w:p>
    <w:p w14:paraId="2573EF34" w14:textId="77777777" w:rsidR="008656AA" w:rsidRDefault="00470C36" w:rsidP="00470C36">
      <w:r>
        <w:t xml:space="preserve">The DHB reported that </w:t>
      </w:r>
      <w:r w:rsidR="001577F0">
        <w:t>‘</w:t>
      </w:r>
      <w:r w:rsidR="00840BB7">
        <w:t>w</w:t>
      </w:r>
      <w:r w:rsidR="008656AA">
        <w:t xml:space="preserve">hilst </w:t>
      </w:r>
      <w:r w:rsidR="00840BB7">
        <w:t xml:space="preserve">the </w:t>
      </w:r>
      <w:r w:rsidR="008656AA">
        <w:t xml:space="preserve">MHAS have </w:t>
      </w:r>
      <w:r w:rsidR="007B2EB8">
        <w:t>historically</w:t>
      </w:r>
      <w:r w:rsidR="008656AA">
        <w:t xml:space="preserve"> had difficulties in recruitment of staff, this led to significant staff vacancies across the services which were accentuated by internal recruitment processes that caused further vacancies (approximately 10</w:t>
      </w:r>
      <w:r w:rsidR="00C30065">
        <w:t>–</w:t>
      </w:r>
      <w:r w:rsidR="008656AA">
        <w:t xml:space="preserve">15 FTE) as a result of </w:t>
      </w:r>
      <w:r w:rsidR="00C30065">
        <w:t>“</w:t>
      </w:r>
      <w:r w:rsidR="008656AA">
        <w:t>churn</w:t>
      </w:r>
      <w:r>
        <w:t>”</w:t>
      </w:r>
      <w:r w:rsidR="00C30065">
        <w:t>’</w:t>
      </w:r>
      <w:r w:rsidR="008656AA">
        <w:t>.</w:t>
      </w:r>
    </w:p>
    <w:p w14:paraId="6BAC5586" w14:textId="77777777" w:rsidR="008656AA" w:rsidRDefault="008656AA" w:rsidP="008656AA">
      <w:pPr>
        <w:pStyle w:val="Heading2"/>
      </w:pPr>
      <w:bookmarkStart w:id="60" w:name="_Toc448394368"/>
      <w:r>
        <w:t>IT and Technology Support</w:t>
      </w:r>
      <w:bookmarkEnd w:id="60"/>
    </w:p>
    <w:p w14:paraId="4D59DDA4" w14:textId="77777777" w:rsidR="008656AA" w:rsidRDefault="008656AA" w:rsidP="008656AA">
      <w:r>
        <w:t xml:space="preserve">The DHB acknowledged </w:t>
      </w:r>
      <w:r w:rsidR="00C30065">
        <w:t xml:space="preserve">to the Inspection Team </w:t>
      </w:r>
      <w:r>
        <w:t xml:space="preserve">that </w:t>
      </w:r>
      <w:r w:rsidR="00C30065">
        <w:t xml:space="preserve">its population is </w:t>
      </w:r>
      <w:r>
        <w:t>highly dispersed</w:t>
      </w:r>
      <w:r w:rsidR="00C30065">
        <w:t xml:space="preserve">, and that its rural population in particular has </w:t>
      </w:r>
      <w:r>
        <w:t xml:space="preserve">high needs. As such, one of the key elements of its </w:t>
      </w:r>
      <w:r w:rsidR="00C30065">
        <w:t xml:space="preserve">future </w:t>
      </w:r>
      <w:r>
        <w:t>strategy is to develop a focus on virtual health care</w:t>
      </w:r>
      <w:r w:rsidR="00C30065">
        <w:t>,</w:t>
      </w:r>
      <w:r>
        <w:t xml:space="preserve"> and to plan how to meet the needs of a dispersed population. </w:t>
      </w:r>
      <w:r w:rsidR="00C30065">
        <w:t>It has appointed a</w:t>
      </w:r>
      <w:r>
        <w:t xml:space="preserve"> Clinical Director of Virtual Health Care.</w:t>
      </w:r>
    </w:p>
    <w:p w14:paraId="0B98CAA7" w14:textId="77777777" w:rsidR="008656AA" w:rsidRDefault="00C30065" w:rsidP="008656AA">
      <w:r>
        <w:t xml:space="preserve">The DHB </w:t>
      </w:r>
      <w:r w:rsidR="00F67F64">
        <w:t>has</w:t>
      </w:r>
      <w:r>
        <w:t xml:space="preserve"> </w:t>
      </w:r>
      <w:r w:rsidR="008656AA">
        <w:t xml:space="preserve">a clear strategy </w:t>
      </w:r>
      <w:r>
        <w:t xml:space="preserve">for </w:t>
      </w:r>
      <w:r w:rsidR="008656AA">
        <w:t xml:space="preserve">implementing an electronic record and electronic supports for staff working outside Hamilton. However, </w:t>
      </w:r>
      <w:r>
        <w:t xml:space="preserve">it has faced </w:t>
      </w:r>
      <w:r w:rsidR="008656AA">
        <w:t>various challenges from a technological point of view. Th</w:t>
      </w:r>
      <w:r>
        <w:t>e</w:t>
      </w:r>
      <w:r w:rsidR="008656AA">
        <w:t xml:space="preserve"> project </w:t>
      </w:r>
      <w:r>
        <w:t xml:space="preserve">of implementing a comprehensive electronic record draws on </w:t>
      </w:r>
      <w:r w:rsidR="008656AA">
        <w:t xml:space="preserve">regional and national work. </w:t>
      </w:r>
      <w:r>
        <w:t xml:space="preserve">In this </w:t>
      </w:r>
      <w:r w:rsidR="00F67F64">
        <w:t>regard</w:t>
      </w:r>
      <w:r>
        <w:t xml:space="preserve">, the DHB still needs to address </w:t>
      </w:r>
      <w:r w:rsidR="008656AA">
        <w:t>some system implementation issues.</w:t>
      </w:r>
    </w:p>
    <w:p w14:paraId="7FA3159F" w14:textId="77777777" w:rsidR="008656AA" w:rsidRDefault="008656AA" w:rsidP="008656AA">
      <w:r>
        <w:t>The roll</w:t>
      </w:r>
      <w:r w:rsidR="00C30065">
        <w:t>-</w:t>
      </w:r>
      <w:r>
        <w:t xml:space="preserve">out of wireless and remote access is </w:t>
      </w:r>
      <w:r w:rsidR="00C30065">
        <w:t xml:space="preserve">still </w:t>
      </w:r>
      <w:r>
        <w:t xml:space="preserve">in its early stages for some of the more rural teams. </w:t>
      </w:r>
      <w:r w:rsidR="00F67F64">
        <w:t xml:space="preserve">The DHB aims </w:t>
      </w:r>
      <w:r>
        <w:t xml:space="preserve">to implement videoconferencing </w:t>
      </w:r>
      <w:r w:rsidR="00C30065">
        <w:t xml:space="preserve">in </w:t>
      </w:r>
      <w:r>
        <w:t>all rural hospitals</w:t>
      </w:r>
      <w:r w:rsidR="00C30065">
        <w:t>,</w:t>
      </w:r>
      <w:r>
        <w:t xml:space="preserve"> but so far only one of the </w:t>
      </w:r>
      <w:r w:rsidR="00C30065">
        <w:t xml:space="preserve">CMHTs </w:t>
      </w:r>
      <w:r>
        <w:t>appears to be using this successfully.</w:t>
      </w:r>
    </w:p>
    <w:p w14:paraId="2E81745E" w14:textId="77777777" w:rsidR="008656AA" w:rsidRPr="000C507A" w:rsidRDefault="00443933" w:rsidP="008656AA">
      <w:pPr>
        <w:pStyle w:val="Heading2"/>
      </w:pPr>
      <w:bookmarkStart w:id="61" w:name="_Ref446928940"/>
      <w:bookmarkStart w:id="62" w:name="_Toc448394369"/>
      <w:r>
        <w:t>H</w:t>
      </w:r>
      <w:r w:rsidR="00F67F64">
        <w:t xml:space="preserve">enry </w:t>
      </w:r>
      <w:proofErr w:type="spellStart"/>
      <w:r>
        <w:t>R</w:t>
      </w:r>
      <w:r w:rsidR="006C39D7">
        <w:t>ongomau</w:t>
      </w:r>
      <w:proofErr w:type="spellEnd"/>
      <w:r w:rsidR="00F67F64">
        <w:t xml:space="preserve"> </w:t>
      </w:r>
      <w:r>
        <w:t>B</w:t>
      </w:r>
      <w:r w:rsidR="00F67F64">
        <w:t xml:space="preserve">ennett </w:t>
      </w:r>
      <w:r>
        <w:t>C</w:t>
      </w:r>
      <w:r w:rsidR="00F67F64">
        <w:t>entre</w:t>
      </w:r>
      <w:r>
        <w:t xml:space="preserve"> facilities</w:t>
      </w:r>
      <w:bookmarkEnd w:id="61"/>
      <w:bookmarkEnd w:id="62"/>
    </w:p>
    <w:p w14:paraId="3759FA83" w14:textId="77777777" w:rsidR="008656AA" w:rsidRDefault="006E1D35" w:rsidP="005D2299">
      <w:r>
        <w:t xml:space="preserve">One of the conclusions of </w:t>
      </w:r>
      <w:r w:rsidR="008656AA">
        <w:rPr>
          <w:i/>
        </w:rPr>
        <w:t>A Time for Change</w:t>
      </w:r>
      <w:r w:rsidR="008656AA">
        <w:t xml:space="preserve"> </w:t>
      </w:r>
      <w:r>
        <w:t xml:space="preserve">was </w:t>
      </w:r>
      <w:r w:rsidR="008656AA">
        <w:t xml:space="preserve">that </w:t>
      </w:r>
      <w:r w:rsidR="00F67F64">
        <w:t>‘</w:t>
      </w:r>
      <w:r w:rsidR="008656AA">
        <w:t>t</w:t>
      </w:r>
      <w:r w:rsidR="008656AA" w:rsidRPr="00181536">
        <w:t>he capital infrastructure does not meet contemporary standards</w:t>
      </w:r>
      <w:r w:rsidR="00F67F64">
        <w:t>’</w:t>
      </w:r>
      <w:r>
        <w:t>. It specifically recommended that the DHB r</w:t>
      </w:r>
      <w:r w:rsidR="008656AA" w:rsidRPr="00181536">
        <w:t xml:space="preserve">edevelop the </w:t>
      </w:r>
      <w:r>
        <w:t xml:space="preserve">HRBC </w:t>
      </w:r>
      <w:r w:rsidR="008656AA" w:rsidRPr="00181536">
        <w:t>to provide an environment which meets contemporary standards.</w:t>
      </w:r>
    </w:p>
    <w:p w14:paraId="11EC4E8E" w14:textId="77777777" w:rsidR="008656AA" w:rsidRDefault="008656AA" w:rsidP="008656AA">
      <w:r>
        <w:lastRenderedPageBreak/>
        <w:t xml:space="preserve">The service has made some changes to the </w:t>
      </w:r>
      <w:r w:rsidR="00EC387A">
        <w:t xml:space="preserve">HRBC </w:t>
      </w:r>
      <w:r>
        <w:t>to give effect to this</w:t>
      </w:r>
      <w:r w:rsidR="00EC387A">
        <w:t xml:space="preserve"> recommendation</w:t>
      </w:r>
      <w:r w:rsidR="00D11B18">
        <w:t>,</w:t>
      </w:r>
      <w:r>
        <w:t xml:space="preserve"> but the structure of the </w:t>
      </w:r>
      <w:r w:rsidR="00AB6D78">
        <w:t>building</w:t>
      </w:r>
      <w:r>
        <w:t xml:space="preserve"> poses </w:t>
      </w:r>
      <w:r w:rsidR="00EC387A">
        <w:t xml:space="preserve">fundamental </w:t>
      </w:r>
      <w:r>
        <w:t xml:space="preserve">limitations on </w:t>
      </w:r>
      <w:r w:rsidR="00AB6D78">
        <w:t>redevelopment</w:t>
      </w:r>
      <w:r>
        <w:t xml:space="preserve">. </w:t>
      </w:r>
      <w:r w:rsidR="00EC387A">
        <w:t>The service produced</w:t>
      </w:r>
      <w:r>
        <w:t xml:space="preserve"> </w:t>
      </w:r>
      <w:r w:rsidR="00EC387A">
        <w:t>a</w:t>
      </w:r>
      <w:r>
        <w:t xml:space="preserve"> business case for redevelopment in 2013. The </w:t>
      </w:r>
      <w:r w:rsidR="00EC387A">
        <w:t xml:space="preserve">documentation on proposed </w:t>
      </w:r>
      <w:r>
        <w:t xml:space="preserve">changes to the unit (following the AWOLs and other issues in May 2015) summarised </w:t>
      </w:r>
      <w:r w:rsidR="00AB6D78" w:rsidRPr="00380933">
        <w:rPr>
          <w:rFonts w:eastAsia="Times New Roman" w:cs="Arial"/>
          <w:lang w:val="en-GB" w:eastAsia="en-GB"/>
        </w:rPr>
        <w:t>the following key drivers and risks</w:t>
      </w:r>
      <w:r>
        <w:t>:</w:t>
      </w:r>
    </w:p>
    <w:p w14:paraId="318E64B2" w14:textId="77777777" w:rsidR="008656AA" w:rsidRPr="0016471D" w:rsidRDefault="00D11B18" w:rsidP="008656AA">
      <w:pPr>
        <w:pStyle w:val="ListParagraph"/>
        <w:numPr>
          <w:ilvl w:val="0"/>
          <w:numId w:val="36"/>
        </w:numPr>
        <w:rPr>
          <w:lang w:val="en-GB" w:eastAsia="en-GB"/>
        </w:rPr>
      </w:pPr>
      <w:r>
        <w:rPr>
          <w:lang w:val="en-GB" w:eastAsia="en-GB"/>
        </w:rPr>
        <w:t>S</w:t>
      </w:r>
      <w:r w:rsidR="008656AA" w:rsidRPr="0016471D">
        <w:rPr>
          <w:lang w:val="en-GB" w:eastAsia="en-GB"/>
        </w:rPr>
        <w:t>ignificant deficiencies</w:t>
      </w:r>
      <w:r>
        <w:rPr>
          <w:lang w:val="en-GB" w:eastAsia="en-GB"/>
        </w:rPr>
        <w:t xml:space="preserve"> have been</w:t>
      </w:r>
      <w:r w:rsidR="008656AA" w:rsidRPr="0016471D">
        <w:rPr>
          <w:lang w:val="en-GB" w:eastAsia="en-GB"/>
        </w:rPr>
        <w:t xml:space="preserve"> identified by external bodies and originally documented within </w:t>
      </w:r>
      <w:r w:rsidR="00EC387A">
        <w:rPr>
          <w:lang w:val="en-GB" w:eastAsia="en-GB"/>
        </w:rPr>
        <w:t>‘</w:t>
      </w:r>
      <w:r w:rsidR="008656AA" w:rsidRPr="0016471D">
        <w:rPr>
          <w:lang w:val="en-GB" w:eastAsia="en-GB"/>
        </w:rPr>
        <w:t>A Time for Change</w:t>
      </w:r>
      <w:r w:rsidR="00EC387A">
        <w:rPr>
          <w:lang w:val="en-GB" w:eastAsia="en-GB"/>
        </w:rPr>
        <w:t>’</w:t>
      </w:r>
      <w:r w:rsidR="008656AA" w:rsidRPr="0016471D">
        <w:rPr>
          <w:lang w:val="en-GB" w:eastAsia="en-GB"/>
        </w:rPr>
        <w:t>. These deficiencies include; lack of space, lighting, congestion, lack of privacy and lack of areas for therapeutic interventions. They can be summarised as providing an environment which is institutional, dark and depressing and does not meet contemporary standards.</w:t>
      </w:r>
    </w:p>
    <w:p w14:paraId="3EB9C29A" w14:textId="77777777" w:rsidR="008656AA" w:rsidRPr="0016471D" w:rsidRDefault="008656AA" w:rsidP="008656AA">
      <w:pPr>
        <w:pStyle w:val="ListParagraph"/>
        <w:numPr>
          <w:ilvl w:val="0"/>
          <w:numId w:val="36"/>
        </w:numPr>
        <w:rPr>
          <w:lang w:val="en-GB" w:eastAsia="en-GB"/>
        </w:rPr>
      </w:pPr>
      <w:r w:rsidRPr="0016471D">
        <w:rPr>
          <w:lang w:val="en-GB" w:eastAsia="en-GB"/>
        </w:rPr>
        <w:t xml:space="preserve">The organisation is attempting to mitigate an increasing number of AWOL incidents with associated significant risk of </w:t>
      </w:r>
      <w:proofErr w:type="spellStart"/>
      <w:r w:rsidRPr="0016471D">
        <w:rPr>
          <w:lang w:val="en-GB" w:eastAsia="en-GB"/>
        </w:rPr>
        <w:t>self harm</w:t>
      </w:r>
      <w:proofErr w:type="spellEnd"/>
      <w:r w:rsidRPr="0016471D">
        <w:rPr>
          <w:lang w:val="en-GB" w:eastAsia="en-GB"/>
        </w:rPr>
        <w:t>, harm to others and reputational risk. The current environment constrains the ability to manage the tension of providing services in the least restrictive environment, whilst ensuring those most unwell do not abscond. With limited options for separate indoor and outdoor spaces to manage varying levels of acuity at any one time the ability to manage this dichotomy is severely constrained.</w:t>
      </w:r>
    </w:p>
    <w:p w14:paraId="776B61C9" w14:textId="77777777" w:rsidR="008656AA" w:rsidRPr="0016471D" w:rsidRDefault="008656AA" w:rsidP="008656AA">
      <w:pPr>
        <w:pStyle w:val="ListParagraph"/>
        <w:numPr>
          <w:ilvl w:val="0"/>
          <w:numId w:val="36"/>
        </w:numPr>
        <w:rPr>
          <w:lang w:val="en-GB" w:eastAsia="en-GB"/>
        </w:rPr>
      </w:pPr>
      <w:r w:rsidRPr="0016471D">
        <w:rPr>
          <w:lang w:val="en-GB" w:eastAsia="en-GB"/>
        </w:rPr>
        <w:t>The national imperative and drive to eliminate</w:t>
      </w:r>
      <w:r w:rsidR="00E504BD">
        <w:rPr>
          <w:rStyle w:val="FootnoteReference"/>
          <w:lang w:val="en-GB" w:eastAsia="en-GB"/>
        </w:rPr>
        <w:footnoteReference w:id="19"/>
      </w:r>
      <w:r w:rsidRPr="0016471D">
        <w:rPr>
          <w:lang w:val="en-GB" w:eastAsia="en-GB"/>
        </w:rPr>
        <w:t xml:space="preserve"> the practice of seclusion nationally. </w:t>
      </w:r>
      <w:r w:rsidRPr="0030042C">
        <w:rPr>
          <w:lang w:val="en-GB" w:eastAsia="en-GB"/>
        </w:rPr>
        <w:t xml:space="preserve">Nationally seclusion is </w:t>
      </w:r>
      <w:r w:rsidRPr="0016471D">
        <w:rPr>
          <w:lang w:val="en-GB" w:eastAsia="en-GB"/>
        </w:rPr>
        <w:t>considered evidence of a failure in treatment. Rates of seclusion are nationally benchmarked. Waikato’s performance is of concern. A clear strategy is in place to improve performance in this area, however the current inability to de-escalate service users in their current environment, with staff they know, in a safe, private and therapeutic space inevitably results in otherwise avoidable use of seclusion and restraint.</w:t>
      </w:r>
    </w:p>
    <w:p w14:paraId="6D936609" w14:textId="77777777" w:rsidR="008656AA" w:rsidRPr="0016471D" w:rsidRDefault="008656AA" w:rsidP="008656AA">
      <w:pPr>
        <w:pStyle w:val="ListParagraph"/>
        <w:numPr>
          <w:ilvl w:val="0"/>
          <w:numId w:val="36"/>
        </w:numPr>
        <w:rPr>
          <w:lang w:val="en-GB" w:eastAsia="en-GB"/>
        </w:rPr>
      </w:pPr>
      <w:r w:rsidRPr="0016471D">
        <w:rPr>
          <w:lang w:val="en-GB" w:eastAsia="en-GB"/>
        </w:rPr>
        <w:t xml:space="preserve">The service, organisation and region has identified and articulated the need to have access to suitable intensive rehabilitation beds for service users with high and complex needs. Currently these service users are spending extended time in acute wards, forensic mental health beds or in the criminal justice system. The increased rates of incarceration for those with multiple and complex needs is directly related to gaps in the system of care required for those with severe mental illness. Waikato District Health Board is one of the only larger DHB districts without this core component of the care continuum. </w:t>
      </w:r>
    </w:p>
    <w:p w14:paraId="4ABE5796" w14:textId="77777777" w:rsidR="008656AA" w:rsidRPr="0016471D" w:rsidRDefault="008656AA" w:rsidP="008656AA">
      <w:pPr>
        <w:pStyle w:val="ListParagraph"/>
        <w:numPr>
          <w:ilvl w:val="0"/>
          <w:numId w:val="36"/>
        </w:numPr>
        <w:rPr>
          <w:lang w:val="en-GB" w:eastAsia="en-GB"/>
        </w:rPr>
      </w:pPr>
      <w:r w:rsidRPr="0016471D">
        <w:rPr>
          <w:lang w:val="en-GB" w:eastAsia="en-GB"/>
        </w:rPr>
        <w:t xml:space="preserve">The fulfilment of the service goal </w:t>
      </w:r>
      <w:r w:rsidR="002F1B7B">
        <w:rPr>
          <w:lang w:val="en-GB" w:eastAsia="en-GB"/>
        </w:rPr>
        <w:t>‘</w:t>
      </w:r>
      <w:r w:rsidRPr="0016471D">
        <w:rPr>
          <w:lang w:val="en-GB" w:eastAsia="en-GB"/>
        </w:rPr>
        <w:t>To earn the reputation as a service people trust with their loved ones’ care</w:t>
      </w:r>
      <w:r w:rsidR="002F1B7B">
        <w:rPr>
          <w:lang w:val="en-GB" w:eastAsia="en-GB"/>
        </w:rPr>
        <w:t>’</w:t>
      </w:r>
      <w:r w:rsidRPr="0016471D">
        <w:rPr>
          <w:lang w:val="en-GB" w:eastAsia="en-GB"/>
        </w:rPr>
        <w:t>. An environment which is unable to support safe and quality focused care is not an environment in which any DHB employee would comfortably entrust the care of their loved ones.</w:t>
      </w:r>
      <w:r>
        <w:rPr>
          <w:rStyle w:val="FootnoteReference"/>
          <w:lang w:val="en-GB" w:eastAsia="en-GB"/>
        </w:rPr>
        <w:footnoteReference w:id="20"/>
      </w:r>
    </w:p>
    <w:p w14:paraId="0332FA20" w14:textId="77777777" w:rsidR="008656AA" w:rsidRDefault="008656AA" w:rsidP="008656AA">
      <w:r>
        <w:lastRenderedPageBreak/>
        <w:t xml:space="preserve">The </w:t>
      </w:r>
      <w:r w:rsidR="002F1B7B">
        <w:t xml:space="preserve">Inspection Team understands that the DHB accepted the </w:t>
      </w:r>
      <w:r>
        <w:t xml:space="preserve">business case </w:t>
      </w:r>
      <w:r w:rsidR="002F1B7B">
        <w:t>‘</w:t>
      </w:r>
      <w:r w:rsidRPr="009D26AA">
        <w:t>in principle subject to the ability of the organisation to realise the necessary capital funding</w:t>
      </w:r>
      <w:r w:rsidR="002F1B7B">
        <w:t>’</w:t>
      </w:r>
      <w:r w:rsidRPr="009D26AA">
        <w:t>.</w:t>
      </w:r>
      <w:r>
        <w:rPr>
          <w:rStyle w:val="FootnoteReference"/>
        </w:rPr>
        <w:footnoteReference w:id="21"/>
      </w:r>
    </w:p>
    <w:p w14:paraId="55B24EED" w14:textId="77777777" w:rsidR="008656AA" w:rsidRDefault="00D83C39" w:rsidP="008656AA">
      <w:r>
        <w:t>Following the presentation of the</w:t>
      </w:r>
      <w:r w:rsidR="008656AA">
        <w:t xml:space="preserve"> business case, the service made some alterations </w:t>
      </w:r>
      <w:r w:rsidR="002F1B7B">
        <w:t xml:space="preserve">to the </w:t>
      </w:r>
      <w:r w:rsidR="0067037E">
        <w:t>security</w:t>
      </w:r>
      <w:r w:rsidR="008656AA">
        <w:t xml:space="preserve"> and fencing</w:t>
      </w:r>
      <w:r w:rsidR="002F1B7B">
        <w:t xml:space="preserve"> at HRBC</w:t>
      </w:r>
      <w:r w:rsidR="008656AA">
        <w:t xml:space="preserve">. </w:t>
      </w:r>
      <w:r w:rsidR="002F1B7B">
        <w:t xml:space="preserve">It also changed its use of </w:t>
      </w:r>
      <w:r w:rsidR="008656AA">
        <w:t xml:space="preserve">the wards </w:t>
      </w:r>
      <w:r w:rsidR="00E52D07">
        <w:t xml:space="preserve">in the light of </w:t>
      </w:r>
      <w:r w:rsidR="008656AA">
        <w:t xml:space="preserve">considerations relating to risk and acuity. </w:t>
      </w:r>
      <w:r w:rsidR="0062575D">
        <w:t>O</w:t>
      </w:r>
      <w:r w:rsidR="008656AA">
        <w:t xml:space="preserve">ne ward </w:t>
      </w:r>
      <w:r w:rsidR="0062575D">
        <w:t xml:space="preserve">became </w:t>
      </w:r>
      <w:r w:rsidR="008656AA">
        <w:t>an intensive care/low</w:t>
      </w:r>
      <w:r w:rsidR="0062575D">
        <w:t>-</w:t>
      </w:r>
      <w:r w:rsidR="008656AA">
        <w:t xml:space="preserve">stimulus locked unit; a second </w:t>
      </w:r>
      <w:r w:rsidR="0062575D">
        <w:t xml:space="preserve">became </w:t>
      </w:r>
      <w:r w:rsidR="008656AA">
        <w:t xml:space="preserve">a locked unit (for people under compulsory care) with access to the courtyard with </w:t>
      </w:r>
      <w:r w:rsidR="0062575D">
        <w:t xml:space="preserve">its </w:t>
      </w:r>
      <w:r w:rsidR="008656AA">
        <w:t xml:space="preserve">improved fencing; and a third </w:t>
      </w:r>
      <w:r w:rsidR="0062575D">
        <w:t xml:space="preserve">became </w:t>
      </w:r>
      <w:r w:rsidR="008656AA">
        <w:t>more open, with a focus on rehabilitative activities geared towards discharge.</w:t>
      </w:r>
    </w:p>
    <w:p w14:paraId="348AC7DF" w14:textId="77777777" w:rsidR="008656AA" w:rsidRDefault="008656AA" w:rsidP="008656AA">
      <w:r>
        <w:t>While the changes in utilisation of the facility are understandable given</w:t>
      </w:r>
      <w:r w:rsidR="00F378C3">
        <w:t xml:space="preserve"> the </w:t>
      </w:r>
      <w:proofErr w:type="gramStart"/>
      <w:r w:rsidR="00F378C3">
        <w:t xml:space="preserve">facility’s </w:t>
      </w:r>
      <w:r>
        <w:t xml:space="preserve"> serious</w:t>
      </w:r>
      <w:proofErr w:type="gramEnd"/>
      <w:r>
        <w:t xml:space="preserve"> limitations</w:t>
      </w:r>
      <w:r w:rsidR="00F378C3">
        <w:t xml:space="preserve">, these changes </w:t>
      </w:r>
      <w:r>
        <w:t xml:space="preserve">have had unintended consequences. For instance, significant risks </w:t>
      </w:r>
      <w:r w:rsidR="00AB6D78">
        <w:t xml:space="preserve">to </w:t>
      </w:r>
      <w:r w:rsidR="007C29FB">
        <w:t xml:space="preserve">continuity of </w:t>
      </w:r>
      <w:r w:rsidR="00AB6D78">
        <w:t xml:space="preserve">care </w:t>
      </w:r>
      <w:r>
        <w:t>emerge when a person</w:t>
      </w:r>
      <w:r w:rsidR="00AB6D78">
        <w:t xml:space="preserve"> is moved to a less restrictive environment and their care </w:t>
      </w:r>
      <w:r>
        <w:t>team is changed</w:t>
      </w:r>
      <w:r w:rsidR="007C29FB">
        <w:t>;</w:t>
      </w:r>
      <w:r>
        <w:t xml:space="preserve"> these risks need to be carefully managed.</w:t>
      </w:r>
      <w:r w:rsidR="00AB6D78">
        <w:t xml:space="preserve"> </w:t>
      </w:r>
      <w:r w:rsidR="007C29FB">
        <w:t xml:space="preserve">The MHAS </w:t>
      </w:r>
      <w:r w:rsidR="00D83C39">
        <w:t>has put policies and processes in place</w:t>
      </w:r>
      <w:r w:rsidR="007C29FB">
        <w:t xml:space="preserve"> to mitigate such risks</w:t>
      </w:r>
      <w:r w:rsidR="00903143">
        <w:t xml:space="preserve">. However, given some of the concerns raised with </w:t>
      </w:r>
      <w:proofErr w:type="spellStart"/>
      <w:r w:rsidR="00903143">
        <w:t>Inpsection</w:t>
      </w:r>
      <w:proofErr w:type="spellEnd"/>
      <w:r w:rsidR="00903143">
        <w:t xml:space="preserve"> Team, further consideration</w:t>
      </w:r>
      <w:r w:rsidR="007C29FB">
        <w:t xml:space="preserve"> </w:t>
      </w:r>
      <w:r>
        <w:t xml:space="preserve">needs to be </w:t>
      </w:r>
      <w:r w:rsidR="00903143">
        <w:t>given</w:t>
      </w:r>
      <w:r w:rsidR="007C29FB">
        <w:t xml:space="preserve"> </w:t>
      </w:r>
      <w:r>
        <w:t xml:space="preserve">to </w:t>
      </w:r>
      <w:r w:rsidR="00903143">
        <w:t xml:space="preserve">how to maintain </w:t>
      </w:r>
      <w:r>
        <w:t xml:space="preserve">the therapeutic alliance and </w:t>
      </w:r>
      <w:r w:rsidR="005C2805">
        <w:t>continuity</w:t>
      </w:r>
      <w:r>
        <w:t xml:space="preserve"> of care between key staff and the people using the service.</w:t>
      </w:r>
    </w:p>
    <w:p w14:paraId="4B228476" w14:textId="77777777" w:rsidR="008656AA" w:rsidRDefault="008656AA" w:rsidP="008656AA">
      <w:r>
        <w:t>Overall</w:t>
      </w:r>
      <w:r w:rsidR="007C29FB">
        <w:t>,</w:t>
      </w:r>
      <w:r>
        <w:t xml:space="preserve"> the </w:t>
      </w:r>
      <w:r w:rsidR="007C29FB">
        <w:t xml:space="preserve">findings </w:t>
      </w:r>
      <w:r>
        <w:t xml:space="preserve">of the </w:t>
      </w:r>
      <w:r w:rsidR="007C29FB">
        <w:t xml:space="preserve">Inspection </w:t>
      </w:r>
      <w:r w:rsidR="001C1DCB">
        <w:t>T</w:t>
      </w:r>
      <w:r w:rsidR="0067037E">
        <w:t>eam</w:t>
      </w:r>
      <w:r>
        <w:t xml:space="preserve"> were </w:t>
      </w:r>
      <w:r w:rsidR="0067037E">
        <w:t>in line with</w:t>
      </w:r>
      <w:r w:rsidR="00AB6D78">
        <w:t xml:space="preserve"> </w:t>
      </w:r>
      <w:r w:rsidR="007C29FB">
        <w:t xml:space="preserve">conclusions </w:t>
      </w:r>
      <w:r w:rsidR="0067037E">
        <w:t>in</w:t>
      </w:r>
      <w:r w:rsidR="00AB6D78">
        <w:t xml:space="preserve"> the 2013 business case</w:t>
      </w:r>
      <w:r w:rsidR="007C29FB">
        <w:t>:</w:t>
      </w:r>
      <w:r w:rsidR="00AB6D78">
        <w:t xml:space="preserve"> t</w:t>
      </w:r>
      <w:r>
        <w:t xml:space="preserve">he </w:t>
      </w:r>
      <w:r w:rsidR="007C29FB">
        <w:t xml:space="preserve">current </w:t>
      </w:r>
      <w:r>
        <w:t xml:space="preserve">facilities </w:t>
      </w:r>
      <w:r w:rsidR="007C29FB">
        <w:t xml:space="preserve">do </w:t>
      </w:r>
      <w:r>
        <w:t>not meet contemporary standards</w:t>
      </w:r>
      <w:r w:rsidR="007C29FB">
        <w:t>,</w:t>
      </w:r>
      <w:r>
        <w:t xml:space="preserve"> and ha</w:t>
      </w:r>
      <w:r w:rsidR="00D11B18">
        <w:t>ve</w:t>
      </w:r>
      <w:r>
        <w:t xml:space="preserve"> </w:t>
      </w:r>
      <w:r w:rsidR="007C29FB">
        <w:t xml:space="preserve">therefore </w:t>
      </w:r>
      <w:r>
        <w:t xml:space="preserve">posed challenges to the teams providing care to acutely unwell patients. The confusing layout and lack of good sight-lines will continue to pose safety risks. It was hard to see how </w:t>
      </w:r>
      <w:r w:rsidR="007C29FB">
        <w:t xml:space="preserve">the service could </w:t>
      </w:r>
      <w:r>
        <w:t xml:space="preserve">effectively address </w:t>
      </w:r>
      <w:r w:rsidR="007C29FB">
        <w:t xml:space="preserve">these issues </w:t>
      </w:r>
      <w:r>
        <w:t xml:space="preserve">given the structure of the unit. (For instance, the narrowness of the corridors and the placement of bedroom doors lead to real possibility of </w:t>
      </w:r>
      <w:r w:rsidR="007C29FB">
        <w:t xml:space="preserve">the </w:t>
      </w:r>
      <w:r>
        <w:t>effective barricading of corridors</w:t>
      </w:r>
      <w:r w:rsidR="006C39D7">
        <w:t>,</w:t>
      </w:r>
      <w:r>
        <w:t xml:space="preserve"> and the potential for a disturbed individual to harm </w:t>
      </w:r>
      <w:proofErr w:type="gramStart"/>
      <w:r w:rsidR="002E724C">
        <w:t>themselves</w:t>
      </w:r>
      <w:proofErr w:type="gramEnd"/>
      <w:r w:rsidR="002E724C">
        <w:t xml:space="preserve"> </w:t>
      </w:r>
      <w:r>
        <w:t xml:space="preserve">or another person </w:t>
      </w:r>
      <w:r w:rsidR="002E724C">
        <w:t xml:space="preserve">out of </w:t>
      </w:r>
      <w:r>
        <w:t>sight.)</w:t>
      </w:r>
    </w:p>
    <w:p w14:paraId="06408387" w14:textId="77777777" w:rsidR="008656AA" w:rsidRDefault="006C39D7" w:rsidP="008656AA">
      <w:r>
        <w:t>The Inspection Team did not undertake a</w:t>
      </w:r>
      <w:r w:rsidR="008656AA">
        <w:t xml:space="preserve"> detailed analysis of the facilities</w:t>
      </w:r>
      <w:r>
        <w:t>,</w:t>
      </w:r>
      <w:r w:rsidR="008656AA">
        <w:t xml:space="preserve"> </w:t>
      </w:r>
      <w:r>
        <w:t xml:space="preserve">because </w:t>
      </w:r>
      <w:r w:rsidR="008656AA">
        <w:t>the DHB had already commissioned a full review</w:t>
      </w:r>
      <w:r>
        <w:t xml:space="preserve"> of its adult mental health facilities in 2015</w:t>
      </w:r>
      <w:r w:rsidR="00903143" w:rsidRPr="00414F40">
        <w:rPr>
          <w:rStyle w:val="FootnoteReference"/>
        </w:rPr>
        <w:footnoteReference w:id="22"/>
      </w:r>
      <w:r w:rsidR="008656AA">
        <w:t>. This report was completed during the inspection</w:t>
      </w:r>
      <w:r>
        <w:t>;</w:t>
      </w:r>
      <w:r w:rsidR="008656AA">
        <w:t xml:space="preserve"> </w:t>
      </w:r>
      <w:r>
        <w:t xml:space="preserve">it </w:t>
      </w:r>
      <w:r w:rsidR="008656AA">
        <w:t>makes similar findings.</w:t>
      </w:r>
    </w:p>
    <w:p w14:paraId="740291A7" w14:textId="77777777" w:rsidR="008656AA" w:rsidRDefault="006C39D7" w:rsidP="008656AA">
      <w:r>
        <w:t xml:space="preserve">The DHB commissioned this review </w:t>
      </w:r>
      <w:r w:rsidR="008656AA" w:rsidRPr="000C507A">
        <w:t xml:space="preserve">in part because of concerns following </w:t>
      </w:r>
      <w:r>
        <w:t xml:space="preserve">the </w:t>
      </w:r>
      <w:r w:rsidR="008656AA" w:rsidRPr="000C507A">
        <w:t xml:space="preserve">significant </w:t>
      </w:r>
      <w:r>
        <w:t xml:space="preserve">adverse </w:t>
      </w:r>
      <w:r w:rsidR="008656AA" w:rsidRPr="000C507A">
        <w:t>incidents</w:t>
      </w:r>
      <w:r>
        <w:t xml:space="preserve"> that occurred in early 2015</w:t>
      </w:r>
      <w:r w:rsidR="008656AA" w:rsidRPr="000C507A">
        <w:t xml:space="preserve">. The review team was headed by Kevin </w:t>
      </w:r>
      <w:proofErr w:type="spellStart"/>
      <w:r w:rsidR="008656AA" w:rsidRPr="000C507A">
        <w:t>Fjeldsoe</w:t>
      </w:r>
      <w:proofErr w:type="spellEnd"/>
      <w:r>
        <w:t>,</w:t>
      </w:r>
      <w:r w:rsidR="008656AA" w:rsidRPr="000C507A">
        <w:t xml:space="preserve"> who was also the head of the review team that developed </w:t>
      </w:r>
      <w:r w:rsidR="008656AA" w:rsidRPr="000C507A">
        <w:rPr>
          <w:i/>
        </w:rPr>
        <w:t>A Time for Change</w:t>
      </w:r>
      <w:r w:rsidR="008656AA" w:rsidRPr="000C507A">
        <w:t xml:space="preserve">. The </w:t>
      </w:r>
      <w:r w:rsidR="00AB6D78">
        <w:t xml:space="preserve">review </w:t>
      </w:r>
      <w:r>
        <w:t>made the following findings.</w:t>
      </w:r>
      <w:r w:rsidR="00AB6D78">
        <w:t xml:space="preserve"> </w:t>
      </w:r>
    </w:p>
    <w:p w14:paraId="219ABC0A" w14:textId="77777777" w:rsidR="008656AA" w:rsidRDefault="008656AA" w:rsidP="008656AA"/>
    <w:p w14:paraId="482C9596" w14:textId="77777777" w:rsidR="008656AA" w:rsidRPr="00114858" w:rsidRDefault="00AB6D78" w:rsidP="008656AA">
      <w:pPr>
        <w:ind w:left="720"/>
      </w:pPr>
      <w:r w:rsidRPr="00FE54B2">
        <w:rPr>
          <w:b/>
        </w:rPr>
        <w:t>…</w:t>
      </w:r>
      <w:r w:rsidR="008656AA" w:rsidRPr="00FE54B2">
        <w:t xml:space="preserve"> </w:t>
      </w:r>
      <w:proofErr w:type="gramStart"/>
      <w:r w:rsidR="008656AA" w:rsidRPr="00FE54B2">
        <w:t>despite</w:t>
      </w:r>
      <w:proofErr w:type="gramEnd"/>
      <w:r w:rsidR="008656AA" w:rsidRPr="00FE54B2">
        <w:t xml:space="preserve"> considerable effort to improve the HRBC environment, </w:t>
      </w:r>
      <w:r w:rsidR="006C39D7">
        <w:t>[the facility]</w:t>
      </w:r>
      <w:r w:rsidR="006C39D7" w:rsidRPr="00114858">
        <w:t xml:space="preserve"> </w:t>
      </w:r>
      <w:r w:rsidR="008656AA" w:rsidRPr="00114858">
        <w:t xml:space="preserve">did not meet a significant number of basic contemporary standards. Further, it was the view of the review team that the capacity of the service to develop new and potentially more efficient and effective models of service was being constrained by the need to deliver services in the existing facility.  </w:t>
      </w:r>
    </w:p>
    <w:p w14:paraId="7173800B" w14:textId="77777777" w:rsidR="008656AA" w:rsidRPr="00114858" w:rsidRDefault="008656AA" w:rsidP="008656AA">
      <w:pPr>
        <w:ind w:left="720"/>
      </w:pPr>
    </w:p>
    <w:p w14:paraId="77041D0E" w14:textId="77777777" w:rsidR="008656AA" w:rsidRPr="00114858" w:rsidRDefault="008656AA" w:rsidP="008656AA">
      <w:pPr>
        <w:ind w:left="720"/>
      </w:pPr>
      <w:r w:rsidRPr="00114858">
        <w:lastRenderedPageBreak/>
        <w:t>The review team believes that a contemporary service model involving the construction of new purpose built hospital and community facilities should be considered. This should provide a more efficient use of recurrent funds and provide a greater array of inpatient treatment options for consumers with increasingly complex and diverse needs.</w:t>
      </w:r>
    </w:p>
    <w:p w14:paraId="73DB940D" w14:textId="77777777" w:rsidR="008656AA" w:rsidRDefault="007A2202" w:rsidP="008656AA">
      <w:pPr>
        <w:pStyle w:val="Heading1"/>
      </w:pPr>
      <w:bookmarkStart w:id="63" w:name="_Toc448394370"/>
      <w:r>
        <w:t>Recruitment of doctor who allegedly dishonestly gained employment</w:t>
      </w:r>
      <w:bookmarkEnd w:id="63"/>
    </w:p>
    <w:p w14:paraId="49CB9B34" w14:textId="77777777" w:rsidR="008656AA" w:rsidRPr="009A4D23" w:rsidRDefault="008656AA" w:rsidP="008656AA">
      <w:r>
        <w:t xml:space="preserve">The </w:t>
      </w:r>
      <w:r w:rsidR="001C1DCB">
        <w:t>I</w:t>
      </w:r>
      <w:r>
        <w:t xml:space="preserve">nspection </w:t>
      </w:r>
      <w:r w:rsidR="001C1DCB">
        <w:t>T</w:t>
      </w:r>
      <w:r>
        <w:t xml:space="preserve">eam carefully examined </w:t>
      </w:r>
      <w:r w:rsidRPr="009A4D23">
        <w:t xml:space="preserve">the recruitment process for </w:t>
      </w:r>
      <w:r w:rsidR="00F12C36">
        <w:t xml:space="preserve">the overseas </w:t>
      </w:r>
      <w:r w:rsidRPr="009A4D23">
        <w:t>doctor</w:t>
      </w:r>
      <w:r w:rsidR="00F12C36">
        <w:t xml:space="preserve"> </w:t>
      </w:r>
      <w:r w:rsidR="007A2202" w:rsidRPr="007A2202">
        <w:t>who allegedly used docume</w:t>
      </w:r>
      <w:r w:rsidR="007A2202">
        <w:t>nts belonging to another person</w:t>
      </w:r>
      <w:r w:rsidR="007A2202" w:rsidRPr="007A2202">
        <w:t xml:space="preserve"> </w:t>
      </w:r>
      <w:r w:rsidR="007A2202">
        <w:t>to gain</w:t>
      </w:r>
      <w:r w:rsidR="007A2202" w:rsidRPr="007A2202">
        <w:t xml:space="preserve"> employment as a psychiatrist</w:t>
      </w:r>
      <w:r w:rsidR="007A2202">
        <w:t xml:space="preserve"> </w:t>
      </w:r>
      <w:r w:rsidR="004752ED">
        <w:t>at</w:t>
      </w:r>
      <w:r w:rsidR="007A2202">
        <w:t xml:space="preserve"> Waikato DHB</w:t>
      </w:r>
      <w:r w:rsidR="007A2202" w:rsidRPr="007A2202">
        <w:t xml:space="preserve">. </w:t>
      </w:r>
      <w:r w:rsidR="00F12C36">
        <w:t>It looked at</w:t>
      </w:r>
      <w:r w:rsidRPr="009A4D23">
        <w:t xml:space="preserve"> his supervision and the subsequent events </w:t>
      </w:r>
      <w:r w:rsidR="00D11B18">
        <w:t xml:space="preserve">up </w:t>
      </w:r>
      <w:r w:rsidRPr="009A4D23">
        <w:t>until he left Waikato DHB’s employment.</w:t>
      </w:r>
    </w:p>
    <w:p w14:paraId="230DE3B2" w14:textId="77777777" w:rsidR="008656AA" w:rsidRPr="009A4D23" w:rsidRDefault="008656AA" w:rsidP="008656AA">
      <w:r w:rsidRPr="009A4D23">
        <w:t>As noted earlier</w:t>
      </w:r>
      <w:r w:rsidR="00D11B18">
        <w:t>,</w:t>
      </w:r>
      <w:r w:rsidRPr="009A4D23">
        <w:t xml:space="preserve"> this doctor is currently before the court</w:t>
      </w:r>
      <w:r w:rsidR="004752ED">
        <w:t xml:space="preserve"> on charges of </w:t>
      </w:r>
      <w:r w:rsidR="004752ED" w:rsidRPr="004752ED">
        <w:t>dishonesty and using a document for a pecuniary advantage</w:t>
      </w:r>
      <w:r w:rsidR="004752ED">
        <w:t xml:space="preserve">. For this reason, the Inspection Team can provide </w:t>
      </w:r>
      <w:r w:rsidRPr="009A4D23">
        <w:t xml:space="preserve">only </w:t>
      </w:r>
      <w:r>
        <w:t>a limited</w:t>
      </w:r>
      <w:r w:rsidRPr="009A4D23">
        <w:t xml:space="preserve"> overview</w:t>
      </w:r>
      <w:r w:rsidR="004752ED">
        <w:t>,</w:t>
      </w:r>
      <w:r w:rsidRPr="009A4D23">
        <w:t xml:space="preserve"> to </w:t>
      </w:r>
      <w:r w:rsidR="00AB6D78" w:rsidRPr="009A4D23">
        <w:t>ensure court</w:t>
      </w:r>
      <w:r w:rsidRPr="009A4D23">
        <w:t xml:space="preserve"> processes are not compromised.</w:t>
      </w:r>
      <w:r>
        <w:t xml:space="preserve"> </w:t>
      </w:r>
      <w:r w:rsidR="00124954">
        <w:t>Appendix 5 provides fuller information, but will be redacted in the public release of this document.</w:t>
      </w:r>
    </w:p>
    <w:p w14:paraId="66E4FA47" w14:textId="77777777" w:rsidR="008656AA" w:rsidRPr="000C507A" w:rsidRDefault="00510507" w:rsidP="008656AA">
      <w:r>
        <w:t xml:space="preserve">In recruiting the doctor concerned, </w:t>
      </w:r>
      <w:r w:rsidR="008656AA" w:rsidRPr="000C507A">
        <w:t xml:space="preserve">Waikato DHB followed what </w:t>
      </w:r>
      <w:r>
        <w:t xml:space="preserve">the Inspection Team </w:t>
      </w:r>
      <w:r w:rsidR="008656AA">
        <w:t>consider</w:t>
      </w:r>
      <w:r>
        <w:t>s</w:t>
      </w:r>
      <w:r w:rsidR="008656AA">
        <w:t xml:space="preserve"> to be a</w:t>
      </w:r>
      <w:r w:rsidR="008656AA" w:rsidRPr="000C507A">
        <w:t xml:space="preserve"> best</w:t>
      </w:r>
      <w:r>
        <w:t>-</w:t>
      </w:r>
      <w:r w:rsidR="008656AA" w:rsidRPr="000C507A">
        <w:t>practice process</w:t>
      </w:r>
      <w:r w:rsidR="008656AA">
        <w:t>.</w:t>
      </w:r>
      <w:r w:rsidR="008656AA" w:rsidRPr="000C507A">
        <w:t xml:space="preserve"> </w:t>
      </w:r>
      <w:r w:rsidR="008656AA">
        <w:t>During this process there were no</w:t>
      </w:r>
      <w:r w:rsidR="008656AA" w:rsidRPr="000C507A">
        <w:t xml:space="preserve"> </w:t>
      </w:r>
      <w:r w:rsidR="008656AA">
        <w:t>obvious</w:t>
      </w:r>
      <w:r w:rsidR="008656AA" w:rsidRPr="000C507A">
        <w:t xml:space="preserve"> red flags that would have </w:t>
      </w:r>
      <w:r>
        <w:t xml:space="preserve">alerted </w:t>
      </w:r>
      <w:r w:rsidR="008656AA">
        <w:t xml:space="preserve">the human relations team </w:t>
      </w:r>
      <w:r>
        <w:t xml:space="preserve">to </w:t>
      </w:r>
      <w:r w:rsidR="008656AA" w:rsidRPr="000C507A">
        <w:t xml:space="preserve">identity fraud. No fault can be accorded to any person within the DHB in respect </w:t>
      </w:r>
      <w:r w:rsidR="008656AA">
        <w:t>to</w:t>
      </w:r>
      <w:r w:rsidR="008656AA" w:rsidRPr="000C507A">
        <w:t xml:space="preserve"> this recruitment process.</w:t>
      </w:r>
      <w:r>
        <w:t xml:space="preserve"> </w:t>
      </w:r>
      <w:r w:rsidR="008656AA" w:rsidRPr="000C507A">
        <w:t>To the contrary</w:t>
      </w:r>
      <w:r w:rsidR="00AB6D78">
        <w:t>,</w:t>
      </w:r>
      <w:r w:rsidR="00AB6D78" w:rsidRPr="000C507A">
        <w:t xml:space="preserve"> </w:t>
      </w:r>
      <w:r>
        <w:t xml:space="preserve">the </w:t>
      </w:r>
      <w:r w:rsidR="008656AA" w:rsidRPr="000C507A">
        <w:t xml:space="preserve">DHB </w:t>
      </w:r>
      <w:r>
        <w:t>was</w:t>
      </w:r>
      <w:r w:rsidR="008656AA" w:rsidRPr="000C507A">
        <w:t xml:space="preserve"> </w:t>
      </w:r>
      <w:r w:rsidR="008656AA">
        <w:t>quick to</w:t>
      </w:r>
      <w:r w:rsidR="008656AA" w:rsidRPr="000C507A">
        <w:t xml:space="preserve"> recognis</w:t>
      </w:r>
      <w:r w:rsidR="008656AA">
        <w:t xml:space="preserve">e </w:t>
      </w:r>
      <w:r w:rsidR="008656AA" w:rsidRPr="000C507A">
        <w:t xml:space="preserve">concerns with the competence of </w:t>
      </w:r>
      <w:r>
        <w:t xml:space="preserve">the </w:t>
      </w:r>
      <w:r w:rsidR="008656AA" w:rsidRPr="000C507A">
        <w:t>individual</w:t>
      </w:r>
      <w:r>
        <w:t xml:space="preserve"> concerned</w:t>
      </w:r>
      <w:r w:rsidR="008656AA">
        <w:t xml:space="preserve">. </w:t>
      </w:r>
      <w:r>
        <w:t xml:space="preserve">It </w:t>
      </w:r>
      <w:r w:rsidR="008656AA">
        <w:t xml:space="preserve">was also diligent </w:t>
      </w:r>
      <w:r w:rsidR="00AB6D78">
        <w:t xml:space="preserve">in </w:t>
      </w:r>
      <w:r w:rsidR="00AB6D78" w:rsidRPr="000C507A">
        <w:t>taking</w:t>
      </w:r>
      <w:r w:rsidR="008656AA">
        <w:t xml:space="preserve"> action to</w:t>
      </w:r>
      <w:r w:rsidR="008656AA" w:rsidRPr="000C507A">
        <w:t xml:space="preserve"> mitigate further risk to patients and the </w:t>
      </w:r>
      <w:r w:rsidR="008656AA">
        <w:t>wider service</w:t>
      </w:r>
      <w:r w:rsidR="008656AA" w:rsidRPr="000C507A">
        <w:t xml:space="preserve">.  </w:t>
      </w:r>
    </w:p>
    <w:p w14:paraId="79627518" w14:textId="77777777" w:rsidR="008656AA" w:rsidRDefault="00510507" w:rsidP="00E95D1D">
      <w:pPr>
        <w:pStyle w:val="Heading2"/>
        <w:numPr>
          <w:ilvl w:val="0"/>
          <w:numId w:val="0"/>
        </w:numPr>
      </w:pPr>
      <w:bookmarkStart w:id="64" w:name="_Toc448394371"/>
      <w:r>
        <w:rPr>
          <w:rFonts w:asciiTheme="minorHAnsi" w:eastAsiaTheme="minorHAnsi" w:hAnsiTheme="minorHAnsi" w:cstheme="minorBidi"/>
          <w:color w:val="auto"/>
          <w:sz w:val="24"/>
          <w:szCs w:val="24"/>
        </w:rPr>
        <w:t>The Inspection Team has identified s</w:t>
      </w:r>
      <w:r w:rsidR="008656AA" w:rsidRPr="00A506EB">
        <w:rPr>
          <w:rFonts w:asciiTheme="minorHAnsi" w:eastAsiaTheme="minorHAnsi" w:hAnsiTheme="minorHAnsi" w:cstheme="minorBidi"/>
          <w:color w:val="auto"/>
          <w:sz w:val="24"/>
          <w:szCs w:val="24"/>
        </w:rPr>
        <w:t xml:space="preserve">ome </w:t>
      </w:r>
      <w:r>
        <w:rPr>
          <w:rFonts w:asciiTheme="minorHAnsi" w:eastAsiaTheme="minorHAnsi" w:hAnsiTheme="minorHAnsi" w:cstheme="minorBidi"/>
          <w:color w:val="auto"/>
          <w:sz w:val="24"/>
          <w:szCs w:val="24"/>
        </w:rPr>
        <w:t xml:space="preserve">strategies to </w:t>
      </w:r>
      <w:r w:rsidR="008656AA" w:rsidRPr="00A506EB">
        <w:rPr>
          <w:rFonts w:asciiTheme="minorHAnsi" w:eastAsiaTheme="minorHAnsi" w:hAnsiTheme="minorHAnsi" w:cstheme="minorBidi"/>
          <w:color w:val="auto"/>
          <w:sz w:val="24"/>
          <w:szCs w:val="24"/>
        </w:rPr>
        <w:t xml:space="preserve">assist Waikato DHB and other DHBs to enhance the </w:t>
      </w:r>
      <w:r w:rsidR="008B62D1">
        <w:rPr>
          <w:rFonts w:asciiTheme="minorHAnsi" w:eastAsiaTheme="minorHAnsi" w:hAnsiTheme="minorHAnsi" w:cstheme="minorBidi"/>
          <w:color w:val="auto"/>
          <w:sz w:val="24"/>
          <w:szCs w:val="24"/>
        </w:rPr>
        <w:t xml:space="preserve">way they </w:t>
      </w:r>
      <w:r w:rsidR="008656AA" w:rsidRPr="00A506EB">
        <w:rPr>
          <w:rFonts w:asciiTheme="minorHAnsi" w:eastAsiaTheme="minorHAnsi" w:hAnsiTheme="minorHAnsi" w:cstheme="minorBidi"/>
          <w:color w:val="auto"/>
          <w:sz w:val="24"/>
          <w:szCs w:val="24"/>
        </w:rPr>
        <w:t xml:space="preserve">recruit </w:t>
      </w:r>
      <w:r w:rsidR="008B62D1">
        <w:rPr>
          <w:rFonts w:asciiTheme="minorHAnsi" w:eastAsiaTheme="minorHAnsi" w:hAnsiTheme="minorHAnsi" w:cstheme="minorBidi"/>
          <w:color w:val="auto"/>
          <w:sz w:val="24"/>
          <w:szCs w:val="24"/>
        </w:rPr>
        <w:t xml:space="preserve">employees </w:t>
      </w:r>
      <w:r w:rsidR="008656AA" w:rsidRPr="00A506EB">
        <w:rPr>
          <w:rFonts w:asciiTheme="minorHAnsi" w:eastAsiaTheme="minorHAnsi" w:hAnsiTheme="minorHAnsi" w:cstheme="minorBidi"/>
          <w:color w:val="auto"/>
          <w:sz w:val="24"/>
          <w:szCs w:val="24"/>
        </w:rPr>
        <w:t xml:space="preserve">from other </w:t>
      </w:r>
      <w:r w:rsidR="00AB6D78" w:rsidRPr="00A506EB">
        <w:rPr>
          <w:rFonts w:asciiTheme="minorHAnsi" w:eastAsiaTheme="minorHAnsi" w:hAnsiTheme="minorHAnsi" w:cstheme="minorBidi"/>
          <w:color w:val="auto"/>
          <w:sz w:val="24"/>
          <w:szCs w:val="24"/>
        </w:rPr>
        <w:t>jurisdictions</w:t>
      </w:r>
      <w:r w:rsidR="00857AD8">
        <w:rPr>
          <w:rFonts w:asciiTheme="minorHAnsi" w:eastAsiaTheme="minorHAnsi" w:hAnsiTheme="minorHAnsi" w:cstheme="minorBidi"/>
          <w:color w:val="auto"/>
          <w:sz w:val="24"/>
          <w:szCs w:val="24"/>
        </w:rPr>
        <w:t>: see Appendix 5</w:t>
      </w:r>
      <w:r w:rsidR="000D539A" w:rsidRPr="00A506EB">
        <w:rPr>
          <w:rFonts w:asciiTheme="minorHAnsi" w:eastAsiaTheme="minorHAnsi" w:hAnsiTheme="minorHAnsi" w:cstheme="minorBidi"/>
          <w:color w:val="auto"/>
          <w:sz w:val="24"/>
          <w:szCs w:val="24"/>
        </w:rPr>
        <w:t>.</w:t>
      </w:r>
      <w:bookmarkEnd w:id="64"/>
      <w:r w:rsidR="000D539A" w:rsidRPr="00A506EB">
        <w:rPr>
          <w:rFonts w:asciiTheme="minorHAnsi" w:eastAsiaTheme="minorHAnsi" w:hAnsiTheme="minorHAnsi" w:cstheme="minorBidi"/>
          <w:color w:val="auto"/>
          <w:sz w:val="24"/>
          <w:szCs w:val="24"/>
        </w:rPr>
        <w:t xml:space="preserve"> </w:t>
      </w:r>
    </w:p>
    <w:p w14:paraId="51330ADC" w14:textId="77777777" w:rsidR="007548CA" w:rsidRPr="000C507A" w:rsidRDefault="007548CA" w:rsidP="007548CA">
      <w:pPr>
        <w:pStyle w:val="Heading1"/>
      </w:pPr>
      <w:bookmarkStart w:id="65" w:name="_Toc437534607"/>
      <w:bookmarkStart w:id="66" w:name="_Toc448394372"/>
      <w:r w:rsidRPr="000C507A">
        <w:t>Conclusion</w:t>
      </w:r>
      <w:bookmarkEnd w:id="65"/>
      <w:bookmarkEnd w:id="66"/>
    </w:p>
    <w:p w14:paraId="2E347E8D" w14:textId="77777777" w:rsidR="007548CA" w:rsidRPr="000C507A" w:rsidRDefault="007548CA" w:rsidP="007548CA">
      <w:pPr>
        <w:pStyle w:val="Heading2"/>
      </w:pPr>
      <w:bookmarkStart w:id="67" w:name="_Toc437534608"/>
      <w:bookmarkStart w:id="68" w:name="_Toc448394373"/>
      <w:r>
        <w:t>Summary</w:t>
      </w:r>
      <w:bookmarkEnd w:id="67"/>
      <w:bookmarkEnd w:id="68"/>
      <w:r w:rsidRPr="000C507A">
        <w:t xml:space="preserve"> </w:t>
      </w:r>
    </w:p>
    <w:p w14:paraId="2EE7BEE4" w14:textId="77777777" w:rsidR="007548CA" w:rsidRDefault="007548CA" w:rsidP="007548CA">
      <w:pPr>
        <w:rPr>
          <w:rFonts w:cs="Arial"/>
          <w:color w:val="000000"/>
        </w:rPr>
      </w:pPr>
      <w:r>
        <w:rPr>
          <w:rFonts w:cs="Arial"/>
          <w:color w:val="000000"/>
        </w:rPr>
        <w:t xml:space="preserve">The MHAS and its leadership team </w:t>
      </w:r>
      <w:proofErr w:type="gramStart"/>
      <w:r>
        <w:rPr>
          <w:rFonts w:cs="Arial"/>
          <w:color w:val="000000"/>
        </w:rPr>
        <w:t>has</w:t>
      </w:r>
      <w:proofErr w:type="gramEnd"/>
      <w:r>
        <w:rPr>
          <w:rFonts w:cs="Arial"/>
          <w:color w:val="000000"/>
        </w:rPr>
        <w:t xml:space="preserve"> made significant improvements to the service since 2009. The direction of travel </w:t>
      </w:r>
      <w:r w:rsidR="00AD3722">
        <w:rPr>
          <w:rFonts w:cs="Arial"/>
          <w:color w:val="000000"/>
        </w:rPr>
        <w:t xml:space="preserve">of the change </w:t>
      </w:r>
      <w:r>
        <w:rPr>
          <w:rFonts w:cs="Arial"/>
          <w:color w:val="000000"/>
        </w:rPr>
        <w:t>is appropriate</w:t>
      </w:r>
      <w:r w:rsidR="00AD3722">
        <w:rPr>
          <w:rFonts w:cs="Arial"/>
          <w:color w:val="000000"/>
        </w:rPr>
        <w:t>,</w:t>
      </w:r>
      <w:r>
        <w:rPr>
          <w:rFonts w:cs="Arial"/>
          <w:color w:val="000000"/>
        </w:rPr>
        <w:t xml:space="preserve"> and shows good strategic thought as to contemporary models of practice. The </w:t>
      </w:r>
      <w:proofErr w:type="gramStart"/>
      <w:r>
        <w:rPr>
          <w:rFonts w:cs="Arial"/>
          <w:color w:val="000000"/>
        </w:rPr>
        <w:t>shift in models of care through this time have</w:t>
      </w:r>
      <w:proofErr w:type="gramEnd"/>
      <w:r>
        <w:rPr>
          <w:rFonts w:cs="Arial"/>
          <w:color w:val="000000"/>
        </w:rPr>
        <w:t xml:space="preserve"> been significant</w:t>
      </w:r>
      <w:r w:rsidR="00AD3722">
        <w:rPr>
          <w:rFonts w:cs="Arial"/>
          <w:color w:val="000000"/>
        </w:rPr>
        <w:t>,</w:t>
      </w:r>
      <w:r>
        <w:rPr>
          <w:rFonts w:cs="Arial"/>
          <w:color w:val="000000"/>
        </w:rPr>
        <w:t xml:space="preserve"> and it needs to be acknowledged that the transformational change is yet to be completed.</w:t>
      </w:r>
    </w:p>
    <w:p w14:paraId="0B92F83D" w14:textId="77777777" w:rsidR="007548CA" w:rsidRDefault="007548CA" w:rsidP="007548CA">
      <w:pPr>
        <w:rPr>
          <w:rFonts w:cs="Arial"/>
          <w:color w:val="000000"/>
        </w:rPr>
      </w:pPr>
      <w:r>
        <w:rPr>
          <w:rFonts w:cs="Arial"/>
          <w:color w:val="000000"/>
        </w:rPr>
        <w:t xml:space="preserve">Overall, the </w:t>
      </w:r>
      <w:r w:rsidR="00AD3722">
        <w:rPr>
          <w:rFonts w:cs="Arial"/>
          <w:color w:val="000000"/>
        </w:rPr>
        <w:t>MHAS</w:t>
      </w:r>
      <w:r>
        <w:rPr>
          <w:rFonts w:cs="Arial"/>
          <w:color w:val="000000"/>
        </w:rPr>
        <w:t xml:space="preserve"> are well managed and led. They provide a good standard of care. </w:t>
      </w:r>
      <w:proofErr w:type="gramStart"/>
      <w:r>
        <w:rPr>
          <w:rFonts w:cs="Arial"/>
          <w:color w:val="000000"/>
        </w:rPr>
        <w:t xml:space="preserve">Staff, despite the problems of morale and </w:t>
      </w:r>
      <w:r w:rsidR="00AD3722">
        <w:rPr>
          <w:rFonts w:cs="Arial"/>
          <w:color w:val="000000"/>
        </w:rPr>
        <w:t xml:space="preserve">increased </w:t>
      </w:r>
      <w:r>
        <w:rPr>
          <w:rFonts w:cs="Arial"/>
          <w:color w:val="000000"/>
        </w:rPr>
        <w:t>pressure</w:t>
      </w:r>
      <w:r w:rsidR="009F045D">
        <w:rPr>
          <w:rFonts w:cs="Arial"/>
          <w:color w:val="000000"/>
        </w:rPr>
        <w:t>,</w:t>
      </w:r>
      <w:r>
        <w:rPr>
          <w:rFonts w:cs="Arial"/>
          <w:color w:val="000000"/>
        </w:rPr>
        <w:t xml:space="preserve"> are</w:t>
      </w:r>
      <w:proofErr w:type="gramEnd"/>
      <w:r>
        <w:rPr>
          <w:rFonts w:cs="Arial"/>
          <w:color w:val="000000"/>
        </w:rPr>
        <w:t xml:space="preserve"> dedicated to doing the</w:t>
      </w:r>
      <w:r w:rsidR="00AD3722">
        <w:rPr>
          <w:rFonts w:cs="Arial"/>
          <w:color w:val="000000"/>
        </w:rPr>
        <w:t>ir</w:t>
      </w:r>
      <w:r>
        <w:rPr>
          <w:rFonts w:cs="Arial"/>
          <w:color w:val="000000"/>
        </w:rPr>
        <w:t xml:space="preserve"> best for people accessing the services. People accessing the services and their </w:t>
      </w:r>
      <w:r w:rsidR="00647243">
        <w:rPr>
          <w:rFonts w:cs="Arial"/>
          <w:color w:val="000000"/>
        </w:rPr>
        <w:t>families/</w:t>
      </w:r>
      <w:proofErr w:type="spellStart"/>
      <w:r>
        <w:rPr>
          <w:rFonts w:cs="Arial"/>
          <w:color w:val="000000"/>
        </w:rPr>
        <w:t>whānau</w:t>
      </w:r>
      <w:proofErr w:type="spellEnd"/>
      <w:r>
        <w:rPr>
          <w:rFonts w:cs="Arial"/>
          <w:color w:val="000000"/>
        </w:rPr>
        <w:t xml:space="preserve"> can be assured that they </w:t>
      </w:r>
      <w:r w:rsidR="00262C6B">
        <w:rPr>
          <w:rFonts w:cs="Arial"/>
          <w:color w:val="000000"/>
        </w:rPr>
        <w:t xml:space="preserve">can expect </w:t>
      </w:r>
      <w:proofErr w:type="gramStart"/>
      <w:r w:rsidR="00262C6B">
        <w:rPr>
          <w:rFonts w:cs="Arial"/>
          <w:color w:val="000000"/>
        </w:rPr>
        <w:t xml:space="preserve">to </w:t>
      </w:r>
      <w:r>
        <w:rPr>
          <w:rFonts w:cs="Arial"/>
          <w:color w:val="000000"/>
        </w:rPr>
        <w:t xml:space="preserve"> receive</w:t>
      </w:r>
      <w:proofErr w:type="gramEnd"/>
      <w:r>
        <w:rPr>
          <w:rFonts w:cs="Arial"/>
          <w:color w:val="000000"/>
        </w:rPr>
        <w:t xml:space="preserve"> good care.</w:t>
      </w:r>
    </w:p>
    <w:p w14:paraId="2049F39C" w14:textId="77777777" w:rsidR="007548CA" w:rsidRDefault="007548CA" w:rsidP="007548CA">
      <w:pPr>
        <w:rPr>
          <w:rFonts w:cs="Arial"/>
          <w:color w:val="000000"/>
        </w:rPr>
      </w:pPr>
      <w:r>
        <w:rPr>
          <w:rFonts w:cs="Arial"/>
          <w:color w:val="000000"/>
        </w:rPr>
        <w:t>Like all mental health and addiction services, Waikato DHB</w:t>
      </w:r>
      <w:r w:rsidR="00AD3722">
        <w:rPr>
          <w:rFonts w:cs="Arial"/>
          <w:color w:val="000000"/>
        </w:rPr>
        <w:t>’s</w:t>
      </w:r>
      <w:r>
        <w:rPr>
          <w:rFonts w:cs="Arial"/>
          <w:color w:val="000000"/>
        </w:rPr>
        <w:t xml:space="preserve"> MHAS faces significant pressures as it </w:t>
      </w:r>
      <w:r w:rsidR="00AD3722">
        <w:rPr>
          <w:rFonts w:cs="Arial"/>
          <w:color w:val="000000"/>
        </w:rPr>
        <w:t xml:space="preserve">changes </w:t>
      </w:r>
      <w:r>
        <w:rPr>
          <w:rFonts w:cs="Arial"/>
          <w:color w:val="000000"/>
        </w:rPr>
        <w:t>its models of care and responds to increased community expectations. In some respects, pressures on the services are to be expected as the MHAS moves towards more accessible and timely care.</w:t>
      </w:r>
    </w:p>
    <w:p w14:paraId="50136B08" w14:textId="77777777" w:rsidR="007548CA" w:rsidRPr="000C507A" w:rsidRDefault="007548CA" w:rsidP="007548CA">
      <w:pPr>
        <w:rPr>
          <w:rFonts w:cs="Arial"/>
          <w:color w:val="000000"/>
        </w:rPr>
      </w:pPr>
      <w:r w:rsidRPr="000C507A">
        <w:rPr>
          <w:rFonts w:cs="Arial"/>
          <w:color w:val="000000"/>
        </w:rPr>
        <w:t>However</w:t>
      </w:r>
      <w:r>
        <w:rPr>
          <w:rFonts w:cs="Arial"/>
          <w:color w:val="000000"/>
        </w:rPr>
        <w:t>,</w:t>
      </w:r>
      <w:r w:rsidRPr="000C507A">
        <w:rPr>
          <w:rFonts w:cs="Arial"/>
          <w:color w:val="000000"/>
        </w:rPr>
        <w:t xml:space="preserve"> there are some obvious </w:t>
      </w:r>
      <w:r>
        <w:rPr>
          <w:rFonts w:cs="Arial"/>
          <w:color w:val="000000"/>
        </w:rPr>
        <w:t xml:space="preserve">issues </w:t>
      </w:r>
      <w:r w:rsidRPr="000C507A">
        <w:rPr>
          <w:rFonts w:cs="Arial"/>
          <w:color w:val="000000"/>
        </w:rPr>
        <w:t xml:space="preserve">that </w:t>
      </w:r>
      <w:r w:rsidR="00AD3722">
        <w:rPr>
          <w:rFonts w:cs="Arial"/>
          <w:color w:val="000000"/>
        </w:rPr>
        <w:t xml:space="preserve">the MHAS and the DHB </w:t>
      </w:r>
      <w:r w:rsidRPr="000C507A">
        <w:rPr>
          <w:rFonts w:cs="Arial"/>
          <w:color w:val="000000"/>
        </w:rPr>
        <w:t xml:space="preserve">need </w:t>
      </w:r>
      <w:r>
        <w:rPr>
          <w:rFonts w:cs="Arial"/>
          <w:color w:val="000000"/>
        </w:rPr>
        <w:t xml:space="preserve">to address </w:t>
      </w:r>
      <w:r w:rsidRPr="000C507A">
        <w:rPr>
          <w:rFonts w:cs="Arial"/>
          <w:color w:val="000000"/>
        </w:rPr>
        <w:t>immediately</w:t>
      </w:r>
      <w:r w:rsidR="00AD3722">
        <w:rPr>
          <w:rFonts w:cs="Arial"/>
          <w:color w:val="000000"/>
        </w:rPr>
        <w:t xml:space="preserve">, within </w:t>
      </w:r>
      <w:r>
        <w:rPr>
          <w:rFonts w:cs="Arial"/>
          <w:color w:val="000000"/>
        </w:rPr>
        <w:t xml:space="preserve">the </w:t>
      </w:r>
      <w:r w:rsidR="00AD3722">
        <w:rPr>
          <w:rFonts w:cs="Arial"/>
          <w:color w:val="000000"/>
        </w:rPr>
        <w:t xml:space="preserve">current </w:t>
      </w:r>
      <w:r>
        <w:rPr>
          <w:rFonts w:cs="Arial"/>
          <w:color w:val="000000"/>
        </w:rPr>
        <w:t>program</w:t>
      </w:r>
      <w:r w:rsidR="00AD3722">
        <w:rPr>
          <w:rFonts w:cs="Arial"/>
          <w:color w:val="000000"/>
        </w:rPr>
        <w:t>me</w:t>
      </w:r>
      <w:r>
        <w:rPr>
          <w:rFonts w:cs="Arial"/>
          <w:color w:val="000000"/>
        </w:rPr>
        <w:t xml:space="preserve"> of change</w:t>
      </w:r>
      <w:r w:rsidR="00AD3722">
        <w:rPr>
          <w:rFonts w:cs="Arial"/>
          <w:color w:val="000000"/>
        </w:rPr>
        <w:t>.</w:t>
      </w:r>
    </w:p>
    <w:p w14:paraId="13FDF710" w14:textId="77777777" w:rsidR="007548CA" w:rsidRPr="000C507A" w:rsidRDefault="00AD3722" w:rsidP="007548CA">
      <w:pPr>
        <w:pStyle w:val="ListParagraph"/>
        <w:numPr>
          <w:ilvl w:val="0"/>
          <w:numId w:val="44"/>
        </w:numPr>
      </w:pPr>
      <w:r>
        <w:lastRenderedPageBreak/>
        <w:t xml:space="preserve">The MHAS needs to secure </w:t>
      </w:r>
      <w:r w:rsidR="007548CA">
        <w:t>a</w:t>
      </w:r>
      <w:r w:rsidR="007548CA" w:rsidRPr="000C507A">
        <w:t>dequate resources</w:t>
      </w:r>
      <w:r w:rsidR="007548CA">
        <w:t xml:space="preserve"> </w:t>
      </w:r>
      <w:r w:rsidR="007548CA" w:rsidRPr="000C507A">
        <w:t>to meet staffing gaps</w:t>
      </w:r>
      <w:r w:rsidR="007548CA">
        <w:t xml:space="preserve">, </w:t>
      </w:r>
      <w:r>
        <w:t>and</w:t>
      </w:r>
      <w:r w:rsidR="007548CA" w:rsidRPr="000C507A">
        <w:t xml:space="preserve"> support a redefined change timeline</w:t>
      </w:r>
      <w:r>
        <w:t>.</w:t>
      </w:r>
    </w:p>
    <w:p w14:paraId="10FBDC89" w14:textId="77777777" w:rsidR="007548CA" w:rsidRPr="000C507A" w:rsidRDefault="00AD3722" w:rsidP="007548CA">
      <w:pPr>
        <w:pStyle w:val="ListParagraph"/>
        <w:numPr>
          <w:ilvl w:val="0"/>
          <w:numId w:val="44"/>
        </w:numPr>
      </w:pPr>
      <w:r>
        <w:t xml:space="preserve">The MHAS needs to further strengthen </w:t>
      </w:r>
      <w:r w:rsidR="007548CA">
        <w:t>l</w:t>
      </w:r>
      <w:r w:rsidR="007548CA" w:rsidRPr="000C507A">
        <w:t xml:space="preserve">eadership </w:t>
      </w:r>
      <w:r w:rsidR="007548CA">
        <w:t xml:space="preserve">to support clinical </w:t>
      </w:r>
      <w:r w:rsidR="007548CA" w:rsidRPr="000C507A">
        <w:t>change capability</w:t>
      </w:r>
      <w:r w:rsidR="007548CA">
        <w:t xml:space="preserve"> and capacity</w:t>
      </w:r>
      <w:r>
        <w:t>.</w:t>
      </w:r>
      <w:r w:rsidR="007548CA">
        <w:t xml:space="preserve"> </w:t>
      </w:r>
    </w:p>
    <w:p w14:paraId="29481E55" w14:textId="77777777" w:rsidR="007548CA" w:rsidRPr="000C507A" w:rsidRDefault="00AD3722" w:rsidP="007548CA">
      <w:pPr>
        <w:pStyle w:val="ListParagraph"/>
        <w:numPr>
          <w:ilvl w:val="0"/>
          <w:numId w:val="44"/>
        </w:numPr>
      </w:pPr>
      <w:r>
        <w:t>T</w:t>
      </w:r>
      <w:r w:rsidR="007548CA">
        <w:t>he w</w:t>
      </w:r>
      <w:r w:rsidR="007548CA" w:rsidRPr="000C507A">
        <w:t xml:space="preserve">ider DHB </w:t>
      </w:r>
      <w:r w:rsidR="007548CA">
        <w:t xml:space="preserve">needs to provide increased </w:t>
      </w:r>
      <w:r w:rsidR="007548CA" w:rsidRPr="000C507A">
        <w:t>oversight</w:t>
      </w:r>
      <w:r w:rsidR="007548CA">
        <w:t xml:space="preserve"> and support to the MHAS leadership team driving the transformational change.</w:t>
      </w:r>
    </w:p>
    <w:p w14:paraId="4EC05CF3" w14:textId="77777777" w:rsidR="007548CA" w:rsidRPr="00B13717" w:rsidRDefault="007548CA" w:rsidP="007548CA">
      <w:pPr>
        <w:rPr>
          <w:i/>
        </w:rPr>
      </w:pPr>
      <w:r w:rsidRPr="00B13717">
        <w:rPr>
          <w:i/>
        </w:rPr>
        <w:t>Supporting change</w:t>
      </w:r>
    </w:p>
    <w:p w14:paraId="44BAA75A" w14:textId="77777777" w:rsidR="007548CA" w:rsidRDefault="007548CA" w:rsidP="007548CA">
      <w:r w:rsidRPr="000C507A">
        <w:rPr>
          <w:i/>
        </w:rPr>
        <w:t>A Time for Change</w:t>
      </w:r>
      <w:r w:rsidRPr="000C507A">
        <w:t xml:space="preserve"> </w:t>
      </w:r>
      <w:r w:rsidR="00482223">
        <w:t xml:space="preserve">and the subsequent strategic plan </w:t>
      </w:r>
      <w:r w:rsidR="00AD3722">
        <w:t>was the first</w:t>
      </w:r>
      <w:r>
        <w:t xml:space="preserve"> step toward reform</w:t>
      </w:r>
      <w:r w:rsidRPr="000C507A">
        <w:t xml:space="preserve">. There was </w:t>
      </w:r>
      <w:r>
        <w:t xml:space="preserve">good </w:t>
      </w:r>
      <w:r w:rsidRPr="000C507A">
        <w:t>initial engagement</w:t>
      </w:r>
      <w:r w:rsidR="00AD3722">
        <w:t>,</w:t>
      </w:r>
      <w:r w:rsidRPr="000C507A">
        <w:t xml:space="preserve"> and </w:t>
      </w:r>
      <w:proofErr w:type="gramStart"/>
      <w:r w:rsidRPr="000C507A">
        <w:t>a recognition</w:t>
      </w:r>
      <w:proofErr w:type="gramEnd"/>
      <w:r w:rsidRPr="000C507A">
        <w:t xml:space="preserve"> that significant change </w:t>
      </w:r>
      <w:r w:rsidR="00AD3722">
        <w:t>was necessary</w:t>
      </w:r>
      <w:r w:rsidRPr="000C507A">
        <w:t xml:space="preserve">. The culture </w:t>
      </w:r>
      <w:r w:rsidR="00AD3722">
        <w:t xml:space="preserve">prior to this </w:t>
      </w:r>
      <w:r w:rsidRPr="000C507A">
        <w:t xml:space="preserve">was described </w:t>
      </w:r>
      <w:r w:rsidR="00AD3722">
        <w:t xml:space="preserve">by some </w:t>
      </w:r>
      <w:r w:rsidRPr="000C507A">
        <w:t xml:space="preserve">as </w:t>
      </w:r>
      <w:r w:rsidR="00AD3722">
        <w:t>‘</w:t>
      </w:r>
      <w:r w:rsidRPr="000C507A">
        <w:t>toxic</w:t>
      </w:r>
      <w:r w:rsidR="00AD3722">
        <w:t>’,</w:t>
      </w:r>
      <w:r w:rsidRPr="000C507A">
        <w:t xml:space="preserve"> and one of the areas that needed </w:t>
      </w:r>
      <w:r>
        <w:t>addressing</w:t>
      </w:r>
      <w:r w:rsidRPr="000C507A">
        <w:t>. The desired goals</w:t>
      </w:r>
      <w:r>
        <w:t xml:space="preserve"> of </w:t>
      </w:r>
      <w:r>
        <w:rPr>
          <w:i/>
        </w:rPr>
        <w:t>A Time for Change</w:t>
      </w:r>
      <w:r w:rsidRPr="000C507A">
        <w:t xml:space="preserve"> were consistent with contemporary mental health service development. </w:t>
      </w:r>
      <w:r w:rsidR="00AD3722">
        <w:t xml:space="preserve">In particular, the Inspection Team </w:t>
      </w:r>
      <w:proofErr w:type="gramStart"/>
      <w:r w:rsidR="00AD3722">
        <w:t xml:space="preserve">sees </w:t>
      </w:r>
      <w:r w:rsidRPr="000C507A">
        <w:t xml:space="preserve"> The</w:t>
      </w:r>
      <w:proofErr w:type="gramEnd"/>
      <w:r w:rsidRPr="000C507A">
        <w:t xml:space="preserve"> </w:t>
      </w:r>
      <w:r>
        <w:t>plan</w:t>
      </w:r>
      <w:r w:rsidRPr="000C507A">
        <w:t xml:space="preserve"> </w:t>
      </w:r>
      <w:r>
        <w:t>for change</w:t>
      </w:r>
      <w:r w:rsidRPr="000C507A">
        <w:t xml:space="preserve"> was good and the</w:t>
      </w:r>
      <w:r>
        <w:t xml:space="preserve"> service’s</w:t>
      </w:r>
      <w:r w:rsidRPr="000C507A">
        <w:t xml:space="preserve"> intention to increase</w:t>
      </w:r>
      <w:r>
        <w:t xml:space="preserve"> </w:t>
      </w:r>
      <w:r w:rsidRPr="000C507A">
        <w:t>service user</w:t>
      </w:r>
      <w:r>
        <w:t>/</w:t>
      </w:r>
      <w:r w:rsidRPr="000C507A">
        <w:t xml:space="preserve"> family/</w:t>
      </w:r>
      <w:proofErr w:type="spellStart"/>
      <w:r>
        <w:t>whānau</w:t>
      </w:r>
      <w:proofErr w:type="spellEnd"/>
      <w:r w:rsidRPr="000C507A">
        <w:t xml:space="preserve"> engagement</w:t>
      </w:r>
      <w:r>
        <w:t xml:space="preserve"> is</w:t>
      </w:r>
      <w:r w:rsidRPr="000C507A">
        <w:t xml:space="preserve"> appropriate</w:t>
      </w:r>
      <w:r>
        <w:t>.  However,</w:t>
      </w:r>
      <w:r w:rsidRPr="000C507A">
        <w:t xml:space="preserve"> </w:t>
      </w:r>
      <w:r>
        <w:t xml:space="preserve">in the Inspection Team’s view, </w:t>
      </w:r>
      <w:proofErr w:type="gramStart"/>
      <w:r>
        <w:t>me</w:t>
      </w:r>
      <w:proofErr w:type="gramEnd"/>
      <w:r w:rsidRPr="000C507A">
        <w:t xml:space="preserve"> </w:t>
      </w:r>
      <w:r>
        <w:t>further work</w:t>
      </w:r>
      <w:r w:rsidRPr="000C507A">
        <w:t>.</w:t>
      </w:r>
    </w:p>
    <w:p w14:paraId="47B2EFB4" w14:textId="77777777" w:rsidR="007548CA" w:rsidRDefault="007548CA" w:rsidP="007548CA">
      <w:r w:rsidRPr="000C507A">
        <w:t xml:space="preserve">The initial implementation </w:t>
      </w:r>
      <w:r>
        <w:t xml:space="preserve">of </w:t>
      </w:r>
      <w:r>
        <w:rPr>
          <w:i/>
        </w:rPr>
        <w:t xml:space="preserve">A Time for Change </w:t>
      </w:r>
      <w:r w:rsidRPr="000C507A">
        <w:t xml:space="preserve">was done well and was appropriate. </w:t>
      </w:r>
      <w:r w:rsidR="00AD3722">
        <w:t>A</w:t>
      </w:r>
      <w:r w:rsidRPr="000C507A">
        <w:t xml:space="preserve">s the implementation </w:t>
      </w:r>
      <w:r w:rsidR="00482223">
        <w:t xml:space="preserve">service transformation arising from </w:t>
      </w:r>
      <w:r w:rsidR="00AD3722" w:rsidRPr="00482223">
        <w:rPr>
          <w:i/>
        </w:rPr>
        <w:t>A Time for Change</w:t>
      </w:r>
      <w:r w:rsidR="00AD3722">
        <w:t xml:space="preserve"> </w:t>
      </w:r>
      <w:r w:rsidRPr="000C507A">
        <w:t>progressed</w:t>
      </w:r>
      <w:r>
        <w:t>,</w:t>
      </w:r>
      <w:r w:rsidRPr="000C507A">
        <w:t xml:space="preserve"> </w:t>
      </w:r>
      <w:r w:rsidR="00AD3722">
        <w:t xml:space="preserve">other </w:t>
      </w:r>
      <w:r w:rsidRPr="000C507A">
        <w:t>factors intervened that ha</w:t>
      </w:r>
      <w:r>
        <w:t>ve</w:t>
      </w:r>
      <w:r w:rsidRPr="000C507A">
        <w:t xml:space="preserve"> adversely impacted </w:t>
      </w:r>
      <w:r>
        <w:t xml:space="preserve">on </w:t>
      </w:r>
      <w:r w:rsidRPr="000C507A">
        <w:t xml:space="preserve">the service. The </w:t>
      </w:r>
      <w:r w:rsidR="00AD3722">
        <w:t xml:space="preserve">removal </w:t>
      </w:r>
      <w:r>
        <w:t>of the original external change team at the critical point of embedding shifts in practice</w:t>
      </w:r>
      <w:r w:rsidRPr="000C507A">
        <w:t xml:space="preserve"> </w:t>
      </w:r>
      <w:r>
        <w:t>undermined the roll</w:t>
      </w:r>
      <w:r w:rsidR="00AD3722">
        <w:t>-</w:t>
      </w:r>
      <w:r>
        <w:t>out. Furthermore, the roll</w:t>
      </w:r>
      <w:r w:rsidR="00AD3722">
        <w:t>-</w:t>
      </w:r>
      <w:r>
        <w:t>out was compromised by the spilt in focus</w:t>
      </w:r>
      <w:r w:rsidRPr="000C507A">
        <w:t xml:space="preserve"> between implementing the change</w:t>
      </w:r>
      <w:r>
        <w:t xml:space="preserve"> programme</w:t>
      </w:r>
      <w:r w:rsidRPr="000C507A">
        <w:t xml:space="preserve"> and making </w:t>
      </w:r>
      <w:r>
        <w:t xml:space="preserve">required </w:t>
      </w:r>
      <w:r w:rsidRPr="000C507A">
        <w:t>fiscal savings.</w:t>
      </w:r>
      <w:r>
        <w:t xml:space="preserve"> A triple set of competing goals ensued: 1) maintaining effective clinical and operational oversight in an area of potential high risk</w:t>
      </w:r>
      <w:r w:rsidR="00AD3722">
        <w:t>;</w:t>
      </w:r>
      <w:r>
        <w:t xml:space="preserve"> 2) driving effective transformational change</w:t>
      </w:r>
      <w:r w:rsidR="00AD3722">
        <w:t>;</w:t>
      </w:r>
      <w:r>
        <w:t xml:space="preserve"> and 3) making financial savings.</w:t>
      </w:r>
    </w:p>
    <w:p w14:paraId="36A29539" w14:textId="77777777" w:rsidR="007548CA" w:rsidRPr="000C507A" w:rsidRDefault="007548CA" w:rsidP="007548CA">
      <w:r>
        <w:t xml:space="preserve">The MHAS developed a solid and appropriate strategic plan to guide the implementation of its transformation to a more contemporary service. </w:t>
      </w:r>
      <w:r w:rsidR="00737C53">
        <w:t xml:space="preserve">It </w:t>
      </w:r>
      <w:r>
        <w:t>developed an appropriate governance structure</w:t>
      </w:r>
      <w:r w:rsidR="00737C53">
        <w:t>,</w:t>
      </w:r>
      <w:r>
        <w:t xml:space="preserve"> and sound policies and procedures. However, there </w:t>
      </w:r>
      <w:r w:rsidR="00737C53">
        <w:t xml:space="preserve">was </w:t>
      </w:r>
      <w:r>
        <w:t xml:space="preserve">an underestimation of the need for clinical leadership across all disciplines. In particular, </w:t>
      </w:r>
      <w:r w:rsidR="00737C53">
        <w:t>the servi</w:t>
      </w:r>
      <w:r w:rsidR="00C0609F">
        <w:t>c</w:t>
      </w:r>
      <w:r w:rsidR="00737C53">
        <w:t xml:space="preserve">e underestimated </w:t>
      </w:r>
      <w:r>
        <w:t>the need for support for practice change.</w:t>
      </w:r>
    </w:p>
    <w:p w14:paraId="16437477" w14:textId="77777777" w:rsidR="007548CA" w:rsidRDefault="007548CA" w:rsidP="007548CA">
      <w:pPr>
        <w:rPr>
          <w:rFonts w:cs="Arial"/>
          <w:color w:val="000000"/>
        </w:rPr>
      </w:pPr>
      <w:r w:rsidRPr="000C507A">
        <w:t>More recently</w:t>
      </w:r>
      <w:r>
        <w:t>,</w:t>
      </w:r>
      <w:r w:rsidRPr="000C507A">
        <w:t xml:space="preserve"> the pressure to make rapid change</w:t>
      </w:r>
      <w:r w:rsidR="00C0609F">
        <w:t xml:space="preserve"> and control risk</w:t>
      </w:r>
      <w:r w:rsidRPr="000C507A">
        <w:t xml:space="preserve"> in the face of </w:t>
      </w:r>
      <w:r w:rsidR="00C0609F">
        <w:t xml:space="preserve">serious incidents </w:t>
      </w:r>
      <w:r w:rsidRPr="000C507A">
        <w:t xml:space="preserve">and </w:t>
      </w:r>
      <w:r w:rsidR="00C0609F">
        <w:t xml:space="preserve">resulting </w:t>
      </w:r>
      <w:r w:rsidRPr="000C507A">
        <w:t>external pressure</w:t>
      </w:r>
      <w:r w:rsidR="00C0609F">
        <w:t>s</w:t>
      </w:r>
      <w:r w:rsidRPr="000C507A">
        <w:t xml:space="preserve"> has compounded the issues.</w:t>
      </w:r>
      <w:r w:rsidR="00C0609F" w:rsidRPr="00C0609F">
        <w:t xml:space="preserve"> </w:t>
      </w:r>
      <w:r w:rsidR="00C0609F">
        <w:t>Further, there has been a lack</w:t>
      </w:r>
      <w:r w:rsidR="00C0609F" w:rsidRPr="000C507A">
        <w:t xml:space="preserve"> of capital and fiscal support for </w:t>
      </w:r>
      <w:r w:rsidR="00C0609F">
        <w:t xml:space="preserve">all these </w:t>
      </w:r>
      <w:r w:rsidR="00C0609F" w:rsidRPr="000C507A">
        <w:t>necessary changes</w:t>
      </w:r>
      <w:r w:rsidR="00C0609F">
        <w:t>.</w:t>
      </w:r>
      <w:r>
        <w:t xml:space="preserve"> </w:t>
      </w:r>
      <w:r>
        <w:rPr>
          <w:rFonts w:cs="Arial"/>
          <w:color w:val="000000"/>
        </w:rPr>
        <w:t xml:space="preserve">This has led to a </w:t>
      </w:r>
      <w:r w:rsidR="00C0609F">
        <w:rPr>
          <w:rFonts w:cs="Arial"/>
          <w:color w:val="000000"/>
        </w:rPr>
        <w:t>‘</w:t>
      </w:r>
      <w:r>
        <w:rPr>
          <w:rFonts w:cs="Arial"/>
          <w:color w:val="000000"/>
        </w:rPr>
        <w:t>perfect storm</w:t>
      </w:r>
      <w:r w:rsidR="00C0609F">
        <w:rPr>
          <w:rFonts w:cs="Arial"/>
          <w:color w:val="000000"/>
        </w:rPr>
        <w:t>’</w:t>
      </w:r>
      <w:r>
        <w:rPr>
          <w:rFonts w:cs="Arial"/>
          <w:color w:val="000000"/>
        </w:rPr>
        <w:t xml:space="preserve"> of pressures and impacts on the service. </w:t>
      </w:r>
    </w:p>
    <w:p w14:paraId="34D7BB05" w14:textId="77777777" w:rsidR="007548CA" w:rsidRPr="00B13717" w:rsidRDefault="007548CA" w:rsidP="007548CA">
      <w:pPr>
        <w:rPr>
          <w:rFonts w:cs="Arial"/>
          <w:i/>
          <w:color w:val="000000"/>
        </w:rPr>
      </w:pPr>
      <w:r w:rsidRPr="00B13717">
        <w:rPr>
          <w:rFonts w:cs="Arial"/>
          <w:i/>
          <w:color w:val="000000"/>
        </w:rPr>
        <w:t>Leadership for the support of quality clinical care</w:t>
      </w:r>
    </w:p>
    <w:p w14:paraId="532E74B9" w14:textId="77777777" w:rsidR="003F65F6" w:rsidRPr="00034134" w:rsidRDefault="003F65F6" w:rsidP="003F65F6">
      <w:pPr>
        <w:rPr>
          <w:rFonts w:cs="Arial"/>
          <w:color w:val="000000"/>
        </w:rPr>
      </w:pPr>
      <w:r>
        <w:t xml:space="preserve">In recent times, </w:t>
      </w:r>
      <w:proofErr w:type="gramStart"/>
      <w:r w:rsidR="00C0609F">
        <w:t>s</w:t>
      </w:r>
      <w:r>
        <w:t>taff have</w:t>
      </w:r>
      <w:proofErr w:type="gramEnd"/>
      <w:r>
        <w:t xml:space="preserve"> perceived change</w:t>
      </w:r>
      <w:r w:rsidR="00C0609F">
        <w:t>s</w:t>
      </w:r>
      <w:r>
        <w:t xml:space="preserve"> as being </w:t>
      </w:r>
      <w:r w:rsidR="00C0609F">
        <w:t xml:space="preserve">driven from the </w:t>
      </w:r>
      <w:r>
        <w:t>top</w:t>
      </w:r>
      <w:r w:rsidR="00C0609F">
        <w:t xml:space="preserve"> </w:t>
      </w:r>
      <w:r>
        <w:t>down. They report not being listened to. Managers and leaders have assumed responsibility to ensure no further risks emerge, leading to a staff perception that managers are directing them to control risk, rather than exercise appropriate clinical decision</w:t>
      </w:r>
      <w:r w:rsidR="00C0609F">
        <w:t>-</w:t>
      </w:r>
      <w:r>
        <w:t xml:space="preserve">making and plan clinical risk taking. </w:t>
      </w:r>
      <w:r w:rsidRPr="000C507A">
        <w:t>Of particular concern has been the emergence of defensive practice</w:t>
      </w:r>
      <w:r w:rsidR="00C0609F">
        <w:t>,</w:t>
      </w:r>
      <w:r w:rsidRPr="000C507A">
        <w:t xml:space="preserve"> associated with </w:t>
      </w:r>
      <w:r>
        <w:t>an</w:t>
      </w:r>
      <w:r w:rsidRPr="000C507A">
        <w:t xml:space="preserve"> increased use of restrictive care</w:t>
      </w:r>
      <w:r>
        <w:t>.</w:t>
      </w:r>
    </w:p>
    <w:p w14:paraId="3840C91B" w14:textId="77777777" w:rsidR="003F65F6" w:rsidRPr="000C507A" w:rsidRDefault="003F65F6" w:rsidP="003F65F6">
      <w:r>
        <w:t xml:space="preserve">The recent </w:t>
      </w:r>
      <w:proofErr w:type="gramStart"/>
      <w:r>
        <w:t>pressures on the</w:t>
      </w:r>
      <w:r w:rsidRPr="000C507A">
        <w:t xml:space="preserve"> </w:t>
      </w:r>
      <w:r>
        <w:t xml:space="preserve">MHAS </w:t>
      </w:r>
      <w:r w:rsidRPr="000C507A">
        <w:t>has</w:t>
      </w:r>
      <w:proofErr w:type="gramEnd"/>
      <w:r w:rsidRPr="000C507A">
        <w:t xml:space="preserve"> </w:t>
      </w:r>
      <w:r>
        <w:t>had</w:t>
      </w:r>
      <w:r w:rsidRPr="000C507A">
        <w:t xml:space="preserve"> a particularly significant impact on </w:t>
      </w:r>
      <w:r w:rsidR="00C0609F">
        <w:t xml:space="preserve">its </w:t>
      </w:r>
      <w:r w:rsidRPr="000C507A">
        <w:t xml:space="preserve">leadership and management. Senior leadership presence </w:t>
      </w:r>
      <w:r>
        <w:t>at the front</w:t>
      </w:r>
      <w:r w:rsidR="009E4D1B">
        <w:t>-</w:t>
      </w:r>
      <w:r>
        <w:t xml:space="preserve">line </w:t>
      </w:r>
      <w:r w:rsidRPr="000C507A">
        <w:t xml:space="preserve">diminished </w:t>
      </w:r>
      <w:r>
        <w:t xml:space="preserve">as </w:t>
      </w:r>
      <w:r w:rsidR="00C0609F">
        <w:t xml:space="preserve">those leaders focused </w:t>
      </w:r>
      <w:r>
        <w:t>on managing what had become a very challenging external and internal space. T</w:t>
      </w:r>
      <w:r w:rsidRPr="000C507A">
        <w:t xml:space="preserve">his </w:t>
      </w:r>
      <w:r w:rsidRPr="000C507A">
        <w:lastRenderedPageBreak/>
        <w:t xml:space="preserve">led to communication </w:t>
      </w:r>
      <w:r>
        <w:t>issues</w:t>
      </w:r>
      <w:r w:rsidRPr="000C507A">
        <w:t xml:space="preserve">. </w:t>
      </w:r>
      <w:r>
        <w:t xml:space="preserve">During interviews, some staff observed that their immediate managers </w:t>
      </w:r>
      <w:r w:rsidRPr="000C507A">
        <w:t>had become overwhelmed by competing pressures.</w:t>
      </w:r>
    </w:p>
    <w:p w14:paraId="286FD9DE" w14:textId="77777777" w:rsidR="007548CA" w:rsidRPr="000C507A" w:rsidRDefault="007548CA" w:rsidP="007548CA">
      <w:r>
        <w:rPr>
          <w:rFonts w:cs="Arial"/>
          <w:color w:val="000000"/>
        </w:rPr>
        <w:t>T</w:t>
      </w:r>
      <w:r w:rsidRPr="000C507A">
        <w:t>o front</w:t>
      </w:r>
      <w:r w:rsidR="009E4D1B">
        <w:t>-</w:t>
      </w:r>
      <w:r w:rsidRPr="000C507A">
        <w:t>line staff and people using the service</w:t>
      </w:r>
      <w:r>
        <w:t>,</w:t>
      </w:r>
      <w:r w:rsidRPr="000C507A">
        <w:t xml:space="preserve"> </w:t>
      </w:r>
      <w:r>
        <w:t>the increase in the speed and intensity of change has created</w:t>
      </w:r>
      <w:r w:rsidRPr="000C507A">
        <w:t xml:space="preserve"> a sense of </w:t>
      </w:r>
      <w:r w:rsidR="00C0609F">
        <w:t>‘</w:t>
      </w:r>
      <w:r w:rsidRPr="000C507A">
        <w:t>change on change</w:t>
      </w:r>
      <w:r w:rsidR="00C0609F">
        <w:t>’</w:t>
      </w:r>
      <w:r>
        <w:t xml:space="preserve">, leading to </w:t>
      </w:r>
      <w:r w:rsidRPr="000C507A">
        <w:t xml:space="preserve">staff demoralisation and an adverse experience of care by the people using the service. </w:t>
      </w:r>
      <w:r>
        <w:t xml:space="preserve">It should be emphasised that all staff need to take responsibility for supporting change </w:t>
      </w:r>
      <w:r w:rsidR="00C0609F">
        <w:t xml:space="preserve">processes, </w:t>
      </w:r>
      <w:r>
        <w:t xml:space="preserve">and for consistency and quality of care. </w:t>
      </w:r>
      <w:r w:rsidR="003F65F6" w:rsidRPr="000C507A">
        <w:t>It would be useful for the DHB to undertake more work on understanding the role of individuals in supporting change.</w:t>
      </w:r>
    </w:p>
    <w:p w14:paraId="6605D0F2" w14:textId="77777777" w:rsidR="007548CA" w:rsidRPr="00B13717" w:rsidRDefault="007548CA" w:rsidP="007548CA">
      <w:pPr>
        <w:rPr>
          <w:i/>
        </w:rPr>
      </w:pPr>
      <w:r w:rsidRPr="00B13717">
        <w:rPr>
          <w:i/>
        </w:rPr>
        <w:t xml:space="preserve">The wider </w:t>
      </w:r>
      <w:r w:rsidR="00C0609F">
        <w:rPr>
          <w:i/>
        </w:rPr>
        <w:t xml:space="preserve">District Health Board </w:t>
      </w:r>
      <w:r w:rsidRPr="00B13717">
        <w:rPr>
          <w:i/>
        </w:rPr>
        <w:t xml:space="preserve">and </w:t>
      </w:r>
      <w:r w:rsidR="003E0584">
        <w:rPr>
          <w:i/>
        </w:rPr>
        <w:t xml:space="preserve">the </w:t>
      </w:r>
      <w:r w:rsidR="00C0609F">
        <w:rPr>
          <w:i/>
        </w:rPr>
        <w:t>Mental Health and Addiction Service</w:t>
      </w:r>
    </w:p>
    <w:p w14:paraId="082DAFB4" w14:textId="77777777" w:rsidR="007548CA" w:rsidRPr="000C507A" w:rsidRDefault="00C0609F" w:rsidP="007548CA">
      <w:r>
        <w:t xml:space="preserve">The Inspection Team considers that </w:t>
      </w:r>
      <w:r w:rsidR="007548CA" w:rsidRPr="000C507A">
        <w:t xml:space="preserve">the leadership group </w:t>
      </w:r>
      <w:r w:rsidR="007548CA">
        <w:t xml:space="preserve">and the wider DHB </w:t>
      </w:r>
      <w:r w:rsidR="007548CA" w:rsidRPr="000C507A">
        <w:t>need to more deliberate</w:t>
      </w:r>
      <w:r>
        <w:t>ly</w:t>
      </w:r>
      <w:r w:rsidR="007548CA" w:rsidRPr="000C507A">
        <w:t xml:space="preserve"> develop a split</w:t>
      </w:r>
      <w:r>
        <w:t>-</w:t>
      </w:r>
      <w:r w:rsidR="007548CA" w:rsidRPr="000C507A">
        <w:t>screen approach: a focus on the transformational change alongside day</w:t>
      </w:r>
      <w:r>
        <w:t>-</w:t>
      </w:r>
      <w:r w:rsidR="007548CA" w:rsidRPr="000C507A">
        <w:t>to</w:t>
      </w:r>
      <w:r>
        <w:t>-</w:t>
      </w:r>
      <w:r w:rsidR="007548CA" w:rsidRPr="000C507A">
        <w:t>day management.</w:t>
      </w:r>
      <w:r w:rsidR="007548CA">
        <w:t xml:space="preserve"> This requires specific resourcing and support.</w:t>
      </w:r>
    </w:p>
    <w:p w14:paraId="5BBA536C" w14:textId="77777777" w:rsidR="007548CA" w:rsidRDefault="00C0609F" w:rsidP="007548CA">
      <w:r>
        <w:t>W</w:t>
      </w:r>
      <w:r w:rsidR="007548CA">
        <w:t>hile the MHAS certainly recognised that it was undertaking a major change program</w:t>
      </w:r>
      <w:r>
        <w:t>me,</w:t>
      </w:r>
      <w:r w:rsidR="007548CA">
        <w:t xml:space="preserve"> it is not clear that the rest of the DHB recognised that </w:t>
      </w:r>
      <w:r>
        <w:t xml:space="preserve">it needed to support </w:t>
      </w:r>
      <w:r w:rsidR="007548CA">
        <w:t>the service</w:t>
      </w:r>
      <w:r>
        <w:t>’s</w:t>
      </w:r>
      <w:r w:rsidR="007548CA">
        <w:t xml:space="preserve"> leadership team to achieve </w:t>
      </w:r>
      <w:r>
        <w:t>transformational change</w:t>
      </w:r>
      <w:r w:rsidR="007548CA">
        <w:t xml:space="preserve">. The </w:t>
      </w:r>
      <w:r w:rsidR="00F11E32">
        <w:t xml:space="preserve">existing </w:t>
      </w:r>
      <w:r w:rsidR="007548CA">
        <w:t xml:space="preserve">strength and coherence </w:t>
      </w:r>
      <w:r w:rsidR="00F11E32">
        <w:t xml:space="preserve">of </w:t>
      </w:r>
      <w:r w:rsidR="007548CA">
        <w:t>the leadership team enabled them to continue to drive change even when the resources were diminished. However, it seemed to the Inspection Team that this had the unintended consequence of the service becoming an island within the DHB. It also made vertical communication within the MHAS more challenging.</w:t>
      </w:r>
    </w:p>
    <w:p w14:paraId="161F3792" w14:textId="77777777" w:rsidR="007548CA" w:rsidRPr="000C507A" w:rsidRDefault="007548CA" w:rsidP="007548CA">
      <w:r w:rsidRPr="000C507A">
        <w:t xml:space="preserve">There is a need for greater engagement and support from the wider </w:t>
      </w:r>
      <w:r w:rsidR="00F11E32">
        <w:t>DHB</w:t>
      </w:r>
      <w:r w:rsidR="00F11E32" w:rsidRPr="000C507A">
        <w:t xml:space="preserve"> </w:t>
      </w:r>
      <w:r w:rsidRPr="000C507A">
        <w:t xml:space="preserve">– especially given the magnitude of the transformational change </w:t>
      </w:r>
      <w:r w:rsidR="00F11E32">
        <w:t xml:space="preserve">the service has embarked on </w:t>
      </w:r>
      <w:r w:rsidRPr="000C507A">
        <w:t>and the associated risks.</w:t>
      </w:r>
    </w:p>
    <w:p w14:paraId="46A38DA4" w14:textId="77777777" w:rsidR="007548CA" w:rsidRDefault="007548CA" w:rsidP="007548CA">
      <w:pPr>
        <w:pStyle w:val="Heading1"/>
      </w:pPr>
      <w:bookmarkStart w:id="69" w:name="_Toc437534610"/>
      <w:bookmarkStart w:id="70" w:name="_Toc448394374"/>
      <w:r w:rsidRPr="000C507A">
        <w:t>Recommendations</w:t>
      </w:r>
      <w:bookmarkEnd w:id="69"/>
      <w:bookmarkEnd w:id="70"/>
    </w:p>
    <w:p w14:paraId="0B7DAFDD" w14:textId="77777777" w:rsidR="007548CA" w:rsidRDefault="00F11E32" w:rsidP="007548CA">
      <w:r>
        <w:t>W</w:t>
      </w:r>
      <w:r w:rsidR="007548CA">
        <w:t xml:space="preserve">hen commenting on the initial draft, </w:t>
      </w:r>
      <w:r>
        <w:t xml:space="preserve">the DHB </w:t>
      </w:r>
      <w:r w:rsidR="007548CA">
        <w:t xml:space="preserve">indicated that they have commenced actions </w:t>
      </w:r>
      <w:r>
        <w:t xml:space="preserve">in regard to </w:t>
      </w:r>
      <w:r w:rsidR="007548CA">
        <w:t xml:space="preserve">a number of the recommendations below. </w:t>
      </w:r>
      <w:r>
        <w:t>Their responses are presented</w:t>
      </w:r>
      <w:r w:rsidR="007548CA">
        <w:t xml:space="preserve"> in italics under </w:t>
      </w:r>
      <w:r>
        <w:t xml:space="preserve">relevant </w:t>
      </w:r>
      <w:r w:rsidR="007548CA">
        <w:t>recommendation</w:t>
      </w:r>
      <w:r>
        <w:t>s below</w:t>
      </w:r>
      <w:r w:rsidR="007548CA">
        <w:t>.</w:t>
      </w:r>
    </w:p>
    <w:p w14:paraId="6FD0583F" w14:textId="77777777" w:rsidR="007548CA" w:rsidRPr="00487FE2" w:rsidRDefault="00F11E32" w:rsidP="007548CA">
      <w:r>
        <w:t xml:space="preserve">The Inspection Team emphasises </w:t>
      </w:r>
      <w:r w:rsidR="007548CA">
        <w:t>that some of these recommendations support the direction of travel that the DHB has already been taking in its service transformation</w:t>
      </w:r>
      <w:r>
        <w:t>; to a greater or lesser extent, the DHB may</w:t>
      </w:r>
      <w:r w:rsidR="007548CA">
        <w:t xml:space="preserve"> have already addressed </w:t>
      </w:r>
      <w:r>
        <w:t>them</w:t>
      </w:r>
      <w:r w:rsidR="007548CA">
        <w:t>.</w:t>
      </w:r>
    </w:p>
    <w:p w14:paraId="26D6541C" w14:textId="77777777" w:rsidR="007548CA" w:rsidRPr="000C507A" w:rsidRDefault="007548CA" w:rsidP="007548CA">
      <w:pPr>
        <w:pStyle w:val="Heading2"/>
      </w:pPr>
      <w:bookmarkStart w:id="71" w:name="_Toc437534611"/>
      <w:bookmarkStart w:id="72" w:name="_Toc448394375"/>
      <w:r w:rsidRPr="000C507A">
        <w:t>Immediate</w:t>
      </w:r>
      <w:bookmarkEnd w:id="71"/>
      <w:bookmarkEnd w:id="72"/>
    </w:p>
    <w:p w14:paraId="07658D51" w14:textId="77777777" w:rsidR="007548CA" w:rsidRDefault="007548CA" w:rsidP="007548CA">
      <w:pPr>
        <w:pStyle w:val="ListParagraph"/>
        <w:numPr>
          <w:ilvl w:val="0"/>
          <w:numId w:val="32"/>
        </w:numPr>
      </w:pPr>
      <w:r w:rsidRPr="000C507A">
        <w:t xml:space="preserve">There needs to be an immediate appointment to the role of </w:t>
      </w:r>
      <w:r w:rsidR="00F11E32">
        <w:t>E</w:t>
      </w:r>
      <w:r w:rsidRPr="000C507A">
        <w:t xml:space="preserve">xecutive </w:t>
      </w:r>
      <w:r w:rsidR="00F11E32">
        <w:t>D</w:t>
      </w:r>
      <w:r w:rsidRPr="000C507A">
        <w:t>irector</w:t>
      </w:r>
      <w:r w:rsidR="00F11E32">
        <w:t>,</w:t>
      </w:r>
      <w:r w:rsidRPr="000C507A">
        <w:t xml:space="preserve"> to enable the Director of Clinical Services to concentrate on leading clinical changes. </w:t>
      </w:r>
      <w:r w:rsidR="00F11E32">
        <w:t>The DHB needs to give c</w:t>
      </w:r>
      <w:r w:rsidRPr="000C507A">
        <w:t>areful consideration to appointing someone who is the right fit for this service given its transformational change and operational challenges.</w:t>
      </w:r>
    </w:p>
    <w:p w14:paraId="5DEB196A" w14:textId="77777777" w:rsidR="007548CA" w:rsidRPr="009D0622" w:rsidRDefault="007548CA" w:rsidP="007548CA">
      <w:pPr>
        <w:ind w:left="720"/>
        <w:rPr>
          <w:i/>
        </w:rPr>
      </w:pPr>
      <w:r>
        <w:rPr>
          <w:i/>
        </w:rPr>
        <w:t>Mr Derek Wright commenced work in his new role as Executive Director of Mental Health and Addictions on 15 February 2016. He is a very experienced manager with a long history of involvement in the mental health and addictions sector. He has managed large services in both New Zealand and Australia and has overseen a number of significant change processes.</w:t>
      </w:r>
    </w:p>
    <w:p w14:paraId="1F3AF22B" w14:textId="77777777" w:rsidR="007548CA" w:rsidRDefault="007548CA" w:rsidP="007548CA">
      <w:pPr>
        <w:pStyle w:val="ListParagraph"/>
        <w:numPr>
          <w:ilvl w:val="0"/>
          <w:numId w:val="32"/>
        </w:numPr>
      </w:pPr>
      <w:r w:rsidRPr="000C507A">
        <w:t xml:space="preserve">There needs to be a clear strategy on positive clinical risk management that ensures appropriate human rights while at the same time </w:t>
      </w:r>
      <w:r>
        <w:t>educating and assuring the public</w:t>
      </w:r>
      <w:r w:rsidRPr="000C507A">
        <w:t xml:space="preserve">. </w:t>
      </w:r>
    </w:p>
    <w:p w14:paraId="33691C5C" w14:textId="77777777" w:rsidR="007548CA" w:rsidRDefault="007548CA" w:rsidP="007548CA">
      <w:pPr>
        <w:ind w:left="720"/>
        <w:rPr>
          <w:i/>
        </w:rPr>
      </w:pPr>
      <w:r>
        <w:rPr>
          <w:i/>
        </w:rPr>
        <w:lastRenderedPageBreak/>
        <w:t>Many of the more restrictive practices (</w:t>
      </w:r>
      <w:proofErr w:type="spellStart"/>
      <w:r>
        <w:rPr>
          <w:i/>
        </w:rPr>
        <w:t>eg</w:t>
      </w:r>
      <w:proofErr w:type="spellEnd"/>
      <w:r w:rsidR="009A6CA9">
        <w:rPr>
          <w:i/>
        </w:rPr>
        <w:t>,</w:t>
      </w:r>
      <w:r>
        <w:rPr>
          <w:i/>
        </w:rPr>
        <w:t xml:space="preserve"> regarding leave management, </w:t>
      </w:r>
      <w:proofErr w:type="spellStart"/>
      <w:r>
        <w:rPr>
          <w:i/>
        </w:rPr>
        <w:t>etc</w:t>
      </w:r>
      <w:proofErr w:type="spellEnd"/>
      <w:r>
        <w:rPr>
          <w:i/>
        </w:rPr>
        <w:t>) have been amended and the service is moving its training and approach to management to a model of ‘positive risk taking’.</w:t>
      </w:r>
    </w:p>
    <w:p w14:paraId="6271CCDD" w14:textId="77777777" w:rsidR="007548CA" w:rsidRPr="009D0622" w:rsidRDefault="007548CA" w:rsidP="007548CA">
      <w:pPr>
        <w:ind w:left="720"/>
        <w:rPr>
          <w:i/>
        </w:rPr>
      </w:pPr>
      <w:r>
        <w:rPr>
          <w:i/>
        </w:rPr>
        <w:t>In addition, the organisation had already begun the development of a communications strategy, addressing both internal and external stakeholders to improve the understanding of the media and the wider Waikato community about its MHAS and the challenges it faces.</w:t>
      </w:r>
    </w:p>
    <w:p w14:paraId="42CD1326" w14:textId="77777777" w:rsidR="007548CA" w:rsidRDefault="009A6CA9" w:rsidP="007548CA">
      <w:pPr>
        <w:pStyle w:val="ListParagraph"/>
        <w:numPr>
          <w:ilvl w:val="0"/>
          <w:numId w:val="32"/>
        </w:numPr>
      </w:pPr>
      <w:r>
        <w:t>The DHB needs to devote a</w:t>
      </w:r>
      <w:r w:rsidR="007548CA" w:rsidRPr="000C507A">
        <w:t>ttention to some immediate staffing relief in critical areas (especially in some of the community teams) to reduce staff burn</w:t>
      </w:r>
      <w:r>
        <w:t>-</w:t>
      </w:r>
      <w:r w:rsidR="007548CA" w:rsidRPr="000C507A">
        <w:t>out and churn, fill vacancies and improve staff retention.</w:t>
      </w:r>
    </w:p>
    <w:p w14:paraId="506482FA" w14:textId="77777777" w:rsidR="007548CA" w:rsidRPr="009D0622" w:rsidRDefault="007548CA" w:rsidP="007548CA">
      <w:pPr>
        <w:ind w:left="720"/>
        <w:rPr>
          <w:i/>
        </w:rPr>
      </w:pPr>
      <w:r w:rsidRPr="009D0622">
        <w:rPr>
          <w:i/>
        </w:rPr>
        <w:t>The organisation has moved to bring immediate staffing relief to critical areas within MHASs. Particularly:</w:t>
      </w:r>
    </w:p>
    <w:p w14:paraId="3B01996C" w14:textId="77777777" w:rsidR="007548CA" w:rsidRPr="009D0622" w:rsidRDefault="00BA5AED" w:rsidP="00BA5AED">
      <w:pPr>
        <w:pStyle w:val="ListParagraph"/>
        <w:numPr>
          <w:ilvl w:val="0"/>
          <w:numId w:val="43"/>
        </w:numPr>
        <w:rPr>
          <w:i/>
        </w:rPr>
      </w:pPr>
      <w:r w:rsidRPr="00BA5AED">
        <w:rPr>
          <w:i/>
        </w:rPr>
        <w:t xml:space="preserve">The service has increased the number of </w:t>
      </w:r>
      <w:proofErr w:type="gramStart"/>
      <w:r w:rsidRPr="00BA5AED">
        <w:rPr>
          <w:i/>
        </w:rPr>
        <w:t>Acute</w:t>
      </w:r>
      <w:proofErr w:type="gramEnd"/>
      <w:r w:rsidRPr="00BA5AED">
        <w:rPr>
          <w:i/>
        </w:rPr>
        <w:t xml:space="preserve"> inpatient registered nursing staff by 6 FTE</w:t>
      </w:r>
      <w:r>
        <w:rPr>
          <w:i/>
        </w:rPr>
        <w:t>.</w:t>
      </w:r>
    </w:p>
    <w:p w14:paraId="47678D97" w14:textId="77777777" w:rsidR="007548CA" w:rsidRPr="009D0622" w:rsidRDefault="007548CA" w:rsidP="007548CA">
      <w:pPr>
        <w:pStyle w:val="ListParagraph"/>
        <w:numPr>
          <w:ilvl w:val="0"/>
          <w:numId w:val="43"/>
        </w:numPr>
        <w:rPr>
          <w:i/>
        </w:rPr>
      </w:pPr>
      <w:r w:rsidRPr="009D0622">
        <w:rPr>
          <w:i/>
        </w:rPr>
        <w:t>Mechanisms have been put in place to maximise the efficiency and effectiveness of recruitment (and retention) of staff to key areas. These involve more flexibility in the placement of staff, increased efficiency of internal HR processes to minimise the ‘churn’ factor.</w:t>
      </w:r>
    </w:p>
    <w:p w14:paraId="6AAFAD06" w14:textId="77777777" w:rsidR="007548CA" w:rsidRPr="009D0622" w:rsidRDefault="007548CA" w:rsidP="007548CA">
      <w:pPr>
        <w:pStyle w:val="ListParagraph"/>
        <w:numPr>
          <w:ilvl w:val="0"/>
          <w:numId w:val="43"/>
        </w:numPr>
        <w:rPr>
          <w:i/>
        </w:rPr>
      </w:pPr>
      <w:r w:rsidRPr="009D0622">
        <w:rPr>
          <w:i/>
        </w:rPr>
        <w:t>Planning and Funding have agreed to an increase of approximately $3.5M into the Price Volume Schedule (PVS).  Business cases will need to be developed in order to define how these funds might be best used. In addition, funding and planning have agreed to review the current PVS in terms of community FTE t</w:t>
      </w:r>
      <w:r>
        <w:rPr>
          <w:i/>
        </w:rPr>
        <w:t>o</w:t>
      </w:r>
      <w:r w:rsidRPr="009D0622">
        <w:rPr>
          <w:i/>
        </w:rPr>
        <w:t xml:space="preserve"> better respond to current demands.</w:t>
      </w:r>
    </w:p>
    <w:p w14:paraId="708DB0D8" w14:textId="77777777" w:rsidR="007548CA" w:rsidRDefault="007548CA" w:rsidP="007548CA">
      <w:pPr>
        <w:pStyle w:val="ListParagraph"/>
        <w:numPr>
          <w:ilvl w:val="0"/>
          <w:numId w:val="32"/>
        </w:numPr>
      </w:pPr>
      <w:r w:rsidRPr="000C507A">
        <w:t>Because of the magnitude of the change</w:t>
      </w:r>
      <w:r>
        <w:t xml:space="preserve"> agenda</w:t>
      </w:r>
      <w:r w:rsidR="009A6CA9">
        <w:t>,</w:t>
      </w:r>
      <w:r>
        <w:t xml:space="preserve"> the</w:t>
      </w:r>
      <w:r w:rsidRPr="000C507A">
        <w:t xml:space="preserve"> </w:t>
      </w:r>
      <w:r>
        <w:t>MHAS</w:t>
      </w:r>
      <w:r w:rsidRPr="000C507A">
        <w:t xml:space="preserve"> needs strong engagement and </w:t>
      </w:r>
      <w:r>
        <w:t>s</w:t>
      </w:r>
      <w:r w:rsidRPr="000C507A">
        <w:t>upport f</w:t>
      </w:r>
      <w:r>
        <w:t>rom the wider DHB at all levels.</w:t>
      </w:r>
    </w:p>
    <w:p w14:paraId="06C63D5E" w14:textId="77777777" w:rsidR="007548CA" w:rsidRDefault="007548CA" w:rsidP="007548CA">
      <w:pPr>
        <w:ind w:left="720"/>
        <w:rPr>
          <w:i/>
        </w:rPr>
      </w:pPr>
      <w:r>
        <w:rPr>
          <w:i/>
        </w:rPr>
        <w:t>The MHAS has increased its engagement with, and involvement in, wider DHB organisational processes (</w:t>
      </w:r>
      <w:proofErr w:type="spellStart"/>
      <w:r>
        <w:rPr>
          <w:i/>
        </w:rPr>
        <w:t>eg</w:t>
      </w:r>
      <w:proofErr w:type="spellEnd"/>
      <w:r w:rsidR="009A6CA9">
        <w:rPr>
          <w:i/>
        </w:rPr>
        <w:t>,</w:t>
      </w:r>
      <w:r>
        <w:rPr>
          <w:i/>
        </w:rPr>
        <w:t xml:space="preserve"> at executive level, within quality and risk, finance, savings and sustainability forums, the Board of Clinical Governance, performance and operations </w:t>
      </w:r>
      <w:proofErr w:type="spellStart"/>
      <w:r>
        <w:rPr>
          <w:i/>
        </w:rPr>
        <w:t>etc</w:t>
      </w:r>
      <w:proofErr w:type="spellEnd"/>
      <w:r>
        <w:rPr>
          <w:i/>
        </w:rPr>
        <w:t>)</w:t>
      </w:r>
      <w:r w:rsidR="009A6CA9">
        <w:rPr>
          <w:i/>
        </w:rPr>
        <w:t>.</w:t>
      </w:r>
    </w:p>
    <w:p w14:paraId="7E2CEC07" w14:textId="77777777" w:rsidR="007548CA" w:rsidRPr="009D0622" w:rsidRDefault="007548CA" w:rsidP="007548CA">
      <w:pPr>
        <w:ind w:left="720"/>
        <w:rPr>
          <w:i/>
        </w:rPr>
      </w:pPr>
      <w:r>
        <w:rPr>
          <w:i/>
        </w:rPr>
        <w:t>Further, the DHB executive accepts that as MHASs continue to undergo major transformational change (accentuated by the proposals for a review of the wider MHA sector and rebuilding of the HRBC) there is a need for additional change management capacity and capability. There are papers proposing these changes (and the need for commensurate change management resource) about to go to the wider WDHB board for consideration.</w:t>
      </w:r>
    </w:p>
    <w:p w14:paraId="1C67C12E" w14:textId="77777777" w:rsidR="007548CA" w:rsidRDefault="007548CA" w:rsidP="007548CA">
      <w:pPr>
        <w:pStyle w:val="ListParagraph"/>
        <w:numPr>
          <w:ilvl w:val="0"/>
          <w:numId w:val="32"/>
        </w:numPr>
      </w:pPr>
      <w:r>
        <w:t>The strategic direction is one of system change in the district</w:t>
      </w:r>
      <w:r w:rsidR="009A6CA9">
        <w:t>;</w:t>
      </w:r>
      <w:r>
        <w:t xml:space="preserve"> therefore</w:t>
      </w:r>
      <w:r w:rsidR="009A6CA9">
        <w:t>,</w:t>
      </w:r>
      <w:r>
        <w:t xml:space="preserve"> a systems</w:t>
      </w:r>
      <w:r w:rsidR="009A6CA9">
        <w:t>-</w:t>
      </w:r>
      <w:r>
        <w:t xml:space="preserve">wide change process is needed that includes </w:t>
      </w:r>
      <w:r w:rsidR="009A6CA9">
        <w:t xml:space="preserve">the </w:t>
      </w:r>
      <w:r>
        <w:t>MHAS, its strategic NGO partners, primary care</w:t>
      </w:r>
      <w:r w:rsidR="009A6CA9">
        <w:t xml:space="preserve"> services</w:t>
      </w:r>
      <w:r>
        <w:t xml:space="preserve">, iwi, consumers and </w:t>
      </w:r>
      <w:r w:rsidR="00F378C3">
        <w:t>family/</w:t>
      </w:r>
      <w:proofErr w:type="spellStart"/>
      <w:r w:rsidR="00F378C3">
        <w:t>whānau</w:t>
      </w:r>
      <w:proofErr w:type="spellEnd"/>
      <w:r>
        <w:t>.</w:t>
      </w:r>
    </w:p>
    <w:p w14:paraId="536AC645" w14:textId="42767861" w:rsidR="007548CA" w:rsidRPr="009D0622" w:rsidRDefault="007548CA" w:rsidP="007548CA">
      <w:pPr>
        <w:ind w:left="720"/>
        <w:rPr>
          <w:i/>
        </w:rPr>
      </w:pPr>
      <w:r w:rsidRPr="009D0622">
        <w:rPr>
          <w:i/>
        </w:rPr>
        <w:t xml:space="preserve">Planning and Funding are about to propose a wider alcohol and other drug and MHAS needs assessment service planning and purchasing plan to address the MHA needs of the Waikato population </w:t>
      </w:r>
      <w:r w:rsidR="00B534FC">
        <w:rPr>
          <w:i/>
        </w:rPr>
        <w:t>through to</w:t>
      </w:r>
      <w:r w:rsidRPr="009D0622">
        <w:rPr>
          <w:i/>
        </w:rPr>
        <w:t xml:space="preserve"> </w:t>
      </w:r>
      <w:r w:rsidR="00B534FC">
        <w:rPr>
          <w:i/>
        </w:rPr>
        <w:t>2026</w:t>
      </w:r>
      <w:r w:rsidRPr="009D0622">
        <w:rPr>
          <w:i/>
        </w:rPr>
        <w:t>. A paper prosing this initiative is currently being worked up, sponsored by the new Executive Director and Clinical Director of the Strategy and Funding team of the DHB.</w:t>
      </w:r>
    </w:p>
    <w:p w14:paraId="424526A0" w14:textId="77777777" w:rsidR="007548CA" w:rsidRDefault="007548CA" w:rsidP="007548CA">
      <w:pPr>
        <w:pStyle w:val="ListParagraph"/>
        <w:numPr>
          <w:ilvl w:val="0"/>
          <w:numId w:val="32"/>
        </w:numPr>
      </w:pPr>
      <w:r>
        <w:lastRenderedPageBreak/>
        <w:t xml:space="preserve">Integrated clinical and operational governance </w:t>
      </w:r>
      <w:r w:rsidR="00531C2F">
        <w:t>that</w:t>
      </w:r>
      <w:r>
        <w:t xml:space="preserve"> includes planning and funding</w:t>
      </w:r>
      <w:r w:rsidR="00531C2F">
        <w:t xml:space="preserve"> is necessary across this continuum</w:t>
      </w:r>
      <w:r>
        <w:t>.</w:t>
      </w:r>
    </w:p>
    <w:p w14:paraId="71E78EA1" w14:textId="77777777" w:rsidR="007548CA" w:rsidRPr="009D0622" w:rsidRDefault="007548CA" w:rsidP="007548CA">
      <w:pPr>
        <w:ind w:left="720"/>
        <w:rPr>
          <w:i/>
        </w:rPr>
      </w:pPr>
      <w:r>
        <w:rPr>
          <w:i/>
        </w:rPr>
        <w:t>An integral part of the process noted in 5 above will be the development of an operational governance structure across all elements of the MHA sector with clear reporting through to the CEO and Board.</w:t>
      </w:r>
    </w:p>
    <w:p w14:paraId="5B57B3C4" w14:textId="77777777" w:rsidR="007548CA" w:rsidRDefault="00531C2F" w:rsidP="007548CA">
      <w:pPr>
        <w:pStyle w:val="ListParagraph"/>
        <w:numPr>
          <w:ilvl w:val="0"/>
          <w:numId w:val="32"/>
        </w:numPr>
      </w:pPr>
      <w:r>
        <w:t>The service should report p</w:t>
      </w:r>
      <w:r w:rsidR="007548CA" w:rsidRPr="000C507A">
        <w:t xml:space="preserve">rogress to the </w:t>
      </w:r>
      <w:r w:rsidR="00B529B4">
        <w:t xml:space="preserve">DHB </w:t>
      </w:r>
      <w:r w:rsidR="007548CA" w:rsidRPr="000C507A">
        <w:t>Board and the Director of Mental Health</w:t>
      </w:r>
      <w:r w:rsidR="007548CA">
        <w:t>.</w:t>
      </w:r>
    </w:p>
    <w:p w14:paraId="4E985B04" w14:textId="77777777" w:rsidR="007548CA" w:rsidRPr="009D0622" w:rsidRDefault="007548CA" w:rsidP="007548CA">
      <w:pPr>
        <w:ind w:left="720"/>
        <w:rPr>
          <w:i/>
        </w:rPr>
      </w:pPr>
      <w:r>
        <w:rPr>
          <w:i/>
        </w:rPr>
        <w:t>Evidence of the initiatives set out above and regular reports on their progress will be provided to the Director of Mental Health</w:t>
      </w:r>
    </w:p>
    <w:p w14:paraId="45E8891C" w14:textId="77777777" w:rsidR="007548CA" w:rsidRPr="000C507A" w:rsidRDefault="007548CA" w:rsidP="007548CA">
      <w:pPr>
        <w:pStyle w:val="Heading2"/>
      </w:pPr>
      <w:bookmarkStart w:id="73" w:name="_Toc437534612"/>
      <w:bookmarkStart w:id="74" w:name="_Toc448394376"/>
      <w:r w:rsidRPr="000C507A">
        <w:t xml:space="preserve">Longer </w:t>
      </w:r>
      <w:r w:rsidR="00531C2F">
        <w:t>t</w:t>
      </w:r>
      <w:r w:rsidRPr="000C507A">
        <w:t>erm</w:t>
      </w:r>
      <w:bookmarkEnd w:id="73"/>
      <w:bookmarkEnd w:id="74"/>
    </w:p>
    <w:p w14:paraId="04E0DD27" w14:textId="77777777" w:rsidR="007548CA" w:rsidRPr="000C507A" w:rsidRDefault="007548CA" w:rsidP="007548CA">
      <w:pPr>
        <w:pStyle w:val="ListParagraph"/>
        <w:numPr>
          <w:ilvl w:val="0"/>
          <w:numId w:val="32"/>
        </w:numPr>
      </w:pPr>
      <w:r w:rsidRPr="000C507A">
        <w:t>The current direction of travel is appropriate and necessary</w:t>
      </w:r>
      <w:r>
        <w:t>.</w:t>
      </w:r>
      <w:r w:rsidRPr="000C507A">
        <w:t xml:space="preserve"> </w:t>
      </w:r>
      <w:r>
        <w:t>The agenda for</w:t>
      </w:r>
      <w:r w:rsidRPr="000C507A">
        <w:t xml:space="preserve"> transformational change cannot be </w:t>
      </w:r>
      <w:r w:rsidR="00D835D4">
        <w:t>discarded</w:t>
      </w:r>
      <w:r w:rsidRPr="000C507A">
        <w:t xml:space="preserve">. However, to give effect </w:t>
      </w:r>
      <w:r w:rsidR="00D835D4">
        <w:t xml:space="preserve">to </w:t>
      </w:r>
      <w:r w:rsidRPr="000C507A">
        <w:t>change of this magnitude</w:t>
      </w:r>
      <w:r w:rsidR="00D835D4">
        <w:t>,</w:t>
      </w:r>
      <w:r w:rsidRPr="000C507A">
        <w:t xml:space="preserve"> </w:t>
      </w:r>
      <w:r w:rsidR="00FB23ED">
        <w:t>the following are required.</w:t>
      </w:r>
    </w:p>
    <w:p w14:paraId="4190DCD0" w14:textId="77777777" w:rsidR="007548CA" w:rsidRPr="000C507A" w:rsidRDefault="00FB23ED" w:rsidP="007548CA">
      <w:pPr>
        <w:pStyle w:val="ListParagraph"/>
        <w:numPr>
          <w:ilvl w:val="1"/>
          <w:numId w:val="38"/>
        </w:numPr>
      </w:pPr>
      <w:r>
        <w:t xml:space="preserve">There needs to be </w:t>
      </w:r>
      <w:r w:rsidR="007548CA">
        <w:t>a</w:t>
      </w:r>
      <w:r w:rsidR="007548CA" w:rsidRPr="000C507A">
        <w:t>ppropriate shared leadership</w:t>
      </w:r>
      <w:r w:rsidR="00D835D4">
        <w:t>,</w:t>
      </w:r>
      <w:r w:rsidR="007548CA" w:rsidRPr="000C507A">
        <w:t xml:space="preserve"> </w:t>
      </w:r>
      <w:r w:rsidR="007548CA">
        <w:t>supported by a</w:t>
      </w:r>
      <w:r w:rsidR="007548CA" w:rsidRPr="000C507A">
        <w:t xml:space="preserve"> change team</w:t>
      </w:r>
      <w:r w:rsidR="007548CA">
        <w:t xml:space="preserve"> with experience in embedding transformational change</w:t>
      </w:r>
      <w:r>
        <w:t>.</w:t>
      </w:r>
    </w:p>
    <w:p w14:paraId="6D73E184" w14:textId="77777777" w:rsidR="007548CA" w:rsidRPr="000C507A" w:rsidRDefault="00FB23ED" w:rsidP="007548CA">
      <w:pPr>
        <w:pStyle w:val="ListParagraph"/>
        <w:numPr>
          <w:ilvl w:val="1"/>
          <w:numId w:val="38"/>
        </w:numPr>
      </w:pPr>
      <w:r>
        <w:t xml:space="preserve">There needs to be </w:t>
      </w:r>
      <w:r w:rsidR="007548CA">
        <w:t>a</w:t>
      </w:r>
      <w:r w:rsidR="007548CA" w:rsidRPr="000C507A">
        <w:t>dequate resourcing for the change</w:t>
      </w:r>
      <w:r w:rsidR="007548CA">
        <w:t xml:space="preserve"> (including fiscal resources and staffing resources)</w:t>
      </w:r>
      <w:r>
        <w:t>.</w:t>
      </w:r>
    </w:p>
    <w:p w14:paraId="119F6983" w14:textId="77777777" w:rsidR="007548CA" w:rsidRDefault="00FB23ED" w:rsidP="007548CA">
      <w:pPr>
        <w:pStyle w:val="ListParagraph"/>
        <w:numPr>
          <w:ilvl w:val="1"/>
          <w:numId w:val="38"/>
        </w:numPr>
      </w:pPr>
      <w:r>
        <w:t xml:space="preserve">There needs to be </w:t>
      </w:r>
      <w:r w:rsidR="007548CA">
        <w:t>s</w:t>
      </w:r>
      <w:r w:rsidR="007548CA" w:rsidRPr="000C507A">
        <w:t>upport for embedding practice change at the front</w:t>
      </w:r>
      <w:r w:rsidR="00D835D4">
        <w:t xml:space="preserve"> </w:t>
      </w:r>
      <w:r w:rsidR="007548CA" w:rsidRPr="000C507A">
        <w:t>line/consumer level</w:t>
      </w:r>
      <w:r w:rsidR="00D835D4">
        <w:t>,</w:t>
      </w:r>
      <w:r w:rsidR="007548CA" w:rsidRPr="000C507A">
        <w:t xml:space="preserve"> with effective feedback loops</w:t>
      </w:r>
      <w:r>
        <w:t>.</w:t>
      </w:r>
      <w:r w:rsidR="007548CA" w:rsidRPr="000C507A">
        <w:t xml:space="preserve"> </w:t>
      </w:r>
    </w:p>
    <w:p w14:paraId="2B9F7113" w14:textId="77777777" w:rsidR="007548CA" w:rsidRPr="000C507A" w:rsidRDefault="00FB23ED" w:rsidP="007548CA">
      <w:pPr>
        <w:pStyle w:val="ListParagraph"/>
        <w:numPr>
          <w:ilvl w:val="1"/>
          <w:numId w:val="38"/>
        </w:numPr>
      </w:pPr>
      <w:r>
        <w:t>I</w:t>
      </w:r>
      <w:r w:rsidR="007548CA" w:rsidRPr="000C507A">
        <w:t>ndustrial relationships need resetting</w:t>
      </w:r>
      <w:r w:rsidR="007548CA">
        <w:t xml:space="preserve"> to ensure partnership in change</w:t>
      </w:r>
      <w:r>
        <w:t>.</w:t>
      </w:r>
    </w:p>
    <w:p w14:paraId="1EC1BF5E" w14:textId="77777777" w:rsidR="007548CA" w:rsidRDefault="00FB23ED" w:rsidP="007548CA">
      <w:pPr>
        <w:pStyle w:val="ListParagraph"/>
        <w:numPr>
          <w:ilvl w:val="1"/>
          <w:numId w:val="38"/>
        </w:numPr>
      </w:pPr>
      <w:r>
        <w:t>P</w:t>
      </w:r>
      <w:r w:rsidR="007548CA" w:rsidRPr="000C507A">
        <w:t>rofessional leads need time to participate</w:t>
      </w:r>
      <w:r w:rsidR="00B529B4">
        <w:t xml:space="preserve"> in</w:t>
      </w:r>
      <w:r w:rsidR="007548CA" w:rsidRPr="000C507A">
        <w:t xml:space="preserve"> and develop support for change (including service and clinical leads)</w:t>
      </w:r>
      <w:r w:rsidR="00397C22">
        <w:t>.</w:t>
      </w:r>
    </w:p>
    <w:p w14:paraId="09D74E58" w14:textId="77777777" w:rsidR="007548CA" w:rsidRPr="000C507A" w:rsidRDefault="00397C22" w:rsidP="007548CA">
      <w:pPr>
        <w:pStyle w:val="ListParagraph"/>
        <w:numPr>
          <w:ilvl w:val="1"/>
          <w:numId w:val="38"/>
        </w:numPr>
      </w:pPr>
      <w:r>
        <w:t>T</w:t>
      </w:r>
      <w:r w:rsidR="007548CA">
        <w:t>he renewed strengthened nursing and allied leadership model needs ongoing monitoring and support</w:t>
      </w:r>
      <w:r>
        <w:t>.</w:t>
      </w:r>
    </w:p>
    <w:p w14:paraId="23E54D9A" w14:textId="77777777" w:rsidR="007548CA" w:rsidRPr="000C507A" w:rsidRDefault="00397C22" w:rsidP="007548CA">
      <w:pPr>
        <w:pStyle w:val="ListParagraph"/>
        <w:numPr>
          <w:ilvl w:val="1"/>
          <w:numId w:val="38"/>
        </w:numPr>
      </w:pPr>
      <w:r>
        <w:t>T</w:t>
      </w:r>
      <w:r w:rsidR="007548CA" w:rsidRPr="000C507A">
        <w:t xml:space="preserve">he </w:t>
      </w:r>
      <w:r w:rsidR="007548CA">
        <w:t>MHAS</w:t>
      </w:r>
      <w:r w:rsidR="007548CA" w:rsidRPr="000C507A">
        <w:t xml:space="preserve"> needs to build up a sufficient group of </w:t>
      </w:r>
      <w:r>
        <w:t>‘</w:t>
      </w:r>
      <w:r w:rsidR="007548CA" w:rsidRPr="000C507A">
        <w:t>in-service leads and champions</w:t>
      </w:r>
      <w:r>
        <w:t>’</w:t>
      </w:r>
      <w:r w:rsidR="007548CA" w:rsidRPr="000C507A">
        <w:t xml:space="preserve"> to support change </w:t>
      </w:r>
      <w:r w:rsidR="007548CA">
        <w:t>within teams</w:t>
      </w:r>
      <w:r>
        <w:t>.</w:t>
      </w:r>
    </w:p>
    <w:p w14:paraId="2EDED94C" w14:textId="77777777" w:rsidR="007548CA" w:rsidRDefault="00397C22" w:rsidP="007548CA">
      <w:pPr>
        <w:pStyle w:val="ListParagraph"/>
        <w:numPr>
          <w:ilvl w:val="1"/>
          <w:numId w:val="38"/>
        </w:numPr>
      </w:pPr>
      <w:r>
        <w:t>T</w:t>
      </w:r>
      <w:r w:rsidR="007548CA">
        <w:t>here needs to be a clear and detailed communication and engagement strategy at all levels. The strategy needs to include the DHB’s strategic partners, the people using the service and the community. The strategy should have a clearly articulated narrative that supports the transformational change agenda.</w:t>
      </w:r>
    </w:p>
    <w:p w14:paraId="364315F9" w14:textId="77777777" w:rsidR="007548CA" w:rsidRDefault="007548CA" w:rsidP="007548CA">
      <w:pPr>
        <w:ind w:left="720"/>
        <w:rPr>
          <w:i/>
        </w:rPr>
      </w:pPr>
      <w:r>
        <w:rPr>
          <w:i/>
        </w:rPr>
        <w:t xml:space="preserve">The DHB accepts that there is a need for the development of a change team to ensure robust </w:t>
      </w:r>
      <w:proofErr w:type="gramStart"/>
      <w:r>
        <w:rPr>
          <w:i/>
        </w:rPr>
        <w:t>methodology (and adequate resources) are</w:t>
      </w:r>
      <w:proofErr w:type="gramEnd"/>
      <w:r>
        <w:rPr>
          <w:i/>
        </w:rPr>
        <w:t xml:space="preserve"> available for the implementation of change and this change process is closely monitored by the MHAS and by the DHB executive.</w:t>
      </w:r>
    </w:p>
    <w:p w14:paraId="46AEB15F" w14:textId="77777777" w:rsidR="007548CA" w:rsidRDefault="007548CA" w:rsidP="007548CA">
      <w:pPr>
        <w:ind w:left="720"/>
        <w:rPr>
          <w:i/>
        </w:rPr>
      </w:pPr>
      <w:r>
        <w:rPr>
          <w:i/>
        </w:rPr>
        <w:t>Additional change management resource will become available as a result of both MHA sector review and the proposal for the HRBC (and associated model of care), once agreed by the board.</w:t>
      </w:r>
    </w:p>
    <w:p w14:paraId="36D76107" w14:textId="77777777" w:rsidR="007548CA" w:rsidRDefault="007548CA" w:rsidP="007548CA">
      <w:pPr>
        <w:ind w:left="720"/>
        <w:rPr>
          <w:i/>
        </w:rPr>
      </w:pPr>
      <w:r>
        <w:rPr>
          <w:i/>
        </w:rPr>
        <w:t>There are a number of projects currently under way within the service to further develop and implement the ICP and to define and implement diagnostic</w:t>
      </w:r>
      <w:r w:rsidR="00D24279">
        <w:rPr>
          <w:i/>
        </w:rPr>
        <w:t>-</w:t>
      </w:r>
      <w:r>
        <w:rPr>
          <w:i/>
        </w:rPr>
        <w:t>specific ICPs (identifying discipline</w:t>
      </w:r>
      <w:r w:rsidR="00D24279">
        <w:rPr>
          <w:i/>
        </w:rPr>
        <w:t>-</w:t>
      </w:r>
      <w:r>
        <w:rPr>
          <w:i/>
        </w:rPr>
        <w:t>specific interventions and the case management role and resultant competencies). This work will better define the service</w:t>
      </w:r>
      <w:r w:rsidR="00D24279">
        <w:rPr>
          <w:i/>
        </w:rPr>
        <w:t>’s</w:t>
      </w:r>
      <w:r>
        <w:rPr>
          <w:i/>
        </w:rPr>
        <w:t xml:space="preserve"> needs for its workforce (and their specific competencies) and will better inform the educational </w:t>
      </w:r>
      <w:r>
        <w:rPr>
          <w:i/>
        </w:rPr>
        <w:lastRenderedPageBreak/>
        <w:t>and training needs. This work is led by the Director of Clinical Services with close involvement of all of the disciplinary heads and with project management support from within MHAS service improvement team.</w:t>
      </w:r>
    </w:p>
    <w:p w14:paraId="7FB2295F" w14:textId="77777777" w:rsidR="007548CA" w:rsidRDefault="007548CA" w:rsidP="007548CA">
      <w:pPr>
        <w:ind w:left="720"/>
        <w:rPr>
          <w:i/>
        </w:rPr>
      </w:pPr>
      <w:r>
        <w:rPr>
          <w:i/>
        </w:rPr>
        <w:t>The MHAS has in its change processes used service leads and champions and intends to continue to use them.</w:t>
      </w:r>
    </w:p>
    <w:p w14:paraId="70EA2DED" w14:textId="77777777" w:rsidR="007548CA" w:rsidRPr="009D0622" w:rsidRDefault="007548CA" w:rsidP="007548CA">
      <w:pPr>
        <w:ind w:left="720"/>
        <w:rPr>
          <w:i/>
        </w:rPr>
      </w:pPr>
      <w:r>
        <w:rPr>
          <w:i/>
        </w:rPr>
        <w:t xml:space="preserve">A draft communications strategy (orientated to internal and external stakeholders) has been developed </w:t>
      </w:r>
    </w:p>
    <w:p w14:paraId="62F0C638" w14:textId="77777777" w:rsidR="007548CA" w:rsidRDefault="007548CA" w:rsidP="007548CA">
      <w:pPr>
        <w:pStyle w:val="ListParagraph"/>
        <w:numPr>
          <w:ilvl w:val="0"/>
          <w:numId w:val="32"/>
        </w:numPr>
      </w:pPr>
      <w:r w:rsidRPr="000C507A">
        <w:t xml:space="preserve">The </w:t>
      </w:r>
      <w:r w:rsidR="00D24279">
        <w:t>ICP</w:t>
      </w:r>
      <w:r>
        <w:t>,</w:t>
      </w:r>
      <w:r w:rsidRPr="000C507A">
        <w:t xml:space="preserve"> while appropriate </w:t>
      </w:r>
      <w:r>
        <w:t>as a</w:t>
      </w:r>
      <w:r w:rsidRPr="000C507A">
        <w:t xml:space="preserve"> high</w:t>
      </w:r>
      <w:r w:rsidR="00D24279">
        <w:t>-</w:t>
      </w:r>
      <w:r w:rsidRPr="000C507A">
        <w:t xml:space="preserve">level </w:t>
      </w:r>
      <w:r>
        <w:t xml:space="preserve">organising principle, </w:t>
      </w:r>
      <w:r w:rsidRPr="000C507A">
        <w:t>needs to be customised to fit</w:t>
      </w:r>
      <w:r>
        <w:t xml:space="preserve"> local circumstances</w:t>
      </w:r>
      <w:r w:rsidRPr="000C507A">
        <w:t xml:space="preserve">. This would effectively </w:t>
      </w:r>
      <w:r w:rsidR="00B529B4">
        <w:t>complement the existing</w:t>
      </w:r>
      <w:r w:rsidRPr="000C507A">
        <w:t xml:space="preserve"> level of co-design and </w:t>
      </w:r>
      <w:r w:rsidR="00B529B4">
        <w:t>increase future levels of acceptance among</w:t>
      </w:r>
      <w:r w:rsidRPr="000C507A">
        <w:t xml:space="preserve"> service users.</w:t>
      </w:r>
    </w:p>
    <w:p w14:paraId="49F14C8D" w14:textId="77777777" w:rsidR="007548CA" w:rsidRPr="009D0622" w:rsidRDefault="007548CA" w:rsidP="007548CA">
      <w:pPr>
        <w:ind w:left="720"/>
        <w:rPr>
          <w:i/>
        </w:rPr>
      </w:pPr>
      <w:r>
        <w:rPr>
          <w:i/>
        </w:rPr>
        <w:t>This is already part of the implementation process for the ICP.</w:t>
      </w:r>
    </w:p>
    <w:p w14:paraId="4912A0E1" w14:textId="77777777" w:rsidR="007548CA" w:rsidRDefault="007548CA" w:rsidP="007548CA">
      <w:pPr>
        <w:pStyle w:val="ListParagraph"/>
        <w:numPr>
          <w:ilvl w:val="0"/>
          <w:numId w:val="32"/>
        </w:numPr>
      </w:pPr>
      <w:r w:rsidRPr="000C507A">
        <w:t xml:space="preserve">Good cultural practice must be </w:t>
      </w:r>
      <w:proofErr w:type="gramStart"/>
      <w:r w:rsidRPr="000C507A">
        <w:t>embedded,</w:t>
      </w:r>
      <w:proofErr w:type="gramEnd"/>
      <w:r w:rsidRPr="000C507A">
        <w:t xml:space="preserve"> effective and consistent</w:t>
      </w:r>
      <w:r>
        <w:t xml:space="preserve"> (see the suggestions </w:t>
      </w:r>
      <w:r w:rsidR="007773E9">
        <w:t>in s</w:t>
      </w:r>
      <w:r>
        <w:t xml:space="preserve">ection </w:t>
      </w:r>
      <w:r>
        <w:fldChar w:fldCharType="begin"/>
      </w:r>
      <w:r>
        <w:instrText xml:space="preserve"> REF _Ref436570960 \r \h </w:instrText>
      </w:r>
      <w:r>
        <w:fldChar w:fldCharType="separate"/>
      </w:r>
      <w:r w:rsidR="005341C3">
        <w:t>8</w:t>
      </w:r>
      <w:r>
        <w:fldChar w:fldCharType="end"/>
      </w:r>
      <w:r>
        <w:t>)</w:t>
      </w:r>
      <w:r w:rsidRPr="000C507A">
        <w:t>.</w:t>
      </w:r>
    </w:p>
    <w:p w14:paraId="6AB2A18A" w14:textId="77777777" w:rsidR="007548CA" w:rsidRPr="009D0622" w:rsidRDefault="007548CA" w:rsidP="007548CA">
      <w:pPr>
        <w:ind w:left="720"/>
        <w:rPr>
          <w:i/>
        </w:rPr>
      </w:pPr>
      <w:r>
        <w:rPr>
          <w:i/>
        </w:rPr>
        <w:t>This is already part of the cultural responsiveness plan</w:t>
      </w:r>
      <w:r w:rsidR="007773E9">
        <w:rPr>
          <w:i/>
        </w:rPr>
        <w:t>.</w:t>
      </w:r>
    </w:p>
    <w:p w14:paraId="61EC281D" w14:textId="77777777" w:rsidR="007548CA" w:rsidRPr="000C507A" w:rsidRDefault="007548CA" w:rsidP="007548CA">
      <w:pPr>
        <w:pStyle w:val="ListParagraph"/>
        <w:numPr>
          <w:ilvl w:val="0"/>
          <w:numId w:val="32"/>
        </w:numPr>
      </w:pPr>
      <w:r w:rsidRPr="000C507A">
        <w:t xml:space="preserve">Planning must </w:t>
      </w:r>
      <w:r w:rsidR="007773E9">
        <w:t xml:space="preserve">incorporate </w:t>
      </w:r>
      <w:r w:rsidRPr="000C507A">
        <w:t>realistic timeframes</w:t>
      </w:r>
      <w:r w:rsidR="007773E9">
        <w:t>,</w:t>
      </w:r>
      <w:r w:rsidRPr="000C507A">
        <w:t xml:space="preserve"> based on best practice and how to embed </w:t>
      </w:r>
      <w:r w:rsidR="00B529B4">
        <w:t>change</w:t>
      </w:r>
      <w:r w:rsidRPr="000C507A">
        <w:t>.</w:t>
      </w:r>
    </w:p>
    <w:p w14:paraId="73B5CB8F" w14:textId="08BEF263" w:rsidR="008656AA" w:rsidRDefault="002D5D82" w:rsidP="00EB09F9">
      <w:pPr>
        <w:pStyle w:val="ListParagraph"/>
        <w:numPr>
          <w:ilvl w:val="0"/>
          <w:numId w:val="32"/>
        </w:numPr>
      </w:pPr>
      <w:r>
        <w:t>The service needs to galvanise c</w:t>
      </w:r>
      <w:r w:rsidR="007548CA" w:rsidRPr="000C507A">
        <w:t>ommunity relationships to support and protect the change</w:t>
      </w:r>
      <w:r w:rsidR="007548CA">
        <w:t xml:space="preserve">. </w:t>
      </w:r>
      <w:r w:rsidR="008656AA">
        <w:br w:type="page"/>
      </w:r>
    </w:p>
    <w:p w14:paraId="204F1D0B" w14:textId="77777777" w:rsidR="008656AA" w:rsidRPr="00A640FC" w:rsidRDefault="008656AA" w:rsidP="008656AA">
      <w:pPr>
        <w:pStyle w:val="Heading1"/>
        <w:numPr>
          <w:ilvl w:val="0"/>
          <w:numId w:val="0"/>
        </w:numPr>
      </w:pPr>
      <w:bookmarkStart w:id="75" w:name="_Toc448394377"/>
      <w:r w:rsidRPr="00A640FC">
        <w:lastRenderedPageBreak/>
        <w:t>APPENDICES</w:t>
      </w:r>
      <w:bookmarkEnd w:id="75"/>
    </w:p>
    <w:p w14:paraId="1619FEA6" w14:textId="77777777" w:rsidR="008656AA" w:rsidRDefault="008656AA" w:rsidP="008656AA">
      <w:pPr>
        <w:pStyle w:val="Heading2"/>
        <w:numPr>
          <w:ilvl w:val="0"/>
          <w:numId w:val="0"/>
        </w:numPr>
      </w:pPr>
      <w:bookmarkStart w:id="76" w:name="_Ref432359144"/>
      <w:bookmarkStart w:id="77" w:name="_Ref432359197"/>
      <w:bookmarkStart w:id="78" w:name="_Toc448394378"/>
      <w:r>
        <w:t xml:space="preserve">Appendix 1: </w:t>
      </w:r>
      <w:r w:rsidRPr="00220FB3">
        <w:rPr>
          <w:i/>
        </w:rPr>
        <w:t>A Time for Change</w:t>
      </w:r>
      <w:r w:rsidRPr="000C507A">
        <w:t xml:space="preserve"> – Summary</w:t>
      </w:r>
      <w:bookmarkEnd w:id="76"/>
      <w:bookmarkEnd w:id="77"/>
      <w:bookmarkEnd w:id="78"/>
    </w:p>
    <w:p w14:paraId="7E4ADD00" w14:textId="77777777" w:rsidR="00FA0247" w:rsidRDefault="008656AA" w:rsidP="008656AA">
      <w:pPr>
        <w:rPr>
          <w:i/>
        </w:rPr>
      </w:pPr>
      <w:r w:rsidRPr="00220FB3">
        <w:t xml:space="preserve">This appendix is a summary of the </w:t>
      </w:r>
      <w:r w:rsidR="002D5D82">
        <w:t xml:space="preserve">March 2009 </w:t>
      </w:r>
      <w:r w:rsidRPr="00220FB3">
        <w:t xml:space="preserve">Waikato DHB report </w:t>
      </w:r>
      <w:r w:rsidRPr="0059005F">
        <w:rPr>
          <w:i/>
        </w:rPr>
        <w:t>A Time for Change: Evaluation of Health Waikato Adult Mental Health and Addictions Service</w:t>
      </w:r>
      <w:r w:rsidR="00FA0247">
        <w:rPr>
          <w:i/>
        </w:rPr>
        <w:t>.</w:t>
      </w:r>
      <w:r w:rsidRPr="00220FB3">
        <w:rPr>
          <w:rStyle w:val="FootnoteReference"/>
        </w:rPr>
        <w:footnoteReference w:id="23"/>
      </w:r>
      <w:r w:rsidRPr="0059005F">
        <w:rPr>
          <w:i/>
        </w:rPr>
        <w:t xml:space="preserve"> </w:t>
      </w:r>
    </w:p>
    <w:p w14:paraId="190D39C5" w14:textId="77777777" w:rsidR="008656AA" w:rsidRPr="000C507A" w:rsidRDefault="002D5D82" w:rsidP="008656AA">
      <w:r>
        <w:t xml:space="preserve">In </w:t>
      </w:r>
      <w:r w:rsidRPr="002D5D82">
        <w:rPr>
          <w:i/>
        </w:rPr>
        <w:t>A Time for Change</w:t>
      </w:r>
      <w:r>
        <w:t xml:space="preserve">, </w:t>
      </w:r>
      <w:r w:rsidR="008656AA" w:rsidRPr="000C507A">
        <w:t xml:space="preserve">external reviewers </w:t>
      </w:r>
      <w:r>
        <w:t xml:space="preserve">presented the results of their </w:t>
      </w:r>
      <w:r w:rsidR="00B529B4">
        <w:t xml:space="preserve">review </w:t>
      </w:r>
      <w:r>
        <w:t xml:space="preserve">into </w:t>
      </w:r>
      <w:r w:rsidR="008656AA" w:rsidRPr="000C507A">
        <w:t>the provision of care in the acute adult mental health services of the Waikato DHB.</w:t>
      </w:r>
      <w:r w:rsidR="00B529B4">
        <w:t xml:space="preserve"> </w:t>
      </w:r>
      <w:r w:rsidR="008656AA" w:rsidRPr="000C507A">
        <w:t xml:space="preserve">The purpose and process of this </w:t>
      </w:r>
      <w:r>
        <w:t xml:space="preserve">investigation </w:t>
      </w:r>
      <w:r w:rsidR="008656AA" w:rsidRPr="000C507A">
        <w:t>is set out below.</w:t>
      </w:r>
    </w:p>
    <w:p w14:paraId="2B6DFC48" w14:textId="77777777" w:rsidR="008656AA" w:rsidRPr="000C507A" w:rsidRDefault="008656AA" w:rsidP="008656AA">
      <w:r w:rsidRPr="000C507A">
        <w:t>Purpose:</w:t>
      </w:r>
    </w:p>
    <w:p w14:paraId="35741519" w14:textId="77777777" w:rsidR="008656AA" w:rsidRPr="000C507A" w:rsidRDefault="008656AA" w:rsidP="008656AA">
      <w:pPr>
        <w:pStyle w:val="ListParagraph"/>
        <w:numPr>
          <w:ilvl w:val="0"/>
          <w:numId w:val="1"/>
        </w:numPr>
      </w:pPr>
      <w:r w:rsidRPr="000C507A">
        <w:t>Review the standard of acute adult inpatient care compared with expected recovery standards</w:t>
      </w:r>
    </w:p>
    <w:p w14:paraId="415A29BD" w14:textId="77777777" w:rsidR="008656AA" w:rsidRPr="000C507A" w:rsidRDefault="008656AA" w:rsidP="008656AA">
      <w:pPr>
        <w:pStyle w:val="ListParagraph"/>
        <w:numPr>
          <w:ilvl w:val="0"/>
          <w:numId w:val="1"/>
        </w:numPr>
      </w:pPr>
      <w:r w:rsidRPr="000C507A">
        <w:t>Review the standard of clinical leadership and management of acute adult inpatient care</w:t>
      </w:r>
    </w:p>
    <w:p w14:paraId="3B000057" w14:textId="77777777" w:rsidR="008656AA" w:rsidRPr="000C507A" w:rsidRDefault="008656AA" w:rsidP="008656AA">
      <w:pPr>
        <w:pStyle w:val="ListParagraph"/>
        <w:numPr>
          <w:ilvl w:val="0"/>
          <w:numId w:val="1"/>
        </w:numPr>
      </w:pPr>
      <w:r w:rsidRPr="000C507A">
        <w:t xml:space="preserve">Produce practical recommendations that may be used to take action to significantly improve the mental health care provided by Health Waikato Adult Mental Health and Addictions Service over the medium to long term to achieve the recovery standards set out in </w:t>
      </w:r>
      <w:proofErr w:type="spellStart"/>
      <w:r w:rsidRPr="000C507A">
        <w:t>Te</w:t>
      </w:r>
      <w:proofErr w:type="spellEnd"/>
      <w:r w:rsidRPr="000C507A">
        <w:t xml:space="preserve"> </w:t>
      </w:r>
      <w:proofErr w:type="spellStart"/>
      <w:r w:rsidRPr="000C507A">
        <w:t>Kokiri</w:t>
      </w:r>
      <w:proofErr w:type="spellEnd"/>
      <w:r w:rsidRPr="000C507A">
        <w:t>: The Mental Health and Addictions Action Plan (Ministry of Health, 2006) and the Blueprint (Mental Health Commission, 1998).</w:t>
      </w:r>
    </w:p>
    <w:p w14:paraId="0A19EACB" w14:textId="77777777" w:rsidR="008656AA" w:rsidRPr="000C507A" w:rsidRDefault="008656AA" w:rsidP="008656AA">
      <w:r w:rsidRPr="000C507A">
        <w:t>Process:</w:t>
      </w:r>
    </w:p>
    <w:p w14:paraId="1F51116A" w14:textId="77777777" w:rsidR="008656AA" w:rsidRPr="000C507A" w:rsidRDefault="008656AA" w:rsidP="008656AA">
      <w:pPr>
        <w:pStyle w:val="ListParagraph"/>
        <w:numPr>
          <w:ilvl w:val="0"/>
          <w:numId w:val="1"/>
        </w:numPr>
      </w:pPr>
      <w:r w:rsidRPr="000C507A">
        <w:t>Undertake a review of all relevant documentation provided by Waikato DHB</w:t>
      </w:r>
    </w:p>
    <w:p w14:paraId="0415D4AC" w14:textId="77777777" w:rsidR="008656AA" w:rsidRPr="000C507A" w:rsidRDefault="008656AA" w:rsidP="008656AA">
      <w:pPr>
        <w:pStyle w:val="ListParagraph"/>
        <w:numPr>
          <w:ilvl w:val="0"/>
          <w:numId w:val="1"/>
        </w:numPr>
      </w:pPr>
      <w:r w:rsidRPr="000C507A">
        <w:t>Undertake a site visit to Waikato DHB, visiting all identified business units and services of adult mental health services and those of other areas identified by Waikato DHB to be pertinent to the review</w:t>
      </w:r>
    </w:p>
    <w:p w14:paraId="548C70B2" w14:textId="77777777" w:rsidR="008656AA" w:rsidRPr="000C507A" w:rsidRDefault="008656AA" w:rsidP="008656AA">
      <w:pPr>
        <w:pStyle w:val="ListParagraph"/>
        <w:numPr>
          <w:ilvl w:val="0"/>
          <w:numId w:val="1"/>
        </w:numPr>
      </w:pPr>
      <w:r w:rsidRPr="000C507A">
        <w:t>Undertake interviews with any or all staff identified by Waikato DHB as being pertinent to the review</w:t>
      </w:r>
    </w:p>
    <w:p w14:paraId="2ACC4EEE" w14:textId="77777777" w:rsidR="008656AA" w:rsidRPr="000C507A" w:rsidRDefault="008656AA" w:rsidP="008656AA">
      <w:r w:rsidRPr="000C507A">
        <w:t>1. EXECUTIVE SUMMARY</w:t>
      </w:r>
    </w:p>
    <w:p w14:paraId="7AFCDA5F" w14:textId="77777777" w:rsidR="008656AA" w:rsidRPr="000C507A" w:rsidRDefault="008656AA" w:rsidP="008656AA">
      <w:r w:rsidRPr="000C507A">
        <w:t>The focus of this evaluation is the acute adult inpatient service. The team found that there are significant problems with the current operation of this service:</w:t>
      </w:r>
    </w:p>
    <w:p w14:paraId="51526D84" w14:textId="77777777" w:rsidR="008656AA" w:rsidRPr="000C507A" w:rsidRDefault="008656AA" w:rsidP="008656AA">
      <w:pPr>
        <w:pStyle w:val="ListParagraph"/>
        <w:numPr>
          <w:ilvl w:val="0"/>
          <w:numId w:val="1"/>
        </w:numPr>
      </w:pPr>
      <w:r w:rsidRPr="000C507A">
        <w:t>Inpatient units operate with unacceptably high occupancy rates</w:t>
      </w:r>
    </w:p>
    <w:p w14:paraId="6240364B" w14:textId="77777777" w:rsidR="008656AA" w:rsidRPr="000C507A" w:rsidRDefault="008656AA" w:rsidP="008656AA">
      <w:pPr>
        <w:pStyle w:val="ListParagraph"/>
        <w:numPr>
          <w:ilvl w:val="0"/>
          <w:numId w:val="1"/>
        </w:numPr>
      </w:pPr>
      <w:r w:rsidRPr="000C507A">
        <w:t>The capital infrastructure does not meet contemporary standards</w:t>
      </w:r>
    </w:p>
    <w:p w14:paraId="546FD72D" w14:textId="77777777" w:rsidR="008656AA" w:rsidRPr="000C507A" w:rsidRDefault="008656AA" w:rsidP="008656AA">
      <w:pPr>
        <w:pStyle w:val="ListParagraph"/>
        <w:numPr>
          <w:ilvl w:val="0"/>
          <w:numId w:val="1"/>
        </w:numPr>
      </w:pPr>
      <w:r w:rsidRPr="000C507A">
        <w:t>Staff report low levels of commitment to the organisation</w:t>
      </w:r>
    </w:p>
    <w:p w14:paraId="619EC3D2" w14:textId="77777777" w:rsidR="008656AA" w:rsidRPr="000C507A" w:rsidRDefault="008656AA" w:rsidP="008656AA">
      <w:pPr>
        <w:pStyle w:val="ListParagraph"/>
        <w:numPr>
          <w:ilvl w:val="0"/>
          <w:numId w:val="1"/>
        </w:numPr>
      </w:pPr>
      <w:r w:rsidRPr="000C507A">
        <w:t>The capacity to recruit and retain staff seems to be impaired</w:t>
      </w:r>
    </w:p>
    <w:p w14:paraId="22CB2D67" w14:textId="77777777" w:rsidR="008656AA" w:rsidRPr="000C507A" w:rsidRDefault="008656AA" w:rsidP="008656AA">
      <w:pPr>
        <w:pStyle w:val="ListParagraph"/>
        <w:numPr>
          <w:ilvl w:val="0"/>
          <w:numId w:val="1"/>
        </w:numPr>
      </w:pPr>
      <w:r w:rsidRPr="000C507A">
        <w:t xml:space="preserve">There is little evidence of </w:t>
      </w:r>
      <w:r>
        <w:t>Māori</w:t>
      </w:r>
      <w:r w:rsidRPr="000C507A">
        <w:t xml:space="preserve"> participation in service planning and provision</w:t>
      </w:r>
    </w:p>
    <w:p w14:paraId="67998149" w14:textId="77777777" w:rsidR="008656AA" w:rsidRPr="000C507A" w:rsidRDefault="008656AA" w:rsidP="008656AA">
      <w:pPr>
        <w:pStyle w:val="ListParagraph"/>
        <w:numPr>
          <w:ilvl w:val="0"/>
          <w:numId w:val="1"/>
        </w:numPr>
      </w:pPr>
      <w:r w:rsidRPr="000C507A">
        <w:t xml:space="preserve">There is little evidence that service users and </w:t>
      </w:r>
      <w:proofErr w:type="spellStart"/>
      <w:r w:rsidRPr="000C507A">
        <w:t>tangata</w:t>
      </w:r>
      <w:proofErr w:type="spellEnd"/>
      <w:r w:rsidRPr="000C507A">
        <w:t xml:space="preserve"> </w:t>
      </w:r>
      <w:proofErr w:type="spellStart"/>
      <w:r w:rsidRPr="000C507A">
        <w:t>whaiora</w:t>
      </w:r>
      <w:proofErr w:type="spellEnd"/>
      <w:r w:rsidRPr="000C507A">
        <w:t xml:space="preserve"> are sufficiently involved in planning for their care</w:t>
      </w:r>
    </w:p>
    <w:p w14:paraId="0701C88E" w14:textId="77777777" w:rsidR="008656AA" w:rsidRPr="000C507A" w:rsidRDefault="008656AA" w:rsidP="008656AA">
      <w:pPr>
        <w:pStyle w:val="ListParagraph"/>
        <w:numPr>
          <w:ilvl w:val="0"/>
          <w:numId w:val="1"/>
        </w:numPr>
      </w:pPr>
      <w:proofErr w:type="spellStart"/>
      <w:r>
        <w:t>Whānau</w:t>
      </w:r>
      <w:proofErr w:type="spellEnd"/>
      <w:r w:rsidRPr="000C507A">
        <w:t xml:space="preserve"> and families are concerned that they are not sufficiently involved in decision making.</w:t>
      </w:r>
    </w:p>
    <w:p w14:paraId="6A77ACCD" w14:textId="77777777" w:rsidR="008656AA" w:rsidRPr="000C507A" w:rsidRDefault="008656AA" w:rsidP="008656AA">
      <w:r w:rsidRPr="000C507A">
        <w:lastRenderedPageBreak/>
        <w:t>It is the opinion of the evaluation team that these problems are not in the main related to resources but rather to the systems currently in place to deliver services. By any measure the quantum of resources provided should be sufficient to provide a high standard of care. While plans for the development of home based intensive care services and alternatives to admission for service users with complex needs are supported strongly they should not be seen as the sole answer to the challenges which currently confront the service.</w:t>
      </w:r>
    </w:p>
    <w:p w14:paraId="0C2D1DAD" w14:textId="77777777" w:rsidR="008656AA" w:rsidRPr="000C507A" w:rsidRDefault="008656AA" w:rsidP="008656AA">
      <w:r w:rsidRPr="000C507A">
        <w:t>Although staff may report significant dissatisfaction with the service, there is a clear desire for change and commitment to improve the services provided. Despite this expressed desire, there seems to be an organisational inertia where staff no longer can identify or have little faith in the processes currently available to make decisions and effect change. There is a distinct lack of a shared direction or vision for the future.</w:t>
      </w:r>
    </w:p>
    <w:p w14:paraId="39D82A39" w14:textId="77777777" w:rsidR="008656AA" w:rsidRPr="000C507A" w:rsidRDefault="008656AA" w:rsidP="008656AA">
      <w:r w:rsidRPr="000C507A">
        <w:t>The evaluation team believes that a number of major systemic changes are required. They include:</w:t>
      </w:r>
    </w:p>
    <w:p w14:paraId="34D8A546" w14:textId="77777777" w:rsidR="008656AA" w:rsidRPr="000C507A" w:rsidRDefault="008656AA" w:rsidP="008656AA">
      <w:pPr>
        <w:pStyle w:val="ListParagraph"/>
        <w:numPr>
          <w:ilvl w:val="0"/>
          <w:numId w:val="1"/>
        </w:numPr>
      </w:pPr>
      <w:r w:rsidRPr="000C507A">
        <w:t xml:space="preserve">Realignment of the service as an active public partner with </w:t>
      </w:r>
      <w:r>
        <w:t>Māori</w:t>
      </w:r>
      <w:r w:rsidRPr="000C507A">
        <w:t>, and with the other government and non-government providers</w:t>
      </w:r>
    </w:p>
    <w:p w14:paraId="76493CBA" w14:textId="77777777" w:rsidR="008656AA" w:rsidRPr="000C507A" w:rsidRDefault="008656AA" w:rsidP="008656AA">
      <w:pPr>
        <w:pStyle w:val="ListParagraph"/>
        <w:numPr>
          <w:ilvl w:val="0"/>
          <w:numId w:val="1"/>
        </w:numPr>
      </w:pPr>
      <w:r w:rsidRPr="000C507A">
        <w:t>Restructuring to provide an improved level of integrated, continuous care where the focus of service is located in the community</w:t>
      </w:r>
    </w:p>
    <w:p w14:paraId="72ABA4A7" w14:textId="77777777" w:rsidR="008656AA" w:rsidRPr="000C507A" w:rsidRDefault="008656AA" w:rsidP="008656AA">
      <w:pPr>
        <w:pStyle w:val="ListParagraph"/>
        <w:numPr>
          <w:ilvl w:val="0"/>
          <w:numId w:val="1"/>
        </w:numPr>
      </w:pPr>
      <w:r w:rsidRPr="000C507A">
        <w:t>Serious investment to plan for the establishment of the recovery approach as the foundation for redesigning care planning and delivery across inpatient and community services</w:t>
      </w:r>
    </w:p>
    <w:p w14:paraId="3DD888E3" w14:textId="77777777" w:rsidR="008656AA" w:rsidRPr="000C507A" w:rsidRDefault="008656AA" w:rsidP="008656AA">
      <w:pPr>
        <w:pStyle w:val="ListParagraph"/>
        <w:numPr>
          <w:ilvl w:val="0"/>
          <w:numId w:val="1"/>
        </w:numPr>
      </w:pPr>
      <w:r w:rsidRPr="000C507A">
        <w:t>Restructuring the current leadership and management systems to support the establishment of more effective delivery of clinical leadership and governance.</w:t>
      </w:r>
    </w:p>
    <w:p w14:paraId="37084DCC" w14:textId="77777777" w:rsidR="008656AA" w:rsidRPr="000C507A" w:rsidRDefault="008656AA" w:rsidP="008656AA">
      <w:r w:rsidRPr="000C507A">
        <w:t>This report provides more than 70 recommendations (Appendix 4) aimed at supporting these fundamental changes in the systems and processes in place.</w:t>
      </w:r>
    </w:p>
    <w:p w14:paraId="549D6313" w14:textId="77777777" w:rsidR="008656AA" w:rsidRPr="000C507A" w:rsidRDefault="008656AA" w:rsidP="008656AA">
      <w:r w:rsidRPr="000C507A">
        <w:t>It may be that organisational inertia referred to earlier relates to previous unsuccessful attempts to introduce change. Changes of this magnitude require a consolidated commitment which should not be underestimated.</w:t>
      </w:r>
    </w:p>
    <w:p w14:paraId="34EEB32F" w14:textId="77777777" w:rsidR="008656AA" w:rsidRDefault="008656AA" w:rsidP="008656AA">
      <w:r w:rsidRPr="000C507A">
        <w:t>Meaningful, effective change of this scale will require persistent and consistent investment over an extended period of years rather than months.</w:t>
      </w:r>
    </w:p>
    <w:p w14:paraId="445CDF66" w14:textId="77777777" w:rsidR="008656AA" w:rsidRDefault="008656AA" w:rsidP="008656AA">
      <w:r>
        <w:br w:type="page"/>
      </w:r>
    </w:p>
    <w:p w14:paraId="39F33747" w14:textId="77777777" w:rsidR="008656AA" w:rsidRPr="000C507A" w:rsidRDefault="008656AA" w:rsidP="008656AA"/>
    <w:p w14:paraId="429C75DC" w14:textId="77777777" w:rsidR="008656AA" w:rsidRDefault="008656AA" w:rsidP="008656AA">
      <w:pPr>
        <w:pStyle w:val="Heading2"/>
        <w:numPr>
          <w:ilvl w:val="0"/>
          <w:numId w:val="0"/>
        </w:numPr>
      </w:pPr>
      <w:bookmarkStart w:id="79" w:name="_Ref432359217"/>
      <w:bookmarkStart w:id="80" w:name="_Toc448394379"/>
      <w:r>
        <w:t xml:space="preserve">Appendix 2: </w:t>
      </w:r>
      <w:r w:rsidRPr="00AE3E9D">
        <w:rPr>
          <w:i/>
        </w:rPr>
        <w:t>A Time for Change</w:t>
      </w:r>
      <w:r w:rsidRPr="000C507A">
        <w:t xml:space="preserve"> – Recommendations</w:t>
      </w:r>
      <w:bookmarkEnd w:id="79"/>
      <w:bookmarkEnd w:id="80"/>
    </w:p>
    <w:p w14:paraId="07625550" w14:textId="77777777" w:rsidR="008656AA" w:rsidRPr="0092210C" w:rsidRDefault="008656AA" w:rsidP="008656AA">
      <w:r w:rsidRPr="00AE3E9D">
        <w:t xml:space="preserve">This appendix is an excerpt of the recommendations from the </w:t>
      </w:r>
      <w:r w:rsidR="009B4B79">
        <w:t xml:space="preserve">March 2009 </w:t>
      </w:r>
      <w:r w:rsidRPr="00220FB3">
        <w:t xml:space="preserve">Waikato DHB report </w:t>
      </w:r>
      <w:r w:rsidRPr="00220FB3">
        <w:rPr>
          <w:i/>
        </w:rPr>
        <w:t>A Time for Change: Evaluation of Health Waikato Adult Mental Health and Addictions Service</w:t>
      </w:r>
      <w:r w:rsidR="009B4B79">
        <w:t>.</w:t>
      </w:r>
      <w:r w:rsidRPr="00220FB3">
        <w:footnoteReference w:id="24"/>
      </w:r>
    </w:p>
    <w:p w14:paraId="626F901D" w14:textId="77777777" w:rsidR="008656AA" w:rsidRPr="000C507A" w:rsidRDefault="008656AA" w:rsidP="008656AA">
      <w:pPr>
        <w:pStyle w:val="Heading3"/>
        <w:numPr>
          <w:ilvl w:val="0"/>
          <w:numId w:val="0"/>
        </w:numPr>
      </w:pPr>
      <w:bookmarkStart w:id="81" w:name="_Toc448394380"/>
      <w:r w:rsidRPr="000C507A">
        <w:t>Organisational Development</w:t>
      </w:r>
      <w:bookmarkEnd w:id="81"/>
    </w:p>
    <w:p w14:paraId="6CF88F42" w14:textId="77777777" w:rsidR="008656AA" w:rsidRPr="000C507A" w:rsidRDefault="008656AA" w:rsidP="008656AA">
      <w:pPr>
        <w:pStyle w:val="ListParagraph"/>
        <w:numPr>
          <w:ilvl w:val="0"/>
          <w:numId w:val="18"/>
        </w:numPr>
      </w:pPr>
      <w:r w:rsidRPr="000C507A">
        <w:t>Initiate the development of a multi-agency Waikato District Mental Health Services Plan which engages all relevant agencies in planning and continuing commitment to a shared vision for the future. The recovery approach should underpin this planning process.</w:t>
      </w:r>
    </w:p>
    <w:p w14:paraId="169CD84E" w14:textId="77777777" w:rsidR="008656AA" w:rsidRPr="000C507A" w:rsidRDefault="008656AA" w:rsidP="008656AA">
      <w:pPr>
        <w:pStyle w:val="ListParagraph"/>
        <w:numPr>
          <w:ilvl w:val="0"/>
          <w:numId w:val="18"/>
        </w:numPr>
      </w:pPr>
      <w:r w:rsidRPr="000C507A">
        <w:t>Should the service decide to adopt the recommendations provided in this report, it is recommended that Health Waikato Mental Health and Addictions Service engage in collaboration with local iwi and key stakeholders to develop a plan for the new service which provides a clear and unambiguous vision for the future. This plan will provide the foundation for a change management strategy.</w:t>
      </w:r>
    </w:p>
    <w:p w14:paraId="1A22EF98" w14:textId="77777777" w:rsidR="008656AA" w:rsidRPr="000C507A" w:rsidRDefault="008656AA" w:rsidP="008656AA">
      <w:pPr>
        <w:pStyle w:val="ListParagraph"/>
        <w:numPr>
          <w:ilvl w:val="0"/>
          <w:numId w:val="18"/>
        </w:numPr>
      </w:pPr>
      <w:r w:rsidRPr="000C507A">
        <w:t>Review the current organisational structure to clarify lines of communication, decision making and reporting processes, and professional, clinical and managerial supervision. It is further recommended that a committee structure be developed which establishes new or revised terms of reference for each committee to ensure clear lines of authority and effective decision making capacity.</w:t>
      </w:r>
    </w:p>
    <w:p w14:paraId="494E6A18" w14:textId="77777777" w:rsidR="008656AA" w:rsidRPr="000C507A" w:rsidRDefault="008656AA" w:rsidP="008656AA">
      <w:pPr>
        <w:pStyle w:val="ListParagraph"/>
        <w:numPr>
          <w:ilvl w:val="0"/>
          <w:numId w:val="18"/>
        </w:numPr>
      </w:pPr>
      <w:r w:rsidRPr="000C507A">
        <w:t>Expedite as a matter of urgency, the excellent work currently under way to establish a framework for improved clinical governance. The development of an implementation plan should also be considered.</w:t>
      </w:r>
    </w:p>
    <w:p w14:paraId="6048E652" w14:textId="77777777" w:rsidR="008656AA" w:rsidRPr="000C507A" w:rsidRDefault="008656AA" w:rsidP="008656AA">
      <w:pPr>
        <w:pStyle w:val="Heading3"/>
        <w:numPr>
          <w:ilvl w:val="0"/>
          <w:numId w:val="0"/>
        </w:numPr>
      </w:pPr>
      <w:bookmarkStart w:id="82" w:name="_Toc448394381"/>
      <w:r w:rsidRPr="000C507A">
        <w:t>Safety</w:t>
      </w:r>
      <w:bookmarkEnd w:id="82"/>
    </w:p>
    <w:p w14:paraId="67B8BC31" w14:textId="77777777" w:rsidR="008656AA" w:rsidRPr="000C507A" w:rsidRDefault="008656AA" w:rsidP="008656AA">
      <w:pPr>
        <w:pStyle w:val="ListParagraph"/>
        <w:numPr>
          <w:ilvl w:val="0"/>
          <w:numId w:val="18"/>
        </w:numPr>
      </w:pPr>
      <w:r w:rsidRPr="000C507A">
        <w:t xml:space="preserve">Redevelop the Henry </w:t>
      </w:r>
      <w:proofErr w:type="spellStart"/>
      <w:r w:rsidRPr="000C507A">
        <w:t>Rongomau</w:t>
      </w:r>
      <w:proofErr w:type="spellEnd"/>
      <w:r w:rsidRPr="000C507A">
        <w:t xml:space="preserve"> Bennett Centre to provide an environment which meets contemporary standards.</w:t>
      </w:r>
    </w:p>
    <w:p w14:paraId="35188CED" w14:textId="77777777" w:rsidR="008656AA" w:rsidRPr="000C507A" w:rsidRDefault="008656AA" w:rsidP="008656AA">
      <w:pPr>
        <w:pStyle w:val="ListParagraph"/>
        <w:numPr>
          <w:ilvl w:val="0"/>
          <w:numId w:val="18"/>
        </w:numPr>
      </w:pPr>
      <w:r w:rsidRPr="000C507A">
        <w:t>Consider the process of and actions arising from risk assessment as a matter of priority during the development of the clinical governance model.</w:t>
      </w:r>
    </w:p>
    <w:p w14:paraId="09E333DF" w14:textId="77777777" w:rsidR="008656AA" w:rsidRPr="000C507A" w:rsidRDefault="008656AA" w:rsidP="008656AA">
      <w:pPr>
        <w:pStyle w:val="ListParagraph"/>
        <w:numPr>
          <w:ilvl w:val="0"/>
          <w:numId w:val="18"/>
        </w:numPr>
      </w:pPr>
      <w:r w:rsidRPr="000C507A">
        <w:t>Take immediate action to complete the training of staff in the use of the new Risk Assessment Tool to enable the tool to be applied consistently across the service.</w:t>
      </w:r>
    </w:p>
    <w:p w14:paraId="6C49A855" w14:textId="77777777" w:rsidR="008656AA" w:rsidRPr="000C507A" w:rsidRDefault="008656AA" w:rsidP="008656AA">
      <w:pPr>
        <w:pStyle w:val="ListParagraph"/>
        <w:numPr>
          <w:ilvl w:val="0"/>
          <w:numId w:val="18"/>
        </w:numPr>
      </w:pPr>
      <w:r w:rsidRPr="000C507A">
        <w:t>Initiate planning for the development and utilisation of a minimum data set which includes a strong focus on standardised outcome measures as part of the work being undertaken to establish a framework for clinical governance.</w:t>
      </w:r>
    </w:p>
    <w:p w14:paraId="60CBB92A" w14:textId="77777777" w:rsidR="008656AA" w:rsidRPr="000C507A" w:rsidRDefault="008656AA" w:rsidP="008656AA">
      <w:pPr>
        <w:pStyle w:val="ListParagraph"/>
        <w:numPr>
          <w:ilvl w:val="0"/>
          <w:numId w:val="18"/>
        </w:numPr>
      </w:pPr>
      <w:r w:rsidRPr="000C507A">
        <w:t>Consult and work more closely with the Quality Unit located at Waikato Hospital.</w:t>
      </w:r>
    </w:p>
    <w:p w14:paraId="028B7CDE" w14:textId="77777777" w:rsidR="008656AA" w:rsidRPr="000C507A" w:rsidRDefault="008656AA" w:rsidP="008656AA">
      <w:pPr>
        <w:pStyle w:val="ListParagraph"/>
        <w:numPr>
          <w:ilvl w:val="0"/>
          <w:numId w:val="18"/>
        </w:numPr>
      </w:pPr>
      <w:r w:rsidRPr="000C507A">
        <w:t>Rigorously examine the processes for undertaking root cause analysis and for managing recommended actions arising from reviews in order to:</w:t>
      </w:r>
    </w:p>
    <w:p w14:paraId="3C4206BF" w14:textId="77777777" w:rsidR="008656AA" w:rsidRPr="000C507A" w:rsidRDefault="008656AA" w:rsidP="008656AA">
      <w:pPr>
        <w:pStyle w:val="ListParagraph"/>
        <w:numPr>
          <w:ilvl w:val="1"/>
          <w:numId w:val="2"/>
        </w:numPr>
      </w:pPr>
      <w:r w:rsidRPr="000C507A">
        <w:t>improve the quality of the root cause analysis process;</w:t>
      </w:r>
    </w:p>
    <w:p w14:paraId="4C09ACC6" w14:textId="77777777" w:rsidR="008656AA" w:rsidRPr="000C507A" w:rsidRDefault="008656AA" w:rsidP="008656AA">
      <w:pPr>
        <w:pStyle w:val="ListParagraph"/>
        <w:numPr>
          <w:ilvl w:val="1"/>
          <w:numId w:val="2"/>
        </w:numPr>
      </w:pPr>
      <w:r w:rsidRPr="000C507A">
        <w:t>increase capacity to respond to critical incidents in a timely manner; and</w:t>
      </w:r>
    </w:p>
    <w:p w14:paraId="2A35FB2D" w14:textId="77777777" w:rsidR="008656AA" w:rsidRPr="000C507A" w:rsidRDefault="008656AA" w:rsidP="008656AA">
      <w:pPr>
        <w:pStyle w:val="ListParagraph"/>
        <w:numPr>
          <w:ilvl w:val="1"/>
          <w:numId w:val="2"/>
        </w:numPr>
      </w:pPr>
      <w:proofErr w:type="gramStart"/>
      <w:r w:rsidRPr="000C507A">
        <w:lastRenderedPageBreak/>
        <w:t>as</w:t>
      </w:r>
      <w:proofErr w:type="gramEnd"/>
      <w:r w:rsidRPr="000C507A">
        <w:t xml:space="preserve"> a consequence, improve confidence in the system.</w:t>
      </w:r>
    </w:p>
    <w:p w14:paraId="73F1BF9E" w14:textId="77777777" w:rsidR="008656AA" w:rsidRPr="000C507A" w:rsidRDefault="008656AA" w:rsidP="008656AA">
      <w:pPr>
        <w:pStyle w:val="Heading3"/>
        <w:numPr>
          <w:ilvl w:val="0"/>
          <w:numId w:val="0"/>
        </w:numPr>
      </w:pPr>
      <w:bookmarkStart w:id="83" w:name="_Toc448394382"/>
      <w:r w:rsidRPr="000C507A">
        <w:t>Recovery Approach and Application</w:t>
      </w:r>
      <w:bookmarkEnd w:id="83"/>
    </w:p>
    <w:p w14:paraId="1C50FB2C" w14:textId="77777777" w:rsidR="008656AA" w:rsidRPr="000C507A" w:rsidRDefault="008656AA" w:rsidP="008656AA">
      <w:pPr>
        <w:pStyle w:val="ListParagraph"/>
        <w:numPr>
          <w:ilvl w:val="0"/>
          <w:numId w:val="18"/>
        </w:numPr>
      </w:pPr>
      <w:r w:rsidRPr="000C507A">
        <w:t>Develop an implementation strategy for recovery, accompanied by strong demonstration of organisational leadership and understanding of the process of change.</w:t>
      </w:r>
    </w:p>
    <w:p w14:paraId="69C09AAD" w14:textId="77777777" w:rsidR="008656AA" w:rsidRPr="000C507A" w:rsidRDefault="008656AA" w:rsidP="008656AA">
      <w:pPr>
        <w:pStyle w:val="ListParagraph"/>
        <w:numPr>
          <w:ilvl w:val="0"/>
          <w:numId w:val="18"/>
        </w:numPr>
      </w:pPr>
      <w:r w:rsidRPr="000C507A">
        <w:t>Develop a workforce pathway for service user and family/</w:t>
      </w:r>
      <w:proofErr w:type="spellStart"/>
      <w:r>
        <w:t>whānau</w:t>
      </w:r>
      <w:proofErr w:type="spellEnd"/>
      <w:r w:rsidRPr="000C507A">
        <w:t xml:space="preserve"> workers and representatives within the service which will:</w:t>
      </w:r>
    </w:p>
    <w:p w14:paraId="1CFADAEE" w14:textId="77777777" w:rsidR="008656AA" w:rsidRPr="000C507A" w:rsidRDefault="008656AA" w:rsidP="008656AA">
      <w:pPr>
        <w:pStyle w:val="ListParagraph"/>
        <w:numPr>
          <w:ilvl w:val="1"/>
          <w:numId w:val="2"/>
        </w:numPr>
      </w:pPr>
      <w:r w:rsidRPr="000C507A">
        <w:t xml:space="preserve">Distinguish between different </w:t>
      </w:r>
      <w:r w:rsidR="00677CC5">
        <w:t>‘</w:t>
      </w:r>
      <w:r w:rsidRPr="000C507A">
        <w:t>lived experience</w:t>
      </w:r>
      <w:r w:rsidR="00677CC5">
        <w:t>’</w:t>
      </w:r>
      <w:r w:rsidRPr="000C507A">
        <w:t xml:space="preserve"> roles (e.g. peer support worker, representative, organisational advisor)</w:t>
      </w:r>
    </w:p>
    <w:p w14:paraId="5EADAE82" w14:textId="77777777" w:rsidR="008656AA" w:rsidRPr="000C507A" w:rsidRDefault="008656AA" w:rsidP="008656AA">
      <w:pPr>
        <w:pStyle w:val="ListParagraph"/>
        <w:numPr>
          <w:ilvl w:val="1"/>
          <w:numId w:val="2"/>
        </w:numPr>
      </w:pPr>
      <w:r w:rsidRPr="000C507A">
        <w:t>Detail the functional relationships between the different roles</w:t>
      </w:r>
    </w:p>
    <w:p w14:paraId="480C8718" w14:textId="77777777" w:rsidR="008656AA" w:rsidRPr="000C507A" w:rsidRDefault="008656AA" w:rsidP="008656AA">
      <w:pPr>
        <w:pStyle w:val="ListParagraph"/>
        <w:numPr>
          <w:ilvl w:val="1"/>
          <w:numId w:val="2"/>
        </w:numPr>
      </w:pPr>
      <w:r w:rsidRPr="000C507A">
        <w:t xml:space="preserve">Clearly articulate the purpose of </w:t>
      </w:r>
      <w:r w:rsidR="00677CC5">
        <w:t>‘</w:t>
      </w:r>
      <w:r w:rsidRPr="000C507A">
        <w:t>lived experience</w:t>
      </w:r>
      <w:r w:rsidR="00677CC5">
        <w:t>’</w:t>
      </w:r>
      <w:r w:rsidRPr="000C507A">
        <w:t xml:space="preserve"> positions, and</w:t>
      </w:r>
    </w:p>
    <w:p w14:paraId="23A783B4" w14:textId="77777777" w:rsidR="008656AA" w:rsidRPr="000C507A" w:rsidRDefault="008656AA" w:rsidP="008656AA">
      <w:pPr>
        <w:pStyle w:val="ListParagraph"/>
        <w:numPr>
          <w:ilvl w:val="1"/>
          <w:numId w:val="2"/>
        </w:numPr>
      </w:pPr>
      <w:r w:rsidRPr="000C507A">
        <w:t>Demonstrate embedded partnership and influence at all levels of the service as per Health and Disability Sector Standards.</w:t>
      </w:r>
    </w:p>
    <w:p w14:paraId="6C745E04" w14:textId="77777777" w:rsidR="008656AA" w:rsidRPr="000C507A" w:rsidRDefault="008656AA" w:rsidP="008656AA">
      <w:pPr>
        <w:pStyle w:val="ListParagraph"/>
        <w:numPr>
          <w:ilvl w:val="1"/>
          <w:numId w:val="2"/>
        </w:numPr>
      </w:pPr>
      <w:r w:rsidRPr="000C507A">
        <w:t>Provide position descriptions for all roles, with skills, tasks and expected results which are congruent both with the recovery approach and with roles operating at similar levels.</w:t>
      </w:r>
    </w:p>
    <w:p w14:paraId="4747A02F" w14:textId="77777777" w:rsidR="008656AA" w:rsidRPr="000C507A" w:rsidRDefault="008656AA" w:rsidP="008656AA">
      <w:pPr>
        <w:pStyle w:val="ListParagraph"/>
        <w:numPr>
          <w:ilvl w:val="0"/>
          <w:numId w:val="18"/>
        </w:numPr>
      </w:pPr>
      <w:r w:rsidRPr="000C507A">
        <w:t xml:space="preserve">Prioritise </w:t>
      </w:r>
      <w:proofErr w:type="spellStart"/>
      <w:r w:rsidRPr="000C507A">
        <w:t>tangata</w:t>
      </w:r>
      <w:proofErr w:type="spellEnd"/>
      <w:r w:rsidRPr="000C507A">
        <w:t xml:space="preserve"> </w:t>
      </w:r>
      <w:proofErr w:type="spellStart"/>
      <w:r w:rsidRPr="000C507A">
        <w:t>whaiora</w:t>
      </w:r>
      <w:proofErr w:type="spellEnd"/>
      <w:r w:rsidRPr="000C507A">
        <w:t xml:space="preserve"> development as an area for development in order to demonstrate embedded partnership and influence of </w:t>
      </w:r>
      <w:r>
        <w:t>Māori</w:t>
      </w:r>
      <w:r w:rsidRPr="000C507A">
        <w:t xml:space="preserve"> service users at all levels of the service.</w:t>
      </w:r>
    </w:p>
    <w:p w14:paraId="21D91819" w14:textId="77777777" w:rsidR="008656AA" w:rsidRPr="000C507A" w:rsidRDefault="008656AA" w:rsidP="008656AA">
      <w:pPr>
        <w:pStyle w:val="ListParagraph"/>
        <w:numPr>
          <w:ilvl w:val="0"/>
          <w:numId w:val="18"/>
        </w:numPr>
      </w:pPr>
      <w:r w:rsidRPr="000C507A">
        <w:t xml:space="preserve">Prioritise the </w:t>
      </w:r>
      <w:r w:rsidR="00677CC5">
        <w:t>‘</w:t>
      </w:r>
      <w:r w:rsidRPr="000C507A">
        <w:t xml:space="preserve">Action Plan from a </w:t>
      </w:r>
      <w:proofErr w:type="spellStart"/>
      <w:r w:rsidRPr="000C507A">
        <w:t>Tangata</w:t>
      </w:r>
      <w:proofErr w:type="spellEnd"/>
      <w:r w:rsidRPr="000C507A">
        <w:t xml:space="preserve"> </w:t>
      </w:r>
      <w:proofErr w:type="spellStart"/>
      <w:r w:rsidRPr="000C507A">
        <w:t>Whaiora</w:t>
      </w:r>
      <w:proofErr w:type="spellEnd"/>
      <w:r w:rsidRPr="000C507A">
        <w:t xml:space="preserve"> Perspective</w:t>
      </w:r>
      <w:r w:rsidR="00677CC5">
        <w:t>’</w:t>
      </w:r>
      <w:r w:rsidRPr="000C507A">
        <w:t xml:space="preserve"> document for completion, and implement.</w:t>
      </w:r>
    </w:p>
    <w:p w14:paraId="207E3593" w14:textId="77777777" w:rsidR="008656AA" w:rsidRPr="000C507A" w:rsidRDefault="008656AA" w:rsidP="008656AA">
      <w:pPr>
        <w:pStyle w:val="ListParagraph"/>
        <w:numPr>
          <w:ilvl w:val="0"/>
          <w:numId w:val="18"/>
        </w:numPr>
      </w:pPr>
      <w:r w:rsidRPr="000C507A">
        <w:t>Adopt a recognised and clearly articulated model of intentional peer support for peer support workers within the service.</w:t>
      </w:r>
    </w:p>
    <w:p w14:paraId="24DA0E9D" w14:textId="77777777" w:rsidR="008656AA" w:rsidRPr="000C507A" w:rsidRDefault="008656AA" w:rsidP="008656AA">
      <w:pPr>
        <w:pStyle w:val="ListParagraph"/>
        <w:numPr>
          <w:ilvl w:val="0"/>
          <w:numId w:val="18"/>
        </w:numPr>
      </w:pPr>
      <w:r w:rsidRPr="000C507A">
        <w:t>Make provision for peer support workers to receive adequate training in the chosen model of intentional peer support.</w:t>
      </w:r>
    </w:p>
    <w:p w14:paraId="5C6F5814" w14:textId="77777777" w:rsidR="008656AA" w:rsidRPr="000C507A" w:rsidRDefault="008656AA" w:rsidP="008656AA">
      <w:pPr>
        <w:pStyle w:val="ListParagraph"/>
        <w:numPr>
          <w:ilvl w:val="0"/>
          <w:numId w:val="18"/>
        </w:numPr>
      </w:pPr>
      <w:r w:rsidRPr="000C507A">
        <w:t>Develop position descriptions for peer support workers which outline the model of intentional peer support used, the tasks peer support workers will undertake, and the expected results.</w:t>
      </w:r>
    </w:p>
    <w:p w14:paraId="3692D633" w14:textId="77777777" w:rsidR="008656AA" w:rsidRPr="000C507A" w:rsidRDefault="008656AA" w:rsidP="008656AA">
      <w:pPr>
        <w:pStyle w:val="ListParagraph"/>
        <w:numPr>
          <w:ilvl w:val="0"/>
          <w:numId w:val="18"/>
        </w:numPr>
      </w:pPr>
      <w:r w:rsidRPr="000C507A">
        <w:t>Provide formal peer supervision consistent with the service’s chosen model of intentional peer support for peer support workers.</w:t>
      </w:r>
    </w:p>
    <w:p w14:paraId="3A3041B0" w14:textId="77777777" w:rsidR="008656AA" w:rsidRPr="000C507A" w:rsidRDefault="008656AA" w:rsidP="008656AA">
      <w:pPr>
        <w:pStyle w:val="ListParagraph"/>
        <w:numPr>
          <w:ilvl w:val="0"/>
          <w:numId w:val="18"/>
        </w:numPr>
      </w:pPr>
      <w:r w:rsidRPr="000C507A">
        <w:t>Redraft the current Multidisciplinary Team Treatment Plan to enable information concerning accommodation and discharge planning to be considered.</w:t>
      </w:r>
    </w:p>
    <w:p w14:paraId="6854CAA3" w14:textId="77777777" w:rsidR="008656AA" w:rsidRPr="000C507A" w:rsidRDefault="008656AA" w:rsidP="008656AA">
      <w:pPr>
        <w:pStyle w:val="ListParagraph"/>
        <w:numPr>
          <w:ilvl w:val="0"/>
          <w:numId w:val="18"/>
        </w:numPr>
      </w:pPr>
      <w:r w:rsidRPr="000C507A">
        <w:t>Ensure greater involvement from all disciplines in the development and utility of Multidisciplinary Team Treatment Plans for service users. The Multidisciplinary Team Treatment Plan should be viewed as a key document in providing direction for treatment interventions across all disciplines.</w:t>
      </w:r>
    </w:p>
    <w:p w14:paraId="17EEB6EB" w14:textId="77777777" w:rsidR="008656AA" w:rsidRPr="000C507A" w:rsidRDefault="008656AA" w:rsidP="008656AA">
      <w:pPr>
        <w:pStyle w:val="ListParagraph"/>
        <w:numPr>
          <w:ilvl w:val="0"/>
          <w:numId w:val="18"/>
        </w:numPr>
      </w:pPr>
      <w:r w:rsidRPr="000C507A">
        <w:t>Give a higher priority to service user involvement in the development of their care plans, in keeping with recovery principles. Use of an evaluation tool such as the Scottish Recovery Indicator could be considered for measuring service user involvement.</w:t>
      </w:r>
    </w:p>
    <w:p w14:paraId="3BEC17D5" w14:textId="77777777" w:rsidR="008656AA" w:rsidRPr="000C507A" w:rsidRDefault="008656AA" w:rsidP="008656AA">
      <w:pPr>
        <w:pStyle w:val="ListParagraph"/>
        <w:numPr>
          <w:ilvl w:val="0"/>
          <w:numId w:val="18"/>
        </w:numPr>
      </w:pPr>
      <w:r w:rsidRPr="000C507A">
        <w:lastRenderedPageBreak/>
        <w:t>Implement a standardised framework for discharge planning that considers the conditions of discharge, risk factors and any supports required for service users being discharged from the inpatient units.</w:t>
      </w:r>
    </w:p>
    <w:p w14:paraId="6B5B24A3" w14:textId="77777777" w:rsidR="008656AA" w:rsidRPr="000C507A" w:rsidRDefault="008656AA" w:rsidP="008656AA">
      <w:pPr>
        <w:pStyle w:val="ListParagraph"/>
        <w:numPr>
          <w:ilvl w:val="0"/>
          <w:numId w:val="18"/>
        </w:numPr>
      </w:pPr>
      <w:r w:rsidRPr="000C507A">
        <w:t>Develop and implement a strategy for effective engagement of community based organisations including the NGO sector in the planning and provision of services.</w:t>
      </w:r>
    </w:p>
    <w:p w14:paraId="22996E63" w14:textId="77777777" w:rsidR="008656AA" w:rsidRPr="000C507A" w:rsidRDefault="008656AA" w:rsidP="008656AA">
      <w:pPr>
        <w:pStyle w:val="ListParagraph"/>
        <w:numPr>
          <w:ilvl w:val="0"/>
          <w:numId w:val="18"/>
        </w:numPr>
      </w:pPr>
      <w:r w:rsidRPr="000C507A">
        <w:t>Consider the co-location of mental health and NGO workers as a first step in developing partnerships between these groups, especially in rural areas.</w:t>
      </w:r>
    </w:p>
    <w:p w14:paraId="732C9877" w14:textId="77777777" w:rsidR="008656AA" w:rsidRPr="000C507A" w:rsidRDefault="008656AA" w:rsidP="008656AA">
      <w:pPr>
        <w:pStyle w:val="ListParagraph"/>
        <w:numPr>
          <w:ilvl w:val="0"/>
          <w:numId w:val="18"/>
        </w:numPr>
      </w:pPr>
      <w:r w:rsidRPr="000C507A">
        <w:t xml:space="preserve">Permanently engage a service user in service evaluation. This individual would work closely with the quality coordinator so as to ensure service user and </w:t>
      </w:r>
      <w:proofErr w:type="spellStart"/>
      <w:r w:rsidRPr="000C507A">
        <w:t>tangata</w:t>
      </w:r>
      <w:proofErr w:type="spellEnd"/>
      <w:r w:rsidRPr="000C507A">
        <w:t xml:space="preserve"> </w:t>
      </w:r>
      <w:proofErr w:type="spellStart"/>
      <w:r w:rsidRPr="000C507A">
        <w:t>whaiora</w:t>
      </w:r>
      <w:proofErr w:type="spellEnd"/>
      <w:r w:rsidRPr="000C507A">
        <w:t xml:space="preserve"> input in quality and benchmarking activities.</w:t>
      </w:r>
    </w:p>
    <w:p w14:paraId="10E1F888" w14:textId="77777777" w:rsidR="008656AA" w:rsidRPr="000C507A" w:rsidRDefault="008656AA" w:rsidP="008656AA">
      <w:pPr>
        <w:pStyle w:val="Heading3"/>
        <w:numPr>
          <w:ilvl w:val="0"/>
          <w:numId w:val="0"/>
        </w:numPr>
      </w:pPr>
      <w:bookmarkStart w:id="84" w:name="_Toc448394383"/>
      <w:r w:rsidRPr="000C507A">
        <w:t>Integration and Continuity of Care</w:t>
      </w:r>
      <w:bookmarkEnd w:id="84"/>
    </w:p>
    <w:p w14:paraId="48083114" w14:textId="77777777" w:rsidR="008656AA" w:rsidRPr="000C507A" w:rsidRDefault="008656AA" w:rsidP="008656AA">
      <w:pPr>
        <w:pStyle w:val="ListParagraph"/>
        <w:numPr>
          <w:ilvl w:val="0"/>
          <w:numId w:val="18"/>
        </w:numPr>
      </w:pPr>
      <w:r w:rsidRPr="000C507A">
        <w:t>Review and realign all adult community teams, including rural teams, to better reflect an appropriate and clearly defined geographical district.</w:t>
      </w:r>
    </w:p>
    <w:p w14:paraId="7D4FA487" w14:textId="77777777" w:rsidR="008656AA" w:rsidRPr="000C507A" w:rsidRDefault="008656AA" w:rsidP="008656AA">
      <w:pPr>
        <w:pStyle w:val="ListParagraph"/>
        <w:numPr>
          <w:ilvl w:val="0"/>
          <w:numId w:val="18"/>
        </w:numPr>
      </w:pPr>
      <w:r w:rsidRPr="000C507A">
        <w:t>Enhance relationships with NGO providers to develop clear and timely pathways out of acute services using NGO provided mobile and residential support services</w:t>
      </w:r>
      <w:r w:rsidR="00677CC5">
        <w:t>.</w:t>
      </w:r>
    </w:p>
    <w:p w14:paraId="7367CE32" w14:textId="77777777" w:rsidR="008656AA" w:rsidRPr="000C507A" w:rsidRDefault="008656AA" w:rsidP="008656AA">
      <w:pPr>
        <w:pStyle w:val="ListParagraph"/>
        <w:numPr>
          <w:ilvl w:val="0"/>
          <w:numId w:val="18"/>
        </w:numPr>
      </w:pPr>
      <w:r w:rsidRPr="000C507A">
        <w:t>Invest in a range of community based acute care options e.g.: crisis resolution models, home based treatment, acute respite care, community acute alternatives etc. These could be supported by NGO providers as joint ventures.</w:t>
      </w:r>
    </w:p>
    <w:p w14:paraId="705E3771" w14:textId="77777777" w:rsidR="008656AA" w:rsidRPr="000C507A" w:rsidRDefault="008656AA" w:rsidP="008656AA">
      <w:pPr>
        <w:pStyle w:val="ListParagraph"/>
        <w:numPr>
          <w:ilvl w:val="0"/>
          <w:numId w:val="18"/>
        </w:numPr>
      </w:pPr>
      <w:r w:rsidRPr="000C507A">
        <w:t xml:space="preserve">Implement an integrated service model through the application of a comprehensive change management strategy. This will need to include aligning the Henry </w:t>
      </w:r>
      <w:proofErr w:type="spellStart"/>
      <w:r w:rsidRPr="000C507A">
        <w:t>Rongomau</w:t>
      </w:r>
      <w:proofErr w:type="spellEnd"/>
      <w:r w:rsidRPr="000C507A">
        <w:t xml:space="preserve"> Bennett Centre wards to the community teams, paying considerable attention to the roles, responsibilities and leadership structure of nursing staff, and redefining the structure and function of the multidisciplinary team within the inpatient unit. The change management strategy should establish clear key performance indicators, and will need to appreciate the complexity of organisational change associated with the implementation of the service model.</w:t>
      </w:r>
    </w:p>
    <w:p w14:paraId="6981DDD0" w14:textId="77777777" w:rsidR="008656AA" w:rsidRPr="000C507A" w:rsidRDefault="008656AA" w:rsidP="008656AA">
      <w:pPr>
        <w:pStyle w:val="ListParagraph"/>
        <w:numPr>
          <w:ilvl w:val="0"/>
          <w:numId w:val="18"/>
        </w:numPr>
      </w:pPr>
      <w:r w:rsidRPr="000C507A">
        <w:t>Develop and implement strategies for primary care engagement. Actively support community teams to discharge clients back to primary care or encourage shared care approaches.</w:t>
      </w:r>
    </w:p>
    <w:p w14:paraId="362766D4" w14:textId="77777777" w:rsidR="008656AA" w:rsidRPr="000C507A" w:rsidRDefault="008656AA" w:rsidP="008656AA">
      <w:pPr>
        <w:pStyle w:val="ListParagraph"/>
        <w:numPr>
          <w:ilvl w:val="0"/>
          <w:numId w:val="18"/>
        </w:numPr>
      </w:pPr>
      <w:r w:rsidRPr="000C507A">
        <w:t xml:space="preserve">Expand local capacity for early psychosis identification and response by realigning existing services to focus more precisely on the target group, using national guidelines to </w:t>
      </w:r>
      <w:proofErr w:type="gramStart"/>
      <w:r w:rsidRPr="000C507A">
        <w:t>advise</w:t>
      </w:r>
      <w:proofErr w:type="gramEnd"/>
      <w:r w:rsidRPr="000C507A">
        <w:t xml:space="preserve"> and direct service development.</w:t>
      </w:r>
    </w:p>
    <w:p w14:paraId="20A0ACEF" w14:textId="77777777" w:rsidR="008656AA" w:rsidRPr="000C507A" w:rsidRDefault="008656AA" w:rsidP="008656AA">
      <w:pPr>
        <w:pStyle w:val="ListParagraph"/>
        <w:numPr>
          <w:ilvl w:val="0"/>
          <w:numId w:val="18"/>
        </w:numPr>
      </w:pPr>
      <w:r w:rsidRPr="000C507A">
        <w:t>Develop and implement an integrated approach to crisis services. This should include the following steps:</w:t>
      </w:r>
    </w:p>
    <w:p w14:paraId="4F16FF1A" w14:textId="77777777" w:rsidR="008656AA" w:rsidRPr="000C507A" w:rsidRDefault="008656AA" w:rsidP="008656AA">
      <w:pPr>
        <w:pStyle w:val="ListParagraph"/>
        <w:numPr>
          <w:ilvl w:val="0"/>
          <w:numId w:val="19"/>
        </w:numPr>
      </w:pPr>
      <w:r w:rsidRPr="000C507A">
        <w:t>Reassign crisis staff to align with community teams</w:t>
      </w:r>
    </w:p>
    <w:p w14:paraId="40455DB7" w14:textId="77777777" w:rsidR="008656AA" w:rsidRPr="000C507A" w:rsidRDefault="008656AA" w:rsidP="008656AA">
      <w:pPr>
        <w:pStyle w:val="ListParagraph"/>
        <w:numPr>
          <w:ilvl w:val="0"/>
          <w:numId w:val="19"/>
        </w:numPr>
      </w:pPr>
      <w:r w:rsidRPr="000C507A">
        <w:t>Develop and implement protocols for engagement, shared care and referral from within the integrated crisis/community team</w:t>
      </w:r>
    </w:p>
    <w:p w14:paraId="40290415" w14:textId="77777777" w:rsidR="008656AA" w:rsidRPr="000C507A" w:rsidRDefault="008656AA" w:rsidP="008656AA">
      <w:pPr>
        <w:pStyle w:val="ListParagraph"/>
        <w:numPr>
          <w:ilvl w:val="0"/>
          <w:numId w:val="19"/>
        </w:numPr>
      </w:pPr>
      <w:r w:rsidRPr="000C507A">
        <w:t>Redefine crisis staff to be the single point of entry to acute services, including inpatient services, requiring close liaison with emergency department, consultation-liaison services and community services</w:t>
      </w:r>
    </w:p>
    <w:p w14:paraId="008E61DD" w14:textId="77777777" w:rsidR="008656AA" w:rsidRPr="000C507A" w:rsidRDefault="008656AA" w:rsidP="008656AA">
      <w:pPr>
        <w:pStyle w:val="ListParagraph"/>
        <w:numPr>
          <w:ilvl w:val="0"/>
          <w:numId w:val="19"/>
        </w:numPr>
      </w:pPr>
      <w:r w:rsidRPr="000C507A">
        <w:lastRenderedPageBreak/>
        <w:t xml:space="preserve">Develop and implement protocols that engage crisis staff in actively supporting discharge from Henry </w:t>
      </w:r>
      <w:proofErr w:type="spellStart"/>
      <w:r w:rsidRPr="000C507A">
        <w:t>Rongomau</w:t>
      </w:r>
      <w:proofErr w:type="spellEnd"/>
      <w:r w:rsidRPr="000C507A">
        <w:t xml:space="preserve"> Bennett Centre with clear responsibilities described.</w:t>
      </w:r>
    </w:p>
    <w:p w14:paraId="714D12A8" w14:textId="77777777" w:rsidR="008656AA" w:rsidRPr="000C507A" w:rsidRDefault="008656AA" w:rsidP="008656AA">
      <w:pPr>
        <w:pStyle w:val="ListParagraph"/>
        <w:numPr>
          <w:ilvl w:val="0"/>
          <w:numId w:val="18"/>
        </w:numPr>
      </w:pPr>
      <w:r w:rsidRPr="000C507A">
        <w:t>Reconsider the model for multidisciplinary team function with specific focus on redefining generic competencies, discipline specific competencies, and the role of the keyworker/case manager.</w:t>
      </w:r>
    </w:p>
    <w:p w14:paraId="34D199CA" w14:textId="77777777" w:rsidR="008656AA" w:rsidRPr="000C507A" w:rsidRDefault="008656AA" w:rsidP="008656AA">
      <w:pPr>
        <w:pStyle w:val="ListParagraph"/>
        <w:numPr>
          <w:ilvl w:val="0"/>
          <w:numId w:val="18"/>
        </w:numPr>
      </w:pPr>
      <w:r w:rsidRPr="000C507A">
        <w:t>Develop and implement an assertive assessment to evaluate the need for ongoing care within mental health services and to engage with the discharge process, utilising standardised assessment tools.</w:t>
      </w:r>
    </w:p>
    <w:p w14:paraId="6805A8D5" w14:textId="77777777" w:rsidR="008656AA" w:rsidRPr="000C507A" w:rsidRDefault="008656AA" w:rsidP="008656AA">
      <w:pPr>
        <w:pStyle w:val="ListParagraph"/>
        <w:numPr>
          <w:ilvl w:val="0"/>
          <w:numId w:val="18"/>
        </w:numPr>
      </w:pPr>
      <w:r w:rsidRPr="000C507A">
        <w:t>Integrate alcohol and other drug services into adult community teams.</w:t>
      </w:r>
    </w:p>
    <w:p w14:paraId="3C2AD409" w14:textId="77777777" w:rsidR="008656AA" w:rsidRPr="000C507A" w:rsidRDefault="008656AA" w:rsidP="008656AA">
      <w:pPr>
        <w:pStyle w:val="ListParagraph"/>
        <w:numPr>
          <w:ilvl w:val="0"/>
          <w:numId w:val="18"/>
        </w:numPr>
      </w:pPr>
      <w:r w:rsidRPr="000C507A">
        <w:t>Integrate the intellectual disability team across community and inpatient services, and include allied health input.</w:t>
      </w:r>
    </w:p>
    <w:p w14:paraId="5215433F" w14:textId="77777777" w:rsidR="008656AA" w:rsidRPr="000C507A" w:rsidRDefault="008656AA" w:rsidP="008656AA">
      <w:pPr>
        <w:pStyle w:val="ListParagraph"/>
        <w:numPr>
          <w:ilvl w:val="0"/>
          <w:numId w:val="18"/>
        </w:numPr>
      </w:pPr>
      <w:r w:rsidRPr="000C507A">
        <w:t>Consult with and consider the Consultation-Liaison team in the service restructure, particularly regarding the interface with adult mental health teams and the crisis function as a single point of entry to inpatient services.</w:t>
      </w:r>
    </w:p>
    <w:p w14:paraId="14C1A9E5" w14:textId="77777777" w:rsidR="008656AA" w:rsidRPr="000C507A" w:rsidRDefault="008656AA" w:rsidP="008656AA">
      <w:pPr>
        <w:pStyle w:val="ListParagraph"/>
        <w:numPr>
          <w:ilvl w:val="0"/>
          <w:numId w:val="18"/>
        </w:numPr>
      </w:pPr>
      <w:r w:rsidRPr="000C507A">
        <w:t>Explore opportunities to assertively build relationships with the primary care sector in rural areas.</w:t>
      </w:r>
    </w:p>
    <w:p w14:paraId="649F8025" w14:textId="77777777" w:rsidR="008656AA" w:rsidRPr="000C507A" w:rsidRDefault="008656AA" w:rsidP="008656AA">
      <w:pPr>
        <w:pStyle w:val="ListParagraph"/>
        <w:numPr>
          <w:ilvl w:val="0"/>
          <w:numId w:val="18"/>
        </w:numPr>
      </w:pPr>
      <w:r w:rsidRPr="000C507A">
        <w:t>Explore technological solutions to minimise long distance travel such as telemedicine, peer support via videoconferencing, email, texting etc.</w:t>
      </w:r>
    </w:p>
    <w:p w14:paraId="5603EFFF" w14:textId="77777777" w:rsidR="008656AA" w:rsidRPr="000C507A" w:rsidRDefault="008656AA" w:rsidP="008656AA">
      <w:pPr>
        <w:pStyle w:val="ListParagraph"/>
        <w:numPr>
          <w:ilvl w:val="0"/>
          <w:numId w:val="18"/>
        </w:numPr>
      </w:pPr>
      <w:r w:rsidRPr="000C507A">
        <w:t>Enhance or provide supported beds in local areas with local capacity to manage those who are acutely unwell.</w:t>
      </w:r>
    </w:p>
    <w:p w14:paraId="701ADA55" w14:textId="77777777" w:rsidR="008656AA" w:rsidRPr="000C507A" w:rsidRDefault="008656AA" w:rsidP="008656AA">
      <w:pPr>
        <w:pStyle w:val="Heading3"/>
        <w:numPr>
          <w:ilvl w:val="0"/>
          <w:numId w:val="0"/>
        </w:numPr>
      </w:pPr>
      <w:bookmarkStart w:id="85" w:name="_Toc448394384"/>
      <w:r w:rsidRPr="000C507A">
        <w:t>Treatment and Therapy</w:t>
      </w:r>
      <w:bookmarkEnd w:id="85"/>
    </w:p>
    <w:p w14:paraId="5136E0C5" w14:textId="77777777" w:rsidR="008656AA" w:rsidRPr="000C507A" w:rsidRDefault="008656AA" w:rsidP="008656AA">
      <w:pPr>
        <w:pStyle w:val="ListParagraph"/>
        <w:numPr>
          <w:ilvl w:val="0"/>
          <w:numId w:val="18"/>
        </w:numPr>
      </w:pPr>
      <w:r w:rsidRPr="000C507A">
        <w:t>Gather data to better understand current prescribing practices, and use this to benchmark against best practice guidelines.</w:t>
      </w:r>
    </w:p>
    <w:p w14:paraId="4159C301" w14:textId="77777777" w:rsidR="008656AA" w:rsidRPr="000C507A" w:rsidRDefault="008656AA" w:rsidP="008656AA">
      <w:pPr>
        <w:pStyle w:val="ListParagraph"/>
        <w:numPr>
          <w:ilvl w:val="0"/>
          <w:numId w:val="18"/>
        </w:numPr>
      </w:pPr>
      <w:r w:rsidRPr="000C507A">
        <w:t>Support consistent implementation of metabolic monitoring guidelines, including addressing any barriers and using regular audit.</w:t>
      </w:r>
    </w:p>
    <w:p w14:paraId="2B9AC43F" w14:textId="77777777" w:rsidR="008656AA" w:rsidRPr="000C507A" w:rsidRDefault="008656AA" w:rsidP="008656AA">
      <w:pPr>
        <w:pStyle w:val="ListParagraph"/>
        <w:numPr>
          <w:ilvl w:val="0"/>
          <w:numId w:val="18"/>
        </w:numPr>
      </w:pPr>
      <w:r w:rsidRPr="000C507A">
        <w:t>Undertake a specific project, using a recovery approach and in partnership with service users, that:</w:t>
      </w:r>
    </w:p>
    <w:p w14:paraId="6B677848" w14:textId="77777777" w:rsidR="008656AA" w:rsidRPr="000C507A" w:rsidRDefault="008656AA" w:rsidP="008656AA">
      <w:pPr>
        <w:pStyle w:val="ListParagraph"/>
        <w:numPr>
          <w:ilvl w:val="0"/>
          <w:numId w:val="20"/>
        </w:numPr>
      </w:pPr>
      <w:r w:rsidRPr="000C507A">
        <w:t>identifies evidence based interventions that should be available in inpatient and community settings</w:t>
      </w:r>
    </w:p>
    <w:p w14:paraId="7B7E425C" w14:textId="77777777" w:rsidR="008656AA" w:rsidRPr="000C507A" w:rsidRDefault="008656AA" w:rsidP="008656AA">
      <w:pPr>
        <w:pStyle w:val="ListParagraph"/>
        <w:numPr>
          <w:ilvl w:val="0"/>
          <w:numId w:val="20"/>
        </w:numPr>
      </w:pPr>
      <w:r w:rsidRPr="000C507A">
        <w:t>audits to measure current delivery of these therapies</w:t>
      </w:r>
    </w:p>
    <w:p w14:paraId="35C4CC51" w14:textId="77777777" w:rsidR="008656AA" w:rsidRPr="000C507A" w:rsidRDefault="008656AA" w:rsidP="008656AA">
      <w:pPr>
        <w:pStyle w:val="ListParagraph"/>
        <w:numPr>
          <w:ilvl w:val="0"/>
          <w:numId w:val="20"/>
        </w:numPr>
      </w:pPr>
      <w:proofErr w:type="gramStart"/>
      <w:r w:rsidRPr="000C507A">
        <w:t>uses</w:t>
      </w:r>
      <w:proofErr w:type="gramEnd"/>
      <w:r w:rsidRPr="000C507A">
        <w:t xml:space="preserve"> the gap analysis to inform service development, training needs and service delivery across all members of the multidisciplinary team.</w:t>
      </w:r>
    </w:p>
    <w:p w14:paraId="59DF13DE" w14:textId="77777777" w:rsidR="008656AA" w:rsidRPr="000C507A" w:rsidRDefault="008656AA" w:rsidP="008656AA">
      <w:pPr>
        <w:pStyle w:val="ListParagraph"/>
        <w:numPr>
          <w:ilvl w:val="0"/>
          <w:numId w:val="18"/>
        </w:numPr>
      </w:pPr>
      <w:r w:rsidRPr="000C507A">
        <w:t xml:space="preserve">Undertake a specific project, liaising with </w:t>
      </w:r>
      <w:proofErr w:type="spellStart"/>
      <w:r w:rsidRPr="000C507A">
        <w:t>Te</w:t>
      </w:r>
      <w:proofErr w:type="spellEnd"/>
      <w:r w:rsidRPr="000C507A">
        <w:t xml:space="preserve"> </w:t>
      </w:r>
      <w:proofErr w:type="spellStart"/>
      <w:r w:rsidRPr="000C507A">
        <w:t>Puna</w:t>
      </w:r>
      <w:proofErr w:type="spellEnd"/>
      <w:r w:rsidRPr="000C507A">
        <w:t xml:space="preserve"> </w:t>
      </w:r>
      <w:proofErr w:type="spellStart"/>
      <w:r w:rsidRPr="000C507A">
        <w:t>Oranga</w:t>
      </w:r>
      <w:proofErr w:type="spellEnd"/>
      <w:r w:rsidRPr="000C507A">
        <w:t xml:space="preserve">, </w:t>
      </w:r>
      <w:r>
        <w:t>Māori</w:t>
      </w:r>
      <w:r w:rsidRPr="000C507A">
        <w:t xml:space="preserve"> mental health service providers, </w:t>
      </w:r>
      <w:proofErr w:type="spellStart"/>
      <w:r w:rsidRPr="000C507A">
        <w:t>tangata</w:t>
      </w:r>
      <w:proofErr w:type="spellEnd"/>
      <w:r w:rsidRPr="000C507A">
        <w:t xml:space="preserve"> </w:t>
      </w:r>
      <w:proofErr w:type="spellStart"/>
      <w:r w:rsidRPr="000C507A">
        <w:t>whaiora</w:t>
      </w:r>
      <w:proofErr w:type="spellEnd"/>
      <w:r w:rsidRPr="000C507A">
        <w:t xml:space="preserve"> and mana whenua to quantify and resolve this gap in service delivery across the Waikato district. This project will firstly inform and then fit within the recommended multi-agency Waikato District Mental Health Services Plan.</w:t>
      </w:r>
    </w:p>
    <w:p w14:paraId="5E0A20AF" w14:textId="77777777" w:rsidR="008656AA" w:rsidRPr="000C507A" w:rsidRDefault="008656AA" w:rsidP="008656AA">
      <w:pPr>
        <w:pStyle w:val="ListParagraph"/>
        <w:numPr>
          <w:ilvl w:val="0"/>
          <w:numId w:val="18"/>
        </w:numPr>
      </w:pPr>
      <w:r w:rsidRPr="000C507A">
        <w:t>Provide a greater focus on the provision of vocational rehabilitation services, where possible integrating vocational rehabilitation and mental health services.</w:t>
      </w:r>
    </w:p>
    <w:p w14:paraId="4594CF23" w14:textId="77777777" w:rsidR="008656AA" w:rsidRPr="000C507A" w:rsidRDefault="008656AA" w:rsidP="008656AA">
      <w:pPr>
        <w:pStyle w:val="ListParagraph"/>
        <w:numPr>
          <w:ilvl w:val="0"/>
          <w:numId w:val="18"/>
        </w:numPr>
      </w:pPr>
      <w:r w:rsidRPr="000C507A">
        <w:lastRenderedPageBreak/>
        <w:t>Evaluate the current Integrated Recovery Service to determine its ability to meet stated goals. Future directions for the service (expansion or otherwise) should be based on findings from the evaluation.</w:t>
      </w:r>
    </w:p>
    <w:p w14:paraId="78DB4B53" w14:textId="77777777" w:rsidR="008656AA" w:rsidRPr="000C507A" w:rsidRDefault="008656AA" w:rsidP="008656AA">
      <w:pPr>
        <w:pStyle w:val="ListParagraph"/>
        <w:numPr>
          <w:ilvl w:val="0"/>
          <w:numId w:val="18"/>
        </w:numPr>
      </w:pPr>
      <w:r w:rsidRPr="000C507A">
        <w:t>Review the current accommodation options that are available to determine what is available and to whom; undertake a stocktake and a gap analysis; and identify a range of options for individuals with a varying range of assessed needs and disability.</w:t>
      </w:r>
    </w:p>
    <w:p w14:paraId="0FE5B8A6" w14:textId="77777777" w:rsidR="008656AA" w:rsidRPr="000C507A" w:rsidRDefault="008656AA" w:rsidP="008656AA">
      <w:pPr>
        <w:pStyle w:val="ListParagraph"/>
        <w:numPr>
          <w:ilvl w:val="0"/>
          <w:numId w:val="18"/>
        </w:numPr>
      </w:pPr>
      <w:r w:rsidRPr="000C507A">
        <w:t>Consider the service’s relationship with the NGO sector more broadly, for example NGO agencies could be embedded within and as part of clinical teams, rather than just co-located.</w:t>
      </w:r>
    </w:p>
    <w:p w14:paraId="7AE977C4" w14:textId="77777777" w:rsidR="008656AA" w:rsidRPr="000C507A" w:rsidRDefault="008656AA" w:rsidP="008656AA">
      <w:pPr>
        <w:pStyle w:val="Heading3"/>
        <w:numPr>
          <w:ilvl w:val="0"/>
          <w:numId w:val="0"/>
        </w:numPr>
      </w:pPr>
      <w:bookmarkStart w:id="86" w:name="_Toc448394385"/>
      <w:r w:rsidRPr="000C507A">
        <w:t>Seclusion, Restraint and Involuntary Detention</w:t>
      </w:r>
      <w:bookmarkEnd w:id="86"/>
    </w:p>
    <w:p w14:paraId="69A494A2" w14:textId="77777777" w:rsidR="008656AA" w:rsidRPr="000C507A" w:rsidRDefault="008656AA" w:rsidP="008656AA">
      <w:pPr>
        <w:pStyle w:val="ListParagraph"/>
        <w:numPr>
          <w:ilvl w:val="0"/>
          <w:numId w:val="18"/>
        </w:numPr>
      </w:pPr>
      <w:r w:rsidRPr="000C507A">
        <w:t>Restructure the current Seclusion and Restraint Committee:</w:t>
      </w:r>
    </w:p>
    <w:p w14:paraId="69E7038F" w14:textId="77777777" w:rsidR="008656AA" w:rsidRPr="000C507A" w:rsidRDefault="008656AA" w:rsidP="008656AA">
      <w:pPr>
        <w:pStyle w:val="ListParagraph"/>
        <w:numPr>
          <w:ilvl w:val="0"/>
          <w:numId w:val="21"/>
        </w:numPr>
      </w:pPr>
      <w:r w:rsidRPr="000C507A">
        <w:t>Include broader representation from clinical, management and service user groups</w:t>
      </w:r>
    </w:p>
    <w:p w14:paraId="5E8076B0" w14:textId="77777777" w:rsidR="008656AA" w:rsidRPr="000C507A" w:rsidRDefault="008656AA" w:rsidP="008656AA">
      <w:pPr>
        <w:pStyle w:val="ListParagraph"/>
        <w:numPr>
          <w:ilvl w:val="0"/>
          <w:numId w:val="21"/>
        </w:numPr>
      </w:pPr>
      <w:r w:rsidRPr="000C507A">
        <w:t>Change the name of the committee to Safe Practice and Effective Communication Committee to reflect a focus on the broader issues around seclusion and restraint</w:t>
      </w:r>
    </w:p>
    <w:p w14:paraId="015633CE" w14:textId="77777777" w:rsidR="008656AA" w:rsidRPr="000C507A" w:rsidRDefault="008656AA" w:rsidP="008656AA">
      <w:pPr>
        <w:pStyle w:val="ListParagraph"/>
        <w:numPr>
          <w:ilvl w:val="0"/>
          <w:numId w:val="21"/>
        </w:numPr>
      </w:pPr>
      <w:r w:rsidRPr="000C507A">
        <w:t>Revisit the Seclusion Reduction Framework and Action Plan and have the committee provide a coordinated approach/plan for the development and implementation of future seclusion reduction strategies</w:t>
      </w:r>
    </w:p>
    <w:p w14:paraId="630E0E98" w14:textId="77777777" w:rsidR="008656AA" w:rsidRPr="000C507A" w:rsidRDefault="008656AA" w:rsidP="008656AA">
      <w:pPr>
        <w:pStyle w:val="ListParagraph"/>
        <w:numPr>
          <w:ilvl w:val="0"/>
          <w:numId w:val="21"/>
        </w:numPr>
      </w:pPr>
      <w:r w:rsidRPr="000C507A">
        <w:t xml:space="preserve">Engage the assistance of agencies such as </w:t>
      </w:r>
      <w:proofErr w:type="spellStart"/>
      <w:r w:rsidRPr="000C507A">
        <w:t>Te</w:t>
      </w:r>
      <w:proofErr w:type="spellEnd"/>
      <w:r w:rsidRPr="000C507A">
        <w:t xml:space="preserve"> </w:t>
      </w:r>
      <w:proofErr w:type="spellStart"/>
      <w:r w:rsidRPr="000C507A">
        <w:t>Pou</w:t>
      </w:r>
      <w:proofErr w:type="spellEnd"/>
      <w:r w:rsidRPr="000C507A">
        <w:t xml:space="preserve"> for this work, as well as local service user and cultural representatives.</w:t>
      </w:r>
    </w:p>
    <w:p w14:paraId="2D52D63B" w14:textId="77777777" w:rsidR="008656AA" w:rsidRPr="000C507A" w:rsidRDefault="008656AA" w:rsidP="008656AA">
      <w:pPr>
        <w:pStyle w:val="ListParagraph"/>
        <w:numPr>
          <w:ilvl w:val="0"/>
          <w:numId w:val="18"/>
        </w:numPr>
      </w:pPr>
      <w:r w:rsidRPr="000C507A">
        <w:t>Develop a mechanism for monitoring seclusion and restraint use within each multidisciplinary team:</w:t>
      </w:r>
    </w:p>
    <w:p w14:paraId="5DF161C9" w14:textId="77777777" w:rsidR="008656AA" w:rsidRPr="000C507A" w:rsidRDefault="008656AA" w:rsidP="008656AA">
      <w:pPr>
        <w:pStyle w:val="ListParagraph"/>
        <w:numPr>
          <w:ilvl w:val="0"/>
          <w:numId w:val="22"/>
        </w:numPr>
      </w:pPr>
      <w:r w:rsidRPr="000C507A">
        <w:t>Carry out this monitoring activity on a monthly basis with clear actions implemented to address identified concerns</w:t>
      </w:r>
    </w:p>
    <w:p w14:paraId="10413962" w14:textId="77777777" w:rsidR="008656AA" w:rsidRPr="000C507A" w:rsidRDefault="008656AA" w:rsidP="008656AA">
      <w:pPr>
        <w:pStyle w:val="ListParagraph"/>
        <w:numPr>
          <w:ilvl w:val="0"/>
          <w:numId w:val="22"/>
        </w:numPr>
      </w:pPr>
      <w:r w:rsidRPr="000C507A">
        <w:t xml:space="preserve">Include a strategy for ensuring that all staff </w:t>
      </w:r>
      <w:proofErr w:type="gramStart"/>
      <w:r w:rsidRPr="000C507A">
        <w:t>have</w:t>
      </w:r>
      <w:proofErr w:type="gramEnd"/>
      <w:r w:rsidRPr="000C507A">
        <w:t xml:space="preserve"> access to reports and opportunity to engage in the process.</w:t>
      </w:r>
    </w:p>
    <w:p w14:paraId="31432484" w14:textId="77777777" w:rsidR="008656AA" w:rsidRPr="000C507A" w:rsidRDefault="008656AA" w:rsidP="008656AA">
      <w:pPr>
        <w:pStyle w:val="ListParagraph"/>
        <w:numPr>
          <w:ilvl w:val="0"/>
          <w:numId w:val="18"/>
        </w:numPr>
      </w:pPr>
      <w:r w:rsidRPr="000C507A">
        <w:t>Consider changing the policy to have secluded individuals reviewed by a senior medical officer every four hours (rather than the current eight hours).</w:t>
      </w:r>
    </w:p>
    <w:p w14:paraId="77DCB377" w14:textId="77777777" w:rsidR="008656AA" w:rsidRPr="000C507A" w:rsidRDefault="008656AA" w:rsidP="008656AA">
      <w:pPr>
        <w:pStyle w:val="ListParagraph"/>
        <w:numPr>
          <w:ilvl w:val="0"/>
          <w:numId w:val="18"/>
        </w:numPr>
      </w:pPr>
      <w:r w:rsidRPr="000C507A">
        <w:t>Explore opportunities for greater service user involvement in the planning and monitoring of strategies aimed at reducing seclusion and restraint. Address immediately the lack of service user involvement in Safe Practice and Effective Communication training.</w:t>
      </w:r>
    </w:p>
    <w:p w14:paraId="68DDE26D" w14:textId="77777777" w:rsidR="008656AA" w:rsidRPr="000C507A" w:rsidRDefault="008656AA" w:rsidP="008656AA">
      <w:pPr>
        <w:pStyle w:val="ListParagraph"/>
        <w:numPr>
          <w:ilvl w:val="0"/>
          <w:numId w:val="18"/>
        </w:numPr>
      </w:pPr>
      <w:r w:rsidRPr="000C507A">
        <w:t xml:space="preserve">Implement a proactive approach to reducing seclusion and restraint by engaging with </w:t>
      </w:r>
      <w:proofErr w:type="spellStart"/>
      <w:r w:rsidRPr="000C507A">
        <w:t>Kaitakawaenga</w:t>
      </w:r>
      <w:proofErr w:type="spellEnd"/>
      <w:r w:rsidRPr="000C507A">
        <w:t xml:space="preserve"> for </w:t>
      </w:r>
      <w:proofErr w:type="spellStart"/>
      <w:r w:rsidRPr="000C507A">
        <w:t>tangata</w:t>
      </w:r>
      <w:proofErr w:type="spellEnd"/>
      <w:r w:rsidRPr="000C507A">
        <w:t xml:space="preserve"> </w:t>
      </w:r>
      <w:proofErr w:type="spellStart"/>
      <w:r w:rsidRPr="000C507A">
        <w:t>whaiora</w:t>
      </w:r>
      <w:proofErr w:type="spellEnd"/>
      <w:r w:rsidRPr="000C507A">
        <w:t xml:space="preserve"> earlier and in a more meaningful way. This may include embedding </w:t>
      </w:r>
      <w:proofErr w:type="spellStart"/>
      <w:r w:rsidRPr="000C507A">
        <w:t>Kaitakawaenga</w:t>
      </w:r>
      <w:proofErr w:type="spellEnd"/>
      <w:r w:rsidRPr="000C507A">
        <w:t xml:space="preserve"> in the clinical teams.</w:t>
      </w:r>
    </w:p>
    <w:p w14:paraId="234455BA" w14:textId="77777777" w:rsidR="008656AA" w:rsidRPr="000C507A" w:rsidRDefault="008656AA" w:rsidP="008656AA">
      <w:pPr>
        <w:pStyle w:val="ListParagraph"/>
        <w:numPr>
          <w:ilvl w:val="0"/>
          <w:numId w:val="18"/>
        </w:numPr>
      </w:pPr>
      <w:r w:rsidRPr="000C507A">
        <w:t>Take immediate action to reduce the flow of traffic through the seclusion area so as to provide greater privacy for those using seclusion.</w:t>
      </w:r>
    </w:p>
    <w:p w14:paraId="0F998A27" w14:textId="77777777" w:rsidR="008656AA" w:rsidRPr="000C507A" w:rsidRDefault="008656AA" w:rsidP="008656AA">
      <w:pPr>
        <w:pStyle w:val="ListParagraph"/>
        <w:numPr>
          <w:ilvl w:val="0"/>
          <w:numId w:val="18"/>
        </w:numPr>
      </w:pPr>
      <w:r w:rsidRPr="000C507A">
        <w:t>If a redevelopment of the HRBC is delayed for some years, a significant upgrade of the existing seclusion area is required to provide a more therapeutic environment in the interim.</w:t>
      </w:r>
    </w:p>
    <w:p w14:paraId="1055BBE2" w14:textId="77777777" w:rsidR="008656AA" w:rsidRPr="000C507A" w:rsidRDefault="008656AA" w:rsidP="008656AA">
      <w:pPr>
        <w:pStyle w:val="ListParagraph"/>
        <w:numPr>
          <w:ilvl w:val="0"/>
          <w:numId w:val="18"/>
        </w:numPr>
      </w:pPr>
      <w:r w:rsidRPr="000C507A">
        <w:lastRenderedPageBreak/>
        <w:t>Identify a space in each of the acute units that could be converted to a comfort room along the lines described above. Any redevelopment of the HRBC should include provision of comfort rooms or sensory modulation rooms to support efforts in reducing seclusion.</w:t>
      </w:r>
    </w:p>
    <w:p w14:paraId="44158C0B" w14:textId="77777777" w:rsidR="008656AA" w:rsidRPr="000C507A" w:rsidRDefault="008656AA" w:rsidP="008656AA">
      <w:pPr>
        <w:pStyle w:val="ListParagraph"/>
        <w:numPr>
          <w:ilvl w:val="0"/>
          <w:numId w:val="18"/>
        </w:numPr>
      </w:pPr>
      <w:r w:rsidRPr="000C507A">
        <w:t>Review the current documentation associated with seclusion and restraint with the aim of reducing duplication.</w:t>
      </w:r>
    </w:p>
    <w:p w14:paraId="09AA4BA7" w14:textId="77777777" w:rsidR="008656AA" w:rsidRPr="000C507A" w:rsidRDefault="008656AA" w:rsidP="008656AA">
      <w:pPr>
        <w:pStyle w:val="ListParagraph"/>
        <w:numPr>
          <w:ilvl w:val="0"/>
          <w:numId w:val="18"/>
        </w:numPr>
      </w:pPr>
      <w:r w:rsidRPr="000C507A">
        <w:t>Recommence Safe Practice and Effective Communication refresher training to ensure that staff have adequate skills to identify and be proactive in the management of aggressive patient behaviour.</w:t>
      </w:r>
    </w:p>
    <w:p w14:paraId="65250E59" w14:textId="77777777" w:rsidR="008656AA" w:rsidRPr="000C507A" w:rsidRDefault="008656AA" w:rsidP="008656AA">
      <w:pPr>
        <w:pStyle w:val="ListParagraph"/>
        <w:numPr>
          <w:ilvl w:val="0"/>
          <w:numId w:val="18"/>
        </w:numPr>
      </w:pPr>
      <w:r w:rsidRPr="000C507A">
        <w:t>Identify another venue for the delivery of Safe Practice and Effective Communication training, especially during the warmer months.</w:t>
      </w:r>
    </w:p>
    <w:p w14:paraId="59A44D83" w14:textId="77777777" w:rsidR="008656AA" w:rsidRPr="000C507A" w:rsidRDefault="008656AA" w:rsidP="008656AA">
      <w:pPr>
        <w:pStyle w:val="Heading3"/>
        <w:numPr>
          <w:ilvl w:val="0"/>
          <w:numId w:val="0"/>
        </w:numPr>
      </w:pPr>
      <w:bookmarkStart w:id="87" w:name="_Toc448394386"/>
      <w:r w:rsidRPr="000C507A">
        <w:t>Workforce</w:t>
      </w:r>
      <w:bookmarkEnd w:id="87"/>
    </w:p>
    <w:p w14:paraId="0F3E8AFC" w14:textId="77777777" w:rsidR="008656AA" w:rsidRPr="000C507A" w:rsidRDefault="008656AA" w:rsidP="008656AA">
      <w:pPr>
        <w:pStyle w:val="ListParagraph"/>
        <w:numPr>
          <w:ilvl w:val="0"/>
          <w:numId w:val="18"/>
        </w:numPr>
      </w:pPr>
      <w:r w:rsidRPr="000C507A">
        <w:t>Ensure that any change management strategy assertively supports and directs the workforce through the change process, including resources for rapidly developing and then maintaining effective team function over at least a two year timeframe.</w:t>
      </w:r>
    </w:p>
    <w:p w14:paraId="6D66AAB4" w14:textId="77777777" w:rsidR="008656AA" w:rsidRPr="000C507A" w:rsidRDefault="008656AA" w:rsidP="008656AA">
      <w:pPr>
        <w:pStyle w:val="ListParagraph"/>
        <w:numPr>
          <w:ilvl w:val="0"/>
          <w:numId w:val="18"/>
        </w:numPr>
      </w:pPr>
      <w:r w:rsidRPr="000C507A">
        <w:t>Clearly define the team structure and expected roles of team leaders across the service, with organisational support for team leaders to achieve the required change:</w:t>
      </w:r>
    </w:p>
    <w:p w14:paraId="16AFAE55" w14:textId="77777777" w:rsidR="008656AA" w:rsidRPr="000C507A" w:rsidRDefault="008656AA" w:rsidP="008656AA">
      <w:pPr>
        <w:pStyle w:val="ListParagraph"/>
        <w:numPr>
          <w:ilvl w:val="1"/>
          <w:numId w:val="3"/>
        </w:numPr>
      </w:pPr>
      <w:r w:rsidRPr="000C507A">
        <w:t>Implement a supporting structure of second-in-charge roles, separate from the professional leadership roles</w:t>
      </w:r>
    </w:p>
    <w:p w14:paraId="6CBFBEEE" w14:textId="77777777" w:rsidR="008656AA" w:rsidRPr="000C507A" w:rsidRDefault="008656AA" w:rsidP="008656AA">
      <w:pPr>
        <w:pStyle w:val="ListParagraph"/>
        <w:numPr>
          <w:ilvl w:val="1"/>
          <w:numId w:val="3"/>
        </w:numPr>
      </w:pPr>
      <w:r w:rsidRPr="000C507A">
        <w:t>Consider implementing clinical governance at team level.</w:t>
      </w:r>
    </w:p>
    <w:p w14:paraId="130C9851" w14:textId="77777777" w:rsidR="008656AA" w:rsidRPr="000C507A" w:rsidRDefault="008656AA" w:rsidP="008656AA">
      <w:pPr>
        <w:pStyle w:val="ListParagraph"/>
        <w:numPr>
          <w:ilvl w:val="0"/>
          <w:numId w:val="18"/>
        </w:numPr>
      </w:pPr>
      <w:r w:rsidRPr="000C507A">
        <w:t>Review professional leadership structures across the service to align with core service provision within each discipline, and embed multidisciplinary relationships in the professional structure of the service.</w:t>
      </w:r>
    </w:p>
    <w:p w14:paraId="653C059C" w14:textId="77777777" w:rsidR="008656AA" w:rsidRPr="000C507A" w:rsidRDefault="008656AA" w:rsidP="008656AA">
      <w:pPr>
        <w:pStyle w:val="ListParagraph"/>
        <w:numPr>
          <w:ilvl w:val="0"/>
          <w:numId w:val="18"/>
        </w:numPr>
      </w:pPr>
      <w:r w:rsidRPr="000C507A">
        <w:t>Investigate communication within the service:</w:t>
      </w:r>
    </w:p>
    <w:p w14:paraId="4AB015A0" w14:textId="77777777" w:rsidR="008656AA" w:rsidRPr="000C507A" w:rsidRDefault="008656AA" w:rsidP="008656AA">
      <w:pPr>
        <w:pStyle w:val="ListParagraph"/>
        <w:numPr>
          <w:ilvl w:val="0"/>
          <w:numId w:val="23"/>
        </w:numPr>
      </w:pPr>
      <w:r w:rsidRPr="000C507A">
        <w:t>Implement a communication audit to track information flow from Group Manager to service delivery levels</w:t>
      </w:r>
    </w:p>
    <w:p w14:paraId="603A80CD" w14:textId="77777777" w:rsidR="008656AA" w:rsidRPr="000C507A" w:rsidRDefault="008656AA" w:rsidP="008656AA">
      <w:pPr>
        <w:pStyle w:val="ListParagraph"/>
        <w:numPr>
          <w:ilvl w:val="0"/>
          <w:numId w:val="23"/>
        </w:numPr>
      </w:pPr>
      <w:proofErr w:type="gramStart"/>
      <w:r w:rsidRPr="000C507A">
        <w:t>develop</w:t>
      </w:r>
      <w:proofErr w:type="gramEnd"/>
      <w:r w:rsidRPr="000C507A">
        <w:t xml:space="preserve"> a plan for improving communication uptake across the service as part of the change management plan.</w:t>
      </w:r>
    </w:p>
    <w:p w14:paraId="3F6C24F8" w14:textId="77777777" w:rsidR="008656AA" w:rsidRPr="000C507A" w:rsidRDefault="008656AA" w:rsidP="008656AA">
      <w:pPr>
        <w:pStyle w:val="ListParagraph"/>
        <w:numPr>
          <w:ilvl w:val="0"/>
          <w:numId w:val="18"/>
        </w:numPr>
      </w:pPr>
      <w:r w:rsidRPr="000C507A">
        <w:t>Consider using the proposed restructuring as an opportunity to rebrand the Health Waikato mental health service as innovative and people-focused.</w:t>
      </w:r>
    </w:p>
    <w:p w14:paraId="32D31889" w14:textId="77777777" w:rsidR="008656AA" w:rsidRPr="000C507A" w:rsidRDefault="008656AA" w:rsidP="008656AA">
      <w:pPr>
        <w:pStyle w:val="ListParagraph"/>
        <w:numPr>
          <w:ilvl w:val="0"/>
          <w:numId w:val="18"/>
        </w:numPr>
      </w:pPr>
      <w:r w:rsidRPr="000C507A">
        <w:t>Establish a dedicated recruiter to specialise in mental health recruitment, taking timely action to initiate recruitment especially in relation to vacancies that are expected, and communicating progress and strategy with clinical areas.</w:t>
      </w:r>
    </w:p>
    <w:p w14:paraId="6760FC76" w14:textId="77777777" w:rsidR="008656AA" w:rsidRPr="000C507A" w:rsidRDefault="008656AA" w:rsidP="008656AA">
      <w:pPr>
        <w:pStyle w:val="ListParagraph"/>
        <w:numPr>
          <w:ilvl w:val="0"/>
          <w:numId w:val="18"/>
        </w:numPr>
      </w:pPr>
      <w:r w:rsidRPr="000C507A">
        <w:t>Develop and implement a standard multidisciplinary comprehensive induction programme, with a goal of delivery prior to first day of work.</w:t>
      </w:r>
    </w:p>
    <w:p w14:paraId="0EC219A8" w14:textId="77777777" w:rsidR="008656AA" w:rsidRPr="000C507A" w:rsidRDefault="008656AA" w:rsidP="008656AA">
      <w:pPr>
        <w:pStyle w:val="ListParagraph"/>
        <w:numPr>
          <w:ilvl w:val="0"/>
          <w:numId w:val="18"/>
        </w:numPr>
      </w:pPr>
      <w:r w:rsidRPr="000C507A">
        <w:t xml:space="preserve">Develop a cultural induction programme in partnership with </w:t>
      </w:r>
      <w:proofErr w:type="spellStart"/>
      <w:r w:rsidRPr="000C507A">
        <w:t>tangata</w:t>
      </w:r>
      <w:proofErr w:type="spellEnd"/>
      <w:r w:rsidRPr="000C507A">
        <w:t xml:space="preserve"> whenua, which is delivered to all international staff prior to their first day of work.</w:t>
      </w:r>
    </w:p>
    <w:p w14:paraId="475EECE4" w14:textId="77777777" w:rsidR="008656AA" w:rsidRPr="000C507A" w:rsidRDefault="008656AA" w:rsidP="008656AA">
      <w:pPr>
        <w:pStyle w:val="ListParagraph"/>
        <w:numPr>
          <w:ilvl w:val="0"/>
          <w:numId w:val="18"/>
        </w:numPr>
      </w:pPr>
      <w:r w:rsidRPr="000C507A">
        <w:t>Review the Education, Training and Development Committee:</w:t>
      </w:r>
    </w:p>
    <w:p w14:paraId="1FB2BCC6" w14:textId="77777777" w:rsidR="008656AA" w:rsidRPr="000C507A" w:rsidRDefault="008656AA" w:rsidP="008656AA">
      <w:pPr>
        <w:pStyle w:val="ListParagraph"/>
        <w:numPr>
          <w:ilvl w:val="0"/>
          <w:numId w:val="24"/>
        </w:numPr>
      </w:pPr>
      <w:r w:rsidRPr="000C507A">
        <w:lastRenderedPageBreak/>
        <w:t>Align its purpose and process with the integrated organisational structure, with an emphasis on the multidisciplinary recovery approach and the change management process at a strategic level</w:t>
      </w:r>
    </w:p>
    <w:p w14:paraId="2700B885" w14:textId="77777777" w:rsidR="008656AA" w:rsidRPr="000C507A" w:rsidRDefault="008656AA" w:rsidP="008656AA">
      <w:pPr>
        <w:pStyle w:val="ListParagraph"/>
        <w:numPr>
          <w:ilvl w:val="0"/>
          <w:numId w:val="24"/>
        </w:numPr>
      </w:pPr>
      <w:r w:rsidRPr="000C507A">
        <w:t>Further develop the Education, Training and Development strategy through consultation with staff as a part of the change process</w:t>
      </w:r>
    </w:p>
    <w:p w14:paraId="61B38FD2" w14:textId="77777777" w:rsidR="008656AA" w:rsidRPr="000C507A" w:rsidRDefault="008656AA" w:rsidP="008656AA">
      <w:pPr>
        <w:pStyle w:val="ListParagraph"/>
        <w:numPr>
          <w:ilvl w:val="0"/>
          <w:numId w:val="24"/>
        </w:numPr>
      </w:pPr>
      <w:r w:rsidRPr="000C507A">
        <w:t>Review the mandatory training requirements, align them with the Education, Training and Development strategy, and report as a key performance indicator</w:t>
      </w:r>
    </w:p>
    <w:p w14:paraId="40A14C65" w14:textId="77777777" w:rsidR="008656AA" w:rsidRPr="000C507A" w:rsidRDefault="008656AA" w:rsidP="008656AA">
      <w:pPr>
        <w:pStyle w:val="ListParagraph"/>
        <w:numPr>
          <w:ilvl w:val="0"/>
          <w:numId w:val="24"/>
        </w:numPr>
      </w:pPr>
      <w:r w:rsidRPr="000C507A">
        <w:t>Use the Committee to monitor the quality and uptake of multidisciplinary education and training.</w:t>
      </w:r>
    </w:p>
    <w:p w14:paraId="06FCA81F" w14:textId="77777777" w:rsidR="008656AA" w:rsidRPr="000C507A" w:rsidRDefault="008656AA" w:rsidP="008656AA">
      <w:pPr>
        <w:pStyle w:val="ListParagraph"/>
        <w:numPr>
          <w:ilvl w:val="0"/>
          <w:numId w:val="18"/>
        </w:numPr>
      </w:pPr>
      <w:r w:rsidRPr="000C507A">
        <w:t>Align decisions about individual professional development with the Education, Training and Development strategy and annual performance reviews:</w:t>
      </w:r>
    </w:p>
    <w:p w14:paraId="25CA502E" w14:textId="77777777" w:rsidR="008656AA" w:rsidRPr="000C507A" w:rsidRDefault="008656AA" w:rsidP="008656AA">
      <w:pPr>
        <w:pStyle w:val="ListParagraph"/>
        <w:numPr>
          <w:ilvl w:val="0"/>
          <w:numId w:val="25"/>
        </w:numPr>
      </w:pPr>
      <w:r w:rsidRPr="000C507A">
        <w:t>Use succession planning for the service to inform decisions</w:t>
      </w:r>
    </w:p>
    <w:p w14:paraId="5D72C0E9" w14:textId="77777777" w:rsidR="008656AA" w:rsidRPr="000C507A" w:rsidRDefault="008656AA" w:rsidP="008656AA">
      <w:pPr>
        <w:pStyle w:val="ListParagraph"/>
        <w:numPr>
          <w:ilvl w:val="0"/>
          <w:numId w:val="25"/>
        </w:numPr>
      </w:pPr>
      <w:r w:rsidRPr="000C507A">
        <w:t>Make decisions at Team Leader level in consultation with the appropriate Professional Advisor/Clinical Director/Clinical Nurse Director.</w:t>
      </w:r>
    </w:p>
    <w:p w14:paraId="165FA06F" w14:textId="77777777" w:rsidR="008656AA" w:rsidRPr="000C507A" w:rsidRDefault="008656AA" w:rsidP="008656AA">
      <w:pPr>
        <w:pStyle w:val="ListParagraph"/>
        <w:numPr>
          <w:ilvl w:val="0"/>
          <w:numId w:val="18"/>
        </w:numPr>
      </w:pPr>
      <w:r w:rsidRPr="000C507A">
        <w:t>Review the role of the Nurse Educator to align with the integrated care model and the Education, Training and Development strategy, and engage the Nurse Educators with the Professional Development Unit.</w:t>
      </w:r>
    </w:p>
    <w:p w14:paraId="6D9A8A7A" w14:textId="77777777" w:rsidR="008656AA" w:rsidRPr="000C507A" w:rsidRDefault="008656AA" w:rsidP="008656AA">
      <w:pPr>
        <w:pStyle w:val="ListParagraph"/>
        <w:numPr>
          <w:ilvl w:val="0"/>
          <w:numId w:val="18"/>
        </w:numPr>
      </w:pPr>
    </w:p>
    <w:p w14:paraId="5CBF6773" w14:textId="77777777" w:rsidR="008656AA" w:rsidRPr="000C507A" w:rsidRDefault="008656AA" w:rsidP="008656AA">
      <w:pPr>
        <w:pStyle w:val="ListParagraph"/>
        <w:numPr>
          <w:ilvl w:val="0"/>
          <w:numId w:val="28"/>
        </w:numPr>
      </w:pPr>
      <w:r w:rsidRPr="000C507A">
        <w:t>Develop and formalise a multidisciplinary preceptorship and mentoring process across the service to ensure quality teaching and learning experiences for undergraduate, new graduate and junior staff</w:t>
      </w:r>
    </w:p>
    <w:p w14:paraId="35F08DCE" w14:textId="77777777" w:rsidR="008656AA" w:rsidRPr="000C507A" w:rsidRDefault="008656AA" w:rsidP="008656AA">
      <w:pPr>
        <w:pStyle w:val="ListParagraph"/>
        <w:numPr>
          <w:ilvl w:val="0"/>
          <w:numId w:val="28"/>
        </w:numPr>
      </w:pPr>
      <w:r w:rsidRPr="000C507A">
        <w:t>Assign a quality overview of all staff in need of preceptorship and all preceptors to one role within the service, and report on this.</w:t>
      </w:r>
    </w:p>
    <w:p w14:paraId="687CE84F" w14:textId="77777777" w:rsidR="008656AA" w:rsidRPr="000C507A" w:rsidRDefault="008656AA" w:rsidP="008656AA">
      <w:pPr>
        <w:pStyle w:val="ListParagraph"/>
        <w:numPr>
          <w:ilvl w:val="0"/>
          <w:numId w:val="18"/>
        </w:numPr>
      </w:pPr>
      <w:r w:rsidRPr="000C507A">
        <w:t xml:space="preserve">Consider the role and position of </w:t>
      </w:r>
      <w:proofErr w:type="spellStart"/>
      <w:r w:rsidRPr="000C507A">
        <w:t>Kaitakawaenga</w:t>
      </w:r>
      <w:proofErr w:type="spellEnd"/>
      <w:r w:rsidRPr="000C507A">
        <w:t xml:space="preserve"> in light of the proposed structural changes in mental health services, and recent role changes in </w:t>
      </w:r>
      <w:proofErr w:type="spellStart"/>
      <w:r w:rsidRPr="000C507A">
        <w:t>Te</w:t>
      </w:r>
      <w:proofErr w:type="spellEnd"/>
      <w:r w:rsidRPr="000C507A">
        <w:t xml:space="preserve"> </w:t>
      </w:r>
      <w:proofErr w:type="spellStart"/>
      <w:r w:rsidRPr="000C507A">
        <w:t>Puna</w:t>
      </w:r>
      <w:proofErr w:type="spellEnd"/>
      <w:r w:rsidRPr="000C507A">
        <w:t xml:space="preserve"> </w:t>
      </w:r>
      <w:proofErr w:type="spellStart"/>
      <w:r w:rsidRPr="000C507A">
        <w:t>Oranga</w:t>
      </w:r>
      <w:proofErr w:type="spellEnd"/>
      <w:r w:rsidRPr="000C507A">
        <w:t>.</w:t>
      </w:r>
    </w:p>
    <w:p w14:paraId="1AE8FBB0" w14:textId="77777777" w:rsidR="008656AA" w:rsidRPr="000C507A" w:rsidRDefault="008656AA" w:rsidP="008656AA">
      <w:pPr>
        <w:pStyle w:val="ListParagraph"/>
        <w:numPr>
          <w:ilvl w:val="0"/>
          <w:numId w:val="18"/>
        </w:numPr>
      </w:pPr>
      <w:r w:rsidRPr="000C507A">
        <w:t>Reconsider the ‘psychiatric assistant’ role:</w:t>
      </w:r>
    </w:p>
    <w:p w14:paraId="770C525F" w14:textId="77777777" w:rsidR="008656AA" w:rsidRPr="000C507A" w:rsidRDefault="008656AA" w:rsidP="008656AA">
      <w:pPr>
        <w:pStyle w:val="ListParagraph"/>
        <w:numPr>
          <w:ilvl w:val="0"/>
          <w:numId w:val="26"/>
        </w:numPr>
      </w:pPr>
      <w:r w:rsidRPr="000C507A">
        <w:t>Rename this workforce in line with the recovery approach and the engaged nature of their work</w:t>
      </w:r>
    </w:p>
    <w:p w14:paraId="2EC0F2A2" w14:textId="77777777" w:rsidR="008656AA" w:rsidRPr="000C507A" w:rsidRDefault="008656AA" w:rsidP="008656AA">
      <w:pPr>
        <w:pStyle w:val="ListParagraph"/>
        <w:numPr>
          <w:ilvl w:val="0"/>
          <w:numId w:val="26"/>
        </w:numPr>
      </w:pPr>
      <w:r w:rsidRPr="000C507A">
        <w:t>Establish the need for the role and create permanent vacancies accordingly</w:t>
      </w:r>
    </w:p>
    <w:p w14:paraId="3B290EE3" w14:textId="77777777" w:rsidR="008656AA" w:rsidRPr="000C507A" w:rsidRDefault="008656AA" w:rsidP="008656AA">
      <w:pPr>
        <w:pStyle w:val="ListParagraph"/>
        <w:numPr>
          <w:ilvl w:val="0"/>
          <w:numId w:val="26"/>
        </w:numPr>
      </w:pPr>
      <w:r w:rsidRPr="000C507A">
        <w:t>Review and report on the delegated authority for this workforce.</w:t>
      </w:r>
    </w:p>
    <w:p w14:paraId="312CF2BB" w14:textId="77777777" w:rsidR="008656AA" w:rsidRPr="000C507A" w:rsidRDefault="008656AA" w:rsidP="008656AA">
      <w:pPr>
        <w:pStyle w:val="ListParagraph"/>
        <w:numPr>
          <w:ilvl w:val="0"/>
          <w:numId w:val="18"/>
        </w:numPr>
      </w:pPr>
      <w:r w:rsidRPr="000C507A">
        <w:t>Within service planning for clinical supervision:</w:t>
      </w:r>
    </w:p>
    <w:p w14:paraId="2468C8BA" w14:textId="77777777" w:rsidR="008656AA" w:rsidRPr="000C507A" w:rsidRDefault="008656AA" w:rsidP="008656AA">
      <w:pPr>
        <w:pStyle w:val="ListParagraph"/>
        <w:numPr>
          <w:ilvl w:val="0"/>
          <w:numId w:val="27"/>
        </w:numPr>
      </w:pPr>
      <w:r w:rsidRPr="000C507A">
        <w:t>Clarify the meaning and process of ‘clinical supervision’</w:t>
      </w:r>
    </w:p>
    <w:p w14:paraId="62E94469" w14:textId="77777777" w:rsidR="008656AA" w:rsidRPr="000C507A" w:rsidRDefault="008656AA" w:rsidP="008656AA">
      <w:pPr>
        <w:pStyle w:val="ListParagraph"/>
        <w:numPr>
          <w:ilvl w:val="0"/>
          <w:numId w:val="27"/>
        </w:numPr>
      </w:pPr>
      <w:r w:rsidRPr="000C507A">
        <w:t>Explore options for increasing initial training and refreshers for supervisors</w:t>
      </w:r>
    </w:p>
    <w:p w14:paraId="29F25CDE" w14:textId="77777777" w:rsidR="008656AA" w:rsidRPr="000C507A" w:rsidRDefault="008656AA" w:rsidP="008656AA">
      <w:pPr>
        <w:pStyle w:val="ListParagraph"/>
        <w:numPr>
          <w:ilvl w:val="0"/>
          <w:numId w:val="27"/>
        </w:numPr>
      </w:pPr>
      <w:r w:rsidRPr="000C507A">
        <w:t>Embed clinical supervision in position descriptions, and service and team function</w:t>
      </w:r>
    </w:p>
    <w:p w14:paraId="51E179A1" w14:textId="77777777" w:rsidR="008656AA" w:rsidRPr="000C507A" w:rsidRDefault="008656AA" w:rsidP="008656AA">
      <w:pPr>
        <w:pStyle w:val="ListParagraph"/>
        <w:numPr>
          <w:ilvl w:val="0"/>
          <w:numId w:val="27"/>
        </w:numPr>
      </w:pPr>
      <w:r w:rsidRPr="000C507A">
        <w:t>Measure compliance across all disciplines.</w:t>
      </w:r>
    </w:p>
    <w:p w14:paraId="5203EC2E" w14:textId="77777777" w:rsidR="008656AA" w:rsidRDefault="008656AA" w:rsidP="008656AA">
      <w:pPr>
        <w:pStyle w:val="Heading2"/>
        <w:numPr>
          <w:ilvl w:val="0"/>
          <w:numId w:val="0"/>
        </w:numPr>
      </w:pPr>
      <w:bookmarkStart w:id="88" w:name="_Ref432359252"/>
      <w:bookmarkStart w:id="89" w:name="_Ref432359269"/>
      <w:bookmarkStart w:id="90" w:name="_Toc448394387"/>
      <w:r>
        <w:lastRenderedPageBreak/>
        <w:t xml:space="preserve">Appendix 3: </w:t>
      </w:r>
      <w:r w:rsidR="00CF494A" w:rsidRPr="00CF494A">
        <w:t xml:space="preserve">Health Waikato Mental Health and Addiction Service </w:t>
      </w:r>
      <w:r w:rsidRPr="000C507A">
        <w:t>Strategic Plan 2009</w:t>
      </w:r>
      <w:r w:rsidR="00CF494A">
        <w:t>–</w:t>
      </w:r>
      <w:r w:rsidRPr="000C507A">
        <w:t>2014</w:t>
      </w:r>
      <w:bookmarkEnd w:id="88"/>
      <w:bookmarkEnd w:id="89"/>
      <w:bookmarkEnd w:id="90"/>
    </w:p>
    <w:p w14:paraId="7B88809E" w14:textId="77777777" w:rsidR="008656AA" w:rsidRPr="00A640FC" w:rsidRDefault="008656AA" w:rsidP="008656AA">
      <w:r w:rsidRPr="00462DCC">
        <w:t>This appendix is an excerpt from the Health Waikato Mental Health and Addiction Service Strategic Plan 2009—2014</w:t>
      </w:r>
      <w:r w:rsidR="00CF494A">
        <w:t>.</w:t>
      </w:r>
    </w:p>
    <w:p w14:paraId="3EBB1A6B" w14:textId="77777777" w:rsidR="008656AA" w:rsidRPr="000C507A" w:rsidRDefault="008656AA" w:rsidP="008656AA">
      <w:pPr>
        <w:pStyle w:val="Heading3"/>
        <w:numPr>
          <w:ilvl w:val="0"/>
          <w:numId w:val="0"/>
        </w:numPr>
      </w:pPr>
      <w:bookmarkStart w:id="91" w:name="_Toc448394388"/>
      <w:r w:rsidRPr="000C507A">
        <w:t>1. Purpose</w:t>
      </w:r>
      <w:bookmarkEnd w:id="91"/>
    </w:p>
    <w:p w14:paraId="2AF15FCD" w14:textId="77777777" w:rsidR="008656AA" w:rsidRPr="000C507A" w:rsidRDefault="008656AA" w:rsidP="008656AA">
      <w:r w:rsidRPr="000C507A">
        <w:t>This plan will guide the direction for Health Waikato Mental Health and Addictions Service’s development through to 2014. The plan aligns Health Waikato Mental Health and Addictions Service’s strategic development with current Waikato DHB plans, Ministry of Health policy documents, sector standards and regional plans.</w:t>
      </w:r>
    </w:p>
    <w:p w14:paraId="08F508A7" w14:textId="77777777" w:rsidR="008656AA" w:rsidRPr="000C507A" w:rsidRDefault="008656AA" w:rsidP="008656AA">
      <w:pPr>
        <w:pStyle w:val="Heading3"/>
        <w:numPr>
          <w:ilvl w:val="0"/>
          <w:numId w:val="0"/>
        </w:numPr>
      </w:pPr>
      <w:bookmarkStart w:id="92" w:name="_Toc448394389"/>
      <w:r w:rsidRPr="000C507A">
        <w:t>2. Service Values</w:t>
      </w:r>
      <w:bookmarkEnd w:id="92"/>
    </w:p>
    <w:p w14:paraId="3B59A597" w14:textId="77777777" w:rsidR="008656AA" w:rsidRPr="000C507A" w:rsidRDefault="008656AA" w:rsidP="008656AA">
      <w:r w:rsidRPr="000C507A">
        <w:t>During service development and in every interaction Health Waikato Mental Health and Addictions Service will:</w:t>
      </w:r>
    </w:p>
    <w:p w14:paraId="79327129" w14:textId="77777777" w:rsidR="008656AA" w:rsidRPr="000C507A" w:rsidRDefault="008656AA" w:rsidP="008656AA">
      <w:pPr>
        <w:pStyle w:val="ListParagraph"/>
        <w:numPr>
          <w:ilvl w:val="0"/>
          <w:numId w:val="1"/>
        </w:numPr>
      </w:pPr>
      <w:r w:rsidRPr="000C507A">
        <w:t>provide hope for recovery and compassion</w:t>
      </w:r>
    </w:p>
    <w:p w14:paraId="1F2C33E6" w14:textId="77777777" w:rsidR="008656AA" w:rsidRPr="000C507A" w:rsidRDefault="008656AA" w:rsidP="008656AA">
      <w:pPr>
        <w:pStyle w:val="ListParagraph"/>
        <w:numPr>
          <w:ilvl w:val="0"/>
          <w:numId w:val="1"/>
        </w:numPr>
      </w:pPr>
      <w:r w:rsidRPr="000C507A">
        <w:t>be safe</w:t>
      </w:r>
    </w:p>
    <w:p w14:paraId="7DCFB7B9" w14:textId="77777777" w:rsidR="008656AA" w:rsidRPr="000C507A" w:rsidRDefault="008656AA" w:rsidP="008656AA">
      <w:pPr>
        <w:pStyle w:val="ListParagraph"/>
        <w:numPr>
          <w:ilvl w:val="0"/>
          <w:numId w:val="1"/>
        </w:numPr>
      </w:pPr>
      <w:r w:rsidRPr="000C507A">
        <w:t>be effective and evidence based</w:t>
      </w:r>
    </w:p>
    <w:p w14:paraId="24C824C0" w14:textId="77777777" w:rsidR="008656AA" w:rsidRPr="000C507A" w:rsidRDefault="008656AA" w:rsidP="008656AA">
      <w:pPr>
        <w:pStyle w:val="ListParagraph"/>
        <w:numPr>
          <w:ilvl w:val="0"/>
          <w:numId w:val="1"/>
        </w:numPr>
      </w:pPr>
      <w:r w:rsidRPr="000C507A">
        <w:t>be culturally responsive</w:t>
      </w:r>
    </w:p>
    <w:p w14:paraId="2D36ACFF" w14:textId="77777777" w:rsidR="008656AA" w:rsidRPr="000C507A" w:rsidRDefault="008656AA" w:rsidP="008656AA">
      <w:pPr>
        <w:pStyle w:val="ListParagraph"/>
        <w:numPr>
          <w:ilvl w:val="0"/>
          <w:numId w:val="1"/>
        </w:numPr>
      </w:pPr>
      <w:r w:rsidRPr="000C507A">
        <w:t xml:space="preserve">provide care in partnership with service users and their </w:t>
      </w:r>
      <w:proofErr w:type="spellStart"/>
      <w:r w:rsidRPr="000C507A">
        <w:t>wh</w:t>
      </w:r>
      <w:r>
        <w:t>ānau</w:t>
      </w:r>
      <w:proofErr w:type="spellEnd"/>
    </w:p>
    <w:p w14:paraId="259784E9" w14:textId="77777777" w:rsidR="008656AA" w:rsidRPr="000C507A" w:rsidRDefault="008656AA" w:rsidP="008656AA">
      <w:pPr>
        <w:pStyle w:val="ListParagraph"/>
        <w:numPr>
          <w:ilvl w:val="0"/>
          <w:numId w:val="1"/>
        </w:numPr>
      </w:pPr>
      <w:r w:rsidRPr="000C507A">
        <w:t>encourage and foster staff development</w:t>
      </w:r>
    </w:p>
    <w:p w14:paraId="40D2A30E" w14:textId="77777777" w:rsidR="008656AA" w:rsidRPr="000C507A" w:rsidRDefault="008656AA" w:rsidP="008656AA">
      <w:pPr>
        <w:pStyle w:val="ListParagraph"/>
        <w:numPr>
          <w:ilvl w:val="0"/>
          <w:numId w:val="1"/>
        </w:numPr>
      </w:pPr>
      <w:r w:rsidRPr="000C507A">
        <w:t>support service users to make sure their rights are upheld</w:t>
      </w:r>
    </w:p>
    <w:p w14:paraId="6BC623B4" w14:textId="77777777" w:rsidR="008656AA" w:rsidRPr="000C507A" w:rsidRDefault="008656AA" w:rsidP="008656AA">
      <w:pPr>
        <w:pStyle w:val="ListParagraph"/>
        <w:numPr>
          <w:ilvl w:val="0"/>
          <w:numId w:val="1"/>
        </w:numPr>
      </w:pPr>
      <w:r w:rsidRPr="000C507A">
        <w:t>be trustworthy and accountable</w:t>
      </w:r>
    </w:p>
    <w:p w14:paraId="2B54A581" w14:textId="77777777" w:rsidR="008656AA" w:rsidRPr="000C507A" w:rsidRDefault="008656AA" w:rsidP="008656AA">
      <w:pPr>
        <w:pStyle w:val="ListParagraph"/>
        <w:numPr>
          <w:ilvl w:val="0"/>
          <w:numId w:val="1"/>
        </w:numPr>
      </w:pPr>
      <w:r w:rsidRPr="000C507A">
        <w:t>assist service users to achieve their personal aspirations</w:t>
      </w:r>
    </w:p>
    <w:p w14:paraId="695E1C1B" w14:textId="77777777" w:rsidR="008656AA" w:rsidRPr="000C507A" w:rsidRDefault="008656AA" w:rsidP="008656AA">
      <w:pPr>
        <w:pStyle w:val="ListParagraph"/>
        <w:numPr>
          <w:ilvl w:val="0"/>
          <w:numId w:val="1"/>
        </w:numPr>
      </w:pPr>
      <w:proofErr w:type="gramStart"/>
      <w:r w:rsidRPr="000C507A">
        <w:t>cultivate</w:t>
      </w:r>
      <w:proofErr w:type="gramEnd"/>
      <w:r w:rsidRPr="000C507A">
        <w:t xml:space="preserve"> a seamless service user journey across the ‘sector’ continuum (primary/secondary/NGO/inter-agency/within Mental Health and Addictions Service).</w:t>
      </w:r>
    </w:p>
    <w:p w14:paraId="5A691445" w14:textId="77777777" w:rsidR="008656AA" w:rsidRPr="000C507A" w:rsidRDefault="008656AA" w:rsidP="008656AA">
      <w:pPr>
        <w:pStyle w:val="Heading3"/>
        <w:numPr>
          <w:ilvl w:val="0"/>
          <w:numId w:val="0"/>
        </w:numPr>
      </w:pPr>
      <w:bookmarkStart w:id="93" w:name="_Toc448394390"/>
      <w:r w:rsidRPr="000C507A">
        <w:t>3.  Actions</w:t>
      </w:r>
      <w:bookmarkEnd w:id="93"/>
    </w:p>
    <w:p w14:paraId="0C3B7A74" w14:textId="77777777" w:rsidR="008656AA" w:rsidRPr="000C507A" w:rsidRDefault="008656AA" w:rsidP="008656AA">
      <w:pPr>
        <w:pStyle w:val="Heading4"/>
      </w:pPr>
      <w:r w:rsidRPr="000C507A">
        <w:t>Action 1: Health Waikato Mental Health and Addictions Service will implement a recovery approach in practice.</w:t>
      </w:r>
    </w:p>
    <w:p w14:paraId="60D57062" w14:textId="77777777" w:rsidR="008656AA" w:rsidRPr="000C507A" w:rsidRDefault="008656AA" w:rsidP="008656AA">
      <w:r w:rsidRPr="000C507A">
        <w:t>Recovery is often defined in terms of the internal conditions experienced by a person’s healing, empowerment and connection or people living without mental illness. But recovery in this plan is also defined as the culture of service development.</w:t>
      </w:r>
    </w:p>
    <w:p w14:paraId="77453AF0" w14:textId="77777777" w:rsidR="008656AA" w:rsidRPr="000C507A" w:rsidRDefault="008656AA" w:rsidP="008656AA">
      <w:pPr>
        <w:pStyle w:val="Heading5"/>
      </w:pPr>
      <w:r w:rsidRPr="000C507A">
        <w:t>How</w:t>
      </w:r>
    </w:p>
    <w:p w14:paraId="35F2F323" w14:textId="77777777" w:rsidR="008656AA" w:rsidRPr="000C507A" w:rsidRDefault="008656AA" w:rsidP="008656AA">
      <w:r w:rsidRPr="000C507A">
        <w:t>Health Waikato Mental Health and Addictions Service development is guided by the recovery approach via:</w:t>
      </w:r>
    </w:p>
    <w:p w14:paraId="4466598F" w14:textId="77777777" w:rsidR="008656AA" w:rsidRPr="000C507A" w:rsidRDefault="008656AA" w:rsidP="008656AA">
      <w:pPr>
        <w:pStyle w:val="ListParagraph"/>
        <w:numPr>
          <w:ilvl w:val="0"/>
          <w:numId w:val="1"/>
        </w:numPr>
      </w:pPr>
      <w:r w:rsidRPr="000C507A">
        <w:t>alignment of policies and procedures with recovery definitions in the NZ Health and Disability Services Standards 2008</w:t>
      </w:r>
    </w:p>
    <w:p w14:paraId="2586A69B" w14:textId="77777777" w:rsidR="008656AA" w:rsidRPr="000C507A" w:rsidRDefault="008656AA" w:rsidP="008656AA">
      <w:pPr>
        <w:pStyle w:val="ListParagraph"/>
        <w:numPr>
          <w:ilvl w:val="0"/>
          <w:numId w:val="1"/>
        </w:numPr>
      </w:pPr>
      <w:r w:rsidRPr="000C507A">
        <w:t>management and clinical leaders taking responsibility for annual tasks to implement all the actions in this plan</w:t>
      </w:r>
    </w:p>
    <w:p w14:paraId="39B2521D" w14:textId="77777777" w:rsidR="008656AA" w:rsidRPr="000C507A" w:rsidRDefault="008656AA" w:rsidP="008656AA">
      <w:pPr>
        <w:pStyle w:val="ListParagraph"/>
        <w:numPr>
          <w:ilvl w:val="0"/>
          <w:numId w:val="1"/>
        </w:numPr>
      </w:pPr>
      <w:r w:rsidRPr="000C507A">
        <w:lastRenderedPageBreak/>
        <w:t>a clinical governance structure that will monitor and develop operational actions to ensure this plan is implemented</w:t>
      </w:r>
    </w:p>
    <w:p w14:paraId="0904F928" w14:textId="77777777" w:rsidR="008656AA" w:rsidRPr="000C507A" w:rsidRDefault="008656AA" w:rsidP="008656AA">
      <w:pPr>
        <w:pStyle w:val="ListParagraph"/>
        <w:numPr>
          <w:ilvl w:val="0"/>
          <w:numId w:val="1"/>
        </w:numPr>
      </w:pPr>
      <w:r w:rsidRPr="000C507A">
        <w:t>management structure to enable the meaningful professional, clinical, service user and family participation</w:t>
      </w:r>
    </w:p>
    <w:p w14:paraId="1ED7261C" w14:textId="77777777" w:rsidR="008656AA" w:rsidRPr="000C507A" w:rsidRDefault="008656AA" w:rsidP="008656AA">
      <w:pPr>
        <w:pStyle w:val="ListParagraph"/>
        <w:numPr>
          <w:ilvl w:val="0"/>
          <w:numId w:val="1"/>
        </w:numPr>
      </w:pPr>
      <w:r w:rsidRPr="000C507A">
        <w:t>supervision to ensure all staff communication with service users and families promotes hope that people can actually recover rather than being in a constant state of recovery</w:t>
      </w:r>
    </w:p>
    <w:p w14:paraId="3EDDCAF3" w14:textId="77777777" w:rsidR="008656AA" w:rsidRPr="000C507A" w:rsidRDefault="008656AA" w:rsidP="008656AA">
      <w:pPr>
        <w:pStyle w:val="ListParagraph"/>
        <w:numPr>
          <w:ilvl w:val="0"/>
          <w:numId w:val="1"/>
        </w:numPr>
      </w:pPr>
      <w:r w:rsidRPr="000C507A">
        <w:t>implementing a seclusion reduction plan and using mental health and addictions reports to monitor progress</w:t>
      </w:r>
    </w:p>
    <w:p w14:paraId="5DBFB0C1" w14:textId="77777777" w:rsidR="008656AA" w:rsidRPr="000C507A" w:rsidRDefault="008656AA" w:rsidP="008656AA">
      <w:pPr>
        <w:pStyle w:val="ListParagraph"/>
        <w:numPr>
          <w:ilvl w:val="0"/>
          <w:numId w:val="1"/>
        </w:numPr>
      </w:pPr>
      <w:r w:rsidRPr="000C507A">
        <w:t>the provision or availability of a range of social, cultural medical, occupational and psychological supports</w:t>
      </w:r>
    </w:p>
    <w:p w14:paraId="1DECCC35" w14:textId="77777777" w:rsidR="008656AA" w:rsidRPr="000C507A" w:rsidRDefault="008656AA" w:rsidP="008656AA">
      <w:pPr>
        <w:pStyle w:val="ListParagraph"/>
        <w:numPr>
          <w:ilvl w:val="0"/>
          <w:numId w:val="1"/>
        </w:numPr>
      </w:pPr>
      <w:proofErr w:type="gramStart"/>
      <w:r w:rsidRPr="000C507A">
        <w:t>the</w:t>
      </w:r>
      <w:proofErr w:type="gramEnd"/>
      <w:r w:rsidRPr="000C507A">
        <w:t xml:space="preserve"> continued focus on developing services and supports in the community to prevent unnecessary admissions to hospital.</w:t>
      </w:r>
    </w:p>
    <w:p w14:paraId="2062DCE8" w14:textId="77777777" w:rsidR="008656AA" w:rsidRPr="000C507A" w:rsidRDefault="008656AA" w:rsidP="008656AA">
      <w:pPr>
        <w:pStyle w:val="Heading5"/>
      </w:pPr>
      <w:r w:rsidRPr="000C507A">
        <w:t>Outcome</w:t>
      </w:r>
    </w:p>
    <w:p w14:paraId="0BC166FB" w14:textId="77777777" w:rsidR="008656AA" w:rsidRPr="000C507A" w:rsidRDefault="008656AA" w:rsidP="008656AA">
      <w:r w:rsidRPr="000C507A">
        <w:t>Health Waikato Mental Health and Addictions Service will ensure that:</w:t>
      </w:r>
    </w:p>
    <w:p w14:paraId="15987597" w14:textId="77777777" w:rsidR="008656AA" w:rsidRPr="000C507A" w:rsidRDefault="008656AA" w:rsidP="008656AA">
      <w:pPr>
        <w:pStyle w:val="ListParagraph"/>
        <w:numPr>
          <w:ilvl w:val="0"/>
          <w:numId w:val="1"/>
        </w:numPr>
      </w:pPr>
      <w:r w:rsidRPr="000C507A">
        <w:t>all policies, procedures and guidelines reflect the recovery approach</w:t>
      </w:r>
    </w:p>
    <w:p w14:paraId="14E3E37F" w14:textId="77777777" w:rsidR="008656AA" w:rsidRPr="000C507A" w:rsidRDefault="008656AA" w:rsidP="008656AA">
      <w:pPr>
        <w:pStyle w:val="ListParagraph"/>
        <w:numPr>
          <w:ilvl w:val="0"/>
          <w:numId w:val="1"/>
        </w:numPr>
      </w:pPr>
      <w:r w:rsidRPr="000C507A">
        <w:t>an effective clinical governance structure is in place</w:t>
      </w:r>
    </w:p>
    <w:p w14:paraId="059B371D" w14:textId="77777777" w:rsidR="008656AA" w:rsidRPr="000C507A" w:rsidRDefault="008656AA" w:rsidP="008656AA">
      <w:pPr>
        <w:pStyle w:val="ListParagraph"/>
        <w:numPr>
          <w:ilvl w:val="0"/>
          <w:numId w:val="1"/>
        </w:numPr>
      </w:pPr>
      <w:r w:rsidRPr="000C507A">
        <w:t>leaders demonstrate a recovery approach</w:t>
      </w:r>
    </w:p>
    <w:p w14:paraId="2E9DFAF3" w14:textId="77777777" w:rsidR="008656AA" w:rsidRPr="000C507A" w:rsidRDefault="008656AA" w:rsidP="008656AA">
      <w:pPr>
        <w:pStyle w:val="ListParagraph"/>
        <w:numPr>
          <w:ilvl w:val="0"/>
          <w:numId w:val="1"/>
        </w:numPr>
      </w:pPr>
      <w:r w:rsidRPr="000C507A">
        <w:t>all staff are engaged in peer support or supervision</w:t>
      </w:r>
    </w:p>
    <w:p w14:paraId="7DB10494" w14:textId="77777777" w:rsidR="008656AA" w:rsidRPr="000C507A" w:rsidRDefault="008656AA" w:rsidP="008656AA">
      <w:pPr>
        <w:pStyle w:val="ListParagraph"/>
        <w:numPr>
          <w:ilvl w:val="0"/>
          <w:numId w:val="1"/>
        </w:numPr>
      </w:pPr>
      <w:r w:rsidRPr="000C507A">
        <w:t>seclusion is reduced and eliminated by 2014</w:t>
      </w:r>
    </w:p>
    <w:p w14:paraId="0B09ACD6" w14:textId="77777777" w:rsidR="008656AA" w:rsidRPr="000C507A" w:rsidRDefault="008656AA" w:rsidP="008656AA">
      <w:pPr>
        <w:pStyle w:val="ListParagraph"/>
        <w:numPr>
          <w:ilvl w:val="0"/>
          <w:numId w:val="1"/>
        </w:numPr>
      </w:pPr>
      <w:r w:rsidRPr="000C507A">
        <w:t>there is evidence in all files that service users (consistent with where they are in their journey) have participated in the development of their recovery/treatment plan</w:t>
      </w:r>
    </w:p>
    <w:p w14:paraId="0D384604" w14:textId="77777777" w:rsidR="008656AA" w:rsidRPr="000C507A" w:rsidRDefault="008656AA" w:rsidP="008656AA">
      <w:pPr>
        <w:pStyle w:val="ListParagraph"/>
        <w:numPr>
          <w:ilvl w:val="0"/>
          <w:numId w:val="1"/>
        </w:numPr>
      </w:pPr>
      <w:proofErr w:type="gramStart"/>
      <w:r w:rsidRPr="000C507A">
        <w:t>all</w:t>
      </w:r>
      <w:proofErr w:type="gramEnd"/>
      <w:r w:rsidRPr="000C507A">
        <w:t xml:space="preserve"> long-term service users will have an up-to-date effective relapse prevention plan</w:t>
      </w:r>
      <w:r w:rsidR="00CF494A">
        <w:t>.</w:t>
      </w:r>
    </w:p>
    <w:p w14:paraId="42E2CABD" w14:textId="77777777" w:rsidR="008656AA" w:rsidRPr="000C507A" w:rsidRDefault="008656AA" w:rsidP="008656AA">
      <w:pPr>
        <w:pStyle w:val="Heading4"/>
      </w:pPr>
      <w:r w:rsidRPr="000C507A">
        <w:t>Action 2: Health Waikato Mental Health and Addictions Service will be safe and effective.</w:t>
      </w:r>
    </w:p>
    <w:p w14:paraId="118892D9" w14:textId="77777777" w:rsidR="008656AA" w:rsidRPr="000C507A" w:rsidRDefault="008656AA" w:rsidP="008656AA">
      <w:r w:rsidRPr="000C507A">
        <w:t>The key measure of performance will be a demonstration of how the service improves outcomes for service users. An outcome is defined as a measurable change in the health of an individual, which is attributable to interventions or services. The service will be safe and effective.</w:t>
      </w:r>
    </w:p>
    <w:p w14:paraId="3F764EAC" w14:textId="77777777" w:rsidR="008656AA" w:rsidRPr="000C507A" w:rsidRDefault="008656AA" w:rsidP="008656AA">
      <w:pPr>
        <w:pStyle w:val="Heading5"/>
      </w:pPr>
      <w:r w:rsidRPr="000C507A">
        <w:t>How</w:t>
      </w:r>
    </w:p>
    <w:p w14:paraId="38B4ED08" w14:textId="77777777" w:rsidR="008656AA" w:rsidRPr="000C507A" w:rsidRDefault="008656AA" w:rsidP="008656AA">
      <w:r w:rsidRPr="000C507A">
        <w:t>Health Waikato Mental Health and Addictions Service will:</w:t>
      </w:r>
    </w:p>
    <w:p w14:paraId="0FF62FDD" w14:textId="77777777" w:rsidR="008656AA" w:rsidRPr="000C507A" w:rsidRDefault="008656AA" w:rsidP="008656AA">
      <w:pPr>
        <w:pStyle w:val="ListParagraph"/>
        <w:numPr>
          <w:ilvl w:val="0"/>
          <w:numId w:val="1"/>
        </w:numPr>
      </w:pPr>
      <w:r w:rsidRPr="000C507A">
        <w:t>develop clear and measurable annual operational plans which ensure the actions in this strategic plan are implemented</w:t>
      </w:r>
    </w:p>
    <w:p w14:paraId="7296F099" w14:textId="77777777" w:rsidR="008656AA" w:rsidRPr="000C507A" w:rsidRDefault="008656AA" w:rsidP="008656AA">
      <w:pPr>
        <w:pStyle w:val="ListParagraph"/>
        <w:numPr>
          <w:ilvl w:val="0"/>
          <w:numId w:val="1"/>
        </w:numPr>
      </w:pPr>
      <w:r w:rsidRPr="000C507A">
        <w:t>develop meaningful key performance indicators</w:t>
      </w:r>
    </w:p>
    <w:p w14:paraId="23990A15" w14:textId="77777777" w:rsidR="008656AA" w:rsidRPr="000C507A" w:rsidRDefault="008656AA" w:rsidP="008656AA">
      <w:pPr>
        <w:pStyle w:val="ListParagraph"/>
        <w:numPr>
          <w:ilvl w:val="0"/>
          <w:numId w:val="1"/>
        </w:numPr>
      </w:pPr>
      <w:r w:rsidRPr="000C507A">
        <w:t>measure service performance on service user outcomes</w:t>
      </w:r>
    </w:p>
    <w:p w14:paraId="41247BB4" w14:textId="77777777" w:rsidR="008656AA" w:rsidRPr="000C507A" w:rsidRDefault="008656AA" w:rsidP="008656AA">
      <w:pPr>
        <w:pStyle w:val="ListParagraph"/>
        <w:numPr>
          <w:ilvl w:val="0"/>
          <w:numId w:val="1"/>
        </w:numPr>
      </w:pPr>
      <w:r w:rsidRPr="000C507A">
        <w:t>engage all clinical staff in peer-support/supervision and training on the most up-to-date evidence informed clinical treatments/therapies that support service user recovery</w:t>
      </w:r>
    </w:p>
    <w:p w14:paraId="2FAA8B72" w14:textId="77777777" w:rsidR="008656AA" w:rsidRPr="000C507A" w:rsidRDefault="008656AA" w:rsidP="008656AA">
      <w:pPr>
        <w:pStyle w:val="ListParagraph"/>
        <w:numPr>
          <w:ilvl w:val="0"/>
          <w:numId w:val="1"/>
        </w:numPr>
      </w:pPr>
      <w:r w:rsidRPr="000C507A">
        <w:t>develop and monitor clear safety guidelines based on international best practice</w:t>
      </w:r>
    </w:p>
    <w:p w14:paraId="3CB47333" w14:textId="77777777" w:rsidR="008656AA" w:rsidRPr="000C507A" w:rsidRDefault="008656AA" w:rsidP="008656AA">
      <w:pPr>
        <w:pStyle w:val="ListParagraph"/>
        <w:numPr>
          <w:ilvl w:val="0"/>
          <w:numId w:val="1"/>
        </w:numPr>
      </w:pPr>
      <w:r w:rsidRPr="000C507A">
        <w:lastRenderedPageBreak/>
        <w:t>improve the financial control, reporting and monitoring system</w:t>
      </w:r>
    </w:p>
    <w:p w14:paraId="71B43CBF" w14:textId="77777777" w:rsidR="008656AA" w:rsidRPr="000C507A" w:rsidRDefault="008656AA" w:rsidP="008656AA">
      <w:pPr>
        <w:pStyle w:val="ListParagraph"/>
        <w:numPr>
          <w:ilvl w:val="0"/>
          <w:numId w:val="1"/>
        </w:numPr>
      </w:pPr>
      <w:r w:rsidRPr="000C507A">
        <w:t>implement service-wide systems to reduce the likelihood of harm to service users and the community (e.g. learnings from serious incidents) via annual risk plans</w:t>
      </w:r>
    </w:p>
    <w:p w14:paraId="2A8B67B2" w14:textId="77777777" w:rsidR="008656AA" w:rsidRPr="000C507A" w:rsidRDefault="008656AA" w:rsidP="008656AA">
      <w:pPr>
        <w:pStyle w:val="ListParagraph"/>
        <w:numPr>
          <w:ilvl w:val="0"/>
          <w:numId w:val="1"/>
        </w:numPr>
      </w:pPr>
      <w:r w:rsidRPr="000C507A">
        <w:t>use service-wide systems and processes which enable seamless service delivery for users within Health Waikato Mental Health and Addiction Service</w:t>
      </w:r>
    </w:p>
    <w:p w14:paraId="4115D854" w14:textId="77777777" w:rsidR="008656AA" w:rsidRPr="000C507A" w:rsidRDefault="008656AA" w:rsidP="008656AA">
      <w:pPr>
        <w:pStyle w:val="ListParagraph"/>
        <w:numPr>
          <w:ilvl w:val="0"/>
          <w:numId w:val="1"/>
        </w:numPr>
      </w:pPr>
      <w:proofErr w:type="gramStart"/>
      <w:r w:rsidRPr="000C507A">
        <w:t>build</w:t>
      </w:r>
      <w:proofErr w:type="gramEnd"/>
      <w:r w:rsidRPr="000C507A">
        <w:t xml:space="preserve"> effective relationships with primary mental health providers (figure 1).</w:t>
      </w:r>
    </w:p>
    <w:p w14:paraId="7E18DEFC" w14:textId="77777777" w:rsidR="008656AA" w:rsidRPr="000C507A" w:rsidRDefault="008656AA" w:rsidP="008656AA">
      <w:pPr>
        <w:pStyle w:val="Heading5"/>
      </w:pPr>
      <w:r w:rsidRPr="000C507A">
        <w:t>Outcomes</w:t>
      </w:r>
    </w:p>
    <w:p w14:paraId="1B2F6CE6" w14:textId="77777777" w:rsidR="008656AA" w:rsidRPr="000C507A" w:rsidRDefault="008656AA" w:rsidP="008656AA">
      <w:pPr>
        <w:pStyle w:val="ListParagraph"/>
        <w:numPr>
          <w:ilvl w:val="0"/>
          <w:numId w:val="1"/>
        </w:numPr>
      </w:pPr>
      <w:r w:rsidRPr="000C507A">
        <w:t>The service will be driven by meaningful key performance indicators.</w:t>
      </w:r>
    </w:p>
    <w:p w14:paraId="05717712" w14:textId="77777777" w:rsidR="008656AA" w:rsidRPr="000C507A" w:rsidRDefault="008656AA" w:rsidP="008656AA">
      <w:pPr>
        <w:pStyle w:val="ListParagraph"/>
        <w:numPr>
          <w:ilvl w:val="0"/>
          <w:numId w:val="1"/>
        </w:numPr>
      </w:pPr>
      <w:r w:rsidRPr="000C507A">
        <w:t>Annual objectives implemented.</w:t>
      </w:r>
    </w:p>
    <w:p w14:paraId="6CF193E6" w14:textId="77777777" w:rsidR="008656AA" w:rsidRPr="000C507A" w:rsidRDefault="008656AA" w:rsidP="008656AA">
      <w:pPr>
        <w:pStyle w:val="ListParagraph"/>
        <w:numPr>
          <w:ilvl w:val="0"/>
          <w:numId w:val="1"/>
        </w:numPr>
      </w:pPr>
      <w:r w:rsidRPr="000C507A">
        <w:t>Managers and team leaders receive and understand regular reports that enable them to monitor performance.</w:t>
      </w:r>
    </w:p>
    <w:p w14:paraId="0AC3DEC3" w14:textId="77777777" w:rsidR="008656AA" w:rsidRPr="000C507A" w:rsidRDefault="008656AA" w:rsidP="008656AA">
      <w:pPr>
        <w:pStyle w:val="ListParagraph"/>
        <w:numPr>
          <w:ilvl w:val="0"/>
          <w:numId w:val="1"/>
        </w:numPr>
      </w:pPr>
      <w:r w:rsidRPr="000C507A">
        <w:t>Service performance will reflect an overall improvement in service user outcomes.</w:t>
      </w:r>
    </w:p>
    <w:p w14:paraId="17458A3A" w14:textId="77777777" w:rsidR="008656AA" w:rsidRPr="000C507A" w:rsidRDefault="008656AA" w:rsidP="008656AA">
      <w:pPr>
        <w:pStyle w:val="ListParagraph"/>
        <w:numPr>
          <w:ilvl w:val="0"/>
          <w:numId w:val="1"/>
        </w:numPr>
      </w:pPr>
      <w:r w:rsidRPr="000C507A">
        <w:t xml:space="preserve">All staff </w:t>
      </w:r>
      <w:proofErr w:type="gramStart"/>
      <w:r w:rsidRPr="000C507A">
        <w:t>are</w:t>
      </w:r>
      <w:proofErr w:type="gramEnd"/>
      <w:r w:rsidRPr="000C507A">
        <w:t xml:space="preserve"> aware and use the most up-to-date evidence informed clinical treatments/therapies to support service user recovery.</w:t>
      </w:r>
    </w:p>
    <w:p w14:paraId="61D48D10" w14:textId="77777777" w:rsidR="008656AA" w:rsidRPr="000C507A" w:rsidRDefault="008656AA" w:rsidP="008656AA">
      <w:pPr>
        <w:pStyle w:val="ListParagraph"/>
        <w:numPr>
          <w:ilvl w:val="0"/>
          <w:numId w:val="1"/>
        </w:numPr>
      </w:pPr>
      <w:r w:rsidRPr="000C507A">
        <w:t>There will be an effective financial control, reporting and monitoring system.</w:t>
      </w:r>
    </w:p>
    <w:p w14:paraId="32348F48" w14:textId="77777777" w:rsidR="008656AA" w:rsidRPr="000C507A" w:rsidRDefault="008656AA" w:rsidP="008656AA">
      <w:pPr>
        <w:pStyle w:val="ListParagraph"/>
        <w:numPr>
          <w:ilvl w:val="0"/>
          <w:numId w:val="1"/>
        </w:numPr>
      </w:pPr>
      <w:r w:rsidRPr="000C507A">
        <w:t>There will be a formal prioritisation of resource requirements based on the service performance.</w:t>
      </w:r>
    </w:p>
    <w:p w14:paraId="25698949" w14:textId="77777777" w:rsidR="008656AA" w:rsidRPr="000C507A" w:rsidRDefault="008656AA" w:rsidP="00A67ACD">
      <w:pPr>
        <w:pStyle w:val="ListParagraph"/>
        <w:numPr>
          <w:ilvl w:val="0"/>
          <w:numId w:val="4"/>
        </w:numPr>
      </w:pPr>
      <w:r w:rsidRPr="000C507A">
        <w:t>The implementation of learnings from serious incidents across the whole service reduces</w:t>
      </w:r>
      <w:r w:rsidR="00A67ACD">
        <w:t xml:space="preserve"> </w:t>
      </w:r>
      <w:r w:rsidRPr="000C507A">
        <w:t>risk.</w:t>
      </w:r>
    </w:p>
    <w:p w14:paraId="5CC47DF9" w14:textId="77777777" w:rsidR="008656AA" w:rsidRPr="000C507A" w:rsidRDefault="008656AA" w:rsidP="008656AA">
      <w:pPr>
        <w:pStyle w:val="ListParagraph"/>
        <w:numPr>
          <w:ilvl w:val="0"/>
          <w:numId w:val="4"/>
        </w:numPr>
      </w:pPr>
      <w:r w:rsidRPr="000C507A">
        <w:t>Primary mental health will be the hub of service delivery (figure 1).</w:t>
      </w:r>
    </w:p>
    <w:p w14:paraId="7921AC18" w14:textId="77777777" w:rsidR="008656AA" w:rsidRPr="000C507A" w:rsidRDefault="008656AA" w:rsidP="00462DCC">
      <w:pPr>
        <w:ind w:left="360"/>
      </w:pPr>
      <w:r w:rsidRPr="000C507A">
        <w:rPr>
          <w:noProof/>
          <w:lang w:val="en-NZ" w:eastAsia="en-NZ"/>
        </w:rPr>
        <w:drawing>
          <wp:inline distT="0" distB="0" distL="0" distR="0" wp14:anchorId="55529D65" wp14:editId="5D6CFF29">
            <wp:extent cx="2626360" cy="2393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6360" cy="2393315"/>
                    </a:xfrm>
                    <a:prstGeom prst="rect">
                      <a:avLst/>
                    </a:prstGeom>
                    <a:noFill/>
                    <a:ln>
                      <a:noFill/>
                    </a:ln>
                  </pic:spPr>
                </pic:pic>
              </a:graphicData>
            </a:graphic>
          </wp:inline>
        </w:drawing>
      </w:r>
    </w:p>
    <w:p w14:paraId="1BD4117A" w14:textId="77777777" w:rsidR="008656AA" w:rsidRPr="000C507A" w:rsidRDefault="008656AA" w:rsidP="008656AA">
      <w:pPr>
        <w:pStyle w:val="Caption"/>
        <w:numPr>
          <w:ilvl w:val="0"/>
          <w:numId w:val="4"/>
        </w:numPr>
      </w:pPr>
      <w:r w:rsidRPr="000C507A">
        <w:t xml:space="preserve">Figure </w:t>
      </w:r>
      <w:r w:rsidR="007226FC">
        <w:t>1</w:t>
      </w:r>
      <w:r w:rsidRPr="000C507A">
        <w:t>: The overlapping circles illustrate that Health Waikato Mental Health and Addictions Service will build closer relationships with other sectors to ensure service users are not captured within secondary services and can smoothly navigate to other services if</w:t>
      </w:r>
      <w:r w:rsidRPr="000C507A">
        <w:rPr>
          <w:spacing w:val="-1"/>
        </w:rPr>
        <w:t xml:space="preserve"> </w:t>
      </w:r>
      <w:r w:rsidRPr="000C507A">
        <w:t>required.</w:t>
      </w:r>
    </w:p>
    <w:p w14:paraId="31AF396E" w14:textId="77777777" w:rsidR="008656AA" w:rsidRPr="000C507A" w:rsidRDefault="008656AA" w:rsidP="008656AA">
      <w:pPr>
        <w:pStyle w:val="Heading4"/>
      </w:pPr>
      <w:r w:rsidRPr="000C507A">
        <w:t>Action 3: Health Waikato Mental Health and Addictions Service will be transparent and trustworthy.</w:t>
      </w:r>
    </w:p>
    <w:p w14:paraId="2A3B0F13" w14:textId="77777777" w:rsidR="008656AA" w:rsidRPr="000C507A" w:rsidRDefault="008656AA" w:rsidP="008656AA">
      <w:r w:rsidRPr="000C507A">
        <w:t xml:space="preserve">There will be a focus on service accountability and trustworthiness through open communication with staff and stakeholders of audit reports, decision making, and </w:t>
      </w:r>
      <w:r w:rsidRPr="000C507A">
        <w:lastRenderedPageBreak/>
        <w:t>understandable key performance indicators. This will ensure service-wide quality improvement aligned with contemporary best practice.</w:t>
      </w:r>
    </w:p>
    <w:p w14:paraId="36BE04C6" w14:textId="77777777" w:rsidR="008656AA" w:rsidRPr="000C507A" w:rsidRDefault="008656AA" w:rsidP="00462DCC">
      <w:pPr>
        <w:pStyle w:val="Heading5"/>
      </w:pPr>
      <w:r w:rsidRPr="000C507A">
        <w:t>How</w:t>
      </w:r>
    </w:p>
    <w:p w14:paraId="32C9F49A" w14:textId="77777777" w:rsidR="008656AA" w:rsidRPr="000C507A" w:rsidRDefault="008656AA" w:rsidP="008656AA">
      <w:r w:rsidRPr="000C507A">
        <w:t>Health Waikato Mental Health and Addictions Service will:</w:t>
      </w:r>
    </w:p>
    <w:p w14:paraId="08B9752A" w14:textId="77777777" w:rsidR="008656AA" w:rsidRPr="000C507A" w:rsidRDefault="008656AA" w:rsidP="008656AA">
      <w:pPr>
        <w:pStyle w:val="ListParagraph"/>
        <w:numPr>
          <w:ilvl w:val="0"/>
          <w:numId w:val="4"/>
        </w:numPr>
      </w:pPr>
      <w:r w:rsidRPr="000C507A">
        <w:t>use external certification auditing of systems and service delivery against the national health and disability sector standards</w:t>
      </w:r>
    </w:p>
    <w:p w14:paraId="4DD08F18" w14:textId="77777777" w:rsidR="008656AA" w:rsidRPr="000C507A" w:rsidRDefault="008656AA" w:rsidP="008656AA">
      <w:pPr>
        <w:pStyle w:val="ListParagraph"/>
        <w:numPr>
          <w:ilvl w:val="0"/>
          <w:numId w:val="4"/>
        </w:numPr>
      </w:pPr>
      <w:r w:rsidRPr="000C507A">
        <w:t>develop a clear communication and a transparent decision making pathway</w:t>
      </w:r>
    </w:p>
    <w:p w14:paraId="550E6675" w14:textId="77777777" w:rsidR="008656AA" w:rsidRPr="000C507A" w:rsidRDefault="008656AA" w:rsidP="008656AA">
      <w:pPr>
        <w:pStyle w:val="ListParagraph"/>
        <w:numPr>
          <w:ilvl w:val="0"/>
          <w:numId w:val="4"/>
        </w:numPr>
      </w:pPr>
      <w:r w:rsidRPr="000C507A">
        <w:t>ensure decision making (administrative and clinical) is transparent to staff</w:t>
      </w:r>
    </w:p>
    <w:p w14:paraId="247D6F12" w14:textId="77777777" w:rsidR="008656AA" w:rsidRPr="000C507A" w:rsidRDefault="008656AA" w:rsidP="008656AA">
      <w:pPr>
        <w:pStyle w:val="ListParagraph"/>
        <w:numPr>
          <w:ilvl w:val="0"/>
          <w:numId w:val="4"/>
        </w:numPr>
      </w:pPr>
      <w:r w:rsidRPr="000C507A">
        <w:t>ensure all staff have a shared understanding of all the service terms and language by developing a Health Waikato Mental Health and Addictions Service glossary</w:t>
      </w:r>
    </w:p>
    <w:p w14:paraId="7B1AD3D6" w14:textId="77777777" w:rsidR="008656AA" w:rsidRPr="000C507A" w:rsidRDefault="008656AA" w:rsidP="008656AA">
      <w:pPr>
        <w:pStyle w:val="ListParagraph"/>
        <w:numPr>
          <w:ilvl w:val="0"/>
          <w:numId w:val="4"/>
        </w:numPr>
      </w:pPr>
      <w:proofErr w:type="gramStart"/>
      <w:r w:rsidRPr="000C507A">
        <w:t>develop</w:t>
      </w:r>
      <w:proofErr w:type="gramEnd"/>
      <w:r w:rsidRPr="000C507A">
        <w:t xml:space="preserve"> and communicate clear lines of accountability.</w:t>
      </w:r>
    </w:p>
    <w:p w14:paraId="4F3DB1D3" w14:textId="77777777" w:rsidR="008656AA" w:rsidRPr="000C507A" w:rsidRDefault="008656AA" w:rsidP="008656AA">
      <w:pPr>
        <w:pStyle w:val="Heading5"/>
      </w:pPr>
      <w:r w:rsidRPr="000C507A">
        <w:t>Outcomes</w:t>
      </w:r>
    </w:p>
    <w:p w14:paraId="0CDBD9E0" w14:textId="77777777" w:rsidR="008656AA" w:rsidRPr="000C507A" w:rsidRDefault="008656AA" w:rsidP="008656AA">
      <w:r w:rsidRPr="000C507A">
        <w:t>Health Waikato Mental Health and Addictions Service will ensure:</w:t>
      </w:r>
    </w:p>
    <w:p w14:paraId="69422144" w14:textId="77777777" w:rsidR="008656AA" w:rsidRPr="000C507A" w:rsidRDefault="008656AA" w:rsidP="008656AA">
      <w:pPr>
        <w:pStyle w:val="ListParagraph"/>
        <w:numPr>
          <w:ilvl w:val="0"/>
          <w:numId w:val="4"/>
        </w:numPr>
      </w:pPr>
      <w:r w:rsidRPr="000C507A">
        <w:t>regular annual service performance reports on progress are communicated to stakeholders</w:t>
      </w:r>
    </w:p>
    <w:p w14:paraId="29032511" w14:textId="77777777" w:rsidR="008656AA" w:rsidRPr="000C507A" w:rsidRDefault="008656AA" w:rsidP="008656AA">
      <w:pPr>
        <w:pStyle w:val="ListParagraph"/>
        <w:numPr>
          <w:ilvl w:val="0"/>
          <w:numId w:val="4"/>
        </w:numPr>
      </w:pPr>
      <w:r w:rsidRPr="000C507A">
        <w:t>service gains a 90 per cent pass rate from external certification audits</w:t>
      </w:r>
    </w:p>
    <w:p w14:paraId="78B1BE36" w14:textId="77777777" w:rsidR="008656AA" w:rsidRPr="000C507A" w:rsidRDefault="008656AA" w:rsidP="008656AA">
      <w:pPr>
        <w:pStyle w:val="ListParagraph"/>
        <w:numPr>
          <w:ilvl w:val="0"/>
          <w:numId w:val="4"/>
        </w:numPr>
      </w:pPr>
      <w:r w:rsidRPr="000C507A">
        <w:t>a clear written communication pathway is available for all staff</w:t>
      </w:r>
    </w:p>
    <w:p w14:paraId="55DB10EE" w14:textId="77777777" w:rsidR="008656AA" w:rsidRPr="000C507A" w:rsidRDefault="008656AA" w:rsidP="004F47D7">
      <w:pPr>
        <w:pStyle w:val="ListParagraph"/>
        <w:numPr>
          <w:ilvl w:val="0"/>
          <w:numId w:val="5"/>
        </w:numPr>
      </w:pPr>
      <w:r w:rsidRPr="000C507A">
        <w:t>an up-to-date Health Waikato Mental Health and Addictions Service glossary is made</w:t>
      </w:r>
      <w:r w:rsidR="004F47D7">
        <w:t xml:space="preserve"> </w:t>
      </w:r>
      <w:r w:rsidRPr="000C507A">
        <w:t>available for all staff</w:t>
      </w:r>
    </w:p>
    <w:p w14:paraId="50256947" w14:textId="77777777" w:rsidR="008656AA" w:rsidRPr="000C507A" w:rsidRDefault="008656AA" w:rsidP="008656AA">
      <w:pPr>
        <w:pStyle w:val="ListParagraph"/>
        <w:numPr>
          <w:ilvl w:val="0"/>
          <w:numId w:val="5"/>
        </w:numPr>
      </w:pPr>
      <w:r w:rsidRPr="000C507A">
        <w:t>the implementation of learnings from serious incidents across the whole service</w:t>
      </w:r>
    </w:p>
    <w:p w14:paraId="4644BB6F" w14:textId="77777777" w:rsidR="008656AA" w:rsidRPr="000C507A" w:rsidRDefault="008656AA" w:rsidP="008656AA">
      <w:pPr>
        <w:pStyle w:val="ListParagraph"/>
        <w:numPr>
          <w:ilvl w:val="0"/>
          <w:numId w:val="5"/>
        </w:numPr>
      </w:pPr>
      <w:r w:rsidRPr="000C507A">
        <w:t>reporting of serious incidents aligned with Waikato DHB and national incident reporting requirements</w:t>
      </w:r>
    </w:p>
    <w:p w14:paraId="55D767B7" w14:textId="77777777" w:rsidR="008656AA" w:rsidRPr="000C507A" w:rsidRDefault="008656AA" w:rsidP="008656AA">
      <w:pPr>
        <w:pStyle w:val="ListParagraph"/>
        <w:numPr>
          <w:ilvl w:val="0"/>
          <w:numId w:val="5"/>
        </w:numPr>
      </w:pPr>
      <w:proofErr w:type="gramStart"/>
      <w:r w:rsidRPr="000C507A">
        <w:t>all</w:t>
      </w:r>
      <w:proofErr w:type="gramEnd"/>
      <w:r w:rsidRPr="000C507A">
        <w:t xml:space="preserve"> staff have a clear understanding of who is accountable and how decisions are made.</w:t>
      </w:r>
    </w:p>
    <w:p w14:paraId="43B2C1E1" w14:textId="77777777" w:rsidR="008656AA" w:rsidRPr="000C507A" w:rsidRDefault="008656AA" w:rsidP="008656AA">
      <w:pPr>
        <w:pStyle w:val="Heading4"/>
      </w:pPr>
      <w:r w:rsidRPr="000C507A">
        <w:t>Action 4: Health Waikato Mental Health and Addictions Service will provide culturally responsive services.</w:t>
      </w:r>
    </w:p>
    <w:p w14:paraId="3BC4ABE1" w14:textId="77777777" w:rsidR="008656AA" w:rsidRPr="000C507A" w:rsidRDefault="008656AA" w:rsidP="008656AA">
      <w:r w:rsidRPr="000C507A">
        <w:t xml:space="preserve">The service will work with </w:t>
      </w:r>
      <w:proofErr w:type="spellStart"/>
      <w:r w:rsidRPr="000C507A">
        <w:t>tangata</w:t>
      </w:r>
      <w:proofErr w:type="spellEnd"/>
      <w:r w:rsidRPr="000C507A">
        <w:t xml:space="preserve"> </w:t>
      </w:r>
      <w:proofErr w:type="spellStart"/>
      <w:r w:rsidRPr="000C507A">
        <w:t>whaiora</w:t>
      </w:r>
      <w:proofErr w:type="spellEnd"/>
      <w:r w:rsidRPr="000C507A">
        <w:t xml:space="preserve"> (</w:t>
      </w:r>
      <w:r>
        <w:t>Māori</w:t>
      </w:r>
      <w:r w:rsidRPr="000C507A">
        <w:t xml:space="preserve"> service users) to implement He </w:t>
      </w:r>
      <w:proofErr w:type="spellStart"/>
      <w:r w:rsidRPr="000C507A">
        <w:t>Ara</w:t>
      </w:r>
      <w:proofErr w:type="spellEnd"/>
      <w:r w:rsidRPr="000C507A">
        <w:t xml:space="preserve"> Ki </w:t>
      </w:r>
      <w:proofErr w:type="spellStart"/>
      <w:r w:rsidRPr="000C507A">
        <w:t>Te</w:t>
      </w:r>
      <w:proofErr w:type="spellEnd"/>
      <w:r w:rsidRPr="000C507A">
        <w:t xml:space="preserve"> </w:t>
      </w:r>
      <w:proofErr w:type="spellStart"/>
      <w:r w:rsidRPr="000C507A">
        <w:t>Ao</w:t>
      </w:r>
      <w:proofErr w:type="spellEnd"/>
      <w:r w:rsidRPr="000C507A">
        <w:t xml:space="preserve"> Marama. The focus will be on activities that will improve </w:t>
      </w:r>
      <w:proofErr w:type="spellStart"/>
      <w:r w:rsidRPr="000C507A">
        <w:t>tangata</w:t>
      </w:r>
      <w:proofErr w:type="spellEnd"/>
      <w:r w:rsidRPr="000C507A">
        <w:t xml:space="preserve"> </w:t>
      </w:r>
      <w:proofErr w:type="spellStart"/>
      <w:r w:rsidRPr="000C507A">
        <w:t>whaiora</w:t>
      </w:r>
      <w:proofErr w:type="spellEnd"/>
      <w:r w:rsidRPr="000C507A">
        <w:t xml:space="preserve"> mental health outcomes.</w:t>
      </w:r>
    </w:p>
    <w:p w14:paraId="0302BA19" w14:textId="77777777" w:rsidR="008656AA" w:rsidRPr="000C507A" w:rsidRDefault="008656AA" w:rsidP="008656AA">
      <w:pPr>
        <w:pStyle w:val="Heading5"/>
      </w:pPr>
      <w:r w:rsidRPr="000C507A">
        <w:t>How</w:t>
      </w:r>
    </w:p>
    <w:p w14:paraId="1AA9FF04" w14:textId="77777777" w:rsidR="008656AA" w:rsidRPr="000C507A" w:rsidRDefault="008656AA" w:rsidP="008656AA">
      <w:pPr>
        <w:pStyle w:val="ListParagraph"/>
        <w:numPr>
          <w:ilvl w:val="0"/>
          <w:numId w:val="5"/>
        </w:numPr>
      </w:pPr>
      <w:r w:rsidRPr="000C507A">
        <w:t xml:space="preserve">Include </w:t>
      </w:r>
      <w:proofErr w:type="spellStart"/>
      <w:r w:rsidRPr="000C507A">
        <w:t>tangata</w:t>
      </w:r>
      <w:proofErr w:type="spellEnd"/>
      <w:r w:rsidRPr="000C507A">
        <w:t xml:space="preserve"> </w:t>
      </w:r>
      <w:proofErr w:type="spellStart"/>
      <w:r w:rsidRPr="000C507A">
        <w:t>whaiora</w:t>
      </w:r>
      <w:proofErr w:type="spellEnd"/>
      <w:r w:rsidRPr="000C507A">
        <w:t xml:space="preserve"> in implementation.</w:t>
      </w:r>
    </w:p>
    <w:p w14:paraId="06A8FD33" w14:textId="77777777" w:rsidR="008656AA" w:rsidRPr="000C507A" w:rsidRDefault="008656AA" w:rsidP="008656AA">
      <w:pPr>
        <w:pStyle w:val="ListParagraph"/>
        <w:numPr>
          <w:ilvl w:val="0"/>
          <w:numId w:val="5"/>
        </w:numPr>
      </w:pPr>
      <w:r w:rsidRPr="000C507A">
        <w:t>Develop working groups that have clear and detailed activities.</w:t>
      </w:r>
    </w:p>
    <w:p w14:paraId="1C062F3F" w14:textId="77777777" w:rsidR="008656AA" w:rsidRPr="000C507A" w:rsidRDefault="008656AA" w:rsidP="008656AA">
      <w:pPr>
        <w:pStyle w:val="ListParagraph"/>
        <w:numPr>
          <w:ilvl w:val="0"/>
          <w:numId w:val="5"/>
        </w:numPr>
      </w:pPr>
      <w:r w:rsidRPr="000C507A">
        <w:t xml:space="preserve">Raise the awareness within provider arm and the community of </w:t>
      </w:r>
      <w:proofErr w:type="spellStart"/>
      <w:r w:rsidRPr="000C507A">
        <w:t>Kaitakawaenga</w:t>
      </w:r>
      <w:proofErr w:type="spellEnd"/>
      <w:r w:rsidRPr="000C507A">
        <w:t xml:space="preserve"> services.</w:t>
      </w:r>
    </w:p>
    <w:p w14:paraId="344F53B0" w14:textId="77777777" w:rsidR="008656AA" w:rsidRPr="000C507A" w:rsidRDefault="008656AA" w:rsidP="008656AA">
      <w:pPr>
        <w:pStyle w:val="ListParagraph"/>
        <w:numPr>
          <w:ilvl w:val="0"/>
          <w:numId w:val="5"/>
        </w:numPr>
      </w:pPr>
      <w:r w:rsidRPr="000C507A">
        <w:t xml:space="preserve">Increase the numbers of Mental Health and Addictions staff completing Waikato DHB </w:t>
      </w:r>
      <w:r>
        <w:t>Māori</w:t>
      </w:r>
      <w:r w:rsidRPr="000C507A">
        <w:t xml:space="preserve"> health training and education (</w:t>
      </w:r>
      <w:proofErr w:type="spellStart"/>
      <w:r w:rsidRPr="000C507A">
        <w:t>Te</w:t>
      </w:r>
      <w:proofErr w:type="spellEnd"/>
      <w:r w:rsidRPr="000C507A">
        <w:t xml:space="preserve"> </w:t>
      </w:r>
      <w:proofErr w:type="spellStart"/>
      <w:r w:rsidRPr="000C507A">
        <w:t>Ara</w:t>
      </w:r>
      <w:proofErr w:type="spellEnd"/>
      <w:r w:rsidRPr="000C507A">
        <w:t xml:space="preserve"> </w:t>
      </w:r>
      <w:proofErr w:type="spellStart"/>
      <w:r w:rsidRPr="000C507A">
        <w:t>Tika</w:t>
      </w:r>
      <w:proofErr w:type="spellEnd"/>
      <w:r w:rsidRPr="000C507A">
        <w:t>) by 50 per cent.</w:t>
      </w:r>
    </w:p>
    <w:p w14:paraId="624A4B92" w14:textId="77777777" w:rsidR="008656AA" w:rsidRPr="000C507A" w:rsidRDefault="008656AA" w:rsidP="008656AA">
      <w:pPr>
        <w:pStyle w:val="Heading5"/>
      </w:pPr>
      <w:r w:rsidRPr="000C507A">
        <w:lastRenderedPageBreak/>
        <w:t>Outcomes</w:t>
      </w:r>
    </w:p>
    <w:p w14:paraId="57420890" w14:textId="77777777" w:rsidR="008656AA" w:rsidRPr="000C507A" w:rsidRDefault="008656AA" w:rsidP="008656AA">
      <w:r w:rsidRPr="000C507A">
        <w:t>Health Waikato Mental Health and Addictions Service will ensure:</w:t>
      </w:r>
    </w:p>
    <w:p w14:paraId="1B4F6511" w14:textId="77777777" w:rsidR="008656AA" w:rsidRPr="000C507A" w:rsidRDefault="008656AA" w:rsidP="008656AA">
      <w:pPr>
        <w:pStyle w:val="ListParagraph"/>
        <w:numPr>
          <w:ilvl w:val="0"/>
          <w:numId w:val="5"/>
        </w:numPr>
      </w:pPr>
      <w:r w:rsidRPr="000C507A">
        <w:t xml:space="preserve">meaningful </w:t>
      </w:r>
      <w:proofErr w:type="spellStart"/>
      <w:r w:rsidRPr="000C507A">
        <w:t>tangata</w:t>
      </w:r>
      <w:proofErr w:type="spellEnd"/>
      <w:r w:rsidRPr="000C507A">
        <w:t xml:space="preserve"> </w:t>
      </w:r>
      <w:proofErr w:type="spellStart"/>
      <w:r w:rsidRPr="000C507A">
        <w:t>whaiora</w:t>
      </w:r>
      <w:proofErr w:type="spellEnd"/>
      <w:r w:rsidRPr="000C507A">
        <w:t xml:space="preserve"> participation in service planning and treatment</w:t>
      </w:r>
    </w:p>
    <w:p w14:paraId="4FE4EE1A" w14:textId="77777777" w:rsidR="008656AA" w:rsidRPr="000C507A" w:rsidRDefault="008656AA" w:rsidP="008656AA">
      <w:pPr>
        <w:pStyle w:val="ListParagraph"/>
        <w:numPr>
          <w:ilvl w:val="0"/>
          <w:numId w:val="5"/>
        </w:numPr>
      </w:pPr>
      <w:r w:rsidRPr="000C507A">
        <w:t xml:space="preserve">the connection of </w:t>
      </w:r>
      <w:proofErr w:type="spellStart"/>
      <w:r w:rsidRPr="000C507A">
        <w:t>tangata</w:t>
      </w:r>
      <w:proofErr w:type="spellEnd"/>
      <w:r w:rsidRPr="000C507A">
        <w:t xml:space="preserve"> </w:t>
      </w:r>
      <w:proofErr w:type="spellStart"/>
      <w:r w:rsidRPr="000C507A">
        <w:t>whaiora</w:t>
      </w:r>
      <w:proofErr w:type="spellEnd"/>
      <w:r w:rsidRPr="000C507A">
        <w:t xml:space="preserve"> with a range of options (spiritual, psychological, sociological, occupational, cultural and biological therapies) that help </w:t>
      </w:r>
      <w:r>
        <w:t>Māori</w:t>
      </w:r>
      <w:r w:rsidRPr="000C507A">
        <w:t xml:space="preserve"> and </w:t>
      </w:r>
      <w:proofErr w:type="spellStart"/>
      <w:r>
        <w:t>whānau</w:t>
      </w:r>
      <w:proofErr w:type="spellEnd"/>
      <w:r w:rsidRPr="000C507A">
        <w:t xml:space="preserve"> lead their own recovery</w:t>
      </w:r>
    </w:p>
    <w:p w14:paraId="1C8F4CBD" w14:textId="77777777" w:rsidR="008656AA" w:rsidRPr="000C507A" w:rsidRDefault="008656AA" w:rsidP="008656AA">
      <w:pPr>
        <w:pStyle w:val="ListParagraph"/>
        <w:numPr>
          <w:ilvl w:val="0"/>
          <w:numId w:val="5"/>
        </w:numPr>
      </w:pPr>
      <w:r w:rsidRPr="000C507A">
        <w:t xml:space="preserve">all staff respect </w:t>
      </w:r>
      <w:r>
        <w:t>Māori</w:t>
      </w:r>
      <w:r w:rsidRPr="000C507A">
        <w:t xml:space="preserve"> values/ beliefs and practices</w:t>
      </w:r>
    </w:p>
    <w:p w14:paraId="407FBAB6" w14:textId="77777777" w:rsidR="008656AA" w:rsidRPr="000C507A" w:rsidRDefault="008656AA" w:rsidP="008656AA">
      <w:pPr>
        <w:pStyle w:val="ListParagraph"/>
        <w:numPr>
          <w:ilvl w:val="0"/>
          <w:numId w:val="5"/>
        </w:numPr>
      </w:pPr>
      <w:proofErr w:type="gramStart"/>
      <w:r w:rsidRPr="000C507A">
        <w:t>all</w:t>
      </w:r>
      <w:proofErr w:type="gramEnd"/>
      <w:r w:rsidRPr="000C507A">
        <w:t xml:space="preserve"> staff understand that </w:t>
      </w:r>
      <w:r>
        <w:t>Māori</w:t>
      </w:r>
      <w:r w:rsidRPr="000C507A">
        <w:t xml:space="preserve"> health is everyone’s responsibility (</w:t>
      </w:r>
      <w:proofErr w:type="spellStart"/>
      <w:r w:rsidRPr="000C507A">
        <w:t>Kotahitanga</w:t>
      </w:r>
      <w:proofErr w:type="spellEnd"/>
      <w:r w:rsidRPr="000C507A">
        <w:t>).</w:t>
      </w:r>
    </w:p>
    <w:p w14:paraId="7F2ABFF7" w14:textId="77777777" w:rsidR="008656AA" w:rsidRPr="000C507A" w:rsidRDefault="008656AA" w:rsidP="008656AA">
      <w:pPr>
        <w:pStyle w:val="Heading4"/>
      </w:pPr>
      <w:r w:rsidRPr="000C507A">
        <w:t>Action 5: Health Waikato Mental Health and Addictions Service will build leadership, recruit and retain a skilled workforce.</w:t>
      </w:r>
    </w:p>
    <w:p w14:paraId="26135D7E" w14:textId="77777777" w:rsidR="008656AA" w:rsidRPr="000C507A" w:rsidRDefault="008656AA" w:rsidP="008656AA">
      <w:r w:rsidRPr="000C507A">
        <w:t>Recruitment and retention of a skilled workforce is one of the key challenges over the next five years. The implementation of this plan depends on effective leadership and sophisticated understandings among clinicians about why and how they can assist managers.</w:t>
      </w:r>
    </w:p>
    <w:p w14:paraId="4FF680DE" w14:textId="77777777" w:rsidR="008656AA" w:rsidRPr="000C507A" w:rsidRDefault="008656AA" w:rsidP="008656AA">
      <w:pPr>
        <w:pStyle w:val="Heading5"/>
      </w:pPr>
      <w:r w:rsidRPr="000C507A">
        <w:t>How</w:t>
      </w:r>
    </w:p>
    <w:p w14:paraId="3EBA932C" w14:textId="77777777" w:rsidR="008656AA" w:rsidRPr="000C507A" w:rsidRDefault="008656AA" w:rsidP="008656AA">
      <w:r w:rsidRPr="000C507A">
        <w:t>Health Waikato Mental Health and Addictions Service will:</w:t>
      </w:r>
    </w:p>
    <w:p w14:paraId="16ACE69D" w14:textId="77777777" w:rsidR="008656AA" w:rsidRPr="000C507A" w:rsidRDefault="008656AA" w:rsidP="008656AA">
      <w:pPr>
        <w:pStyle w:val="ListParagraph"/>
        <w:numPr>
          <w:ilvl w:val="0"/>
          <w:numId w:val="5"/>
        </w:numPr>
      </w:pPr>
      <w:r w:rsidRPr="000C507A">
        <w:t>develop a local Mental Health and Addictions Service recruitment and retention plan within the context of national mental health workforce development</w:t>
      </w:r>
    </w:p>
    <w:p w14:paraId="0217D088" w14:textId="77777777" w:rsidR="008656AA" w:rsidRPr="000C507A" w:rsidRDefault="008656AA" w:rsidP="008656AA">
      <w:pPr>
        <w:pStyle w:val="ListParagraph"/>
        <w:numPr>
          <w:ilvl w:val="0"/>
          <w:numId w:val="5"/>
        </w:numPr>
      </w:pPr>
      <w:r w:rsidRPr="000C507A">
        <w:t>grow recovery orientated leadership by fostering leaders and encouraging leadership development: leaders at all levels will model recovery principles with staff and reward effective performance</w:t>
      </w:r>
    </w:p>
    <w:p w14:paraId="66A7AD6C" w14:textId="77777777" w:rsidR="008656AA" w:rsidRPr="000C507A" w:rsidRDefault="008656AA" w:rsidP="008656AA">
      <w:pPr>
        <w:pStyle w:val="ListParagraph"/>
        <w:numPr>
          <w:ilvl w:val="0"/>
          <w:numId w:val="5"/>
        </w:numPr>
      </w:pPr>
      <w:r w:rsidRPr="000C507A">
        <w:t>ensure leaders focus on a supported effort to build a coordinated clinical governance structure</w:t>
      </w:r>
    </w:p>
    <w:p w14:paraId="49B4F508" w14:textId="77777777" w:rsidR="008656AA" w:rsidRPr="000C507A" w:rsidRDefault="008656AA" w:rsidP="008656AA">
      <w:pPr>
        <w:pStyle w:val="ListParagraph"/>
        <w:numPr>
          <w:ilvl w:val="0"/>
          <w:numId w:val="5"/>
        </w:numPr>
      </w:pPr>
      <w:r w:rsidRPr="000C507A">
        <w:t>promote pride of working in Health Waikato Mental Health and Addiction Service</w:t>
      </w:r>
    </w:p>
    <w:p w14:paraId="3E291ADC" w14:textId="77777777" w:rsidR="008656AA" w:rsidRPr="000C507A" w:rsidRDefault="008656AA" w:rsidP="008656AA">
      <w:pPr>
        <w:pStyle w:val="ListParagraph"/>
        <w:numPr>
          <w:ilvl w:val="0"/>
          <w:numId w:val="5"/>
        </w:numPr>
      </w:pPr>
      <w:r w:rsidRPr="000C507A">
        <w:t>support employing service users</w:t>
      </w:r>
    </w:p>
    <w:p w14:paraId="49F8336D" w14:textId="77777777" w:rsidR="008656AA" w:rsidRPr="000C507A" w:rsidRDefault="008656AA" w:rsidP="008656AA">
      <w:pPr>
        <w:pStyle w:val="ListParagraph"/>
        <w:numPr>
          <w:ilvl w:val="0"/>
          <w:numId w:val="5"/>
        </w:numPr>
      </w:pPr>
      <w:r w:rsidRPr="000C507A">
        <w:t>support recovery training and development</w:t>
      </w:r>
    </w:p>
    <w:p w14:paraId="51D9BDB4" w14:textId="77777777" w:rsidR="008656AA" w:rsidRPr="000C507A" w:rsidRDefault="008656AA" w:rsidP="008656AA">
      <w:pPr>
        <w:pStyle w:val="ListParagraph"/>
        <w:numPr>
          <w:ilvl w:val="0"/>
          <w:numId w:val="5"/>
        </w:numPr>
      </w:pPr>
      <w:proofErr w:type="gramStart"/>
      <w:r w:rsidRPr="000C507A">
        <w:t>promote</w:t>
      </w:r>
      <w:proofErr w:type="gramEnd"/>
      <w:r w:rsidRPr="000C507A">
        <w:t xml:space="preserve"> and utilise research and evaluation findings in practice.</w:t>
      </w:r>
    </w:p>
    <w:p w14:paraId="294F8BD1" w14:textId="77777777" w:rsidR="008656AA" w:rsidRPr="000C507A" w:rsidRDefault="008656AA" w:rsidP="008656AA">
      <w:pPr>
        <w:pStyle w:val="Heading5"/>
      </w:pPr>
      <w:r w:rsidRPr="000C507A">
        <w:t>Outcomes</w:t>
      </w:r>
    </w:p>
    <w:p w14:paraId="6BB39A34" w14:textId="77777777" w:rsidR="008656AA" w:rsidRPr="000C507A" w:rsidRDefault="008656AA" w:rsidP="008656AA">
      <w:r w:rsidRPr="000C507A">
        <w:t>Health Waikato Mental Health and Addictions Service will:</w:t>
      </w:r>
    </w:p>
    <w:p w14:paraId="642FAF74" w14:textId="77777777" w:rsidR="008656AA" w:rsidRPr="000C507A" w:rsidRDefault="008656AA" w:rsidP="008656AA">
      <w:pPr>
        <w:pStyle w:val="ListParagraph"/>
        <w:numPr>
          <w:ilvl w:val="0"/>
          <w:numId w:val="5"/>
        </w:numPr>
      </w:pPr>
      <w:r w:rsidRPr="000C507A">
        <w:t>plan and coordinate recruitment and retention</w:t>
      </w:r>
    </w:p>
    <w:p w14:paraId="146AEB01" w14:textId="77777777" w:rsidR="008656AA" w:rsidRPr="000C507A" w:rsidRDefault="008656AA" w:rsidP="008656AA">
      <w:pPr>
        <w:pStyle w:val="ListParagraph"/>
        <w:numPr>
          <w:ilvl w:val="0"/>
          <w:numId w:val="5"/>
        </w:numPr>
      </w:pPr>
      <w:r w:rsidRPr="000C507A">
        <w:t>ensure leadership decisions and interaction reflect a recovery approach</w:t>
      </w:r>
    </w:p>
    <w:p w14:paraId="64C6547C" w14:textId="77777777" w:rsidR="008656AA" w:rsidRPr="000C507A" w:rsidRDefault="008656AA" w:rsidP="008656AA">
      <w:pPr>
        <w:pStyle w:val="ListParagraph"/>
        <w:numPr>
          <w:ilvl w:val="0"/>
          <w:numId w:val="5"/>
        </w:numPr>
      </w:pPr>
      <w:r w:rsidRPr="000C507A">
        <w:t>increase the number of service users employed</w:t>
      </w:r>
    </w:p>
    <w:p w14:paraId="27A4120F" w14:textId="77777777" w:rsidR="008656AA" w:rsidRPr="000C507A" w:rsidRDefault="008656AA" w:rsidP="008656AA">
      <w:pPr>
        <w:pStyle w:val="ListParagraph"/>
        <w:numPr>
          <w:ilvl w:val="0"/>
          <w:numId w:val="5"/>
        </w:numPr>
      </w:pPr>
      <w:r w:rsidRPr="000C507A">
        <w:t>have a recovery focused workforce</w:t>
      </w:r>
    </w:p>
    <w:p w14:paraId="5C558A56" w14:textId="77777777" w:rsidR="008656AA" w:rsidRPr="000C507A" w:rsidRDefault="008656AA" w:rsidP="008656AA">
      <w:pPr>
        <w:pStyle w:val="ListParagraph"/>
        <w:numPr>
          <w:ilvl w:val="0"/>
          <w:numId w:val="5"/>
        </w:numPr>
      </w:pPr>
      <w:proofErr w:type="gramStart"/>
      <w:r w:rsidRPr="000C507A">
        <w:t>use</w:t>
      </w:r>
      <w:proofErr w:type="gramEnd"/>
      <w:r w:rsidRPr="000C507A">
        <w:t xml:space="preserve"> research and evaluation findings in practice.</w:t>
      </w:r>
    </w:p>
    <w:p w14:paraId="58A8EA9E" w14:textId="77777777" w:rsidR="008656AA" w:rsidRPr="000C507A" w:rsidRDefault="008656AA" w:rsidP="008656AA">
      <w:pPr>
        <w:pStyle w:val="Heading3"/>
        <w:numPr>
          <w:ilvl w:val="0"/>
          <w:numId w:val="0"/>
        </w:numPr>
      </w:pPr>
      <w:bookmarkStart w:id="94" w:name="_Toc448394391"/>
      <w:r w:rsidRPr="000C507A">
        <w:t>4. Measuring progress</w:t>
      </w:r>
      <w:bookmarkEnd w:id="94"/>
    </w:p>
    <w:p w14:paraId="633DA662" w14:textId="77777777" w:rsidR="008656AA" w:rsidRPr="000C507A" w:rsidRDefault="008656AA" w:rsidP="008656AA">
      <w:pPr>
        <w:pStyle w:val="ListParagraph"/>
        <w:numPr>
          <w:ilvl w:val="0"/>
          <w:numId w:val="5"/>
        </w:numPr>
      </w:pPr>
      <w:r w:rsidRPr="000C507A">
        <w:t>Recovery plans and treatment plans reflect service users/</w:t>
      </w:r>
      <w:proofErr w:type="spellStart"/>
      <w:r w:rsidRPr="000C507A">
        <w:t>tangata</w:t>
      </w:r>
      <w:proofErr w:type="spellEnd"/>
      <w:r w:rsidRPr="000C507A">
        <w:t xml:space="preserve"> </w:t>
      </w:r>
      <w:proofErr w:type="spellStart"/>
      <w:r w:rsidRPr="000C507A">
        <w:t>whaiora’s</w:t>
      </w:r>
      <w:proofErr w:type="spellEnd"/>
      <w:r w:rsidRPr="000C507A">
        <w:t xml:space="preserve"> own recovery outcomes and goals.</w:t>
      </w:r>
    </w:p>
    <w:p w14:paraId="4F24E886" w14:textId="77777777" w:rsidR="008656AA" w:rsidRPr="000C507A" w:rsidRDefault="008656AA" w:rsidP="008656AA">
      <w:pPr>
        <w:pStyle w:val="ListParagraph"/>
        <w:numPr>
          <w:ilvl w:val="0"/>
          <w:numId w:val="5"/>
        </w:numPr>
      </w:pPr>
      <w:r w:rsidRPr="000C507A">
        <w:lastRenderedPageBreak/>
        <w:t>Relapse prevention plans demonstrate that service users/</w:t>
      </w:r>
      <w:proofErr w:type="spellStart"/>
      <w:r w:rsidRPr="000C507A">
        <w:t>tangata</w:t>
      </w:r>
      <w:proofErr w:type="spellEnd"/>
      <w:r w:rsidRPr="000C507A">
        <w:t xml:space="preserve"> </w:t>
      </w:r>
      <w:proofErr w:type="spellStart"/>
      <w:r w:rsidRPr="000C507A">
        <w:t>whaiora</w:t>
      </w:r>
      <w:proofErr w:type="spellEnd"/>
      <w:r w:rsidRPr="000C507A">
        <w:t xml:space="preserve"> are encouraged to be drivers of their own care.</w:t>
      </w:r>
    </w:p>
    <w:p w14:paraId="55F93E3C" w14:textId="77777777" w:rsidR="008656AA" w:rsidRPr="000C507A" w:rsidRDefault="008656AA" w:rsidP="00444F02">
      <w:pPr>
        <w:pStyle w:val="ListParagraph"/>
        <w:numPr>
          <w:ilvl w:val="0"/>
          <w:numId w:val="6"/>
        </w:numPr>
      </w:pPr>
      <w:r w:rsidRPr="000C507A">
        <w:t>Service user outcome measures indicate that there is measurable change in the long-term</w:t>
      </w:r>
      <w:r w:rsidR="00444F02">
        <w:t xml:space="preserve"> </w:t>
      </w:r>
      <w:r w:rsidRPr="000C507A">
        <w:t>recovery of individuals, which is attributable to interventions or services.</w:t>
      </w:r>
    </w:p>
    <w:p w14:paraId="55D570AB" w14:textId="77777777" w:rsidR="008656AA" w:rsidRPr="000C507A" w:rsidRDefault="008656AA" w:rsidP="008656AA">
      <w:pPr>
        <w:pStyle w:val="ListParagraph"/>
        <w:numPr>
          <w:ilvl w:val="0"/>
          <w:numId w:val="6"/>
        </w:numPr>
      </w:pPr>
      <w:r w:rsidRPr="000C507A">
        <w:t>Reduction in numbers of people using the service for more than three years.</w:t>
      </w:r>
    </w:p>
    <w:p w14:paraId="78502709" w14:textId="77777777" w:rsidR="008656AA" w:rsidRPr="000C507A" w:rsidRDefault="008656AA" w:rsidP="008656AA">
      <w:pPr>
        <w:pStyle w:val="ListParagraph"/>
        <w:numPr>
          <w:ilvl w:val="0"/>
          <w:numId w:val="6"/>
        </w:numPr>
      </w:pPr>
      <w:r w:rsidRPr="000C507A">
        <w:t>An increase in the range of psychosocial interventions.</w:t>
      </w:r>
    </w:p>
    <w:p w14:paraId="35F67915" w14:textId="77777777" w:rsidR="008656AA" w:rsidRPr="000C507A" w:rsidRDefault="008656AA" w:rsidP="008656AA">
      <w:pPr>
        <w:pStyle w:val="ListParagraph"/>
        <w:numPr>
          <w:ilvl w:val="0"/>
          <w:numId w:val="6"/>
        </w:numPr>
      </w:pPr>
      <w:r w:rsidRPr="000C507A">
        <w:t>Service users and family feedback informs operational plans.</w:t>
      </w:r>
    </w:p>
    <w:p w14:paraId="4B8FFB5C" w14:textId="77777777" w:rsidR="008656AA" w:rsidRDefault="008656AA" w:rsidP="008656AA">
      <w:pPr>
        <w:pStyle w:val="ListParagraph"/>
        <w:numPr>
          <w:ilvl w:val="0"/>
          <w:numId w:val="6"/>
        </w:numPr>
      </w:pPr>
      <w:r w:rsidRPr="000C507A">
        <w:t>20 percent annual reduction in the use of seclusion, and elimination by 2014</w:t>
      </w:r>
      <w:r>
        <w:t>.</w:t>
      </w:r>
    </w:p>
    <w:p w14:paraId="6DAAE55D" w14:textId="77777777" w:rsidR="008656AA" w:rsidRDefault="008656AA" w:rsidP="008656AA">
      <w:r>
        <w:br w:type="page"/>
      </w:r>
    </w:p>
    <w:p w14:paraId="502E2508" w14:textId="77777777" w:rsidR="008656AA" w:rsidRDefault="008656AA" w:rsidP="008656AA">
      <w:pPr>
        <w:pStyle w:val="Heading2"/>
        <w:numPr>
          <w:ilvl w:val="0"/>
          <w:numId w:val="0"/>
        </w:numPr>
      </w:pPr>
      <w:bookmarkStart w:id="95" w:name="_Toc448394392"/>
      <w:r>
        <w:lastRenderedPageBreak/>
        <w:t xml:space="preserve">Appendix 4: </w:t>
      </w:r>
      <w:r w:rsidRPr="002D1E75">
        <w:t xml:space="preserve">Henry </w:t>
      </w:r>
      <w:proofErr w:type="spellStart"/>
      <w:r w:rsidRPr="002D1E75">
        <w:t>Rongomau</w:t>
      </w:r>
      <w:proofErr w:type="spellEnd"/>
      <w:r w:rsidRPr="002D1E75">
        <w:t xml:space="preserve"> Bennett Centre Models of Care and Facility Infrastructure Review</w:t>
      </w:r>
      <w:bookmarkEnd w:id="95"/>
    </w:p>
    <w:p w14:paraId="154F94AD" w14:textId="77777777" w:rsidR="008656AA" w:rsidRPr="000C507A" w:rsidRDefault="008656AA" w:rsidP="008656AA">
      <w:r w:rsidRPr="00B529B4">
        <w:t xml:space="preserve">This appendix contains excerpts from </w:t>
      </w:r>
      <w:r w:rsidRPr="00462DCC">
        <w:t xml:space="preserve">the </w:t>
      </w:r>
      <w:r w:rsidR="00EF39D8">
        <w:t xml:space="preserve">August </w:t>
      </w:r>
      <w:r w:rsidRPr="00462DCC">
        <w:t xml:space="preserve">2015 Waikato DHB review of the Henry </w:t>
      </w:r>
      <w:proofErr w:type="spellStart"/>
      <w:r w:rsidRPr="00462DCC">
        <w:t>Ron</w:t>
      </w:r>
      <w:r w:rsidR="00444F02">
        <w:t>g</w:t>
      </w:r>
      <w:r w:rsidRPr="00462DCC">
        <w:t>omau</w:t>
      </w:r>
      <w:proofErr w:type="spellEnd"/>
      <w:r w:rsidRPr="00462DCC">
        <w:t xml:space="preserve"> Bennett Centr</w:t>
      </w:r>
      <w:r w:rsidR="00444F02">
        <w:t>e</w:t>
      </w:r>
      <w:r w:rsidRPr="00462DCC">
        <w:t xml:space="preserve"> Models of Care and facility infrastructure.</w:t>
      </w:r>
      <w:r w:rsidR="00752009" w:rsidRPr="00414F40">
        <w:rPr>
          <w:rStyle w:val="FootnoteReference"/>
        </w:rPr>
        <w:footnoteReference w:id="25"/>
      </w:r>
      <w:r w:rsidR="00444F02">
        <w:t xml:space="preserve"> </w:t>
      </w:r>
      <w:r w:rsidRPr="000C507A">
        <w:t xml:space="preserve">This </w:t>
      </w:r>
      <w:r w:rsidR="00444F02">
        <w:t xml:space="preserve">review </w:t>
      </w:r>
      <w:r w:rsidRPr="000C507A">
        <w:t xml:space="preserve">arose in part because of concerns around the appropriateness of </w:t>
      </w:r>
      <w:r w:rsidR="00444F02">
        <w:t>the</w:t>
      </w:r>
      <w:r w:rsidR="00444F02" w:rsidRPr="000C507A">
        <w:t xml:space="preserve"> </w:t>
      </w:r>
      <w:r w:rsidRPr="000C507A">
        <w:t xml:space="preserve">facilities following some significant incidents. The review team was headed by Kevin </w:t>
      </w:r>
      <w:proofErr w:type="spellStart"/>
      <w:r w:rsidRPr="000C507A">
        <w:t>Fjeldsoe</w:t>
      </w:r>
      <w:proofErr w:type="spellEnd"/>
      <w:r w:rsidR="00444F02">
        <w:t>,</w:t>
      </w:r>
      <w:r w:rsidRPr="000C507A">
        <w:t xml:space="preserve"> who was also the head of the review team that developed </w:t>
      </w:r>
      <w:r w:rsidRPr="000C507A">
        <w:rPr>
          <w:i/>
        </w:rPr>
        <w:t>A Time for Change</w:t>
      </w:r>
      <w:r w:rsidRPr="000C507A">
        <w:t xml:space="preserve">. </w:t>
      </w:r>
    </w:p>
    <w:p w14:paraId="2907727D" w14:textId="77777777" w:rsidR="008656AA" w:rsidRPr="00BB4B34" w:rsidRDefault="008656AA" w:rsidP="008656AA">
      <w:pPr>
        <w:ind w:left="720"/>
        <w:rPr>
          <w:rFonts w:ascii="Arial" w:hAnsi="Arial" w:cs="Arial"/>
          <w:sz w:val="20"/>
          <w:szCs w:val="20"/>
        </w:rPr>
      </w:pPr>
      <w:r w:rsidRPr="00BB4B34">
        <w:rPr>
          <w:rFonts w:ascii="Arial" w:hAnsi="Arial" w:cs="Arial"/>
          <w:b/>
          <w:sz w:val="20"/>
          <w:szCs w:val="20"/>
        </w:rPr>
        <w:t>Background</w:t>
      </w:r>
    </w:p>
    <w:p w14:paraId="1DBFDD62" w14:textId="77777777" w:rsidR="008656AA" w:rsidRPr="00BB4B34" w:rsidRDefault="008656AA" w:rsidP="008656AA">
      <w:pPr>
        <w:ind w:left="720"/>
        <w:rPr>
          <w:rFonts w:ascii="Arial" w:hAnsi="Arial" w:cs="Arial"/>
          <w:sz w:val="20"/>
          <w:szCs w:val="20"/>
        </w:rPr>
      </w:pPr>
      <w:r w:rsidRPr="00BB4B34">
        <w:rPr>
          <w:rFonts w:ascii="Arial" w:hAnsi="Arial" w:cs="Arial"/>
          <w:sz w:val="20"/>
          <w:szCs w:val="20"/>
        </w:rPr>
        <w:t xml:space="preserve">The primary focus of this review was the assessment of the Henry </w:t>
      </w:r>
      <w:proofErr w:type="spellStart"/>
      <w:r w:rsidRPr="00BB4B34">
        <w:rPr>
          <w:rFonts w:ascii="Arial" w:hAnsi="Arial" w:cs="Arial"/>
          <w:sz w:val="20"/>
          <w:szCs w:val="20"/>
        </w:rPr>
        <w:t>Rongomau</w:t>
      </w:r>
      <w:proofErr w:type="spellEnd"/>
      <w:r w:rsidRPr="00BB4B34">
        <w:rPr>
          <w:rFonts w:ascii="Arial" w:hAnsi="Arial" w:cs="Arial"/>
          <w:sz w:val="20"/>
          <w:szCs w:val="20"/>
        </w:rPr>
        <w:t xml:space="preserve"> Bennett Centre’s (HRBC) capital infrastructure. The assessment aimed to determine its suitability for redevelopment and its capacity to respond effectively and efficiently to existing and emerging models of service delivery for adults requiring acute inpatient care. The review process involved an assessment of documentation related to the proposed model of service delivery and the proposed plans for redevelopment. This was followed by a site visit to the HRBC by the review team in July 2015 to consider the observations of staff, service users and their families. A structured framework for information collection and analysis was drawn from available standards and guidelines. This review is primarily a test of the facilities</w:t>
      </w:r>
      <w:r w:rsidR="00EF39D8" w:rsidRPr="00BB4B34">
        <w:rPr>
          <w:rFonts w:ascii="Arial" w:hAnsi="Arial" w:cs="Arial"/>
          <w:sz w:val="20"/>
          <w:szCs w:val="20"/>
        </w:rPr>
        <w:t>’</w:t>
      </w:r>
      <w:r w:rsidRPr="00BB4B34">
        <w:rPr>
          <w:rFonts w:ascii="Arial" w:hAnsi="Arial" w:cs="Arial"/>
          <w:sz w:val="20"/>
          <w:szCs w:val="20"/>
        </w:rPr>
        <w:t xml:space="preserve"> clinical utility rather than a purely technical assessment.</w:t>
      </w:r>
    </w:p>
    <w:p w14:paraId="649CC660" w14:textId="77777777" w:rsidR="008656AA" w:rsidRPr="00BB4B34" w:rsidRDefault="008656AA" w:rsidP="008656AA">
      <w:pPr>
        <w:ind w:left="720"/>
        <w:rPr>
          <w:rFonts w:ascii="Arial" w:hAnsi="Arial" w:cs="Arial"/>
          <w:sz w:val="20"/>
          <w:szCs w:val="20"/>
        </w:rPr>
      </w:pPr>
      <w:r w:rsidRPr="00BB4B34">
        <w:rPr>
          <w:rFonts w:ascii="Arial" w:hAnsi="Arial" w:cs="Arial"/>
          <w:sz w:val="20"/>
          <w:szCs w:val="20"/>
        </w:rPr>
        <w:t>In recent years there has been increasing interest in models of care which most effectively and efficiently target the needs of those admitted to acute inpatient units. This has resulted in an increasing level of specialisation which has often been associated with a need to consider redevelopment or replacement of existing facilities. Major advances are commonly impeded as the ability to meet the changing needs of those admitted becomes increasingly difficult in faculties which were not designed for their current purpose. It is almost 20 years since the HRBC was designed and built. The characteristics needs and expectations of those who use the service have changed significantly since that time.</w:t>
      </w:r>
    </w:p>
    <w:p w14:paraId="6D733F8B" w14:textId="77777777" w:rsidR="008656AA" w:rsidRPr="00BB4B34" w:rsidRDefault="008656AA" w:rsidP="008656AA">
      <w:pPr>
        <w:ind w:left="720"/>
        <w:rPr>
          <w:rFonts w:ascii="Arial" w:hAnsi="Arial" w:cs="Arial"/>
          <w:sz w:val="20"/>
          <w:szCs w:val="20"/>
        </w:rPr>
      </w:pPr>
      <w:r w:rsidRPr="00BB4B34">
        <w:rPr>
          <w:rFonts w:ascii="Arial" w:hAnsi="Arial" w:cs="Arial"/>
          <w:sz w:val="20"/>
          <w:szCs w:val="20"/>
        </w:rPr>
        <w:t>At the HRBC there is evidence of ongoing work over a number of years to improve the facility and to refine service models. This review found that the service models which have been evolving are based on a contemporary set of principles and clinical evidence. Work has continued over an extensive period to improve the process of service delivery and integrated care planning to more effectively target the needs of those referred for treatment. More recently, work has been undertaken to define the expected range of therapeutic interventions provided on the units and to improve the process of communicating and managing the care planning process. These are important initiatives which should contribute significantly to the continuous improvement of the service and inform the redevelopment of the HRBC. A major redevelopment plan aimed at improving the facilities capacity to respond to the changing needs and expectations of service users.</w:t>
      </w:r>
    </w:p>
    <w:p w14:paraId="79599C32" w14:textId="77777777" w:rsidR="008656AA" w:rsidRPr="00BB4B34" w:rsidRDefault="008656AA" w:rsidP="008656AA">
      <w:pPr>
        <w:ind w:left="720"/>
        <w:rPr>
          <w:rFonts w:ascii="Arial" w:hAnsi="Arial" w:cs="Arial"/>
          <w:sz w:val="20"/>
          <w:szCs w:val="20"/>
        </w:rPr>
      </w:pPr>
      <w:r w:rsidRPr="00BB4B34">
        <w:rPr>
          <w:rFonts w:ascii="Arial" w:hAnsi="Arial" w:cs="Arial"/>
          <w:b/>
          <w:sz w:val="20"/>
          <w:szCs w:val="20"/>
        </w:rPr>
        <w:t>Findings</w:t>
      </w:r>
    </w:p>
    <w:p w14:paraId="7DCA2F29" w14:textId="77777777" w:rsidR="008656AA" w:rsidRPr="000C507A" w:rsidRDefault="008656AA" w:rsidP="008656AA">
      <w:pPr>
        <w:ind w:left="720"/>
      </w:pPr>
      <w:r w:rsidRPr="00BB4B34">
        <w:rPr>
          <w:rFonts w:ascii="Arial" w:hAnsi="Arial" w:cs="Arial"/>
          <w:sz w:val="20"/>
          <w:szCs w:val="20"/>
        </w:rPr>
        <w:t xml:space="preserve">This review found that despite considerable effort to improve the HRBC environment, it did not meet a significant number of basic contemporary standards. Further, it was the view of the review team that the capacity of the service to develop new and potentially more efficient and effective models of service was being constrained by the need to deliver services in the existing facility. Essentially, the service has been, until recent times, trying to make the service model fit the facility. The planning work undertaken in 2013 clearly articulates the extent of the problem. The review team is of the belief that the planned redevelopment will not address a number of fundamental problems. Fundamental problems with layout and insufficient space mean that associated problems with privacy, safety and security will remain. A contemporary expectation of an acute mental health unit is the provision of single rooms with </w:t>
      </w:r>
      <w:proofErr w:type="spellStart"/>
      <w:r w:rsidRPr="00BB4B34">
        <w:rPr>
          <w:rFonts w:ascii="Arial" w:hAnsi="Arial" w:cs="Arial"/>
          <w:sz w:val="20"/>
          <w:szCs w:val="20"/>
        </w:rPr>
        <w:t>ensuites</w:t>
      </w:r>
      <w:proofErr w:type="spellEnd"/>
      <w:r w:rsidRPr="00BB4B34">
        <w:rPr>
          <w:rFonts w:ascii="Arial" w:hAnsi="Arial" w:cs="Arial"/>
          <w:sz w:val="20"/>
          <w:szCs w:val="20"/>
        </w:rPr>
        <w:t xml:space="preserve">. These should be designed to restrict access to hanging point and to improve client privacy and personal safety. The redeveloped unit would not meet this expectation and would be unlikely to achieve significant improvements to the safe and </w:t>
      </w:r>
      <w:r w:rsidRPr="00BB4B34">
        <w:rPr>
          <w:rFonts w:ascii="Arial" w:hAnsi="Arial" w:cs="Arial"/>
          <w:sz w:val="20"/>
          <w:szCs w:val="20"/>
        </w:rPr>
        <w:lastRenderedPageBreak/>
        <w:t>effective treatment of those with the highest and most complex needs. The basic layout would still provide an institutional ambience and restrict the delivery of new and potentially more effective and efficient service options.</w:t>
      </w:r>
    </w:p>
    <w:p w14:paraId="5080219E" w14:textId="77777777" w:rsidR="008656AA" w:rsidRPr="000C507A" w:rsidRDefault="008656AA" w:rsidP="008656AA">
      <w:r w:rsidRPr="000C507A">
        <w:t>The review analysed the options available and came up with a preferred option.</w:t>
      </w:r>
    </w:p>
    <w:p w14:paraId="5E968FA0" w14:textId="77777777" w:rsidR="008656AA" w:rsidRPr="00BB4B34" w:rsidRDefault="008656AA" w:rsidP="008656AA">
      <w:pPr>
        <w:ind w:left="720"/>
        <w:rPr>
          <w:rFonts w:ascii="Arial" w:hAnsi="Arial" w:cs="Arial"/>
          <w:sz w:val="20"/>
          <w:szCs w:val="20"/>
        </w:rPr>
      </w:pPr>
      <w:r w:rsidRPr="00BB4B34">
        <w:rPr>
          <w:rFonts w:ascii="Arial" w:hAnsi="Arial" w:cs="Arial"/>
          <w:sz w:val="20"/>
          <w:szCs w:val="20"/>
        </w:rPr>
        <w:t>The review team believes that a contemporary service model involving the construction of new purpose built hospital and community facilities should be considered. This should provide a more efficient use of recurrent funds and provide a greater array of inpatient treatment options for consumers with increasingly complex and diverse needs (Table 1). This option has been developed on the premise that even with substantial investment, the continued use of the HRBC to deliver contemporary models of acute inpatient service will be problematic and the facility might be better used for other purposes. A provisional attempt to test the recurrent impact of a new service model is provided. It indicates that the recurrent cost of the new service model would not be greater than the anticipated cost of the existing service as it expands over time.</w:t>
      </w:r>
    </w:p>
    <w:tbl>
      <w:tblPr>
        <w:tblStyle w:val="TableGrid"/>
        <w:tblW w:w="0" w:type="auto"/>
        <w:tblInd w:w="720" w:type="dxa"/>
        <w:tblLook w:val="04A0" w:firstRow="1" w:lastRow="0" w:firstColumn="1" w:lastColumn="0" w:noHBand="0" w:noVBand="1"/>
      </w:tblPr>
      <w:tblGrid>
        <w:gridCol w:w="5263"/>
        <w:gridCol w:w="3027"/>
      </w:tblGrid>
      <w:tr w:rsidR="008656AA" w:rsidRPr="00BB4B34" w14:paraId="0DF54927" w14:textId="77777777" w:rsidTr="00DB7372">
        <w:tc>
          <w:tcPr>
            <w:tcW w:w="8290" w:type="dxa"/>
            <w:gridSpan w:val="2"/>
          </w:tcPr>
          <w:p w14:paraId="5110D62C" w14:textId="77777777" w:rsidR="008656AA" w:rsidRPr="00BB4B34" w:rsidRDefault="008656AA" w:rsidP="00DB7372">
            <w:pPr>
              <w:rPr>
                <w:rFonts w:ascii="Arial" w:hAnsi="Arial" w:cs="Arial"/>
                <w:i/>
                <w:sz w:val="20"/>
                <w:szCs w:val="20"/>
              </w:rPr>
            </w:pPr>
            <w:r w:rsidRPr="00BB4B34">
              <w:rPr>
                <w:rFonts w:ascii="Arial" w:hAnsi="Arial" w:cs="Arial"/>
                <w:i/>
                <w:sz w:val="20"/>
                <w:szCs w:val="20"/>
              </w:rPr>
              <w:t>Hospital Based</w:t>
            </w:r>
          </w:p>
        </w:tc>
      </w:tr>
      <w:tr w:rsidR="008656AA" w:rsidRPr="00BB4B34" w14:paraId="52FEE741" w14:textId="77777777" w:rsidTr="00DB7372">
        <w:tc>
          <w:tcPr>
            <w:tcW w:w="5263" w:type="dxa"/>
          </w:tcPr>
          <w:p w14:paraId="1604179D" w14:textId="77777777" w:rsidR="008656AA" w:rsidRPr="00BB4B34" w:rsidRDefault="008656AA" w:rsidP="00DB7372">
            <w:pPr>
              <w:rPr>
                <w:rFonts w:ascii="Arial" w:hAnsi="Arial" w:cs="Arial"/>
                <w:sz w:val="20"/>
                <w:szCs w:val="20"/>
              </w:rPr>
            </w:pPr>
            <w:r w:rsidRPr="00BB4B34">
              <w:rPr>
                <w:rFonts w:ascii="Arial" w:hAnsi="Arial" w:cs="Arial"/>
                <w:sz w:val="20"/>
                <w:szCs w:val="20"/>
              </w:rPr>
              <w:t>Acute Adult Inpatient</w:t>
            </w:r>
          </w:p>
        </w:tc>
        <w:tc>
          <w:tcPr>
            <w:tcW w:w="3027" w:type="dxa"/>
          </w:tcPr>
          <w:p w14:paraId="360AAF96" w14:textId="77777777" w:rsidR="008656AA" w:rsidRPr="00BB4B34" w:rsidRDefault="008656AA" w:rsidP="00DB7372">
            <w:pPr>
              <w:rPr>
                <w:rFonts w:ascii="Arial" w:hAnsi="Arial" w:cs="Arial"/>
                <w:sz w:val="20"/>
                <w:szCs w:val="20"/>
              </w:rPr>
            </w:pPr>
            <w:r w:rsidRPr="00BB4B34">
              <w:rPr>
                <w:rFonts w:ascii="Arial" w:hAnsi="Arial" w:cs="Arial"/>
                <w:sz w:val="20"/>
                <w:szCs w:val="20"/>
              </w:rPr>
              <w:t>36 beds (2x18 bed units)</w:t>
            </w:r>
          </w:p>
        </w:tc>
      </w:tr>
      <w:tr w:rsidR="008656AA" w:rsidRPr="00BB4B34" w14:paraId="3DA4D80F" w14:textId="77777777" w:rsidTr="00DB7372">
        <w:tc>
          <w:tcPr>
            <w:tcW w:w="5263" w:type="dxa"/>
          </w:tcPr>
          <w:p w14:paraId="17FA99AF" w14:textId="77777777" w:rsidR="008656AA" w:rsidRPr="00BB4B34" w:rsidRDefault="008656AA" w:rsidP="00DB7372">
            <w:pPr>
              <w:rPr>
                <w:rFonts w:ascii="Arial" w:hAnsi="Arial" w:cs="Arial"/>
                <w:sz w:val="20"/>
                <w:szCs w:val="20"/>
              </w:rPr>
            </w:pPr>
            <w:r w:rsidRPr="00BB4B34">
              <w:rPr>
                <w:rFonts w:ascii="Arial" w:hAnsi="Arial" w:cs="Arial"/>
                <w:sz w:val="20"/>
                <w:szCs w:val="20"/>
              </w:rPr>
              <w:t>Intensive Care (Each collocated with an 18 bed unit</w:t>
            </w:r>
            <w:r w:rsidR="00C915F1" w:rsidRPr="00BB4B34">
              <w:rPr>
                <w:rFonts w:ascii="Arial" w:hAnsi="Arial" w:cs="Arial"/>
                <w:sz w:val="20"/>
                <w:szCs w:val="20"/>
              </w:rPr>
              <w:t>)</w:t>
            </w:r>
          </w:p>
        </w:tc>
        <w:tc>
          <w:tcPr>
            <w:tcW w:w="3027" w:type="dxa"/>
          </w:tcPr>
          <w:p w14:paraId="03E685BA" w14:textId="77777777" w:rsidR="008656AA" w:rsidRPr="00BB4B34" w:rsidRDefault="008656AA" w:rsidP="00DB7372">
            <w:pPr>
              <w:rPr>
                <w:rFonts w:ascii="Arial" w:hAnsi="Arial" w:cs="Arial"/>
                <w:sz w:val="20"/>
                <w:szCs w:val="20"/>
              </w:rPr>
            </w:pPr>
            <w:r w:rsidRPr="00BB4B34">
              <w:rPr>
                <w:rFonts w:ascii="Arial" w:hAnsi="Arial" w:cs="Arial"/>
                <w:sz w:val="20"/>
                <w:szCs w:val="20"/>
              </w:rPr>
              <w:t xml:space="preserve">8 </w:t>
            </w:r>
            <w:r w:rsidR="00C915F1" w:rsidRPr="00BB4B34">
              <w:rPr>
                <w:rFonts w:ascii="Arial" w:hAnsi="Arial" w:cs="Arial"/>
                <w:sz w:val="20"/>
                <w:szCs w:val="20"/>
              </w:rPr>
              <w:t>b</w:t>
            </w:r>
            <w:r w:rsidRPr="00BB4B34">
              <w:rPr>
                <w:rFonts w:ascii="Arial" w:hAnsi="Arial" w:cs="Arial"/>
                <w:sz w:val="20"/>
                <w:szCs w:val="20"/>
              </w:rPr>
              <w:t>eds (2x4 bed units)</w:t>
            </w:r>
          </w:p>
        </w:tc>
      </w:tr>
      <w:tr w:rsidR="008656AA" w:rsidRPr="00BB4B34" w14:paraId="52C0EF77" w14:textId="77777777" w:rsidTr="00DB7372">
        <w:tc>
          <w:tcPr>
            <w:tcW w:w="5263" w:type="dxa"/>
          </w:tcPr>
          <w:p w14:paraId="780186B8" w14:textId="77777777" w:rsidR="008656AA" w:rsidRPr="00BB4B34" w:rsidRDefault="008656AA" w:rsidP="00DB7372">
            <w:pPr>
              <w:rPr>
                <w:rFonts w:ascii="Arial" w:hAnsi="Arial" w:cs="Arial"/>
                <w:sz w:val="20"/>
                <w:szCs w:val="20"/>
              </w:rPr>
            </w:pPr>
            <w:r w:rsidRPr="00BB4B34">
              <w:rPr>
                <w:rFonts w:ascii="Arial" w:hAnsi="Arial" w:cs="Arial"/>
                <w:sz w:val="20"/>
                <w:szCs w:val="20"/>
              </w:rPr>
              <w:t>High and Complex needs (Secure – Hospital based)</w:t>
            </w:r>
          </w:p>
        </w:tc>
        <w:tc>
          <w:tcPr>
            <w:tcW w:w="3027" w:type="dxa"/>
          </w:tcPr>
          <w:p w14:paraId="6D9A47CA" w14:textId="77777777" w:rsidR="008656AA" w:rsidRPr="00BB4B34" w:rsidRDefault="008656AA" w:rsidP="00DB7372">
            <w:pPr>
              <w:rPr>
                <w:rFonts w:ascii="Arial" w:hAnsi="Arial" w:cs="Arial"/>
                <w:sz w:val="20"/>
                <w:szCs w:val="20"/>
              </w:rPr>
            </w:pPr>
            <w:r w:rsidRPr="00BB4B34">
              <w:rPr>
                <w:rFonts w:ascii="Arial" w:hAnsi="Arial" w:cs="Arial"/>
                <w:sz w:val="20"/>
                <w:szCs w:val="20"/>
              </w:rPr>
              <w:t>14 beds (Includes 2 detox beds)</w:t>
            </w:r>
          </w:p>
        </w:tc>
      </w:tr>
      <w:tr w:rsidR="008656AA" w:rsidRPr="00BB4B34" w14:paraId="41035CD8" w14:textId="77777777" w:rsidTr="00DB7372">
        <w:tc>
          <w:tcPr>
            <w:tcW w:w="8290" w:type="dxa"/>
            <w:gridSpan w:val="2"/>
          </w:tcPr>
          <w:p w14:paraId="4EAF9567" w14:textId="77777777" w:rsidR="008656AA" w:rsidRPr="00BB4B34" w:rsidRDefault="008656AA" w:rsidP="00DB7372">
            <w:pPr>
              <w:rPr>
                <w:rFonts w:ascii="Arial" w:hAnsi="Arial" w:cs="Arial"/>
                <w:i/>
                <w:sz w:val="20"/>
                <w:szCs w:val="20"/>
              </w:rPr>
            </w:pPr>
            <w:r w:rsidRPr="00BB4B34">
              <w:rPr>
                <w:rFonts w:ascii="Arial" w:hAnsi="Arial" w:cs="Arial"/>
                <w:i/>
                <w:sz w:val="20"/>
                <w:szCs w:val="20"/>
              </w:rPr>
              <w:t>Community Based</w:t>
            </w:r>
          </w:p>
        </w:tc>
      </w:tr>
      <w:tr w:rsidR="008656AA" w:rsidRPr="00BB4B34" w14:paraId="244BCA99" w14:textId="77777777" w:rsidTr="00DB7372">
        <w:tc>
          <w:tcPr>
            <w:tcW w:w="5263" w:type="dxa"/>
          </w:tcPr>
          <w:p w14:paraId="390DAECC" w14:textId="77777777" w:rsidR="008656AA" w:rsidRPr="00BB4B34" w:rsidRDefault="008656AA" w:rsidP="00DB7372">
            <w:pPr>
              <w:rPr>
                <w:rFonts w:ascii="Arial" w:hAnsi="Arial" w:cs="Arial"/>
                <w:sz w:val="20"/>
                <w:szCs w:val="20"/>
              </w:rPr>
            </w:pPr>
            <w:r w:rsidRPr="00BB4B34">
              <w:rPr>
                <w:rFonts w:ascii="Arial" w:hAnsi="Arial" w:cs="Arial"/>
                <w:sz w:val="20"/>
                <w:szCs w:val="20"/>
              </w:rPr>
              <w:t>High and Complex Needs</w:t>
            </w:r>
          </w:p>
        </w:tc>
        <w:tc>
          <w:tcPr>
            <w:tcW w:w="3027" w:type="dxa"/>
          </w:tcPr>
          <w:p w14:paraId="5CF7AA44" w14:textId="77777777" w:rsidR="008656AA" w:rsidRPr="00BB4B34" w:rsidRDefault="008656AA" w:rsidP="00DB7372">
            <w:pPr>
              <w:rPr>
                <w:rFonts w:ascii="Arial" w:hAnsi="Arial" w:cs="Arial"/>
                <w:sz w:val="20"/>
                <w:szCs w:val="20"/>
              </w:rPr>
            </w:pPr>
            <w:r w:rsidRPr="00BB4B34">
              <w:rPr>
                <w:rFonts w:ascii="Arial" w:hAnsi="Arial" w:cs="Arial"/>
                <w:sz w:val="20"/>
                <w:szCs w:val="20"/>
              </w:rPr>
              <w:t>15 beds</w:t>
            </w:r>
          </w:p>
        </w:tc>
      </w:tr>
      <w:tr w:rsidR="008656AA" w:rsidRPr="00BB4B34" w14:paraId="0845AD0C" w14:textId="77777777" w:rsidTr="00DB7372">
        <w:tc>
          <w:tcPr>
            <w:tcW w:w="5263" w:type="dxa"/>
          </w:tcPr>
          <w:p w14:paraId="0AA80589" w14:textId="77777777" w:rsidR="008656AA" w:rsidRPr="00BB4B34" w:rsidRDefault="008656AA" w:rsidP="00DB7372">
            <w:pPr>
              <w:rPr>
                <w:rFonts w:ascii="Arial" w:hAnsi="Arial" w:cs="Arial"/>
                <w:sz w:val="20"/>
                <w:szCs w:val="20"/>
              </w:rPr>
            </w:pPr>
            <w:r w:rsidRPr="00BB4B34">
              <w:rPr>
                <w:rFonts w:ascii="Arial" w:hAnsi="Arial" w:cs="Arial"/>
                <w:sz w:val="20"/>
                <w:szCs w:val="20"/>
              </w:rPr>
              <w:t>Sub-Acute – Step up/Step down</w:t>
            </w:r>
          </w:p>
        </w:tc>
        <w:tc>
          <w:tcPr>
            <w:tcW w:w="3027" w:type="dxa"/>
          </w:tcPr>
          <w:p w14:paraId="6AE903DA" w14:textId="77777777" w:rsidR="008656AA" w:rsidRPr="00BB4B34" w:rsidRDefault="008656AA" w:rsidP="00DB7372">
            <w:pPr>
              <w:rPr>
                <w:rFonts w:ascii="Arial" w:hAnsi="Arial" w:cs="Arial"/>
                <w:sz w:val="20"/>
                <w:szCs w:val="20"/>
              </w:rPr>
            </w:pPr>
            <w:r w:rsidRPr="00BB4B34">
              <w:rPr>
                <w:rFonts w:ascii="Arial" w:hAnsi="Arial" w:cs="Arial"/>
                <w:sz w:val="20"/>
                <w:szCs w:val="20"/>
              </w:rPr>
              <w:t>6 beds</w:t>
            </w:r>
          </w:p>
        </w:tc>
      </w:tr>
      <w:tr w:rsidR="008656AA" w:rsidRPr="00BB4B34" w14:paraId="321341BC" w14:textId="77777777" w:rsidTr="00DB7372">
        <w:tc>
          <w:tcPr>
            <w:tcW w:w="5263" w:type="dxa"/>
          </w:tcPr>
          <w:p w14:paraId="740C59BB" w14:textId="77777777" w:rsidR="008656AA" w:rsidRPr="00BB4B34" w:rsidRDefault="008656AA" w:rsidP="00DB7372">
            <w:pPr>
              <w:rPr>
                <w:rFonts w:ascii="Arial" w:hAnsi="Arial" w:cs="Arial"/>
                <w:sz w:val="20"/>
                <w:szCs w:val="20"/>
                <w:u w:val="single"/>
              </w:rPr>
            </w:pPr>
            <w:r w:rsidRPr="00BB4B34">
              <w:rPr>
                <w:rFonts w:ascii="Arial" w:hAnsi="Arial" w:cs="Arial"/>
                <w:sz w:val="20"/>
                <w:szCs w:val="20"/>
                <w:u w:val="single"/>
              </w:rPr>
              <w:t>Total</w:t>
            </w:r>
          </w:p>
        </w:tc>
        <w:tc>
          <w:tcPr>
            <w:tcW w:w="3027" w:type="dxa"/>
          </w:tcPr>
          <w:p w14:paraId="18DB59DD" w14:textId="77777777" w:rsidR="008656AA" w:rsidRPr="00BB4B34" w:rsidRDefault="008656AA" w:rsidP="00DB7372">
            <w:pPr>
              <w:rPr>
                <w:rFonts w:ascii="Arial" w:hAnsi="Arial" w:cs="Arial"/>
                <w:sz w:val="20"/>
                <w:szCs w:val="20"/>
                <w:u w:val="single"/>
              </w:rPr>
            </w:pPr>
            <w:r w:rsidRPr="00BB4B34">
              <w:rPr>
                <w:rFonts w:ascii="Arial" w:hAnsi="Arial" w:cs="Arial"/>
                <w:sz w:val="20"/>
                <w:szCs w:val="20"/>
                <w:u w:val="single"/>
              </w:rPr>
              <w:t xml:space="preserve">79 </w:t>
            </w:r>
            <w:r w:rsidR="00C915F1" w:rsidRPr="00BB4B34">
              <w:rPr>
                <w:rFonts w:ascii="Arial" w:hAnsi="Arial" w:cs="Arial"/>
                <w:sz w:val="20"/>
                <w:szCs w:val="20"/>
                <w:u w:val="single"/>
              </w:rPr>
              <w:t>b</w:t>
            </w:r>
            <w:r w:rsidRPr="00BB4B34">
              <w:rPr>
                <w:rFonts w:ascii="Arial" w:hAnsi="Arial" w:cs="Arial"/>
                <w:sz w:val="20"/>
                <w:szCs w:val="20"/>
                <w:u w:val="single"/>
              </w:rPr>
              <w:t>eds</w:t>
            </w:r>
          </w:p>
        </w:tc>
      </w:tr>
    </w:tbl>
    <w:p w14:paraId="27CDA9F5" w14:textId="77777777" w:rsidR="008656AA" w:rsidRPr="00BB4B34" w:rsidRDefault="008656AA" w:rsidP="008656AA">
      <w:pPr>
        <w:pStyle w:val="Caption"/>
        <w:ind w:left="720"/>
        <w:rPr>
          <w:rFonts w:ascii="Arial" w:hAnsi="Arial" w:cs="Arial"/>
          <w:sz w:val="20"/>
          <w:szCs w:val="20"/>
        </w:rPr>
      </w:pPr>
      <w:r w:rsidRPr="00BB4B34">
        <w:rPr>
          <w:rFonts w:ascii="Arial" w:hAnsi="Arial" w:cs="Arial"/>
          <w:sz w:val="20"/>
          <w:szCs w:val="20"/>
        </w:rPr>
        <w:t xml:space="preserve">Table </w:t>
      </w:r>
      <w:r w:rsidRPr="00BB4B34">
        <w:rPr>
          <w:rFonts w:ascii="Arial" w:hAnsi="Arial" w:cs="Arial"/>
          <w:sz w:val="20"/>
          <w:szCs w:val="20"/>
        </w:rPr>
        <w:fldChar w:fldCharType="begin"/>
      </w:r>
      <w:r w:rsidRPr="00BB4B34">
        <w:rPr>
          <w:rFonts w:ascii="Arial" w:hAnsi="Arial" w:cs="Arial"/>
          <w:sz w:val="20"/>
          <w:szCs w:val="20"/>
        </w:rPr>
        <w:instrText xml:space="preserve"> SEQ Table \* ARABIC </w:instrText>
      </w:r>
      <w:r w:rsidRPr="00BB4B34">
        <w:rPr>
          <w:rFonts w:ascii="Arial" w:hAnsi="Arial" w:cs="Arial"/>
          <w:sz w:val="20"/>
          <w:szCs w:val="20"/>
        </w:rPr>
        <w:fldChar w:fldCharType="separate"/>
      </w:r>
      <w:r w:rsidR="005341C3">
        <w:rPr>
          <w:rFonts w:ascii="Arial" w:hAnsi="Arial" w:cs="Arial"/>
          <w:noProof/>
          <w:sz w:val="20"/>
          <w:szCs w:val="20"/>
        </w:rPr>
        <w:t>1</w:t>
      </w:r>
      <w:r w:rsidRPr="00BB4B34">
        <w:rPr>
          <w:rFonts w:ascii="Arial" w:hAnsi="Arial" w:cs="Arial"/>
          <w:sz w:val="20"/>
          <w:szCs w:val="20"/>
        </w:rPr>
        <w:fldChar w:fldCharType="end"/>
      </w:r>
      <w:r w:rsidRPr="00BB4B34">
        <w:rPr>
          <w:rFonts w:ascii="Arial" w:hAnsi="Arial" w:cs="Arial"/>
          <w:sz w:val="20"/>
          <w:szCs w:val="20"/>
        </w:rPr>
        <w:t xml:space="preserve"> Provisional Mental Health Adult Bed Program Structure</w:t>
      </w:r>
    </w:p>
    <w:p w14:paraId="17FDDB9F" w14:textId="77777777" w:rsidR="008656AA" w:rsidRPr="00BB4B34" w:rsidRDefault="008656AA" w:rsidP="008656AA">
      <w:pPr>
        <w:ind w:left="720"/>
        <w:rPr>
          <w:rFonts w:ascii="Arial" w:hAnsi="Arial" w:cs="Arial"/>
          <w:sz w:val="20"/>
          <w:szCs w:val="20"/>
        </w:rPr>
      </w:pPr>
      <w:r w:rsidRPr="00BB4B34">
        <w:rPr>
          <w:rFonts w:ascii="Arial" w:hAnsi="Arial" w:cs="Arial"/>
          <w:sz w:val="20"/>
          <w:szCs w:val="20"/>
        </w:rPr>
        <w:t>The new model provides a mix of hospital and community based alternatives with services designed to meet the needs of three groups identified during the course of the review. The programs would target those with high and complex needs who require intensive care in a secure environment as well those with high and complex needs for clinical treatment and psycho-social rehabilitation which can be provided most effectively in the community rather in hospital. In addition the model provides for a small step up/step down subacute unit in the community to support transition from hospital and to prevent admission for those who can be safely and effectively managed with higher levels of support than is currently available in the community.</w:t>
      </w:r>
    </w:p>
    <w:p w14:paraId="00DF1E69" w14:textId="77777777" w:rsidR="008656AA" w:rsidRPr="00BB4B34" w:rsidRDefault="008656AA" w:rsidP="008656AA">
      <w:pPr>
        <w:ind w:left="720"/>
        <w:rPr>
          <w:rFonts w:ascii="Arial" w:hAnsi="Arial" w:cs="Arial"/>
          <w:sz w:val="20"/>
          <w:szCs w:val="20"/>
        </w:rPr>
      </w:pPr>
      <w:r w:rsidRPr="00BB4B34">
        <w:rPr>
          <w:rFonts w:ascii="Arial" w:hAnsi="Arial" w:cs="Arial"/>
          <w:sz w:val="20"/>
          <w:szCs w:val="20"/>
        </w:rPr>
        <w:t>The proposed service model supports the construction of new purpose build units which could be designed to more effectively meet the gender and cultural needs of those who use the service. As well, spaces to more effectively meet the needs of young people (18</w:t>
      </w:r>
      <w:r w:rsidR="00541346" w:rsidRPr="00BB4B34">
        <w:rPr>
          <w:rFonts w:ascii="Arial" w:hAnsi="Arial" w:cs="Arial"/>
          <w:sz w:val="20"/>
          <w:szCs w:val="20"/>
        </w:rPr>
        <w:t>–</w:t>
      </w:r>
      <w:r w:rsidRPr="00BB4B34">
        <w:rPr>
          <w:rFonts w:ascii="Arial" w:hAnsi="Arial" w:cs="Arial"/>
          <w:sz w:val="20"/>
          <w:szCs w:val="20"/>
        </w:rPr>
        <w:t>24 years) including those with early psychosis could be provided.</w:t>
      </w:r>
    </w:p>
    <w:p w14:paraId="0A9E45BD" w14:textId="77777777" w:rsidR="008656AA" w:rsidRPr="00BB4B34" w:rsidRDefault="008656AA" w:rsidP="008656AA">
      <w:pPr>
        <w:ind w:left="720"/>
        <w:rPr>
          <w:rFonts w:ascii="Arial" w:hAnsi="Arial" w:cs="Arial"/>
          <w:sz w:val="20"/>
          <w:szCs w:val="20"/>
        </w:rPr>
      </w:pPr>
      <w:r w:rsidRPr="00BB4B34">
        <w:rPr>
          <w:rFonts w:ascii="Arial" w:hAnsi="Arial" w:cs="Arial"/>
          <w:sz w:val="20"/>
          <w:szCs w:val="20"/>
        </w:rPr>
        <w:t>This model would introduce a number of new treatment options for service users with varying levels of complexity. The ne</w:t>
      </w:r>
      <w:r w:rsidR="00F50F77" w:rsidRPr="00BB4B34">
        <w:rPr>
          <w:rFonts w:ascii="Arial" w:hAnsi="Arial" w:cs="Arial"/>
          <w:sz w:val="20"/>
          <w:szCs w:val="20"/>
        </w:rPr>
        <w:t>e</w:t>
      </w:r>
      <w:r w:rsidRPr="00BB4B34">
        <w:rPr>
          <w:rFonts w:ascii="Arial" w:hAnsi="Arial" w:cs="Arial"/>
          <w:sz w:val="20"/>
          <w:szCs w:val="20"/>
        </w:rPr>
        <w:t>d for integrated care planning and service delivery aimed at ensuring continuity of care would be paramount as would the need for a workforce supported to deliver more targeted and specialised services than those that are currently available.</w:t>
      </w:r>
    </w:p>
    <w:p w14:paraId="74E621D9" w14:textId="77777777" w:rsidR="008656AA" w:rsidRPr="00BB4B34" w:rsidRDefault="008656AA" w:rsidP="008656AA">
      <w:pPr>
        <w:ind w:left="720"/>
        <w:rPr>
          <w:rFonts w:ascii="Arial" w:hAnsi="Arial" w:cs="Arial"/>
          <w:sz w:val="20"/>
          <w:szCs w:val="20"/>
        </w:rPr>
      </w:pPr>
      <w:r w:rsidRPr="00BB4B34">
        <w:rPr>
          <w:rFonts w:ascii="Arial" w:hAnsi="Arial" w:cs="Arial"/>
          <w:sz w:val="20"/>
          <w:szCs w:val="20"/>
        </w:rPr>
        <w:t>Option 1</w:t>
      </w:r>
      <w:r w:rsidR="00541346" w:rsidRPr="00BB4B34">
        <w:rPr>
          <w:rFonts w:ascii="Arial" w:hAnsi="Arial" w:cs="Arial"/>
          <w:sz w:val="20"/>
          <w:szCs w:val="20"/>
        </w:rPr>
        <w:t xml:space="preserve"> </w:t>
      </w:r>
      <w:r w:rsidRPr="00BB4B34">
        <w:rPr>
          <w:rFonts w:ascii="Arial" w:hAnsi="Arial" w:cs="Arial"/>
          <w:sz w:val="20"/>
          <w:szCs w:val="20"/>
        </w:rPr>
        <w:t>– Summary</w:t>
      </w:r>
      <w:r w:rsidRPr="00BB4B34">
        <w:rPr>
          <w:rStyle w:val="FootnoteReference"/>
          <w:rFonts w:ascii="Arial" w:hAnsi="Arial" w:cs="Arial"/>
          <w:sz w:val="20"/>
          <w:szCs w:val="20"/>
        </w:rPr>
        <w:footnoteReference w:id="26"/>
      </w:r>
    </w:p>
    <w:p w14:paraId="3BAD8465" w14:textId="3CE80094" w:rsidR="008656AA" w:rsidRPr="00BB4B34" w:rsidRDefault="008656AA" w:rsidP="008656AA">
      <w:pPr>
        <w:ind w:left="720"/>
        <w:rPr>
          <w:rFonts w:ascii="Arial" w:hAnsi="Arial" w:cs="Arial"/>
          <w:sz w:val="20"/>
          <w:szCs w:val="20"/>
        </w:rPr>
      </w:pPr>
      <w:r w:rsidRPr="00BB4B34">
        <w:rPr>
          <w:rFonts w:ascii="Arial" w:hAnsi="Arial" w:cs="Arial"/>
          <w:sz w:val="20"/>
          <w:szCs w:val="20"/>
        </w:rPr>
        <w:lastRenderedPageBreak/>
        <w:t>As outlined, Option 1 promotes the development a new and expanded range of services in the community and on the hospital campus (to provide a total of 79 beds). While the option has a number of advantages, there are some disadvantages to be considered (Table 2).</w:t>
      </w:r>
    </w:p>
    <w:tbl>
      <w:tblPr>
        <w:tblStyle w:val="TableGrid"/>
        <w:tblW w:w="0" w:type="auto"/>
        <w:tblInd w:w="720" w:type="dxa"/>
        <w:tblLook w:val="04A0" w:firstRow="1" w:lastRow="0" w:firstColumn="1" w:lastColumn="0" w:noHBand="0" w:noVBand="1"/>
      </w:tblPr>
      <w:tblGrid>
        <w:gridCol w:w="4264"/>
        <w:gridCol w:w="4252"/>
      </w:tblGrid>
      <w:tr w:rsidR="008656AA" w:rsidRPr="00BB4B34" w14:paraId="74E04AFF" w14:textId="77777777" w:rsidTr="00DB7372">
        <w:tc>
          <w:tcPr>
            <w:tcW w:w="4505" w:type="dxa"/>
          </w:tcPr>
          <w:p w14:paraId="0ABCF0FC" w14:textId="77777777" w:rsidR="008656AA" w:rsidRPr="00BB4B34" w:rsidRDefault="008656AA" w:rsidP="00DB7372">
            <w:pPr>
              <w:rPr>
                <w:rFonts w:ascii="Arial" w:hAnsi="Arial" w:cs="Arial"/>
                <w:i/>
                <w:sz w:val="20"/>
                <w:szCs w:val="20"/>
              </w:rPr>
            </w:pPr>
            <w:r w:rsidRPr="00BB4B34">
              <w:rPr>
                <w:rFonts w:ascii="Arial" w:hAnsi="Arial" w:cs="Arial"/>
                <w:i/>
                <w:sz w:val="20"/>
                <w:szCs w:val="20"/>
              </w:rPr>
              <w:t>Advantages</w:t>
            </w:r>
          </w:p>
        </w:tc>
        <w:tc>
          <w:tcPr>
            <w:tcW w:w="4505" w:type="dxa"/>
          </w:tcPr>
          <w:p w14:paraId="0D75A24E" w14:textId="77777777" w:rsidR="008656AA" w:rsidRPr="00BB4B34" w:rsidRDefault="008656AA" w:rsidP="00DB7372">
            <w:pPr>
              <w:rPr>
                <w:rFonts w:ascii="Arial" w:hAnsi="Arial" w:cs="Arial"/>
                <w:i/>
                <w:sz w:val="20"/>
                <w:szCs w:val="20"/>
              </w:rPr>
            </w:pPr>
            <w:r w:rsidRPr="00BB4B34">
              <w:rPr>
                <w:rFonts w:ascii="Arial" w:hAnsi="Arial" w:cs="Arial"/>
                <w:i/>
                <w:sz w:val="20"/>
                <w:szCs w:val="20"/>
              </w:rPr>
              <w:t>Disadvantages</w:t>
            </w:r>
          </w:p>
        </w:tc>
      </w:tr>
      <w:tr w:rsidR="008656AA" w:rsidRPr="00BB4B34" w14:paraId="19AA9ED7" w14:textId="77777777" w:rsidTr="00DB7372">
        <w:tc>
          <w:tcPr>
            <w:tcW w:w="4505" w:type="dxa"/>
          </w:tcPr>
          <w:p w14:paraId="5BAA0F79" w14:textId="77777777" w:rsidR="008656AA" w:rsidRPr="00BB4B34" w:rsidRDefault="008656AA" w:rsidP="008656AA">
            <w:pPr>
              <w:pStyle w:val="ListParagraph"/>
              <w:numPr>
                <w:ilvl w:val="0"/>
                <w:numId w:val="30"/>
              </w:numPr>
              <w:rPr>
                <w:rFonts w:ascii="Arial" w:hAnsi="Arial" w:cs="Arial"/>
                <w:sz w:val="20"/>
                <w:szCs w:val="20"/>
              </w:rPr>
            </w:pPr>
            <w:r w:rsidRPr="00BB4B34">
              <w:rPr>
                <w:rFonts w:ascii="Arial" w:hAnsi="Arial" w:cs="Arial"/>
                <w:sz w:val="20"/>
                <w:szCs w:val="20"/>
              </w:rPr>
              <w:t>No need for decanting during construction</w:t>
            </w:r>
          </w:p>
          <w:p w14:paraId="26207218" w14:textId="77777777" w:rsidR="008656AA" w:rsidRPr="00BB4B34" w:rsidRDefault="008656AA" w:rsidP="008656AA">
            <w:pPr>
              <w:pStyle w:val="ListParagraph"/>
              <w:numPr>
                <w:ilvl w:val="0"/>
                <w:numId w:val="30"/>
              </w:numPr>
              <w:rPr>
                <w:rFonts w:ascii="Arial" w:hAnsi="Arial" w:cs="Arial"/>
                <w:sz w:val="20"/>
                <w:szCs w:val="20"/>
              </w:rPr>
            </w:pPr>
            <w:r w:rsidRPr="00BB4B34">
              <w:rPr>
                <w:rFonts w:ascii="Arial" w:hAnsi="Arial" w:cs="Arial"/>
                <w:sz w:val="20"/>
                <w:szCs w:val="20"/>
              </w:rPr>
              <w:t>Highly likely to produce improved clinical outcomes</w:t>
            </w:r>
          </w:p>
          <w:p w14:paraId="45C5D417" w14:textId="77777777" w:rsidR="008656AA" w:rsidRPr="00BB4B34" w:rsidRDefault="008656AA" w:rsidP="008656AA">
            <w:pPr>
              <w:pStyle w:val="ListParagraph"/>
              <w:numPr>
                <w:ilvl w:val="0"/>
                <w:numId w:val="30"/>
              </w:numPr>
              <w:rPr>
                <w:rFonts w:ascii="Arial" w:hAnsi="Arial" w:cs="Arial"/>
                <w:sz w:val="20"/>
                <w:szCs w:val="20"/>
              </w:rPr>
            </w:pPr>
            <w:r w:rsidRPr="00BB4B34">
              <w:rPr>
                <w:rFonts w:ascii="Arial" w:hAnsi="Arial" w:cs="Arial"/>
                <w:sz w:val="20"/>
                <w:szCs w:val="20"/>
              </w:rPr>
              <w:t>Opportunity to substantially reduce clinical risk factors</w:t>
            </w:r>
          </w:p>
          <w:p w14:paraId="51665A3C" w14:textId="77777777" w:rsidR="008656AA" w:rsidRPr="00BB4B34" w:rsidRDefault="008656AA" w:rsidP="008656AA">
            <w:pPr>
              <w:pStyle w:val="ListParagraph"/>
              <w:numPr>
                <w:ilvl w:val="0"/>
                <w:numId w:val="30"/>
              </w:numPr>
              <w:rPr>
                <w:rFonts w:ascii="Arial" w:hAnsi="Arial" w:cs="Arial"/>
                <w:sz w:val="20"/>
                <w:szCs w:val="20"/>
              </w:rPr>
            </w:pPr>
            <w:r w:rsidRPr="00BB4B34">
              <w:rPr>
                <w:rFonts w:ascii="Arial" w:hAnsi="Arial" w:cs="Arial"/>
                <w:sz w:val="20"/>
                <w:szCs w:val="20"/>
              </w:rPr>
              <w:t>More cost effective over time (79 beds for the same price as 64)</w:t>
            </w:r>
          </w:p>
          <w:p w14:paraId="5EA08E81" w14:textId="77777777" w:rsidR="008656AA" w:rsidRPr="00BB4B34" w:rsidRDefault="008656AA" w:rsidP="008656AA">
            <w:pPr>
              <w:pStyle w:val="ListParagraph"/>
              <w:numPr>
                <w:ilvl w:val="0"/>
                <w:numId w:val="30"/>
              </w:numPr>
              <w:rPr>
                <w:rFonts w:ascii="Arial" w:hAnsi="Arial" w:cs="Arial"/>
                <w:sz w:val="20"/>
                <w:szCs w:val="20"/>
              </w:rPr>
            </w:pPr>
            <w:r w:rsidRPr="00BB4B34">
              <w:rPr>
                <w:rFonts w:ascii="Arial" w:hAnsi="Arial" w:cs="Arial"/>
                <w:sz w:val="20"/>
                <w:szCs w:val="20"/>
              </w:rPr>
              <w:t>Services provided at nationally benchmarked rate</w:t>
            </w:r>
          </w:p>
          <w:p w14:paraId="5087DB7B" w14:textId="77777777" w:rsidR="008656AA" w:rsidRPr="00BB4B34" w:rsidRDefault="008656AA" w:rsidP="008656AA">
            <w:pPr>
              <w:pStyle w:val="ListParagraph"/>
              <w:numPr>
                <w:ilvl w:val="0"/>
                <w:numId w:val="30"/>
              </w:numPr>
              <w:rPr>
                <w:rFonts w:ascii="Arial" w:hAnsi="Arial" w:cs="Arial"/>
                <w:sz w:val="20"/>
                <w:szCs w:val="20"/>
              </w:rPr>
            </w:pPr>
            <w:r w:rsidRPr="00BB4B34">
              <w:rPr>
                <w:rFonts w:ascii="Arial" w:hAnsi="Arial" w:cs="Arial"/>
                <w:sz w:val="20"/>
                <w:szCs w:val="20"/>
              </w:rPr>
              <w:t>Opportunity to achieve savings and efficiencies by relocating community teams</w:t>
            </w:r>
          </w:p>
          <w:p w14:paraId="06FBD7C0" w14:textId="77777777" w:rsidR="008656AA" w:rsidRPr="00BB4B34" w:rsidRDefault="008656AA" w:rsidP="008656AA">
            <w:pPr>
              <w:pStyle w:val="ListParagraph"/>
              <w:numPr>
                <w:ilvl w:val="0"/>
                <w:numId w:val="30"/>
              </w:numPr>
              <w:rPr>
                <w:rFonts w:ascii="Arial" w:hAnsi="Arial" w:cs="Arial"/>
                <w:sz w:val="20"/>
                <w:szCs w:val="20"/>
              </w:rPr>
            </w:pPr>
            <w:r w:rsidRPr="00BB4B34">
              <w:rPr>
                <w:rFonts w:ascii="Arial" w:hAnsi="Arial" w:cs="Arial"/>
                <w:sz w:val="20"/>
                <w:szCs w:val="20"/>
              </w:rPr>
              <w:t>Improved consumer satisfaction</w:t>
            </w:r>
          </w:p>
          <w:p w14:paraId="0690A0F8" w14:textId="77777777" w:rsidR="008656AA" w:rsidRPr="00BB4B34" w:rsidRDefault="008656AA" w:rsidP="008656AA">
            <w:pPr>
              <w:pStyle w:val="ListParagraph"/>
              <w:numPr>
                <w:ilvl w:val="0"/>
                <w:numId w:val="30"/>
              </w:numPr>
              <w:rPr>
                <w:rFonts w:ascii="Arial" w:hAnsi="Arial" w:cs="Arial"/>
                <w:sz w:val="20"/>
                <w:szCs w:val="20"/>
              </w:rPr>
            </w:pPr>
            <w:r w:rsidRPr="00BB4B34">
              <w:rPr>
                <w:rFonts w:ascii="Arial" w:hAnsi="Arial" w:cs="Arial"/>
                <w:sz w:val="20"/>
                <w:szCs w:val="20"/>
              </w:rPr>
              <w:t>Better, more productive environments for staff</w:t>
            </w:r>
          </w:p>
        </w:tc>
        <w:tc>
          <w:tcPr>
            <w:tcW w:w="4505" w:type="dxa"/>
          </w:tcPr>
          <w:p w14:paraId="757BF0C1" w14:textId="77777777" w:rsidR="008656AA" w:rsidRPr="00BB4B34" w:rsidRDefault="008656AA" w:rsidP="008656AA">
            <w:pPr>
              <w:pStyle w:val="ListParagraph"/>
              <w:numPr>
                <w:ilvl w:val="0"/>
                <w:numId w:val="30"/>
              </w:numPr>
              <w:rPr>
                <w:rFonts w:ascii="Arial" w:hAnsi="Arial" w:cs="Arial"/>
                <w:sz w:val="20"/>
                <w:szCs w:val="20"/>
              </w:rPr>
            </w:pPr>
            <w:r w:rsidRPr="00BB4B34">
              <w:rPr>
                <w:rFonts w:ascii="Arial" w:hAnsi="Arial" w:cs="Arial"/>
                <w:sz w:val="20"/>
                <w:szCs w:val="20"/>
              </w:rPr>
              <w:t>Significant capital investment</w:t>
            </w:r>
          </w:p>
          <w:p w14:paraId="2ED011D4" w14:textId="77777777" w:rsidR="008656AA" w:rsidRPr="00BB4B34" w:rsidRDefault="008656AA" w:rsidP="008656AA">
            <w:pPr>
              <w:pStyle w:val="ListParagraph"/>
              <w:numPr>
                <w:ilvl w:val="0"/>
                <w:numId w:val="30"/>
              </w:numPr>
              <w:rPr>
                <w:rFonts w:ascii="Arial" w:hAnsi="Arial" w:cs="Arial"/>
                <w:sz w:val="20"/>
                <w:szCs w:val="20"/>
              </w:rPr>
            </w:pPr>
            <w:r w:rsidRPr="00BB4B34">
              <w:rPr>
                <w:rFonts w:ascii="Arial" w:hAnsi="Arial" w:cs="Arial"/>
                <w:sz w:val="20"/>
                <w:szCs w:val="20"/>
              </w:rPr>
              <w:t>Need to identify site and use valuable space on hospital campus</w:t>
            </w:r>
          </w:p>
          <w:p w14:paraId="7F48B346" w14:textId="77777777" w:rsidR="008656AA" w:rsidRPr="00BB4B34" w:rsidRDefault="008656AA" w:rsidP="008656AA">
            <w:pPr>
              <w:pStyle w:val="ListParagraph"/>
              <w:numPr>
                <w:ilvl w:val="0"/>
                <w:numId w:val="30"/>
              </w:numPr>
              <w:rPr>
                <w:rFonts w:ascii="Arial" w:hAnsi="Arial" w:cs="Arial"/>
                <w:sz w:val="20"/>
                <w:szCs w:val="20"/>
              </w:rPr>
            </w:pPr>
            <w:r w:rsidRPr="00BB4B34">
              <w:rPr>
                <w:rFonts w:ascii="Arial" w:hAnsi="Arial" w:cs="Arial"/>
                <w:sz w:val="20"/>
                <w:szCs w:val="20"/>
              </w:rPr>
              <w:t>Possible community resistance to community based units</w:t>
            </w:r>
          </w:p>
          <w:p w14:paraId="23128CA7" w14:textId="77777777" w:rsidR="008656AA" w:rsidRPr="00BB4B34" w:rsidRDefault="008656AA" w:rsidP="008656AA">
            <w:pPr>
              <w:pStyle w:val="ListParagraph"/>
              <w:numPr>
                <w:ilvl w:val="0"/>
                <w:numId w:val="30"/>
              </w:numPr>
              <w:rPr>
                <w:rFonts w:ascii="Arial" w:hAnsi="Arial" w:cs="Arial"/>
                <w:sz w:val="20"/>
                <w:szCs w:val="20"/>
              </w:rPr>
            </w:pPr>
            <w:r w:rsidRPr="00BB4B34">
              <w:rPr>
                <w:rFonts w:ascii="Arial" w:hAnsi="Arial" w:cs="Arial"/>
                <w:sz w:val="20"/>
                <w:szCs w:val="20"/>
              </w:rPr>
              <w:t xml:space="preserve">Work needs to be undertaken to locate the plans in a new multi-agency strategic plan </w:t>
            </w:r>
          </w:p>
        </w:tc>
      </w:tr>
    </w:tbl>
    <w:p w14:paraId="419C4C1D" w14:textId="77777777" w:rsidR="008656AA" w:rsidRPr="00BB4B34" w:rsidRDefault="008656AA" w:rsidP="008656AA">
      <w:pPr>
        <w:pStyle w:val="Caption"/>
        <w:ind w:left="720"/>
        <w:rPr>
          <w:rFonts w:ascii="Arial" w:hAnsi="Arial" w:cs="Arial"/>
          <w:sz w:val="20"/>
          <w:szCs w:val="20"/>
        </w:rPr>
      </w:pPr>
      <w:r w:rsidRPr="00BB4B34">
        <w:rPr>
          <w:rFonts w:ascii="Arial" w:hAnsi="Arial" w:cs="Arial"/>
          <w:sz w:val="20"/>
          <w:szCs w:val="20"/>
        </w:rPr>
        <w:t xml:space="preserve">Table </w:t>
      </w:r>
      <w:r w:rsidRPr="00BB4B34">
        <w:rPr>
          <w:rFonts w:ascii="Arial" w:hAnsi="Arial" w:cs="Arial"/>
          <w:sz w:val="20"/>
          <w:szCs w:val="20"/>
        </w:rPr>
        <w:fldChar w:fldCharType="begin"/>
      </w:r>
      <w:r w:rsidRPr="00BB4B34">
        <w:rPr>
          <w:rFonts w:ascii="Arial" w:hAnsi="Arial" w:cs="Arial"/>
          <w:sz w:val="20"/>
          <w:szCs w:val="20"/>
        </w:rPr>
        <w:instrText xml:space="preserve"> SEQ Table \* ARABIC </w:instrText>
      </w:r>
      <w:r w:rsidRPr="00BB4B34">
        <w:rPr>
          <w:rFonts w:ascii="Arial" w:hAnsi="Arial" w:cs="Arial"/>
          <w:sz w:val="20"/>
          <w:szCs w:val="20"/>
        </w:rPr>
        <w:fldChar w:fldCharType="separate"/>
      </w:r>
      <w:r w:rsidR="005341C3">
        <w:rPr>
          <w:rFonts w:ascii="Arial" w:hAnsi="Arial" w:cs="Arial"/>
          <w:noProof/>
          <w:sz w:val="20"/>
          <w:szCs w:val="20"/>
        </w:rPr>
        <w:t>2</w:t>
      </w:r>
      <w:r w:rsidRPr="00BB4B34">
        <w:rPr>
          <w:rFonts w:ascii="Arial" w:hAnsi="Arial" w:cs="Arial"/>
          <w:sz w:val="20"/>
          <w:szCs w:val="20"/>
        </w:rPr>
        <w:fldChar w:fldCharType="end"/>
      </w:r>
      <w:r w:rsidRPr="00BB4B34">
        <w:rPr>
          <w:rFonts w:ascii="Arial" w:hAnsi="Arial" w:cs="Arial"/>
          <w:sz w:val="20"/>
          <w:szCs w:val="20"/>
        </w:rPr>
        <w:t xml:space="preserve"> Advantages and disadvantages of new service model (Option 1)</w:t>
      </w:r>
    </w:p>
    <w:p w14:paraId="2420BC3E" w14:textId="77777777" w:rsidR="008656AA" w:rsidRPr="00BB4B34" w:rsidRDefault="008656AA" w:rsidP="008656AA">
      <w:pPr>
        <w:rPr>
          <w:rFonts w:ascii="Arial" w:hAnsi="Arial" w:cs="Arial"/>
          <w:sz w:val="20"/>
          <w:szCs w:val="20"/>
        </w:rPr>
      </w:pPr>
    </w:p>
    <w:p w14:paraId="16E269D9" w14:textId="77777777" w:rsidR="008656AA" w:rsidRDefault="008656AA" w:rsidP="008656AA">
      <w:pPr>
        <w:spacing w:before="0" w:after="0"/>
        <w:rPr>
          <w:rFonts w:asciiTheme="majorHAnsi" w:eastAsia="Times New Roman" w:hAnsiTheme="majorHAnsi" w:cstheme="majorBidi"/>
          <w:color w:val="2E74B5" w:themeColor="accent1" w:themeShade="BF"/>
          <w:sz w:val="26"/>
          <w:szCs w:val="26"/>
        </w:rPr>
      </w:pPr>
      <w:r>
        <w:br w:type="page"/>
      </w:r>
    </w:p>
    <w:p w14:paraId="07035CB6" w14:textId="1C2CC285" w:rsidR="00C61A8A" w:rsidRDefault="00C61A8A" w:rsidP="00C61A8A">
      <w:pPr>
        <w:pStyle w:val="Heading2"/>
        <w:numPr>
          <w:ilvl w:val="0"/>
          <w:numId w:val="0"/>
        </w:numPr>
      </w:pPr>
      <w:bookmarkStart w:id="96" w:name="_Toc448394393"/>
      <w:r>
        <w:lastRenderedPageBreak/>
        <w:t xml:space="preserve">Appendix 5: </w:t>
      </w:r>
      <w:r w:rsidRPr="000C507A">
        <w:t xml:space="preserve">Report into </w:t>
      </w:r>
      <w:r>
        <w:t>i</w:t>
      </w:r>
      <w:r w:rsidRPr="000C507A">
        <w:t xml:space="preserve">nvestigation into the </w:t>
      </w:r>
      <w:r>
        <w:t>r</w:t>
      </w:r>
      <w:r w:rsidRPr="000C507A">
        <w:t>ecruitment of Dr Mohamed Siddiqui</w:t>
      </w:r>
      <w:r w:rsidRPr="000C507A">
        <w:rPr>
          <w:rStyle w:val="FootnoteReference"/>
        </w:rPr>
        <w:footnoteReference w:id="27"/>
      </w:r>
      <w:r w:rsidR="00BC15D1">
        <w:t xml:space="preserve"> (REDACTED)</w:t>
      </w:r>
      <w:bookmarkEnd w:id="96"/>
    </w:p>
    <w:p w14:paraId="27087268" w14:textId="29D2CA30" w:rsidR="00C61A8A" w:rsidRPr="00EA45EB" w:rsidRDefault="00C61A8A" w:rsidP="00C61A8A">
      <w:pPr>
        <w:rPr>
          <w:color w:val="FF0000"/>
        </w:rPr>
      </w:pPr>
      <w:r>
        <w:rPr>
          <w:color w:val="FF0000"/>
        </w:rPr>
        <w:t xml:space="preserve">This appendix </w:t>
      </w:r>
      <w:r w:rsidR="003F2312">
        <w:rPr>
          <w:color w:val="FF0000"/>
        </w:rPr>
        <w:t>has been redacted for</w:t>
      </w:r>
      <w:r>
        <w:rPr>
          <w:color w:val="FF0000"/>
        </w:rPr>
        <w:t xml:space="preserve"> the public release </w:t>
      </w:r>
      <w:r w:rsidR="00B40ED8">
        <w:rPr>
          <w:color w:val="FF0000"/>
        </w:rPr>
        <w:t xml:space="preserve">in April 2016 </w:t>
      </w:r>
      <w:r>
        <w:rPr>
          <w:color w:val="FF0000"/>
        </w:rPr>
        <w:t>so as to not compromise current legal proceedings.</w:t>
      </w:r>
    </w:p>
    <w:p w14:paraId="073BE654" w14:textId="77777777" w:rsidR="00A05E2D" w:rsidRDefault="00A05E2D"/>
    <w:sectPr w:rsidR="00A05E2D" w:rsidSect="00730F77">
      <w:footerReference w:type="default" r:id="rId13"/>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04A0A" w14:textId="77777777" w:rsidR="00BA122B" w:rsidRDefault="00BA122B" w:rsidP="008656AA">
      <w:pPr>
        <w:spacing w:before="0" w:after="0"/>
      </w:pPr>
      <w:r>
        <w:separator/>
      </w:r>
    </w:p>
  </w:endnote>
  <w:endnote w:type="continuationSeparator" w:id="0">
    <w:p w14:paraId="02C612DB" w14:textId="77777777" w:rsidR="00BA122B" w:rsidRDefault="00BA122B" w:rsidP="008656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Light">
    <w:altName w:val="Microsoft YaHe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B0391" w14:textId="77777777" w:rsidR="0078357E" w:rsidRDefault="0078357E" w:rsidP="00DB73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47CAF" w14:textId="77777777" w:rsidR="0078357E" w:rsidRDefault="0078357E" w:rsidP="00DB73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2280" w14:textId="38CEDC19" w:rsidR="00770FA2" w:rsidRDefault="00730F77" w:rsidP="00DB7372">
    <w:pPr>
      <w:pStyle w:val="Footer"/>
      <w:framePr w:wrap="none" w:vAnchor="text" w:hAnchor="margin" w:xAlign="right" w:y="1"/>
      <w:rPr>
        <w:rStyle w:val="PageNumber"/>
      </w:rPr>
    </w:pPr>
    <w:r w:rsidRPr="00730F77">
      <w:rPr>
        <w:rStyle w:val="PageNumber"/>
      </w:rPr>
      <w:fldChar w:fldCharType="begin"/>
    </w:r>
    <w:r w:rsidRPr="00730F77">
      <w:rPr>
        <w:rStyle w:val="PageNumber"/>
      </w:rPr>
      <w:instrText xml:space="preserve"> PAGE   \* MERGEFORMAT </w:instrText>
    </w:r>
    <w:r w:rsidRPr="00730F77">
      <w:rPr>
        <w:rStyle w:val="PageNumber"/>
      </w:rPr>
      <w:fldChar w:fldCharType="separate"/>
    </w:r>
    <w:r w:rsidR="00BA597E">
      <w:rPr>
        <w:rStyle w:val="PageNumber"/>
        <w:noProof/>
      </w:rPr>
      <w:t>1</w:t>
    </w:r>
    <w:r w:rsidRPr="00730F77">
      <w:rPr>
        <w:rStyle w:val="PageNumber"/>
        <w:noProof/>
      </w:rPr>
      <w:fldChar w:fldCharType="end"/>
    </w:r>
  </w:p>
  <w:p w14:paraId="57DD4F24" w14:textId="77777777" w:rsidR="00730F77" w:rsidRPr="00C9182E" w:rsidRDefault="00730F77" w:rsidP="00730F77">
    <w:pPr>
      <w:pStyle w:val="Footer"/>
      <w:ind w:right="360"/>
      <w:rPr>
        <w:sz w:val="22"/>
      </w:rPr>
    </w:pPr>
    <w:r w:rsidRPr="00C9182E">
      <w:rPr>
        <w:sz w:val="22"/>
      </w:rPr>
      <w:t>Ministry of Health s99 investigation, Waikato DHB Mental Health and Addictions Service,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E9260" w14:textId="77777777" w:rsidR="00BA122B" w:rsidRDefault="00BA122B" w:rsidP="008656AA">
      <w:pPr>
        <w:spacing w:before="0" w:after="0"/>
      </w:pPr>
      <w:r>
        <w:separator/>
      </w:r>
    </w:p>
  </w:footnote>
  <w:footnote w:type="continuationSeparator" w:id="0">
    <w:p w14:paraId="450B31C9" w14:textId="77777777" w:rsidR="00BA122B" w:rsidRDefault="00BA122B" w:rsidP="008656AA">
      <w:pPr>
        <w:spacing w:before="0" w:after="0"/>
      </w:pPr>
      <w:r>
        <w:continuationSeparator/>
      </w:r>
    </w:p>
  </w:footnote>
  <w:footnote w:id="1">
    <w:p w14:paraId="0297EFB3" w14:textId="77777777" w:rsidR="0078357E" w:rsidRDefault="0078357E" w:rsidP="00472DAF">
      <w:pPr>
        <w:shd w:val="clear" w:color="auto" w:fill="FFFFFF"/>
        <w:spacing w:before="240" w:after="0" w:line="288" w:lineRule="atLeast"/>
        <w:outlineLvl w:val="5"/>
      </w:pPr>
      <w:r>
        <w:rPr>
          <w:rStyle w:val="FootnoteReference"/>
        </w:rPr>
        <w:footnoteRef/>
      </w:r>
      <w:r>
        <w:t xml:space="preserve"> </w:t>
      </w:r>
      <w:r w:rsidRPr="0078357E">
        <w:rPr>
          <w:sz w:val="20"/>
        </w:rPr>
        <w:t>Section 99 of the Mental Health Act reads:</w:t>
      </w:r>
      <w:r>
        <w:t xml:space="preserve"> </w:t>
      </w:r>
    </w:p>
    <w:p w14:paraId="43025078" w14:textId="19D3456D" w:rsidR="0078357E" w:rsidRPr="0082776C" w:rsidRDefault="0078357E" w:rsidP="00472DAF">
      <w:pPr>
        <w:shd w:val="clear" w:color="auto" w:fill="FFFFFF"/>
        <w:spacing w:before="240" w:after="0" w:line="288" w:lineRule="atLeast"/>
        <w:outlineLvl w:val="5"/>
        <w:rPr>
          <w:rFonts w:ascii="Times New Roman" w:eastAsia="Times New Roman" w:hAnsi="Times New Roman" w:cs="Times New Roman"/>
          <w:b/>
          <w:bCs/>
          <w:color w:val="000000"/>
          <w:sz w:val="30"/>
          <w:szCs w:val="30"/>
          <w:lang w:eastAsia="en-NZ"/>
        </w:rPr>
      </w:pPr>
      <w:r w:rsidRPr="0078357E">
        <w:rPr>
          <w:b/>
          <w:sz w:val="20"/>
        </w:rPr>
        <w:t>Powers of inspection of Director</w:t>
      </w:r>
      <w:r w:rsidRPr="0078357E">
        <w:rPr>
          <w:sz w:val="20"/>
        </w:rPr>
        <w:t>: In relation to any hospital, or any ward, unit, or other part of a hospital, in which psychiatric treatment is given, the Director shall have all the powers of the Director-General of Health under section 148 of the Hospitals Act 1957, and the provisions of that section shall extend and apply accordingly.</w:t>
      </w:r>
    </w:p>
    <w:p w14:paraId="45915118" w14:textId="381E206C" w:rsidR="0078357E" w:rsidRPr="0078357E" w:rsidRDefault="0078357E">
      <w:pPr>
        <w:pStyle w:val="FootnoteText"/>
        <w:rPr>
          <w:lang w:val="en-NZ"/>
        </w:rPr>
      </w:pPr>
    </w:p>
  </w:footnote>
  <w:footnote w:id="2">
    <w:p w14:paraId="01A7649E" w14:textId="77777777" w:rsidR="0078357E" w:rsidRPr="002E5C4E" w:rsidRDefault="0078357E" w:rsidP="008656AA">
      <w:pPr>
        <w:pStyle w:val="FootnoteText"/>
        <w:rPr>
          <w:lang w:val="en-GB"/>
        </w:rPr>
      </w:pPr>
      <w:r>
        <w:rPr>
          <w:rStyle w:val="FootnoteReference"/>
        </w:rPr>
        <w:footnoteRef/>
      </w:r>
      <w:r>
        <w:t xml:space="preserve"> The terms of reference set out here replicate those </w:t>
      </w:r>
      <w:r>
        <w:rPr>
          <w:lang w:val="en-GB"/>
        </w:rPr>
        <w:t>issued by the Director of Mental Health on 30 July 2015.</w:t>
      </w:r>
    </w:p>
  </w:footnote>
  <w:footnote w:id="3">
    <w:p w14:paraId="0DCBA90A" w14:textId="77777777" w:rsidR="0078357E" w:rsidRPr="000B128F" w:rsidRDefault="0078357E" w:rsidP="008656AA">
      <w:pPr>
        <w:pStyle w:val="FootnoteText"/>
        <w:rPr>
          <w:lang w:val="en-NZ"/>
        </w:rPr>
      </w:pPr>
      <w:r>
        <w:rPr>
          <w:rStyle w:val="FootnoteReference"/>
        </w:rPr>
        <w:footnoteRef/>
      </w:r>
      <w:r>
        <w:t xml:space="preserve"> </w:t>
      </w:r>
      <w:r>
        <w:rPr>
          <w:lang w:val="en-NZ"/>
        </w:rPr>
        <w:t>This included a range of formal documents relating to service planning and funding, strategic plans, recruitment, training, financials, performance reports, projects and initiatives (</w:t>
      </w:r>
      <w:proofErr w:type="spellStart"/>
      <w:r>
        <w:rPr>
          <w:lang w:val="en-NZ"/>
        </w:rPr>
        <w:t>eg</w:t>
      </w:r>
      <w:proofErr w:type="spellEnd"/>
      <w:r>
        <w:rPr>
          <w:lang w:val="en-NZ"/>
        </w:rPr>
        <w:t xml:space="preserve">, on suicide prevention), serious incident reports, meeting agendas and minutes, provider contracts and audit reports. </w:t>
      </w:r>
    </w:p>
  </w:footnote>
  <w:footnote w:id="4">
    <w:p w14:paraId="59209B7B" w14:textId="77777777" w:rsidR="0078357E" w:rsidRDefault="0078357E" w:rsidP="008656AA">
      <w:pPr>
        <w:pStyle w:val="FootnoteText"/>
      </w:pPr>
      <w:r>
        <w:rPr>
          <w:rStyle w:val="FootnoteReference"/>
        </w:rPr>
        <w:footnoteRef/>
      </w:r>
      <w:r>
        <w:t xml:space="preserve"> </w:t>
      </w:r>
      <w:proofErr w:type="spellStart"/>
      <w:r>
        <w:t>Fjeldsoe</w:t>
      </w:r>
      <w:proofErr w:type="spellEnd"/>
      <w:r>
        <w:t xml:space="preserve"> K, Meehan T, </w:t>
      </w:r>
      <w:proofErr w:type="spellStart"/>
      <w:r>
        <w:t>Kingswell</w:t>
      </w:r>
      <w:proofErr w:type="spellEnd"/>
      <w:r>
        <w:t xml:space="preserve"> I. 2015. </w:t>
      </w:r>
      <w:r w:rsidRPr="00D91B6D">
        <w:rPr>
          <w:i/>
        </w:rPr>
        <w:t xml:space="preserve">Henry </w:t>
      </w:r>
      <w:proofErr w:type="spellStart"/>
      <w:r w:rsidRPr="00D91B6D">
        <w:rPr>
          <w:i/>
        </w:rPr>
        <w:t>Rongomau</w:t>
      </w:r>
      <w:proofErr w:type="spellEnd"/>
      <w:r w:rsidRPr="00D91B6D">
        <w:rPr>
          <w:i/>
        </w:rPr>
        <w:t xml:space="preserve"> Bennett Centre Models of Care and Facility Infrastructure Review</w:t>
      </w:r>
      <w:r>
        <w:rPr>
          <w:i/>
        </w:rPr>
        <w:t>: Planning for the Continuing Development of Adult Acute Inpatient Services</w:t>
      </w:r>
      <w:r w:rsidRPr="00D556D8">
        <w:t>.</w:t>
      </w:r>
      <w:r>
        <w:t xml:space="preserve"> Hamilton: Waikato District Health Board. </w:t>
      </w:r>
    </w:p>
  </w:footnote>
  <w:footnote w:id="5">
    <w:p w14:paraId="52F9A186" w14:textId="77777777" w:rsidR="0078357E" w:rsidRPr="00D56A53" w:rsidRDefault="0078357E" w:rsidP="001E6ED6">
      <w:pPr>
        <w:pStyle w:val="FootnoteText"/>
      </w:pPr>
      <w:r>
        <w:rPr>
          <w:rStyle w:val="FootnoteReference"/>
        </w:rPr>
        <w:footnoteRef/>
      </w:r>
      <w:r>
        <w:t xml:space="preserve"> </w:t>
      </w:r>
      <w:proofErr w:type="spellStart"/>
      <w:r>
        <w:t>Fjeldsoe</w:t>
      </w:r>
      <w:proofErr w:type="spellEnd"/>
      <w:r>
        <w:t xml:space="preserve"> K, Aimer M, Meehan T, et al. 2009. </w:t>
      </w:r>
      <w:r>
        <w:rPr>
          <w:i/>
        </w:rPr>
        <w:t>A Time for Change: Evaluation of Health Waikato Adult Mental Health and Addictions Service</w:t>
      </w:r>
      <w:r>
        <w:t xml:space="preserve">. </w:t>
      </w:r>
    </w:p>
  </w:footnote>
  <w:footnote w:id="6">
    <w:p w14:paraId="4DB68020" w14:textId="77777777" w:rsidR="0078357E" w:rsidRPr="00263753" w:rsidRDefault="0078357E" w:rsidP="008D149C">
      <w:pPr>
        <w:rPr>
          <w:lang w:val="en-NZ"/>
        </w:rPr>
      </w:pPr>
      <w:r>
        <w:rPr>
          <w:rStyle w:val="FootnoteReference"/>
        </w:rPr>
        <w:footnoteRef/>
      </w:r>
      <w:r>
        <w:t xml:space="preserve"> </w:t>
      </w:r>
      <w:r w:rsidRPr="00775FE4">
        <w:rPr>
          <w:sz w:val="20"/>
        </w:rPr>
        <w:t>The Waikato DHB executive leadership structure and governance processes had been undergoing significant change prior to and during the Inspection. For clarity</w:t>
      </w:r>
      <w:r>
        <w:rPr>
          <w:sz w:val="20"/>
        </w:rPr>
        <w:t>,</w:t>
      </w:r>
      <w:r w:rsidRPr="00775FE4">
        <w:rPr>
          <w:sz w:val="20"/>
        </w:rPr>
        <w:t xml:space="preserve"> th</w:t>
      </w:r>
      <w:r>
        <w:rPr>
          <w:sz w:val="20"/>
        </w:rPr>
        <w:t>is</w:t>
      </w:r>
      <w:r w:rsidRPr="00775FE4">
        <w:rPr>
          <w:sz w:val="20"/>
        </w:rPr>
        <w:t xml:space="preserve"> report will provide an historical as well as a contemporary commentary.</w:t>
      </w:r>
      <w:r>
        <w:t xml:space="preserve">   </w:t>
      </w:r>
    </w:p>
  </w:footnote>
  <w:footnote w:id="7">
    <w:p w14:paraId="6D5E1B6C" w14:textId="77777777" w:rsidR="0078357E" w:rsidRDefault="0078357E" w:rsidP="00BD4152">
      <w:pPr>
        <w:pStyle w:val="FootnoteText"/>
      </w:pPr>
      <w:r>
        <w:rPr>
          <w:rStyle w:val="FootnoteReference"/>
        </w:rPr>
        <w:footnoteRef/>
      </w:r>
      <w:r>
        <w:t xml:space="preserve"> The 2014 review was commissioned by the Waikato DHB Board Chair and supported by the Ministry of Health. The purpose of the review was to understand the performance, strengths, weaknesses and any significant issues facing the DHB to help set the agenda for an incoming Chief Executive (</w:t>
      </w:r>
      <w:r w:rsidRPr="00261181">
        <w:rPr>
          <w:i/>
        </w:rPr>
        <w:t>Waikato District Health Board: Review of opportunities for the incoming Chief Executive. May 2014</w:t>
      </w:r>
      <w:r>
        <w:rPr>
          <w:i/>
        </w:rPr>
        <w:t>).</w:t>
      </w:r>
    </w:p>
  </w:footnote>
  <w:footnote w:id="8">
    <w:p w14:paraId="4E4EE93B" w14:textId="77777777" w:rsidR="0078357E" w:rsidRPr="0014110A" w:rsidRDefault="0078357E" w:rsidP="00BD4152">
      <w:pPr>
        <w:pStyle w:val="FootnoteText"/>
        <w:rPr>
          <w:lang w:val="en-NZ"/>
        </w:rPr>
      </w:pPr>
      <w:r>
        <w:rPr>
          <w:rStyle w:val="FootnoteReference"/>
        </w:rPr>
        <w:footnoteRef/>
      </w:r>
      <w:r>
        <w:t xml:space="preserve"> For further commentary on this restructuring, see section </w:t>
      </w:r>
      <w:r>
        <w:fldChar w:fldCharType="begin"/>
      </w:r>
      <w:r>
        <w:instrText xml:space="preserve"> REF _Ref446927231 \r \h </w:instrText>
      </w:r>
      <w:r>
        <w:fldChar w:fldCharType="separate"/>
      </w:r>
      <w:r w:rsidR="005341C3">
        <w:t>3.4</w:t>
      </w:r>
      <w:r>
        <w:fldChar w:fldCharType="end"/>
      </w:r>
      <w:r>
        <w:t>.</w:t>
      </w:r>
    </w:p>
  </w:footnote>
  <w:footnote w:id="9">
    <w:p w14:paraId="445664F5" w14:textId="77777777" w:rsidR="0078357E" w:rsidRDefault="0078357E" w:rsidP="00BD4152">
      <w:pPr>
        <w:pStyle w:val="FootnoteText"/>
      </w:pPr>
      <w:r>
        <w:rPr>
          <w:rStyle w:val="FootnoteReference"/>
        </w:rPr>
        <w:footnoteRef/>
      </w:r>
      <w:r>
        <w:t xml:space="preserve"> </w:t>
      </w:r>
      <w:r w:rsidRPr="00296F65">
        <w:t>The People’s Project</w:t>
      </w:r>
      <w:r w:rsidRPr="00083495">
        <w:t xml:space="preserve"> </w:t>
      </w:r>
      <w:r>
        <w:t>is a multiagency project based in Hamilton that has</w:t>
      </w:r>
      <w:r w:rsidRPr="00083495">
        <w:t xml:space="preserve"> been operating since August 2014. </w:t>
      </w:r>
      <w:r>
        <w:t>It has</w:t>
      </w:r>
      <w:r w:rsidRPr="00083495">
        <w:t xml:space="preserve"> a unique collaborative commit</w:t>
      </w:r>
      <w:r>
        <w:t>ment</w:t>
      </w:r>
      <w:r w:rsidRPr="00083495">
        <w:t xml:space="preserve"> to the vision to end homelessness in the city by 2016. The focus is on ending homelessness</w:t>
      </w:r>
      <w:r>
        <w:t xml:space="preserve"> rather than </w:t>
      </w:r>
      <w:r w:rsidRPr="00083495">
        <w:t xml:space="preserve">managing it. </w:t>
      </w:r>
      <w:r>
        <w:t>The MHAS has been involved since the beginning of the project.</w:t>
      </w:r>
    </w:p>
  </w:footnote>
  <w:footnote w:id="10">
    <w:p w14:paraId="416BF3C1" w14:textId="77777777" w:rsidR="0078357E" w:rsidRPr="00D352C9" w:rsidRDefault="0078357E" w:rsidP="00BD4152">
      <w:pPr>
        <w:pStyle w:val="FootnoteText"/>
        <w:rPr>
          <w:lang w:val="en-NZ"/>
        </w:rPr>
      </w:pPr>
      <w:r>
        <w:rPr>
          <w:rStyle w:val="FootnoteReference"/>
        </w:rPr>
        <w:footnoteRef/>
      </w:r>
      <w:r>
        <w:t xml:space="preserve"> </w:t>
      </w:r>
      <w:r>
        <w:rPr>
          <w:lang w:val="en-NZ"/>
        </w:rPr>
        <w:t>This is a trial looking at improving response to a small number of people who present frequently to police and ambulance services.</w:t>
      </w:r>
    </w:p>
  </w:footnote>
  <w:footnote w:id="11">
    <w:p w14:paraId="65730A67" w14:textId="77777777" w:rsidR="0078357E" w:rsidRPr="007D77E0" w:rsidRDefault="0078357E">
      <w:pPr>
        <w:pStyle w:val="FootnoteText"/>
        <w:rPr>
          <w:lang w:val="en-NZ"/>
        </w:rPr>
      </w:pPr>
      <w:r>
        <w:rPr>
          <w:rStyle w:val="FootnoteReference"/>
        </w:rPr>
        <w:footnoteRef/>
      </w:r>
      <w:r>
        <w:t xml:space="preserve"> </w:t>
      </w:r>
      <w:r>
        <w:rPr>
          <w:lang w:val="en-NZ"/>
        </w:rPr>
        <w:t xml:space="preserve">An NGO that offers support services to those living with mental health issues, including facilitators, advocates, and transitional </w:t>
      </w:r>
      <w:proofErr w:type="spellStart"/>
      <w:r>
        <w:rPr>
          <w:lang w:val="en-NZ"/>
        </w:rPr>
        <w:t>coordinations</w:t>
      </w:r>
      <w:proofErr w:type="spellEnd"/>
      <w:r>
        <w:rPr>
          <w:lang w:val="en-NZ"/>
        </w:rPr>
        <w:t xml:space="preserve">. </w:t>
      </w:r>
    </w:p>
  </w:footnote>
  <w:footnote w:id="12">
    <w:p w14:paraId="096302B7" w14:textId="77777777" w:rsidR="0078357E" w:rsidRPr="0014110A" w:rsidRDefault="0078357E" w:rsidP="007A79F5">
      <w:pPr>
        <w:pStyle w:val="FootnoteText"/>
        <w:rPr>
          <w:lang w:val="en-NZ"/>
        </w:rPr>
      </w:pPr>
      <w:r>
        <w:rPr>
          <w:rStyle w:val="FootnoteReference"/>
        </w:rPr>
        <w:footnoteRef/>
      </w:r>
      <w:r>
        <w:t xml:space="preserve"> Because the Team wished to encourage a free exchange of information and were concerned that identifying individuals would inhibit this, it did not keep a record of attendance.  </w:t>
      </w:r>
    </w:p>
  </w:footnote>
  <w:footnote w:id="13">
    <w:p w14:paraId="366BCC2C" w14:textId="77777777" w:rsidR="0078357E" w:rsidRPr="00002F7B" w:rsidRDefault="0078357E" w:rsidP="007A79F5">
      <w:pPr>
        <w:pStyle w:val="FootnoteText"/>
        <w:rPr>
          <w:lang w:val="en-NZ"/>
        </w:rPr>
      </w:pPr>
      <w:r>
        <w:rPr>
          <w:rStyle w:val="FootnoteReference"/>
        </w:rPr>
        <w:footnoteRef/>
      </w:r>
      <w:r>
        <w:t xml:space="preserve"> The Inspection Team met with the </w:t>
      </w:r>
      <w:r>
        <w:rPr>
          <w:lang w:val="en-NZ"/>
        </w:rPr>
        <w:t xml:space="preserve">New Zealand Nurses Organisation (NZNO), the New Zealand Public Service Association (PSA) and the New Zealand Resident Doctors’ Association (RDA).  </w:t>
      </w:r>
    </w:p>
  </w:footnote>
  <w:footnote w:id="14">
    <w:p w14:paraId="60847578" w14:textId="77777777" w:rsidR="0078357E" w:rsidRPr="000B128F" w:rsidRDefault="0078357E" w:rsidP="00443933">
      <w:pPr>
        <w:pStyle w:val="FootnoteText"/>
        <w:rPr>
          <w:lang w:val="en-NZ"/>
        </w:rPr>
      </w:pPr>
      <w:r>
        <w:rPr>
          <w:rStyle w:val="FootnoteReference"/>
        </w:rPr>
        <w:footnoteRef/>
      </w:r>
      <w:r>
        <w:t xml:space="preserve"> </w:t>
      </w:r>
      <w:r w:rsidRPr="000B128F">
        <w:rPr>
          <w:lang w:val="en-NZ"/>
        </w:rPr>
        <w:t xml:space="preserve">The Severity Assessment Code is a numerical rating which defines the severity of an adverse event and as a consequence the level of reporting and investigation to be undertaken </w:t>
      </w:r>
      <w:r>
        <w:rPr>
          <w:lang w:val="en-NZ"/>
        </w:rPr>
        <w:t>following</w:t>
      </w:r>
      <w:r w:rsidRPr="000B128F">
        <w:rPr>
          <w:lang w:val="en-NZ"/>
        </w:rPr>
        <w:t xml:space="preserve"> the event.</w:t>
      </w:r>
      <w:r>
        <w:rPr>
          <w:lang w:val="en-NZ"/>
        </w:rPr>
        <w:t xml:space="preserve"> A rating of 1 is given to events of the highest severity. For more information on the SAC scoring system, visit the Health Quality &amp; Safety Commission’s website, </w:t>
      </w:r>
      <w:hyperlink r:id="rId1" w:history="1">
        <w:r w:rsidRPr="00D77853">
          <w:rPr>
            <w:rStyle w:val="Hyperlink"/>
            <w:lang w:val="en-NZ"/>
          </w:rPr>
          <w:t>www.hqsc.govt.nz</w:t>
        </w:r>
      </w:hyperlink>
      <w:r>
        <w:rPr>
          <w:lang w:val="en-NZ"/>
        </w:rPr>
        <w:t xml:space="preserve">.  </w:t>
      </w:r>
    </w:p>
  </w:footnote>
  <w:footnote w:id="15">
    <w:p w14:paraId="549B735B" w14:textId="77777777" w:rsidR="0078357E" w:rsidRPr="000B128F" w:rsidRDefault="0078357E" w:rsidP="00443933">
      <w:pPr>
        <w:pStyle w:val="FootnoteText"/>
        <w:rPr>
          <w:lang w:val="en-NZ"/>
        </w:rPr>
      </w:pPr>
      <w:r>
        <w:rPr>
          <w:rStyle w:val="FootnoteReference"/>
        </w:rPr>
        <w:footnoteRef/>
      </w:r>
      <w:r>
        <w:t xml:space="preserve"> </w:t>
      </w:r>
      <w:r>
        <w:rPr>
          <w:lang w:val="en-NZ"/>
        </w:rPr>
        <w:t xml:space="preserve">The London Protocol is a tool for conducting a comprehensive analysis of a clinical incident. For more information, visit the Institute for Healthcare Improvement’s website, </w:t>
      </w:r>
      <w:hyperlink r:id="rId2" w:history="1">
        <w:r w:rsidRPr="006804CA">
          <w:rPr>
            <w:rStyle w:val="Hyperlink"/>
            <w:lang w:val="en-NZ"/>
          </w:rPr>
          <w:t>www.ihi.org</w:t>
        </w:r>
      </w:hyperlink>
      <w:r>
        <w:rPr>
          <w:lang w:val="en-NZ"/>
        </w:rPr>
        <w:t>.</w:t>
      </w:r>
    </w:p>
  </w:footnote>
  <w:footnote w:id="16">
    <w:p w14:paraId="6AA54013" w14:textId="77777777" w:rsidR="0078357E" w:rsidRPr="00FC33C1" w:rsidRDefault="0078357E" w:rsidP="0021766F">
      <w:pPr>
        <w:pStyle w:val="FootnoteText"/>
        <w:rPr>
          <w:lang w:val="en-NZ"/>
        </w:rPr>
      </w:pPr>
      <w:r>
        <w:rPr>
          <w:rStyle w:val="FootnoteReference"/>
        </w:rPr>
        <w:footnoteRef/>
      </w:r>
      <w:r>
        <w:t xml:space="preserve"> </w:t>
      </w:r>
      <w:r>
        <w:rPr>
          <w:lang w:val="en-NZ"/>
        </w:rPr>
        <w:t>The Mental Health Commissioner developed the Real Time Feedback Tool in association with CBG Health Research Limited. It electronically records feedback from people interacting with mental health and addiction services. The tool aims to ensure that the voices of consumers and their family/</w:t>
      </w:r>
      <w:proofErr w:type="spellStart"/>
      <w:r>
        <w:rPr>
          <w:lang w:val="en-NZ"/>
        </w:rPr>
        <w:t>wh</w:t>
      </w:r>
      <w:proofErr w:type="spellEnd"/>
      <w:r>
        <w:t>ā</w:t>
      </w:r>
      <w:proofErr w:type="spellStart"/>
      <w:r>
        <w:rPr>
          <w:lang w:val="en-NZ"/>
        </w:rPr>
        <w:t>nau</w:t>
      </w:r>
      <w:proofErr w:type="spellEnd"/>
      <w:r>
        <w:rPr>
          <w:lang w:val="en-NZ"/>
        </w:rPr>
        <w:t xml:space="preserve"> are heard and contribute to quality improvement. </w:t>
      </w:r>
    </w:p>
  </w:footnote>
  <w:footnote w:id="17">
    <w:p w14:paraId="609806D2" w14:textId="77777777" w:rsidR="0078357E" w:rsidRPr="00002F7B" w:rsidRDefault="0078357E" w:rsidP="0021766F">
      <w:pPr>
        <w:pStyle w:val="FootnoteText"/>
        <w:rPr>
          <w:lang w:val="en-NZ"/>
        </w:rPr>
      </w:pPr>
      <w:r>
        <w:rPr>
          <w:rStyle w:val="FootnoteReference"/>
        </w:rPr>
        <w:footnoteRef/>
      </w:r>
      <w:r>
        <w:t xml:space="preserve"> </w:t>
      </w:r>
      <w:r>
        <w:rPr>
          <w:lang w:val="en-NZ"/>
        </w:rPr>
        <w:t xml:space="preserve">For more information on this tool, and academic articles supporting its efficacy, see </w:t>
      </w:r>
      <w:hyperlink r:id="rId3" w:history="1">
        <w:r w:rsidRPr="00720D6F">
          <w:rPr>
            <w:rStyle w:val="Hyperlink"/>
            <w:lang w:val="en-NZ"/>
          </w:rPr>
          <w:t>www.scottdmiller.com</w:t>
        </w:r>
      </w:hyperlink>
      <w:r>
        <w:rPr>
          <w:lang w:val="en-NZ"/>
        </w:rPr>
        <w:t>.</w:t>
      </w:r>
    </w:p>
  </w:footnote>
  <w:footnote w:id="18">
    <w:p w14:paraId="434A9209" w14:textId="77777777" w:rsidR="0078357E" w:rsidRPr="00EB009B" w:rsidRDefault="0078357E" w:rsidP="008656AA">
      <w:pPr>
        <w:pStyle w:val="FootnoteText"/>
      </w:pPr>
      <w:r>
        <w:rPr>
          <w:rStyle w:val="FootnoteReference"/>
        </w:rPr>
        <w:footnoteRef/>
      </w:r>
      <w:r>
        <w:t xml:space="preserve"> </w:t>
      </w:r>
      <w:proofErr w:type="gramStart"/>
      <w:r>
        <w:t>Milne M. (</w:t>
      </w:r>
      <w:proofErr w:type="spellStart"/>
      <w:r>
        <w:t>nd</w:t>
      </w:r>
      <w:proofErr w:type="spellEnd"/>
      <w:r>
        <w:t>).</w:t>
      </w:r>
      <w:proofErr w:type="gramEnd"/>
      <w:r>
        <w:t xml:space="preserve"> </w:t>
      </w:r>
      <w:proofErr w:type="gramStart"/>
      <w:r w:rsidRPr="00C22403">
        <w:rPr>
          <w:i/>
        </w:rPr>
        <w:t>Building Cultural Responsiveness at Waikato DHB Mental Health and Addiction Service</w:t>
      </w:r>
      <w:r>
        <w:t>.</w:t>
      </w:r>
      <w:proofErr w:type="gramEnd"/>
      <w:r>
        <w:t xml:space="preserve"> Hamilton</w:t>
      </w:r>
      <w:r w:rsidRPr="00EB009B">
        <w:t xml:space="preserve">: </w:t>
      </w:r>
      <w:proofErr w:type="spellStart"/>
      <w:r w:rsidRPr="00EB009B">
        <w:t>Te</w:t>
      </w:r>
      <w:proofErr w:type="spellEnd"/>
      <w:r w:rsidRPr="00EB009B">
        <w:t xml:space="preserve"> </w:t>
      </w:r>
      <w:proofErr w:type="spellStart"/>
      <w:r w:rsidRPr="00EB009B">
        <w:t>Pou</w:t>
      </w:r>
      <w:proofErr w:type="spellEnd"/>
      <w:r w:rsidRPr="00EB009B">
        <w:t xml:space="preserve"> o </w:t>
      </w:r>
      <w:proofErr w:type="spellStart"/>
      <w:proofErr w:type="gramStart"/>
      <w:r w:rsidRPr="00EB009B">
        <w:t>te</w:t>
      </w:r>
      <w:proofErr w:type="spellEnd"/>
      <w:proofErr w:type="gramEnd"/>
      <w:r w:rsidRPr="00EB009B">
        <w:t xml:space="preserve"> </w:t>
      </w:r>
      <w:proofErr w:type="spellStart"/>
      <w:r w:rsidRPr="00EB009B">
        <w:t>Whakaaronui</w:t>
      </w:r>
      <w:proofErr w:type="spellEnd"/>
      <w:r>
        <w:t>.</w:t>
      </w:r>
    </w:p>
  </w:footnote>
  <w:footnote w:id="19">
    <w:p w14:paraId="1ED144C1" w14:textId="77777777" w:rsidR="0078357E" w:rsidRPr="007579E9" w:rsidRDefault="0078357E">
      <w:pPr>
        <w:pStyle w:val="FootnoteText"/>
        <w:rPr>
          <w:lang w:val="en-NZ"/>
        </w:rPr>
      </w:pPr>
      <w:r>
        <w:rPr>
          <w:rStyle w:val="FootnoteReference"/>
        </w:rPr>
        <w:footnoteRef/>
      </w:r>
      <w:r>
        <w:t xml:space="preserve"> </w:t>
      </w:r>
      <w:r>
        <w:rPr>
          <w:lang w:val="en-NZ"/>
        </w:rPr>
        <w:t xml:space="preserve">The national direction set by the Ministry of Health and evident in the Health and Disability Services Standards is towards progressive reduction (and eventual elimination) of the use of seclusion and restraint. At present the focus is on reducing seclusion as more work needs to be done in this space to ensure effective alternatives are put in place. </w:t>
      </w:r>
    </w:p>
  </w:footnote>
  <w:footnote w:id="20">
    <w:p w14:paraId="5D475FA7" w14:textId="77777777" w:rsidR="0078357E" w:rsidRDefault="0078357E" w:rsidP="008656AA">
      <w:pPr>
        <w:pStyle w:val="FootnoteText"/>
      </w:pPr>
      <w:r>
        <w:rPr>
          <w:rStyle w:val="FootnoteReference"/>
        </w:rPr>
        <w:footnoteRef/>
      </w:r>
      <w:r>
        <w:t xml:space="preserve"> </w:t>
      </w:r>
      <w:proofErr w:type="gramStart"/>
      <w:r>
        <w:t>Mental Health and Addictions Service.</w:t>
      </w:r>
      <w:proofErr w:type="gramEnd"/>
      <w:r>
        <w:t xml:space="preserve"> 2015. </w:t>
      </w:r>
      <w:r w:rsidRPr="00FE54B2">
        <w:rPr>
          <w:i/>
        </w:rPr>
        <w:t xml:space="preserve">Henry </w:t>
      </w:r>
      <w:proofErr w:type="spellStart"/>
      <w:r w:rsidRPr="00FE54B2">
        <w:rPr>
          <w:i/>
        </w:rPr>
        <w:t>Rongomau</w:t>
      </w:r>
      <w:proofErr w:type="spellEnd"/>
      <w:r w:rsidRPr="00FE54B2">
        <w:rPr>
          <w:i/>
        </w:rPr>
        <w:t xml:space="preserve"> Bennett Centre Improvement Plan (Facilities/Environment)</w:t>
      </w:r>
      <w:r>
        <w:t>. Hamilton: Mental Health and Addictions Service.</w:t>
      </w:r>
    </w:p>
  </w:footnote>
  <w:footnote w:id="21">
    <w:p w14:paraId="162D64B5" w14:textId="77777777" w:rsidR="0078357E" w:rsidRDefault="0078357E" w:rsidP="008656AA">
      <w:pPr>
        <w:pStyle w:val="FootnoteText"/>
      </w:pPr>
      <w:r>
        <w:rPr>
          <w:rStyle w:val="FootnoteReference"/>
        </w:rPr>
        <w:footnoteRef/>
      </w:r>
      <w:r>
        <w:t xml:space="preserve"> </w:t>
      </w:r>
      <w:proofErr w:type="gramStart"/>
      <w:r>
        <w:t>Mental Health and Addictions Service.</w:t>
      </w:r>
      <w:proofErr w:type="gramEnd"/>
      <w:r>
        <w:t xml:space="preserve"> 2015. </w:t>
      </w:r>
      <w:r w:rsidRPr="00036C29">
        <w:rPr>
          <w:i/>
        </w:rPr>
        <w:t xml:space="preserve">Henry </w:t>
      </w:r>
      <w:proofErr w:type="spellStart"/>
      <w:r w:rsidRPr="00036C29">
        <w:rPr>
          <w:i/>
        </w:rPr>
        <w:t>Rongomau</w:t>
      </w:r>
      <w:proofErr w:type="spellEnd"/>
      <w:r w:rsidRPr="00036C29">
        <w:rPr>
          <w:i/>
        </w:rPr>
        <w:t xml:space="preserve"> Bennett Centre Improvement Plan (Facilities/Environment)</w:t>
      </w:r>
      <w:r>
        <w:t>. Hamilton: Mental Health and Addictions Service.</w:t>
      </w:r>
    </w:p>
  </w:footnote>
  <w:footnote w:id="22">
    <w:p w14:paraId="667D41D4" w14:textId="77777777" w:rsidR="0078357E" w:rsidRPr="009D493E" w:rsidRDefault="0078357E" w:rsidP="00903143">
      <w:pPr>
        <w:pStyle w:val="FootnoteText"/>
      </w:pPr>
      <w:r>
        <w:rPr>
          <w:rStyle w:val="FootnoteReference"/>
        </w:rPr>
        <w:footnoteRef/>
      </w:r>
      <w:r>
        <w:t xml:space="preserve"> </w:t>
      </w:r>
      <w:proofErr w:type="spellStart"/>
      <w:r>
        <w:t>Fjeldsoe</w:t>
      </w:r>
      <w:proofErr w:type="spellEnd"/>
      <w:r>
        <w:t xml:space="preserve"> </w:t>
      </w:r>
      <w:proofErr w:type="gramStart"/>
      <w:r>
        <w:t>K ,</w:t>
      </w:r>
      <w:proofErr w:type="gramEnd"/>
      <w:r>
        <w:t xml:space="preserve"> Meehan T, </w:t>
      </w:r>
      <w:proofErr w:type="spellStart"/>
      <w:r>
        <w:t>Kingswell</w:t>
      </w:r>
      <w:proofErr w:type="spellEnd"/>
      <w:r>
        <w:t xml:space="preserve"> I. 2015. </w:t>
      </w:r>
      <w:r w:rsidRPr="00D91B6D">
        <w:rPr>
          <w:i/>
        </w:rPr>
        <w:t xml:space="preserve">Henry </w:t>
      </w:r>
      <w:proofErr w:type="spellStart"/>
      <w:r w:rsidRPr="00D91B6D">
        <w:rPr>
          <w:i/>
        </w:rPr>
        <w:t>Rongomau</w:t>
      </w:r>
      <w:proofErr w:type="spellEnd"/>
      <w:r w:rsidRPr="00D91B6D">
        <w:rPr>
          <w:i/>
        </w:rPr>
        <w:t xml:space="preserve"> Bennett Centre Models of Care and Facility Infrastructure Review</w:t>
      </w:r>
      <w:r>
        <w:rPr>
          <w:i/>
        </w:rPr>
        <w:t>: Planning for the Continuing Development of Adult Acute Inpatient Services</w:t>
      </w:r>
      <w:r>
        <w:t>.</w:t>
      </w:r>
    </w:p>
  </w:footnote>
  <w:footnote w:id="23">
    <w:p w14:paraId="6E534631" w14:textId="77777777" w:rsidR="0078357E" w:rsidRPr="009B4B79" w:rsidRDefault="0078357E" w:rsidP="008656AA">
      <w:pPr>
        <w:pStyle w:val="FootnoteText"/>
        <w:rPr>
          <w:lang w:val="en-NZ"/>
        </w:rPr>
      </w:pPr>
      <w:r>
        <w:rPr>
          <w:rStyle w:val="FootnoteReference"/>
        </w:rPr>
        <w:footnoteRef/>
      </w:r>
      <w:r>
        <w:t xml:space="preserve"> </w:t>
      </w:r>
      <w:proofErr w:type="spellStart"/>
      <w:r>
        <w:t>Fjeldsoe</w:t>
      </w:r>
      <w:proofErr w:type="spellEnd"/>
      <w:r>
        <w:t xml:space="preserve"> K, Aimer M, Meehan T, et al. 2009. </w:t>
      </w:r>
      <w:r>
        <w:rPr>
          <w:i/>
        </w:rPr>
        <w:t>A Time for Change: Evaluation of Health Waikato Adult Mental Health and Addictions Service</w:t>
      </w:r>
      <w:r>
        <w:t>.</w:t>
      </w:r>
    </w:p>
  </w:footnote>
  <w:footnote w:id="24">
    <w:p w14:paraId="0BB8C063" w14:textId="77777777" w:rsidR="0078357E" w:rsidRPr="00422373" w:rsidRDefault="0078357E" w:rsidP="008656AA">
      <w:pPr>
        <w:pStyle w:val="FootnoteText"/>
        <w:rPr>
          <w:lang w:val="en-NZ"/>
        </w:rPr>
      </w:pPr>
      <w:r>
        <w:rPr>
          <w:rStyle w:val="FootnoteReference"/>
        </w:rPr>
        <w:footnoteRef/>
      </w:r>
      <w:r>
        <w:t xml:space="preserve"> </w:t>
      </w:r>
      <w:proofErr w:type="spellStart"/>
      <w:r>
        <w:t>Fjeldsoe</w:t>
      </w:r>
      <w:proofErr w:type="spellEnd"/>
      <w:r>
        <w:t xml:space="preserve"> K, Aimer M, Meehan T, et al. 2009. </w:t>
      </w:r>
      <w:r>
        <w:rPr>
          <w:i/>
        </w:rPr>
        <w:t>A Time for Change: Evaluation of Health Waikato Adult Mental Health and Addictions Service</w:t>
      </w:r>
      <w:r>
        <w:t>.</w:t>
      </w:r>
    </w:p>
  </w:footnote>
  <w:footnote w:id="25">
    <w:p w14:paraId="49B94FBC" w14:textId="77777777" w:rsidR="0078357E" w:rsidRPr="009D493E" w:rsidRDefault="0078357E" w:rsidP="00752009">
      <w:pPr>
        <w:pStyle w:val="FootnoteText"/>
      </w:pPr>
      <w:r>
        <w:rPr>
          <w:rStyle w:val="FootnoteReference"/>
        </w:rPr>
        <w:footnoteRef/>
      </w:r>
      <w:r>
        <w:t xml:space="preserve"> </w:t>
      </w:r>
      <w:proofErr w:type="spellStart"/>
      <w:r>
        <w:t>Fjeldsoe</w:t>
      </w:r>
      <w:proofErr w:type="spellEnd"/>
      <w:r>
        <w:t xml:space="preserve"> </w:t>
      </w:r>
      <w:proofErr w:type="gramStart"/>
      <w:r>
        <w:t>K ,</w:t>
      </w:r>
      <w:proofErr w:type="gramEnd"/>
      <w:r>
        <w:t xml:space="preserve"> Meehan T, </w:t>
      </w:r>
      <w:proofErr w:type="spellStart"/>
      <w:r>
        <w:t>Kingswell</w:t>
      </w:r>
      <w:proofErr w:type="spellEnd"/>
      <w:r>
        <w:t xml:space="preserve"> I. 2015. </w:t>
      </w:r>
      <w:r w:rsidRPr="00D91B6D">
        <w:rPr>
          <w:i/>
        </w:rPr>
        <w:t xml:space="preserve">Henry </w:t>
      </w:r>
      <w:proofErr w:type="spellStart"/>
      <w:r w:rsidRPr="00D91B6D">
        <w:rPr>
          <w:i/>
        </w:rPr>
        <w:t>Rongomau</w:t>
      </w:r>
      <w:proofErr w:type="spellEnd"/>
      <w:r w:rsidRPr="00D91B6D">
        <w:rPr>
          <w:i/>
        </w:rPr>
        <w:t xml:space="preserve"> Bennett Centre Models of Care and Facility Infrastructure Review</w:t>
      </w:r>
      <w:r>
        <w:rPr>
          <w:i/>
        </w:rPr>
        <w:t>: Planning for the Continuing Development of Adult Acute Inpatient Services</w:t>
      </w:r>
      <w:r>
        <w:t>.</w:t>
      </w:r>
    </w:p>
  </w:footnote>
  <w:footnote w:id="26">
    <w:p w14:paraId="6534BADB" w14:textId="77777777" w:rsidR="0078357E" w:rsidRPr="001E7B6F" w:rsidRDefault="0078357E" w:rsidP="008656AA">
      <w:pPr>
        <w:pStyle w:val="FootnoteText"/>
      </w:pPr>
      <w:r>
        <w:rPr>
          <w:rStyle w:val="FootnoteReference"/>
        </w:rPr>
        <w:footnoteRef/>
      </w:r>
      <w:r>
        <w:t xml:space="preserve"> Option 1 is the preferred option. Option 2 is to continue with the current redevelopment.</w:t>
      </w:r>
    </w:p>
  </w:footnote>
  <w:footnote w:id="27">
    <w:p w14:paraId="32F1626A" w14:textId="77777777" w:rsidR="0078357E" w:rsidRPr="00DD0A9F" w:rsidRDefault="0078357E" w:rsidP="00C61A8A">
      <w:pPr>
        <w:pStyle w:val="FootnoteText"/>
      </w:pPr>
      <w:r>
        <w:rPr>
          <w:rStyle w:val="FootnoteReference"/>
        </w:rPr>
        <w:footnoteRef/>
      </w:r>
      <w:r>
        <w:t xml:space="preserve"> </w:t>
      </w:r>
      <w:r w:rsidRPr="00DD0A9F">
        <w:t>Mike Elliott</w:t>
      </w:r>
      <w:r>
        <w:t xml:space="preserve">, </w:t>
      </w:r>
      <w:r w:rsidRPr="00DD0A9F">
        <w:t>Principal Advisor</w:t>
      </w:r>
      <w:r>
        <w:t xml:space="preserve">, </w:t>
      </w:r>
      <w:r w:rsidRPr="00DD0A9F">
        <w:t>People and Capability</w:t>
      </w:r>
      <w:r>
        <w:t>, undertook this investigation and prepared this report. He would like to</w:t>
      </w:r>
      <w:r w:rsidRPr="00A46A2A">
        <w:t xml:space="preserve"> acknowledge the hospitality and helpfulness of Gregory </w:t>
      </w:r>
      <w:proofErr w:type="spellStart"/>
      <w:r w:rsidRPr="00A46A2A">
        <w:t>Peploe</w:t>
      </w:r>
      <w:proofErr w:type="spellEnd"/>
      <w:r>
        <w:t>,</w:t>
      </w:r>
      <w:r w:rsidRPr="00A46A2A">
        <w:t xml:space="preserve"> </w:t>
      </w:r>
      <w:r>
        <w:t xml:space="preserve">who </w:t>
      </w:r>
      <w:r w:rsidRPr="00A46A2A">
        <w:t>provided all of the documentation necessary to support the findings of this report.</w:t>
      </w:r>
    </w:p>
    <w:p w14:paraId="715943D6" w14:textId="77777777" w:rsidR="0078357E" w:rsidRPr="00DD0A9F" w:rsidRDefault="0078357E" w:rsidP="00C61A8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DD8"/>
    <w:multiLevelType w:val="hybridMultilevel"/>
    <w:tmpl w:val="726C3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69381E"/>
    <w:multiLevelType w:val="hybridMultilevel"/>
    <w:tmpl w:val="726C3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312A75"/>
    <w:multiLevelType w:val="hybridMultilevel"/>
    <w:tmpl w:val="0C209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F6D40"/>
    <w:multiLevelType w:val="hybridMultilevel"/>
    <w:tmpl w:val="726C3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1615B1"/>
    <w:multiLevelType w:val="hybridMultilevel"/>
    <w:tmpl w:val="ACA48D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454D7"/>
    <w:multiLevelType w:val="hybridMultilevel"/>
    <w:tmpl w:val="FA66E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56AFD"/>
    <w:multiLevelType w:val="hybridMultilevel"/>
    <w:tmpl w:val="726C3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F85328"/>
    <w:multiLevelType w:val="hybridMultilevel"/>
    <w:tmpl w:val="B6626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4BF04BB"/>
    <w:multiLevelType w:val="hybridMultilevel"/>
    <w:tmpl w:val="5F049CAA"/>
    <w:lvl w:ilvl="0" w:tplc="09AC74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D222C"/>
    <w:multiLevelType w:val="hybridMultilevel"/>
    <w:tmpl w:val="997E22E2"/>
    <w:lvl w:ilvl="0" w:tplc="180A7D4E">
      <w:start w:val="99"/>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77F64AB"/>
    <w:multiLevelType w:val="hybridMultilevel"/>
    <w:tmpl w:val="E17A896C"/>
    <w:lvl w:ilvl="0" w:tplc="09AC74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F1643"/>
    <w:multiLevelType w:val="hybridMultilevel"/>
    <w:tmpl w:val="7ED2A1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A7E6112"/>
    <w:multiLevelType w:val="hybridMultilevel"/>
    <w:tmpl w:val="890E5DBE"/>
    <w:lvl w:ilvl="0" w:tplc="AB6026AC">
      <w:start w:val="1"/>
      <w:numFmt w:val="decimal"/>
      <w:lvlText w:val="%1."/>
      <w:lvlJc w:val="left"/>
      <w:pPr>
        <w:ind w:left="720" w:hanging="360"/>
      </w:pPr>
    </w:lvl>
    <w:lvl w:ilvl="1" w:tplc="04090019">
      <w:start w:val="1"/>
      <w:numFmt w:val="lowerLetter"/>
      <w:lvlText w:val="%2."/>
      <w:lvlJc w:val="left"/>
      <w:pPr>
        <w:ind w:left="1440" w:hanging="360"/>
      </w:pPr>
    </w:lvl>
    <w:lvl w:ilvl="2" w:tplc="83A8327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009E7"/>
    <w:multiLevelType w:val="hybridMultilevel"/>
    <w:tmpl w:val="04742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821736"/>
    <w:multiLevelType w:val="hybridMultilevel"/>
    <w:tmpl w:val="314C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263D9"/>
    <w:multiLevelType w:val="hybridMultilevel"/>
    <w:tmpl w:val="726C3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8821CC"/>
    <w:multiLevelType w:val="hybridMultilevel"/>
    <w:tmpl w:val="97C4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32F5A"/>
    <w:multiLevelType w:val="hybridMultilevel"/>
    <w:tmpl w:val="A02C5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B0C7129"/>
    <w:multiLevelType w:val="hybridMultilevel"/>
    <w:tmpl w:val="F3A81D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94AB2"/>
    <w:multiLevelType w:val="hybridMultilevel"/>
    <w:tmpl w:val="A06024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FC6EF2"/>
    <w:multiLevelType w:val="hybridMultilevel"/>
    <w:tmpl w:val="24DC7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4689B"/>
    <w:multiLevelType w:val="hybridMultilevel"/>
    <w:tmpl w:val="C5F83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2201351"/>
    <w:multiLevelType w:val="hybridMultilevel"/>
    <w:tmpl w:val="726C3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884F9A"/>
    <w:multiLevelType w:val="hybridMultilevel"/>
    <w:tmpl w:val="726C3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FD293C"/>
    <w:multiLevelType w:val="hybridMultilevel"/>
    <w:tmpl w:val="41C81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F258FD"/>
    <w:multiLevelType w:val="hybridMultilevel"/>
    <w:tmpl w:val="50BE21FA"/>
    <w:lvl w:ilvl="0" w:tplc="09AC74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D5DB8"/>
    <w:multiLevelType w:val="hybridMultilevel"/>
    <w:tmpl w:val="4EA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B219E"/>
    <w:multiLevelType w:val="hybridMultilevel"/>
    <w:tmpl w:val="DABE5F62"/>
    <w:lvl w:ilvl="0" w:tplc="B684898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C0DDA"/>
    <w:multiLevelType w:val="hybridMultilevel"/>
    <w:tmpl w:val="359E4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0B795A"/>
    <w:multiLevelType w:val="hybridMultilevel"/>
    <w:tmpl w:val="6860B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E16487"/>
    <w:multiLevelType w:val="hybridMultilevel"/>
    <w:tmpl w:val="726C3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820215"/>
    <w:multiLevelType w:val="multilevel"/>
    <w:tmpl w:val="EE1E787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i w:val="0"/>
      </w:rPr>
    </w:lvl>
    <w:lvl w:ilvl="2">
      <w:start w:val="1"/>
      <w:numFmt w:val="decimal"/>
      <w:pStyle w:val="Heading3"/>
      <w:lvlText w:val="%1.%2.%3."/>
      <w:lvlJc w:val="left"/>
      <w:pPr>
        <w:ind w:left="1559" w:firstLine="0"/>
      </w:pPr>
      <w:rPr>
        <w:rFonts w:hint="default"/>
      </w:rPr>
    </w:lvl>
    <w:lvl w:ilvl="3">
      <w:start w:val="1"/>
      <w:numFmt w:val="decimal"/>
      <w:lvlText w:val="%1.%2.%3.%4."/>
      <w:lvlJc w:val="left"/>
      <w:pPr>
        <w:ind w:left="-720" w:firstLine="1080"/>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32">
    <w:nsid w:val="5A9145CC"/>
    <w:multiLevelType w:val="hybridMultilevel"/>
    <w:tmpl w:val="A86CB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1750E5"/>
    <w:multiLevelType w:val="hybridMultilevel"/>
    <w:tmpl w:val="4A02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C7247"/>
    <w:multiLevelType w:val="hybridMultilevel"/>
    <w:tmpl w:val="B1EA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E319A3"/>
    <w:multiLevelType w:val="hybridMultilevel"/>
    <w:tmpl w:val="6EA42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7023D7"/>
    <w:multiLevelType w:val="hybridMultilevel"/>
    <w:tmpl w:val="6DB8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1A7D6B"/>
    <w:multiLevelType w:val="hybridMultilevel"/>
    <w:tmpl w:val="4D60DD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69C02E8E"/>
    <w:multiLevelType w:val="hybridMultilevel"/>
    <w:tmpl w:val="8F9CF796"/>
    <w:lvl w:ilvl="0" w:tplc="09AC74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68548C"/>
    <w:multiLevelType w:val="hybridMultilevel"/>
    <w:tmpl w:val="726C3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075426"/>
    <w:multiLevelType w:val="hybridMultilevel"/>
    <w:tmpl w:val="1F8A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6D6B41"/>
    <w:multiLevelType w:val="hybridMultilevel"/>
    <w:tmpl w:val="CE38B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27244BB"/>
    <w:multiLevelType w:val="hybridMultilevel"/>
    <w:tmpl w:val="726C3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92C695C"/>
    <w:multiLevelType w:val="hybridMultilevel"/>
    <w:tmpl w:val="61C4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FC049C"/>
    <w:multiLevelType w:val="hybridMultilevel"/>
    <w:tmpl w:val="03B0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001047"/>
    <w:multiLevelType w:val="hybridMultilevel"/>
    <w:tmpl w:val="2C94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403E54"/>
    <w:multiLevelType w:val="hybridMultilevel"/>
    <w:tmpl w:val="A1CA6F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4"/>
  </w:num>
  <w:num w:numId="4">
    <w:abstractNumId w:val="25"/>
  </w:num>
  <w:num w:numId="5">
    <w:abstractNumId w:val="38"/>
  </w:num>
  <w:num w:numId="6">
    <w:abstractNumId w:val="8"/>
  </w:num>
  <w:num w:numId="7">
    <w:abstractNumId w:val="44"/>
  </w:num>
  <w:num w:numId="8">
    <w:abstractNumId w:val="46"/>
  </w:num>
  <w:num w:numId="9">
    <w:abstractNumId w:val="32"/>
  </w:num>
  <w:num w:numId="10">
    <w:abstractNumId w:val="14"/>
  </w:num>
  <w:num w:numId="11">
    <w:abstractNumId w:val="24"/>
  </w:num>
  <w:num w:numId="12">
    <w:abstractNumId w:val="2"/>
  </w:num>
  <w:num w:numId="13">
    <w:abstractNumId w:val="29"/>
  </w:num>
  <w:num w:numId="14">
    <w:abstractNumId w:val="5"/>
  </w:num>
  <w:num w:numId="15">
    <w:abstractNumId w:val="43"/>
  </w:num>
  <w:num w:numId="16">
    <w:abstractNumId w:val="20"/>
  </w:num>
  <w:num w:numId="17">
    <w:abstractNumId w:val="28"/>
  </w:num>
  <w:num w:numId="18">
    <w:abstractNumId w:val="18"/>
  </w:num>
  <w:num w:numId="19">
    <w:abstractNumId w:val="6"/>
  </w:num>
  <w:num w:numId="20">
    <w:abstractNumId w:val="39"/>
  </w:num>
  <w:num w:numId="21">
    <w:abstractNumId w:val="22"/>
  </w:num>
  <w:num w:numId="22">
    <w:abstractNumId w:val="15"/>
  </w:num>
  <w:num w:numId="23">
    <w:abstractNumId w:val="30"/>
  </w:num>
  <w:num w:numId="24">
    <w:abstractNumId w:val="23"/>
  </w:num>
  <w:num w:numId="25">
    <w:abstractNumId w:val="3"/>
  </w:num>
  <w:num w:numId="26">
    <w:abstractNumId w:val="42"/>
  </w:num>
  <w:num w:numId="27">
    <w:abstractNumId w:val="1"/>
  </w:num>
  <w:num w:numId="28">
    <w:abstractNumId w:val="0"/>
  </w:num>
  <w:num w:numId="29">
    <w:abstractNumId w:val="21"/>
  </w:num>
  <w:num w:numId="30">
    <w:abstractNumId w:val="34"/>
  </w:num>
  <w:num w:numId="31">
    <w:abstractNumId w:val="33"/>
  </w:num>
  <w:num w:numId="32">
    <w:abstractNumId w:val="41"/>
  </w:num>
  <w:num w:numId="33">
    <w:abstractNumId w:val="11"/>
  </w:num>
  <w:num w:numId="34">
    <w:abstractNumId w:val="7"/>
  </w:num>
  <w:num w:numId="35">
    <w:abstractNumId w:val="31"/>
  </w:num>
  <w:num w:numId="36">
    <w:abstractNumId w:val="40"/>
  </w:num>
  <w:num w:numId="37">
    <w:abstractNumId w:val="16"/>
  </w:num>
  <w:num w:numId="38">
    <w:abstractNumId w:val="19"/>
  </w:num>
  <w:num w:numId="39">
    <w:abstractNumId w:val="27"/>
  </w:num>
  <w:num w:numId="40">
    <w:abstractNumId w:val="37"/>
  </w:num>
  <w:num w:numId="41">
    <w:abstractNumId w:val="26"/>
  </w:num>
  <w:num w:numId="42">
    <w:abstractNumId w:val="35"/>
  </w:num>
  <w:num w:numId="43">
    <w:abstractNumId w:val="13"/>
  </w:num>
  <w:num w:numId="44">
    <w:abstractNumId w:val="17"/>
  </w:num>
  <w:num w:numId="45">
    <w:abstractNumId w:val="9"/>
  </w:num>
  <w:num w:numId="46">
    <w:abstractNumId w:val="36"/>
  </w:num>
  <w:num w:numId="47">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AA"/>
    <w:rsid w:val="00011BC5"/>
    <w:rsid w:val="000147EB"/>
    <w:rsid w:val="00032CF3"/>
    <w:rsid w:val="00037F4E"/>
    <w:rsid w:val="000414A2"/>
    <w:rsid w:val="00050364"/>
    <w:rsid w:val="00051E9B"/>
    <w:rsid w:val="000540C2"/>
    <w:rsid w:val="00057BEB"/>
    <w:rsid w:val="00060F52"/>
    <w:rsid w:val="00060FC3"/>
    <w:rsid w:val="00073770"/>
    <w:rsid w:val="00075655"/>
    <w:rsid w:val="00076D8A"/>
    <w:rsid w:val="000907A8"/>
    <w:rsid w:val="00090E80"/>
    <w:rsid w:val="0009759A"/>
    <w:rsid w:val="000A2EE5"/>
    <w:rsid w:val="000A39F7"/>
    <w:rsid w:val="000B112A"/>
    <w:rsid w:val="000C07EE"/>
    <w:rsid w:val="000C080F"/>
    <w:rsid w:val="000C08C5"/>
    <w:rsid w:val="000D03B6"/>
    <w:rsid w:val="000D539A"/>
    <w:rsid w:val="000D68B3"/>
    <w:rsid w:val="000D732B"/>
    <w:rsid w:val="000E083E"/>
    <w:rsid w:val="000E371B"/>
    <w:rsid w:val="00111380"/>
    <w:rsid w:val="00111A01"/>
    <w:rsid w:val="00114858"/>
    <w:rsid w:val="00114F47"/>
    <w:rsid w:val="00123EE0"/>
    <w:rsid w:val="00124954"/>
    <w:rsid w:val="001272ED"/>
    <w:rsid w:val="00127883"/>
    <w:rsid w:val="00135FCB"/>
    <w:rsid w:val="00142257"/>
    <w:rsid w:val="00147B02"/>
    <w:rsid w:val="0015247E"/>
    <w:rsid w:val="001577F0"/>
    <w:rsid w:val="00160EBD"/>
    <w:rsid w:val="00165ED3"/>
    <w:rsid w:val="00174E49"/>
    <w:rsid w:val="0017581C"/>
    <w:rsid w:val="00175DCA"/>
    <w:rsid w:val="00175EBE"/>
    <w:rsid w:val="00176626"/>
    <w:rsid w:val="00182FFD"/>
    <w:rsid w:val="001936A6"/>
    <w:rsid w:val="001936AB"/>
    <w:rsid w:val="001949CD"/>
    <w:rsid w:val="001A3417"/>
    <w:rsid w:val="001A4C8E"/>
    <w:rsid w:val="001A5A22"/>
    <w:rsid w:val="001B4C07"/>
    <w:rsid w:val="001C05B0"/>
    <w:rsid w:val="001C1DCB"/>
    <w:rsid w:val="001D3183"/>
    <w:rsid w:val="001D6561"/>
    <w:rsid w:val="001E33ED"/>
    <w:rsid w:val="001E3EFB"/>
    <w:rsid w:val="001E5A1D"/>
    <w:rsid w:val="001E6ED6"/>
    <w:rsid w:val="001F46BC"/>
    <w:rsid w:val="001F50A8"/>
    <w:rsid w:val="002075F9"/>
    <w:rsid w:val="00207906"/>
    <w:rsid w:val="0021766F"/>
    <w:rsid w:val="00220DEE"/>
    <w:rsid w:val="00220FB3"/>
    <w:rsid w:val="00221607"/>
    <w:rsid w:val="00227E43"/>
    <w:rsid w:val="0023666B"/>
    <w:rsid w:val="00236DAC"/>
    <w:rsid w:val="0024004F"/>
    <w:rsid w:val="00247A17"/>
    <w:rsid w:val="00250F11"/>
    <w:rsid w:val="00252835"/>
    <w:rsid w:val="00261087"/>
    <w:rsid w:val="00261181"/>
    <w:rsid w:val="00262C6B"/>
    <w:rsid w:val="002649B6"/>
    <w:rsid w:val="00270F43"/>
    <w:rsid w:val="002774EE"/>
    <w:rsid w:val="002802FB"/>
    <w:rsid w:val="00281B43"/>
    <w:rsid w:val="00293999"/>
    <w:rsid w:val="00296F65"/>
    <w:rsid w:val="002A7671"/>
    <w:rsid w:val="002B21CE"/>
    <w:rsid w:val="002B5B4E"/>
    <w:rsid w:val="002B6DB6"/>
    <w:rsid w:val="002C474E"/>
    <w:rsid w:val="002D435D"/>
    <w:rsid w:val="002D5D82"/>
    <w:rsid w:val="002D65B6"/>
    <w:rsid w:val="002E0C18"/>
    <w:rsid w:val="002E13ED"/>
    <w:rsid w:val="002E1917"/>
    <w:rsid w:val="002E724C"/>
    <w:rsid w:val="002F1B7B"/>
    <w:rsid w:val="0030042C"/>
    <w:rsid w:val="00300607"/>
    <w:rsid w:val="003020A7"/>
    <w:rsid w:val="00304D21"/>
    <w:rsid w:val="003074A8"/>
    <w:rsid w:val="00310970"/>
    <w:rsid w:val="003119FD"/>
    <w:rsid w:val="00313FF3"/>
    <w:rsid w:val="00322B2B"/>
    <w:rsid w:val="00324B07"/>
    <w:rsid w:val="003251AD"/>
    <w:rsid w:val="00333E95"/>
    <w:rsid w:val="0034683F"/>
    <w:rsid w:val="00360940"/>
    <w:rsid w:val="00365034"/>
    <w:rsid w:val="003659D0"/>
    <w:rsid w:val="0036762B"/>
    <w:rsid w:val="00376E0D"/>
    <w:rsid w:val="00394427"/>
    <w:rsid w:val="00397C22"/>
    <w:rsid w:val="003A05A1"/>
    <w:rsid w:val="003A5DE0"/>
    <w:rsid w:val="003A65E4"/>
    <w:rsid w:val="003A68F2"/>
    <w:rsid w:val="003C019E"/>
    <w:rsid w:val="003C19BD"/>
    <w:rsid w:val="003C2518"/>
    <w:rsid w:val="003C4755"/>
    <w:rsid w:val="003C5164"/>
    <w:rsid w:val="003D354C"/>
    <w:rsid w:val="003D3AD3"/>
    <w:rsid w:val="003D4248"/>
    <w:rsid w:val="003E0584"/>
    <w:rsid w:val="003E24C1"/>
    <w:rsid w:val="003E2CF4"/>
    <w:rsid w:val="003E7083"/>
    <w:rsid w:val="003F2312"/>
    <w:rsid w:val="003F4199"/>
    <w:rsid w:val="003F65F6"/>
    <w:rsid w:val="003F6883"/>
    <w:rsid w:val="003F7425"/>
    <w:rsid w:val="003F7A12"/>
    <w:rsid w:val="0040248B"/>
    <w:rsid w:val="00407837"/>
    <w:rsid w:val="00411FB2"/>
    <w:rsid w:val="004176BF"/>
    <w:rsid w:val="00420E55"/>
    <w:rsid w:val="00420E94"/>
    <w:rsid w:val="00422373"/>
    <w:rsid w:val="00442356"/>
    <w:rsid w:val="00443933"/>
    <w:rsid w:val="004439BA"/>
    <w:rsid w:val="00443AA8"/>
    <w:rsid w:val="00444551"/>
    <w:rsid w:val="00444F02"/>
    <w:rsid w:val="004456D3"/>
    <w:rsid w:val="004504BD"/>
    <w:rsid w:val="004565D2"/>
    <w:rsid w:val="004574F8"/>
    <w:rsid w:val="00461719"/>
    <w:rsid w:val="00462DCC"/>
    <w:rsid w:val="00466FB7"/>
    <w:rsid w:val="0047081E"/>
    <w:rsid w:val="00470C36"/>
    <w:rsid w:val="00472DAF"/>
    <w:rsid w:val="00474A21"/>
    <w:rsid w:val="004752ED"/>
    <w:rsid w:val="00481524"/>
    <w:rsid w:val="00482223"/>
    <w:rsid w:val="00490D7F"/>
    <w:rsid w:val="00490FE1"/>
    <w:rsid w:val="004916E8"/>
    <w:rsid w:val="004953F5"/>
    <w:rsid w:val="004A2FDA"/>
    <w:rsid w:val="004A675C"/>
    <w:rsid w:val="004B08D7"/>
    <w:rsid w:val="004B39BE"/>
    <w:rsid w:val="004B4BA6"/>
    <w:rsid w:val="004D18A7"/>
    <w:rsid w:val="004D4E2D"/>
    <w:rsid w:val="004D5CCB"/>
    <w:rsid w:val="004D5D05"/>
    <w:rsid w:val="004D67C0"/>
    <w:rsid w:val="004D7D4B"/>
    <w:rsid w:val="004E0DCA"/>
    <w:rsid w:val="004E427A"/>
    <w:rsid w:val="004F21CE"/>
    <w:rsid w:val="004F3F4B"/>
    <w:rsid w:val="004F47D7"/>
    <w:rsid w:val="004F4D8B"/>
    <w:rsid w:val="004F61AD"/>
    <w:rsid w:val="004F79F0"/>
    <w:rsid w:val="00503E4C"/>
    <w:rsid w:val="00504474"/>
    <w:rsid w:val="00510507"/>
    <w:rsid w:val="0051764A"/>
    <w:rsid w:val="005203DA"/>
    <w:rsid w:val="00521DB1"/>
    <w:rsid w:val="00531C2F"/>
    <w:rsid w:val="005341B6"/>
    <w:rsid w:val="005341C3"/>
    <w:rsid w:val="00537223"/>
    <w:rsid w:val="00541346"/>
    <w:rsid w:val="005450F4"/>
    <w:rsid w:val="00545335"/>
    <w:rsid w:val="00554702"/>
    <w:rsid w:val="00561FC3"/>
    <w:rsid w:val="0056230B"/>
    <w:rsid w:val="00564A56"/>
    <w:rsid w:val="005727AD"/>
    <w:rsid w:val="0058092F"/>
    <w:rsid w:val="0058371F"/>
    <w:rsid w:val="0059170E"/>
    <w:rsid w:val="005A3DF0"/>
    <w:rsid w:val="005A558B"/>
    <w:rsid w:val="005B3B75"/>
    <w:rsid w:val="005B74EC"/>
    <w:rsid w:val="005B7976"/>
    <w:rsid w:val="005C2805"/>
    <w:rsid w:val="005D0F5C"/>
    <w:rsid w:val="005D2299"/>
    <w:rsid w:val="005D6030"/>
    <w:rsid w:val="005E10E1"/>
    <w:rsid w:val="005F01C3"/>
    <w:rsid w:val="005F423D"/>
    <w:rsid w:val="00601C62"/>
    <w:rsid w:val="0060445B"/>
    <w:rsid w:val="006057F9"/>
    <w:rsid w:val="00612771"/>
    <w:rsid w:val="0061728B"/>
    <w:rsid w:val="00622E3F"/>
    <w:rsid w:val="00624A42"/>
    <w:rsid w:val="0062575D"/>
    <w:rsid w:val="00634E5C"/>
    <w:rsid w:val="00646377"/>
    <w:rsid w:val="00647243"/>
    <w:rsid w:val="00651B85"/>
    <w:rsid w:val="00652F3B"/>
    <w:rsid w:val="00661022"/>
    <w:rsid w:val="0067037E"/>
    <w:rsid w:val="006731E0"/>
    <w:rsid w:val="00677B23"/>
    <w:rsid w:val="00677BCE"/>
    <w:rsid w:val="00677CC5"/>
    <w:rsid w:val="006804CA"/>
    <w:rsid w:val="0068199D"/>
    <w:rsid w:val="006920A0"/>
    <w:rsid w:val="00693D18"/>
    <w:rsid w:val="006A6B97"/>
    <w:rsid w:val="006B2CCA"/>
    <w:rsid w:val="006B305A"/>
    <w:rsid w:val="006C00B6"/>
    <w:rsid w:val="006C25A4"/>
    <w:rsid w:val="006C39D7"/>
    <w:rsid w:val="006C72F5"/>
    <w:rsid w:val="006D00DA"/>
    <w:rsid w:val="006D03B4"/>
    <w:rsid w:val="006D17A2"/>
    <w:rsid w:val="006D7664"/>
    <w:rsid w:val="006E0D79"/>
    <w:rsid w:val="006E1D35"/>
    <w:rsid w:val="006E42E0"/>
    <w:rsid w:val="006E6268"/>
    <w:rsid w:val="00706D83"/>
    <w:rsid w:val="00716878"/>
    <w:rsid w:val="00717E97"/>
    <w:rsid w:val="00720D6F"/>
    <w:rsid w:val="007226FC"/>
    <w:rsid w:val="00724B5C"/>
    <w:rsid w:val="007279BD"/>
    <w:rsid w:val="00730F77"/>
    <w:rsid w:val="00733115"/>
    <w:rsid w:val="00737C53"/>
    <w:rsid w:val="00742F08"/>
    <w:rsid w:val="007453B5"/>
    <w:rsid w:val="007475EB"/>
    <w:rsid w:val="00752009"/>
    <w:rsid w:val="007548CA"/>
    <w:rsid w:val="007548DB"/>
    <w:rsid w:val="007579E9"/>
    <w:rsid w:val="00763D4B"/>
    <w:rsid w:val="00770FA2"/>
    <w:rsid w:val="00775FE4"/>
    <w:rsid w:val="007773E9"/>
    <w:rsid w:val="00777F1F"/>
    <w:rsid w:val="0078297F"/>
    <w:rsid w:val="0078357E"/>
    <w:rsid w:val="0078452D"/>
    <w:rsid w:val="00791779"/>
    <w:rsid w:val="007937F1"/>
    <w:rsid w:val="00796E0B"/>
    <w:rsid w:val="007A2202"/>
    <w:rsid w:val="007A4D21"/>
    <w:rsid w:val="007A502F"/>
    <w:rsid w:val="007A743F"/>
    <w:rsid w:val="007A79F5"/>
    <w:rsid w:val="007B2EB8"/>
    <w:rsid w:val="007B334E"/>
    <w:rsid w:val="007B367D"/>
    <w:rsid w:val="007B733E"/>
    <w:rsid w:val="007C29FB"/>
    <w:rsid w:val="007C4162"/>
    <w:rsid w:val="007C7FA4"/>
    <w:rsid w:val="007D151A"/>
    <w:rsid w:val="007D77E0"/>
    <w:rsid w:val="007E48BF"/>
    <w:rsid w:val="007F15C0"/>
    <w:rsid w:val="007F3C63"/>
    <w:rsid w:val="007F4E06"/>
    <w:rsid w:val="007F67B5"/>
    <w:rsid w:val="008000B9"/>
    <w:rsid w:val="00801FA3"/>
    <w:rsid w:val="008037AF"/>
    <w:rsid w:val="00806049"/>
    <w:rsid w:val="008228C1"/>
    <w:rsid w:val="008373B3"/>
    <w:rsid w:val="00840BB7"/>
    <w:rsid w:val="00846642"/>
    <w:rsid w:val="0085063D"/>
    <w:rsid w:val="0085185B"/>
    <w:rsid w:val="0085779E"/>
    <w:rsid w:val="00857AD8"/>
    <w:rsid w:val="0086290F"/>
    <w:rsid w:val="00864C54"/>
    <w:rsid w:val="008656AA"/>
    <w:rsid w:val="00865F2B"/>
    <w:rsid w:val="0086630A"/>
    <w:rsid w:val="00870EC9"/>
    <w:rsid w:val="0088171E"/>
    <w:rsid w:val="00883140"/>
    <w:rsid w:val="00886102"/>
    <w:rsid w:val="00896444"/>
    <w:rsid w:val="008B0B3F"/>
    <w:rsid w:val="008B62D1"/>
    <w:rsid w:val="008C1274"/>
    <w:rsid w:val="008C29D2"/>
    <w:rsid w:val="008D149C"/>
    <w:rsid w:val="008D5B59"/>
    <w:rsid w:val="008E0819"/>
    <w:rsid w:val="008E1F88"/>
    <w:rsid w:val="008E64AF"/>
    <w:rsid w:val="008E6563"/>
    <w:rsid w:val="008F2FFF"/>
    <w:rsid w:val="008F5FFD"/>
    <w:rsid w:val="00903143"/>
    <w:rsid w:val="00910CF4"/>
    <w:rsid w:val="00916231"/>
    <w:rsid w:val="00920088"/>
    <w:rsid w:val="00921FB9"/>
    <w:rsid w:val="00940E62"/>
    <w:rsid w:val="0094171A"/>
    <w:rsid w:val="0094534C"/>
    <w:rsid w:val="009456FE"/>
    <w:rsid w:val="009510EE"/>
    <w:rsid w:val="00956A8F"/>
    <w:rsid w:val="00957DBF"/>
    <w:rsid w:val="009658B7"/>
    <w:rsid w:val="009733E7"/>
    <w:rsid w:val="009A29B9"/>
    <w:rsid w:val="009A510D"/>
    <w:rsid w:val="009A6909"/>
    <w:rsid w:val="009A6CA9"/>
    <w:rsid w:val="009B4998"/>
    <w:rsid w:val="009B4B79"/>
    <w:rsid w:val="009C24F5"/>
    <w:rsid w:val="009C5790"/>
    <w:rsid w:val="009E3730"/>
    <w:rsid w:val="009E4D1B"/>
    <w:rsid w:val="009E6928"/>
    <w:rsid w:val="009F045D"/>
    <w:rsid w:val="009F3A09"/>
    <w:rsid w:val="009F4DEA"/>
    <w:rsid w:val="009F77A5"/>
    <w:rsid w:val="00A01CEC"/>
    <w:rsid w:val="00A05E2D"/>
    <w:rsid w:val="00A17520"/>
    <w:rsid w:val="00A21163"/>
    <w:rsid w:val="00A21F9D"/>
    <w:rsid w:val="00A26EB5"/>
    <w:rsid w:val="00A27F41"/>
    <w:rsid w:val="00A33997"/>
    <w:rsid w:val="00A348FB"/>
    <w:rsid w:val="00A34B8C"/>
    <w:rsid w:val="00A35294"/>
    <w:rsid w:val="00A37EFC"/>
    <w:rsid w:val="00A44582"/>
    <w:rsid w:val="00A4655B"/>
    <w:rsid w:val="00A506EB"/>
    <w:rsid w:val="00A524F1"/>
    <w:rsid w:val="00A600E5"/>
    <w:rsid w:val="00A60F26"/>
    <w:rsid w:val="00A67ACD"/>
    <w:rsid w:val="00A72C77"/>
    <w:rsid w:val="00A85D10"/>
    <w:rsid w:val="00AA3981"/>
    <w:rsid w:val="00AA4619"/>
    <w:rsid w:val="00AA67C7"/>
    <w:rsid w:val="00AB59C1"/>
    <w:rsid w:val="00AB6D78"/>
    <w:rsid w:val="00AC0D2B"/>
    <w:rsid w:val="00AC3CD6"/>
    <w:rsid w:val="00AC3DC7"/>
    <w:rsid w:val="00AC6303"/>
    <w:rsid w:val="00AD175D"/>
    <w:rsid w:val="00AD3722"/>
    <w:rsid w:val="00AD44FF"/>
    <w:rsid w:val="00AD61D2"/>
    <w:rsid w:val="00AE209B"/>
    <w:rsid w:val="00AE3E9D"/>
    <w:rsid w:val="00AF52C9"/>
    <w:rsid w:val="00AF6830"/>
    <w:rsid w:val="00AF79BB"/>
    <w:rsid w:val="00B065FE"/>
    <w:rsid w:val="00B06C46"/>
    <w:rsid w:val="00B15699"/>
    <w:rsid w:val="00B2028F"/>
    <w:rsid w:val="00B22DAF"/>
    <w:rsid w:val="00B24DC6"/>
    <w:rsid w:val="00B2605F"/>
    <w:rsid w:val="00B37C03"/>
    <w:rsid w:val="00B40ED8"/>
    <w:rsid w:val="00B412AB"/>
    <w:rsid w:val="00B46297"/>
    <w:rsid w:val="00B50072"/>
    <w:rsid w:val="00B529B4"/>
    <w:rsid w:val="00B534FC"/>
    <w:rsid w:val="00B64512"/>
    <w:rsid w:val="00B65E4F"/>
    <w:rsid w:val="00B66EFE"/>
    <w:rsid w:val="00B67BE5"/>
    <w:rsid w:val="00B75ED2"/>
    <w:rsid w:val="00B859D1"/>
    <w:rsid w:val="00B91D94"/>
    <w:rsid w:val="00B9245B"/>
    <w:rsid w:val="00B92D5C"/>
    <w:rsid w:val="00B9381E"/>
    <w:rsid w:val="00B93C54"/>
    <w:rsid w:val="00BA122B"/>
    <w:rsid w:val="00BA1B14"/>
    <w:rsid w:val="00BA1F8F"/>
    <w:rsid w:val="00BA2DB0"/>
    <w:rsid w:val="00BA597E"/>
    <w:rsid w:val="00BA5AED"/>
    <w:rsid w:val="00BA789C"/>
    <w:rsid w:val="00BB4B34"/>
    <w:rsid w:val="00BB7EE0"/>
    <w:rsid w:val="00BC15D1"/>
    <w:rsid w:val="00BC3ACE"/>
    <w:rsid w:val="00BC63FD"/>
    <w:rsid w:val="00BD0B71"/>
    <w:rsid w:val="00BD2EEA"/>
    <w:rsid w:val="00BD4152"/>
    <w:rsid w:val="00BD4D82"/>
    <w:rsid w:val="00BE0BB4"/>
    <w:rsid w:val="00BE2761"/>
    <w:rsid w:val="00BF01F3"/>
    <w:rsid w:val="00BF0CBE"/>
    <w:rsid w:val="00BF5ACE"/>
    <w:rsid w:val="00C0026C"/>
    <w:rsid w:val="00C04749"/>
    <w:rsid w:val="00C0609F"/>
    <w:rsid w:val="00C061C1"/>
    <w:rsid w:val="00C10526"/>
    <w:rsid w:val="00C22403"/>
    <w:rsid w:val="00C271B9"/>
    <w:rsid w:val="00C27B26"/>
    <w:rsid w:val="00C30065"/>
    <w:rsid w:val="00C37FC9"/>
    <w:rsid w:val="00C4282B"/>
    <w:rsid w:val="00C44E55"/>
    <w:rsid w:val="00C45E1E"/>
    <w:rsid w:val="00C61A8A"/>
    <w:rsid w:val="00C65985"/>
    <w:rsid w:val="00C6729F"/>
    <w:rsid w:val="00C70A9C"/>
    <w:rsid w:val="00C740BB"/>
    <w:rsid w:val="00C8229A"/>
    <w:rsid w:val="00C825E1"/>
    <w:rsid w:val="00C915F1"/>
    <w:rsid w:val="00C9182E"/>
    <w:rsid w:val="00C92404"/>
    <w:rsid w:val="00CA0628"/>
    <w:rsid w:val="00CA190F"/>
    <w:rsid w:val="00CB4C7D"/>
    <w:rsid w:val="00CD0989"/>
    <w:rsid w:val="00CD40D0"/>
    <w:rsid w:val="00CD49D9"/>
    <w:rsid w:val="00CD59DE"/>
    <w:rsid w:val="00CD65D2"/>
    <w:rsid w:val="00CF0655"/>
    <w:rsid w:val="00CF20B0"/>
    <w:rsid w:val="00CF494A"/>
    <w:rsid w:val="00D02C9F"/>
    <w:rsid w:val="00D061A9"/>
    <w:rsid w:val="00D06EB5"/>
    <w:rsid w:val="00D119BE"/>
    <w:rsid w:val="00D11B18"/>
    <w:rsid w:val="00D24279"/>
    <w:rsid w:val="00D24EA4"/>
    <w:rsid w:val="00D26B7A"/>
    <w:rsid w:val="00D31866"/>
    <w:rsid w:val="00D54246"/>
    <w:rsid w:val="00D55253"/>
    <w:rsid w:val="00D556D8"/>
    <w:rsid w:val="00D6003A"/>
    <w:rsid w:val="00D668B9"/>
    <w:rsid w:val="00D703BC"/>
    <w:rsid w:val="00D73B78"/>
    <w:rsid w:val="00D835D4"/>
    <w:rsid w:val="00D83C39"/>
    <w:rsid w:val="00D83DD3"/>
    <w:rsid w:val="00D84B26"/>
    <w:rsid w:val="00D900A8"/>
    <w:rsid w:val="00D90107"/>
    <w:rsid w:val="00D91367"/>
    <w:rsid w:val="00DA058D"/>
    <w:rsid w:val="00DA3654"/>
    <w:rsid w:val="00DB427F"/>
    <w:rsid w:val="00DB7372"/>
    <w:rsid w:val="00DC33DF"/>
    <w:rsid w:val="00DD1946"/>
    <w:rsid w:val="00DD42B7"/>
    <w:rsid w:val="00DD4F72"/>
    <w:rsid w:val="00DE57CD"/>
    <w:rsid w:val="00DF05BB"/>
    <w:rsid w:val="00DF293C"/>
    <w:rsid w:val="00E00C72"/>
    <w:rsid w:val="00E013DD"/>
    <w:rsid w:val="00E027ED"/>
    <w:rsid w:val="00E05B48"/>
    <w:rsid w:val="00E102A5"/>
    <w:rsid w:val="00E229A6"/>
    <w:rsid w:val="00E35F19"/>
    <w:rsid w:val="00E401E6"/>
    <w:rsid w:val="00E4538E"/>
    <w:rsid w:val="00E47B9A"/>
    <w:rsid w:val="00E504BD"/>
    <w:rsid w:val="00E52D07"/>
    <w:rsid w:val="00E5338C"/>
    <w:rsid w:val="00E576FB"/>
    <w:rsid w:val="00E66651"/>
    <w:rsid w:val="00E74399"/>
    <w:rsid w:val="00E7457E"/>
    <w:rsid w:val="00E84BD2"/>
    <w:rsid w:val="00E87976"/>
    <w:rsid w:val="00E95D1D"/>
    <w:rsid w:val="00E97C15"/>
    <w:rsid w:val="00EA4342"/>
    <w:rsid w:val="00EA44A6"/>
    <w:rsid w:val="00EA45EB"/>
    <w:rsid w:val="00EB09F9"/>
    <w:rsid w:val="00EC387A"/>
    <w:rsid w:val="00ED1087"/>
    <w:rsid w:val="00ED7125"/>
    <w:rsid w:val="00EE30D4"/>
    <w:rsid w:val="00EE63CD"/>
    <w:rsid w:val="00EF31E3"/>
    <w:rsid w:val="00EF39D8"/>
    <w:rsid w:val="00F04D17"/>
    <w:rsid w:val="00F11E32"/>
    <w:rsid w:val="00F12C36"/>
    <w:rsid w:val="00F133B5"/>
    <w:rsid w:val="00F313CF"/>
    <w:rsid w:val="00F378C3"/>
    <w:rsid w:val="00F401B4"/>
    <w:rsid w:val="00F43420"/>
    <w:rsid w:val="00F50F77"/>
    <w:rsid w:val="00F51DCB"/>
    <w:rsid w:val="00F533A1"/>
    <w:rsid w:val="00F60951"/>
    <w:rsid w:val="00F67F64"/>
    <w:rsid w:val="00F83727"/>
    <w:rsid w:val="00F922E2"/>
    <w:rsid w:val="00F9638C"/>
    <w:rsid w:val="00FA0247"/>
    <w:rsid w:val="00FA2652"/>
    <w:rsid w:val="00FB23ED"/>
    <w:rsid w:val="00FB4E54"/>
    <w:rsid w:val="00FB6972"/>
    <w:rsid w:val="00FC33C1"/>
    <w:rsid w:val="00FC3877"/>
    <w:rsid w:val="00FC5C77"/>
    <w:rsid w:val="00FC7D00"/>
    <w:rsid w:val="00FD6ADD"/>
    <w:rsid w:val="00FE54B2"/>
    <w:rsid w:val="00FE72E5"/>
    <w:rsid w:val="00FF437F"/>
    <w:rsid w:val="00FF47A2"/>
    <w:rsid w:val="00FF4920"/>
    <w:rsid w:val="00FF66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5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AA"/>
    <w:pPr>
      <w:spacing w:before="120" w:after="120" w:line="240" w:lineRule="auto"/>
    </w:pPr>
    <w:rPr>
      <w:sz w:val="24"/>
      <w:szCs w:val="24"/>
      <w:lang w:val="en-AU"/>
    </w:rPr>
  </w:style>
  <w:style w:type="paragraph" w:styleId="Heading1">
    <w:name w:val="heading 1"/>
    <w:basedOn w:val="Normal"/>
    <w:next w:val="Normal"/>
    <w:link w:val="Heading1Char"/>
    <w:qFormat/>
    <w:rsid w:val="008656AA"/>
    <w:pPr>
      <w:keepNext/>
      <w:keepLines/>
      <w:numPr>
        <w:numId w:val="3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56AA"/>
    <w:pPr>
      <w:keepNext/>
      <w:keepLines/>
      <w:numPr>
        <w:ilvl w:val="1"/>
        <w:numId w:val="35"/>
      </w:numPr>
      <w:outlineLvl w:val="1"/>
    </w:pPr>
    <w:rPr>
      <w:rFonts w:asciiTheme="majorHAnsi" w:eastAsia="Times New Roman"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56AA"/>
    <w:pPr>
      <w:keepNext/>
      <w:keepLines/>
      <w:numPr>
        <w:ilvl w:val="2"/>
        <w:numId w:val="35"/>
      </w:numPr>
      <w:spacing w:before="40" w:after="0"/>
      <w:outlineLvl w:val="2"/>
    </w:pPr>
    <w:rPr>
      <w:rFonts w:asciiTheme="majorHAnsi" w:eastAsiaTheme="majorEastAsia" w:hAnsiTheme="majorHAnsi" w:cstheme="majorBidi"/>
      <w:b/>
      <w:color w:val="1F4D78" w:themeColor="accent1" w:themeShade="7F"/>
    </w:rPr>
  </w:style>
  <w:style w:type="paragraph" w:styleId="Heading4">
    <w:name w:val="heading 4"/>
    <w:basedOn w:val="Normal"/>
    <w:next w:val="Normal"/>
    <w:link w:val="Heading4Char"/>
    <w:uiPriority w:val="9"/>
    <w:unhideWhenUsed/>
    <w:qFormat/>
    <w:rsid w:val="008656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656AA"/>
    <w:pPr>
      <w:keepNext/>
      <w:keepLines/>
      <w:spacing w:before="4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8656A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6AA"/>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8656AA"/>
    <w:rPr>
      <w:rFonts w:asciiTheme="majorHAnsi" w:eastAsia="Times New Roman" w:hAnsiTheme="majorHAnsi" w:cstheme="majorBidi"/>
      <w:color w:val="2E74B5" w:themeColor="accent1" w:themeShade="BF"/>
      <w:sz w:val="26"/>
      <w:szCs w:val="26"/>
      <w:lang w:val="en-AU"/>
    </w:rPr>
  </w:style>
  <w:style w:type="character" w:customStyle="1" w:styleId="Heading3Char">
    <w:name w:val="Heading 3 Char"/>
    <w:basedOn w:val="DefaultParagraphFont"/>
    <w:link w:val="Heading3"/>
    <w:uiPriority w:val="9"/>
    <w:rsid w:val="008656AA"/>
    <w:rPr>
      <w:rFonts w:asciiTheme="majorHAnsi" w:eastAsiaTheme="majorEastAsia" w:hAnsiTheme="majorHAnsi" w:cstheme="majorBidi"/>
      <w:b/>
      <w:color w:val="1F4D78" w:themeColor="accent1" w:themeShade="7F"/>
      <w:sz w:val="24"/>
      <w:szCs w:val="24"/>
      <w:lang w:val="en-AU"/>
    </w:rPr>
  </w:style>
  <w:style w:type="character" w:customStyle="1" w:styleId="Heading4Char">
    <w:name w:val="Heading 4 Char"/>
    <w:basedOn w:val="DefaultParagraphFont"/>
    <w:link w:val="Heading4"/>
    <w:uiPriority w:val="9"/>
    <w:rsid w:val="008656AA"/>
    <w:rPr>
      <w:rFonts w:asciiTheme="majorHAnsi" w:eastAsiaTheme="majorEastAsia" w:hAnsiTheme="majorHAnsi" w:cstheme="majorBidi"/>
      <w:i/>
      <w:iCs/>
      <w:color w:val="2E74B5" w:themeColor="accent1" w:themeShade="BF"/>
      <w:sz w:val="24"/>
      <w:szCs w:val="24"/>
      <w:lang w:val="en-AU"/>
    </w:rPr>
  </w:style>
  <w:style w:type="character" w:customStyle="1" w:styleId="Heading5Char">
    <w:name w:val="Heading 5 Char"/>
    <w:basedOn w:val="DefaultParagraphFont"/>
    <w:link w:val="Heading5"/>
    <w:uiPriority w:val="9"/>
    <w:rsid w:val="008656AA"/>
    <w:rPr>
      <w:rFonts w:asciiTheme="majorHAnsi" w:eastAsiaTheme="majorEastAsia" w:hAnsiTheme="majorHAnsi" w:cstheme="majorBidi"/>
      <w:b/>
      <w:color w:val="000000" w:themeColor="text1"/>
      <w:sz w:val="24"/>
      <w:szCs w:val="24"/>
      <w:lang w:val="en-AU"/>
    </w:rPr>
  </w:style>
  <w:style w:type="character" w:customStyle="1" w:styleId="Heading6Char">
    <w:name w:val="Heading 6 Char"/>
    <w:basedOn w:val="DefaultParagraphFont"/>
    <w:link w:val="Heading6"/>
    <w:uiPriority w:val="9"/>
    <w:rsid w:val="008656AA"/>
    <w:rPr>
      <w:rFonts w:asciiTheme="majorHAnsi" w:eastAsiaTheme="majorEastAsia" w:hAnsiTheme="majorHAnsi" w:cstheme="majorBidi"/>
      <w:color w:val="1F4D78" w:themeColor="accent1" w:themeShade="7F"/>
      <w:sz w:val="24"/>
      <w:szCs w:val="24"/>
      <w:lang w:val="en-AU"/>
    </w:rPr>
  </w:style>
  <w:style w:type="paragraph" w:styleId="Title">
    <w:name w:val="Title"/>
    <w:basedOn w:val="Normal"/>
    <w:next w:val="Normal"/>
    <w:link w:val="TitleChar"/>
    <w:uiPriority w:val="10"/>
    <w:qFormat/>
    <w:rsid w:val="008656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56AA"/>
    <w:rPr>
      <w:rFonts w:asciiTheme="majorHAnsi" w:eastAsiaTheme="majorEastAsia" w:hAnsiTheme="majorHAnsi" w:cstheme="majorBidi"/>
      <w:spacing w:val="-10"/>
      <w:kern w:val="28"/>
      <w:sz w:val="56"/>
      <w:szCs w:val="56"/>
      <w:lang w:val="en-AU"/>
    </w:rPr>
  </w:style>
  <w:style w:type="table" w:styleId="TableGrid">
    <w:name w:val="Table Grid"/>
    <w:basedOn w:val="TableNormal"/>
    <w:uiPriority w:val="39"/>
    <w:rsid w:val="008656A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8656AA"/>
    <w:pPr>
      <w:spacing w:after="0" w:line="240" w:lineRule="auto"/>
    </w:pPr>
    <w:rPr>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8656AA"/>
    <w:pPr>
      <w:spacing w:before="0" w:after="0"/>
    </w:pPr>
    <w:rPr>
      <w:sz w:val="20"/>
    </w:rPr>
  </w:style>
  <w:style w:type="character" w:customStyle="1" w:styleId="FootnoteTextChar">
    <w:name w:val="Footnote Text Char"/>
    <w:basedOn w:val="DefaultParagraphFont"/>
    <w:link w:val="FootnoteText"/>
    <w:uiPriority w:val="99"/>
    <w:rsid w:val="008656AA"/>
    <w:rPr>
      <w:sz w:val="20"/>
      <w:szCs w:val="24"/>
      <w:lang w:val="en-AU"/>
    </w:rPr>
  </w:style>
  <w:style w:type="character" w:styleId="FootnoteReference">
    <w:name w:val="footnote reference"/>
    <w:basedOn w:val="DefaultParagraphFont"/>
    <w:uiPriority w:val="99"/>
    <w:unhideWhenUsed/>
    <w:rsid w:val="008656AA"/>
    <w:rPr>
      <w:vertAlign w:val="superscript"/>
    </w:rPr>
  </w:style>
  <w:style w:type="paragraph" w:styleId="ListParagraph">
    <w:name w:val="List Paragraph"/>
    <w:basedOn w:val="Normal"/>
    <w:uiPriority w:val="34"/>
    <w:qFormat/>
    <w:rsid w:val="008656AA"/>
    <w:pPr>
      <w:numPr>
        <w:numId w:val="39"/>
      </w:numPr>
    </w:pPr>
  </w:style>
  <w:style w:type="paragraph" w:styleId="Footer">
    <w:name w:val="footer"/>
    <w:basedOn w:val="Normal"/>
    <w:link w:val="FooterChar"/>
    <w:uiPriority w:val="99"/>
    <w:unhideWhenUsed/>
    <w:rsid w:val="008656AA"/>
    <w:pPr>
      <w:tabs>
        <w:tab w:val="center" w:pos="4513"/>
        <w:tab w:val="right" w:pos="9026"/>
      </w:tabs>
      <w:spacing w:before="0" w:after="0"/>
    </w:pPr>
  </w:style>
  <w:style w:type="character" w:customStyle="1" w:styleId="FooterChar">
    <w:name w:val="Footer Char"/>
    <w:basedOn w:val="DefaultParagraphFont"/>
    <w:link w:val="Footer"/>
    <w:uiPriority w:val="99"/>
    <w:rsid w:val="008656AA"/>
    <w:rPr>
      <w:sz w:val="24"/>
      <w:szCs w:val="24"/>
      <w:lang w:val="en-AU"/>
    </w:rPr>
  </w:style>
  <w:style w:type="character" w:styleId="PageNumber">
    <w:name w:val="page number"/>
    <w:basedOn w:val="DefaultParagraphFont"/>
    <w:uiPriority w:val="99"/>
    <w:semiHidden/>
    <w:unhideWhenUsed/>
    <w:rsid w:val="008656AA"/>
  </w:style>
  <w:style w:type="paragraph" w:styleId="BodyText">
    <w:name w:val="Body Text"/>
    <w:basedOn w:val="Normal"/>
    <w:link w:val="BodyTextChar"/>
    <w:uiPriority w:val="1"/>
    <w:qFormat/>
    <w:rsid w:val="008656AA"/>
    <w:pPr>
      <w:widowControl w:val="0"/>
      <w:autoSpaceDE w:val="0"/>
      <w:autoSpaceDN w:val="0"/>
      <w:adjustRightInd w:val="0"/>
      <w:spacing w:before="13" w:after="0"/>
      <w:ind w:left="4692"/>
    </w:pPr>
    <w:rPr>
      <w:rFonts w:ascii="Helvetica Neue Light" w:hAnsi="Helvetica Neue Light" w:cs="Helvetica Neue Light"/>
      <w:sz w:val="22"/>
      <w:szCs w:val="22"/>
    </w:rPr>
  </w:style>
  <w:style w:type="character" w:customStyle="1" w:styleId="BodyTextChar">
    <w:name w:val="Body Text Char"/>
    <w:basedOn w:val="DefaultParagraphFont"/>
    <w:link w:val="BodyText"/>
    <w:uiPriority w:val="1"/>
    <w:rsid w:val="008656AA"/>
    <w:rPr>
      <w:rFonts w:ascii="Helvetica Neue Light" w:hAnsi="Helvetica Neue Light" w:cs="Helvetica Neue Light"/>
      <w:lang w:val="en-AU"/>
    </w:rPr>
  </w:style>
  <w:style w:type="paragraph" w:styleId="Caption">
    <w:name w:val="caption"/>
    <w:basedOn w:val="Normal"/>
    <w:next w:val="Normal"/>
    <w:uiPriority w:val="35"/>
    <w:unhideWhenUsed/>
    <w:qFormat/>
    <w:rsid w:val="008656AA"/>
    <w:pPr>
      <w:spacing w:before="0" w:after="200"/>
    </w:pPr>
    <w:rPr>
      <w:i/>
      <w:iCs/>
      <w:color w:val="44546A" w:themeColor="text2"/>
      <w:sz w:val="18"/>
      <w:szCs w:val="18"/>
    </w:rPr>
  </w:style>
  <w:style w:type="character" w:styleId="Hyperlink">
    <w:name w:val="Hyperlink"/>
    <w:basedOn w:val="DefaultParagraphFont"/>
    <w:unhideWhenUsed/>
    <w:rsid w:val="008656AA"/>
    <w:rPr>
      <w:color w:val="0563C1" w:themeColor="hyperlink"/>
      <w:u w:val="single"/>
    </w:rPr>
  </w:style>
  <w:style w:type="paragraph" w:styleId="TOC1">
    <w:name w:val="toc 1"/>
    <w:basedOn w:val="Normal"/>
    <w:next w:val="Normal"/>
    <w:autoRedefine/>
    <w:uiPriority w:val="39"/>
    <w:unhideWhenUsed/>
    <w:rsid w:val="008656AA"/>
    <w:pPr>
      <w:spacing w:after="0"/>
    </w:pPr>
    <w:rPr>
      <w:b/>
      <w:caps/>
      <w:sz w:val="22"/>
      <w:szCs w:val="22"/>
    </w:rPr>
  </w:style>
  <w:style w:type="paragraph" w:styleId="TOC2">
    <w:name w:val="toc 2"/>
    <w:basedOn w:val="Normal"/>
    <w:next w:val="Normal"/>
    <w:autoRedefine/>
    <w:uiPriority w:val="39"/>
    <w:unhideWhenUsed/>
    <w:rsid w:val="008656AA"/>
    <w:pPr>
      <w:spacing w:before="0" w:after="0"/>
      <w:ind w:left="240"/>
    </w:pPr>
    <w:rPr>
      <w:smallCaps/>
      <w:sz w:val="22"/>
      <w:szCs w:val="22"/>
    </w:rPr>
  </w:style>
  <w:style w:type="paragraph" w:styleId="TOC3">
    <w:name w:val="toc 3"/>
    <w:basedOn w:val="Normal"/>
    <w:next w:val="Normal"/>
    <w:autoRedefine/>
    <w:uiPriority w:val="39"/>
    <w:unhideWhenUsed/>
    <w:rsid w:val="008656AA"/>
    <w:pPr>
      <w:tabs>
        <w:tab w:val="left" w:pos="1440"/>
        <w:tab w:val="right" w:leader="dot" w:pos="9010"/>
      </w:tabs>
      <w:spacing w:before="0" w:after="0"/>
      <w:ind w:left="720"/>
    </w:pPr>
    <w:rPr>
      <w:i/>
      <w:sz w:val="22"/>
      <w:szCs w:val="22"/>
    </w:rPr>
  </w:style>
  <w:style w:type="paragraph" w:styleId="TOC4">
    <w:name w:val="toc 4"/>
    <w:basedOn w:val="Normal"/>
    <w:next w:val="Normal"/>
    <w:autoRedefine/>
    <w:uiPriority w:val="39"/>
    <w:unhideWhenUsed/>
    <w:rsid w:val="008656AA"/>
    <w:pPr>
      <w:spacing w:before="0" w:after="0"/>
      <w:ind w:left="720"/>
    </w:pPr>
    <w:rPr>
      <w:sz w:val="18"/>
      <w:szCs w:val="18"/>
    </w:rPr>
  </w:style>
  <w:style w:type="paragraph" w:styleId="TOC5">
    <w:name w:val="toc 5"/>
    <w:basedOn w:val="Normal"/>
    <w:next w:val="Normal"/>
    <w:autoRedefine/>
    <w:uiPriority w:val="39"/>
    <w:unhideWhenUsed/>
    <w:rsid w:val="008656AA"/>
    <w:pPr>
      <w:spacing w:before="0" w:after="0"/>
      <w:ind w:left="960"/>
    </w:pPr>
    <w:rPr>
      <w:sz w:val="18"/>
      <w:szCs w:val="18"/>
    </w:rPr>
  </w:style>
  <w:style w:type="paragraph" w:styleId="TOC6">
    <w:name w:val="toc 6"/>
    <w:basedOn w:val="Normal"/>
    <w:next w:val="Normal"/>
    <w:autoRedefine/>
    <w:uiPriority w:val="39"/>
    <w:unhideWhenUsed/>
    <w:rsid w:val="008656AA"/>
    <w:pPr>
      <w:spacing w:before="0" w:after="0"/>
      <w:ind w:left="1200"/>
    </w:pPr>
    <w:rPr>
      <w:sz w:val="18"/>
      <w:szCs w:val="18"/>
    </w:rPr>
  </w:style>
  <w:style w:type="paragraph" w:styleId="TOC7">
    <w:name w:val="toc 7"/>
    <w:basedOn w:val="Normal"/>
    <w:next w:val="Normal"/>
    <w:autoRedefine/>
    <w:uiPriority w:val="39"/>
    <w:unhideWhenUsed/>
    <w:rsid w:val="008656AA"/>
    <w:pPr>
      <w:spacing w:before="0" w:after="0"/>
      <w:ind w:left="1440"/>
    </w:pPr>
    <w:rPr>
      <w:sz w:val="18"/>
      <w:szCs w:val="18"/>
    </w:rPr>
  </w:style>
  <w:style w:type="paragraph" w:styleId="TOC8">
    <w:name w:val="toc 8"/>
    <w:basedOn w:val="Normal"/>
    <w:next w:val="Normal"/>
    <w:autoRedefine/>
    <w:uiPriority w:val="39"/>
    <w:unhideWhenUsed/>
    <w:rsid w:val="008656AA"/>
    <w:pPr>
      <w:spacing w:before="0" w:after="0"/>
      <w:ind w:left="1680"/>
    </w:pPr>
    <w:rPr>
      <w:sz w:val="18"/>
      <w:szCs w:val="18"/>
    </w:rPr>
  </w:style>
  <w:style w:type="paragraph" w:styleId="TOC9">
    <w:name w:val="toc 9"/>
    <w:basedOn w:val="Normal"/>
    <w:next w:val="Normal"/>
    <w:autoRedefine/>
    <w:uiPriority w:val="39"/>
    <w:unhideWhenUsed/>
    <w:rsid w:val="008656AA"/>
    <w:pPr>
      <w:spacing w:before="0" w:after="0"/>
      <w:ind w:left="1920"/>
    </w:pPr>
    <w:rPr>
      <w:sz w:val="18"/>
      <w:szCs w:val="18"/>
    </w:rPr>
  </w:style>
  <w:style w:type="paragraph" w:styleId="DocumentMap">
    <w:name w:val="Document Map"/>
    <w:basedOn w:val="Normal"/>
    <w:link w:val="DocumentMapChar"/>
    <w:uiPriority w:val="99"/>
    <w:semiHidden/>
    <w:unhideWhenUsed/>
    <w:rsid w:val="008656AA"/>
    <w:pPr>
      <w:spacing w:before="0"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8656AA"/>
    <w:rPr>
      <w:rFonts w:ascii="Times New Roman" w:hAnsi="Times New Roman" w:cs="Times New Roman"/>
      <w:sz w:val="24"/>
      <w:szCs w:val="24"/>
      <w:lang w:val="en-AU"/>
    </w:rPr>
  </w:style>
  <w:style w:type="paragraph" w:styleId="Header">
    <w:name w:val="header"/>
    <w:basedOn w:val="Normal"/>
    <w:link w:val="HeaderChar"/>
    <w:uiPriority w:val="99"/>
    <w:unhideWhenUsed/>
    <w:rsid w:val="008656AA"/>
    <w:pPr>
      <w:tabs>
        <w:tab w:val="center" w:pos="4513"/>
        <w:tab w:val="right" w:pos="9026"/>
      </w:tabs>
      <w:spacing w:before="0" w:after="0"/>
    </w:pPr>
    <w:rPr>
      <w:sz w:val="22"/>
      <w:szCs w:val="22"/>
    </w:rPr>
  </w:style>
  <w:style w:type="character" w:customStyle="1" w:styleId="HeaderChar">
    <w:name w:val="Header Char"/>
    <w:basedOn w:val="DefaultParagraphFont"/>
    <w:link w:val="Header"/>
    <w:uiPriority w:val="99"/>
    <w:rsid w:val="008656AA"/>
    <w:rPr>
      <w:lang w:val="en-AU"/>
    </w:rPr>
  </w:style>
  <w:style w:type="paragraph" w:styleId="Revision">
    <w:name w:val="Revision"/>
    <w:hidden/>
    <w:uiPriority w:val="99"/>
    <w:semiHidden/>
    <w:rsid w:val="008656AA"/>
    <w:pPr>
      <w:spacing w:after="0" w:line="240" w:lineRule="auto"/>
    </w:pPr>
    <w:rPr>
      <w:sz w:val="24"/>
      <w:szCs w:val="24"/>
      <w:lang w:val="en-US"/>
    </w:rPr>
  </w:style>
  <w:style w:type="paragraph" w:styleId="BalloonText">
    <w:name w:val="Balloon Text"/>
    <w:basedOn w:val="Normal"/>
    <w:link w:val="BalloonTextChar"/>
    <w:uiPriority w:val="99"/>
    <w:semiHidden/>
    <w:unhideWhenUsed/>
    <w:rsid w:val="008656A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AA"/>
    <w:rPr>
      <w:rFonts w:ascii="Tahoma" w:hAnsi="Tahoma" w:cs="Tahoma"/>
      <w:sz w:val="16"/>
      <w:szCs w:val="16"/>
      <w:lang w:val="en-AU"/>
    </w:rPr>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rPr>
      <w:sz w:val="20"/>
      <w:szCs w:val="20"/>
    </w:rPr>
  </w:style>
  <w:style w:type="character" w:customStyle="1" w:styleId="CommentTextChar">
    <w:name w:val="Comment Text Char"/>
    <w:basedOn w:val="DefaultParagraphFont"/>
    <w:link w:val="CommentText"/>
    <w:uiPriority w:val="99"/>
    <w:rsid w:val="008656AA"/>
    <w:rPr>
      <w:sz w:val="20"/>
      <w:szCs w:val="20"/>
      <w:lang w:val="en-AU"/>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lang w:val="en-AU"/>
    </w:rPr>
  </w:style>
  <w:style w:type="paragraph" w:styleId="Subtitle">
    <w:name w:val="Subtitle"/>
    <w:basedOn w:val="Normal"/>
    <w:next w:val="Normal"/>
    <w:link w:val="SubtitleChar"/>
    <w:uiPriority w:val="11"/>
    <w:qFormat/>
    <w:rsid w:val="008656AA"/>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8656AA"/>
    <w:rPr>
      <w:rFonts w:asciiTheme="majorHAnsi" w:eastAsiaTheme="majorEastAsia" w:hAnsiTheme="majorHAnsi" w:cstheme="majorBidi"/>
      <w:i/>
      <w:iCs/>
      <w:color w:val="5B9BD5" w:themeColor="accent1"/>
      <w:spacing w:val="15"/>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AA"/>
    <w:pPr>
      <w:spacing w:before="120" w:after="120" w:line="240" w:lineRule="auto"/>
    </w:pPr>
    <w:rPr>
      <w:sz w:val="24"/>
      <w:szCs w:val="24"/>
      <w:lang w:val="en-AU"/>
    </w:rPr>
  </w:style>
  <w:style w:type="paragraph" w:styleId="Heading1">
    <w:name w:val="heading 1"/>
    <w:basedOn w:val="Normal"/>
    <w:next w:val="Normal"/>
    <w:link w:val="Heading1Char"/>
    <w:qFormat/>
    <w:rsid w:val="008656AA"/>
    <w:pPr>
      <w:keepNext/>
      <w:keepLines/>
      <w:numPr>
        <w:numId w:val="3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56AA"/>
    <w:pPr>
      <w:keepNext/>
      <w:keepLines/>
      <w:numPr>
        <w:ilvl w:val="1"/>
        <w:numId w:val="35"/>
      </w:numPr>
      <w:outlineLvl w:val="1"/>
    </w:pPr>
    <w:rPr>
      <w:rFonts w:asciiTheme="majorHAnsi" w:eastAsia="Times New Roman"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56AA"/>
    <w:pPr>
      <w:keepNext/>
      <w:keepLines/>
      <w:numPr>
        <w:ilvl w:val="2"/>
        <w:numId w:val="35"/>
      </w:numPr>
      <w:spacing w:before="40" w:after="0"/>
      <w:outlineLvl w:val="2"/>
    </w:pPr>
    <w:rPr>
      <w:rFonts w:asciiTheme="majorHAnsi" w:eastAsiaTheme="majorEastAsia" w:hAnsiTheme="majorHAnsi" w:cstheme="majorBidi"/>
      <w:b/>
      <w:color w:val="1F4D78" w:themeColor="accent1" w:themeShade="7F"/>
    </w:rPr>
  </w:style>
  <w:style w:type="paragraph" w:styleId="Heading4">
    <w:name w:val="heading 4"/>
    <w:basedOn w:val="Normal"/>
    <w:next w:val="Normal"/>
    <w:link w:val="Heading4Char"/>
    <w:uiPriority w:val="9"/>
    <w:unhideWhenUsed/>
    <w:qFormat/>
    <w:rsid w:val="008656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656AA"/>
    <w:pPr>
      <w:keepNext/>
      <w:keepLines/>
      <w:spacing w:before="4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8656A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6AA"/>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8656AA"/>
    <w:rPr>
      <w:rFonts w:asciiTheme="majorHAnsi" w:eastAsia="Times New Roman" w:hAnsiTheme="majorHAnsi" w:cstheme="majorBidi"/>
      <w:color w:val="2E74B5" w:themeColor="accent1" w:themeShade="BF"/>
      <w:sz w:val="26"/>
      <w:szCs w:val="26"/>
      <w:lang w:val="en-AU"/>
    </w:rPr>
  </w:style>
  <w:style w:type="character" w:customStyle="1" w:styleId="Heading3Char">
    <w:name w:val="Heading 3 Char"/>
    <w:basedOn w:val="DefaultParagraphFont"/>
    <w:link w:val="Heading3"/>
    <w:uiPriority w:val="9"/>
    <w:rsid w:val="008656AA"/>
    <w:rPr>
      <w:rFonts w:asciiTheme="majorHAnsi" w:eastAsiaTheme="majorEastAsia" w:hAnsiTheme="majorHAnsi" w:cstheme="majorBidi"/>
      <w:b/>
      <w:color w:val="1F4D78" w:themeColor="accent1" w:themeShade="7F"/>
      <w:sz w:val="24"/>
      <w:szCs w:val="24"/>
      <w:lang w:val="en-AU"/>
    </w:rPr>
  </w:style>
  <w:style w:type="character" w:customStyle="1" w:styleId="Heading4Char">
    <w:name w:val="Heading 4 Char"/>
    <w:basedOn w:val="DefaultParagraphFont"/>
    <w:link w:val="Heading4"/>
    <w:uiPriority w:val="9"/>
    <w:rsid w:val="008656AA"/>
    <w:rPr>
      <w:rFonts w:asciiTheme="majorHAnsi" w:eastAsiaTheme="majorEastAsia" w:hAnsiTheme="majorHAnsi" w:cstheme="majorBidi"/>
      <w:i/>
      <w:iCs/>
      <w:color w:val="2E74B5" w:themeColor="accent1" w:themeShade="BF"/>
      <w:sz w:val="24"/>
      <w:szCs w:val="24"/>
      <w:lang w:val="en-AU"/>
    </w:rPr>
  </w:style>
  <w:style w:type="character" w:customStyle="1" w:styleId="Heading5Char">
    <w:name w:val="Heading 5 Char"/>
    <w:basedOn w:val="DefaultParagraphFont"/>
    <w:link w:val="Heading5"/>
    <w:uiPriority w:val="9"/>
    <w:rsid w:val="008656AA"/>
    <w:rPr>
      <w:rFonts w:asciiTheme="majorHAnsi" w:eastAsiaTheme="majorEastAsia" w:hAnsiTheme="majorHAnsi" w:cstheme="majorBidi"/>
      <w:b/>
      <w:color w:val="000000" w:themeColor="text1"/>
      <w:sz w:val="24"/>
      <w:szCs w:val="24"/>
      <w:lang w:val="en-AU"/>
    </w:rPr>
  </w:style>
  <w:style w:type="character" w:customStyle="1" w:styleId="Heading6Char">
    <w:name w:val="Heading 6 Char"/>
    <w:basedOn w:val="DefaultParagraphFont"/>
    <w:link w:val="Heading6"/>
    <w:uiPriority w:val="9"/>
    <w:rsid w:val="008656AA"/>
    <w:rPr>
      <w:rFonts w:asciiTheme="majorHAnsi" w:eastAsiaTheme="majorEastAsia" w:hAnsiTheme="majorHAnsi" w:cstheme="majorBidi"/>
      <w:color w:val="1F4D78" w:themeColor="accent1" w:themeShade="7F"/>
      <w:sz w:val="24"/>
      <w:szCs w:val="24"/>
      <w:lang w:val="en-AU"/>
    </w:rPr>
  </w:style>
  <w:style w:type="paragraph" w:styleId="Title">
    <w:name w:val="Title"/>
    <w:basedOn w:val="Normal"/>
    <w:next w:val="Normal"/>
    <w:link w:val="TitleChar"/>
    <w:uiPriority w:val="10"/>
    <w:qFormat/>
    <w:rsid w:val="008656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56AA"/>
    <w:rPr>
      <w:rFonts w:asciiTheme="majorHAnsi" w:eastAsiaTheme="majorEastAsia" w:hAnsiTheme="majorHAnsi" w:cstheme="majorBidi"/>
      <w:spacing w:val="-10"/>
      <w:kern w:val="28"/>
      <w:sz w:val="56"/>
      <w:szCs w:val="56"/>
      <w:lang w:val="en-AU"/>
    </w:rPr>
  </w:style>
  <w:style w:type="table" w:styleId="TableGrid">
    <w:name w:val="Table Grid"/>
    <w:basedOn w:val="TableNormal"/>
    <w:uiPriority w:val="39"/>
    <w:rsid w:val="008656A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8656AA"/>
    <w:pPr>
      <w:spacing w:after="0" w:line="240" w:lineRule="auto"/>
    </w:pPr>
    <w:rPr>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8656AA"/>
    <w:pPr>
      <w:spacing w:before="0" w:after="0"/>
    </w:pPr>
    <w:rPr>
      <w:sz w:val="20"/>
    </w:rPr>
  </w:style>
  <w:style w:type="character" w:customStyle="1" w:styleId="FootnoteTextChar">
    <w:name w:val="Footnote Text Char"/>
    <w:basedOn w:val="DefaultParagraphFont"/>
    <w:link w:val="FootnoteText"/>
    <w:uiPriority w:val="99"/>
    <w:rsid w:val="008656AA"/>
    <w:rPr>
      <w:sz w:val="20"/>
      <w:szCs w:val="24"/>
      <w:lang w:val="en-AU"/>
    </w:rPr>
  </w:style>
  <w:style w:type="character" w:styleId="FootnoteReference">
    <w:name w:val="footnote reference"/>
    <w:basedOn w:val="DefaultParagraphFont"/>
    <w:uiPriority w:val="99"/>
    <w:unhideWhenUsed/>
    <w:rsid w:val="008656AA"/>
    <w:rPr>
      <w:vertAlign w:val="superscript"/>
    </w:rPr>
  </w:style>
  <w:style w:type="paragraph" w:styleId="ListParagraph">
    <w:name w:val="List Paragraph"/>
    <w:basedOn w:val="Normal"/>
    <w:uiPriority w:val="34"/>
    <w:qFormat/>
    <w:rsid w:val="008656AA"/>
    <w:pPr>
      <w:numPr>
        <w:numId w:val="39"/>
      </w:numPr>
    </w:pPr>
  </w:style>
  <w:style w:type="paragraph" w:styleId="Footer">
    <w:name w:val="footer"/>
    <w:basedOn w:val="Normal"/>
    <w:link w:val="FooterChar"/>
    <w:uiPriority w:val="99"/>
    <w:unhideWhenUsed/>
    <w:rsid w:val="008656AA"/>
    <w:pPr>
      <w:tabs>
        <w:tab w:val="center" w:pos="4513"/>
        <w:tab w:val="right" w:pos="9026"/>
      </w:tabs>
      <w:spacing w:before="0" w:after="0"/>
    </w:pPr>
  </w:style>
  <w:style w:type="character" w:customStyle="1" w:styleId="FooterChar">
    <w:name w:val="Footer Char"/>
    <w:basedOn w:val="DefaultParagraphFont"/>
    <w:link w:val="Footer"/>
    <w:uiPriority w:val="99"/>
    <w:rsid w:val="008656AA"/>
    <w:rPr>
      <w:sz w:val="24"/>
      <w:szCs w:val="24"/>
      <w:lang w:val="en-AU"/>
    </w:rPr>
  </w:style>
  <w:style w:type="character" w:styleId="PageNumber">
    <w:name w:val="page number"/>
    <w:basedOn w:val="DefaultParagraphFont"/>
    <w:uiPriority w:val="99"/>
    <w:semiHidden/>
    <w:unhideWhenUsed/>
    <w:rsid w:val="008656AA"/>
  </w:style>
  <w:style w:type="paragraph" w:styleId="BodyText">
    <w:name w:val="Body Text"/>
    <w:basedOn w:val="Normal"/>
    <w:link w:val="BodyTextChar"/>
    <w:uiPriority w:val="1"/>
    <w:qFormat/>
    <w:rsid w:val="008656AA"/>
    <w:pPr>
      <w:widowControl w:val="0"/>
      <w:autoSpaceDE w:val="0"/>
      <w:autoSpaceDN w:val="0"/>
      <w:adjustRightInd w:val="0"/>
      <w:spacing w:before="13" w:after="0"/>
      <w:ind w:left="4692"/>
    </w:pPr>
    <w:rPr>
      <w:rFonts w:ascii="Helvetica Neue Light" w:hAnsi="Helvetica Neue Light" w:cs="Helvetica Neue Light"/>
      <w:sz w:val="22"/>
      <w:szCs w:val="22"/>
    </w:rPr>
  </w:style>
  <w:style w:type="character" w:customStyle="1" w:styleId="BodyTextChar">
    <w:name w:val="Body Text Char"/>
    <w:basedOn w:val="DefaultParagraphFont"/>
    <w:link w:val="BodyText"/>
    <w:uiPriority w:val="1"/>
    <w:rsid w:val="008656AA"/>
    <w:rPr>
      <w:rFonts w:ascii="Helvetica Neue Light" w:hAnsi="Helvetica Neue Light" w:cs="Helvetica Neue Light"/>
      <w:lang w:val="en-AU"/>
    </w:rPr>
  </w:style>
  <w:style w:type="paragraph" w:styleId="Caption">
    <w:name w:val="caption"/>
    <w:basedOn w:val="Normal"/>
    <w:next w:val="Normal"/>
    <w:uiPriority w:val="35"/>
    <w:unhideWhenUsed/>
    <w:qFormat/>
    <w:rsid w:val="008656AA"/>
    <w:pPr>
      <w:spacing w:before="0" w:after="200"/>
    </w:pPr>
    <w:rPr>
      <w:i/>
      <w:iCs/>
      <w:color w:val="44546A" w:themeColor="text2"/>
      <w:sz w:val="18"/>
      <w:szCs w:val="18"/>
    </w:rPr>
  </w:style>
  <w:style w:type="character" w:styleId="Hyperlink">
    <w:name w:val="Hyperlink"/>
    <w:basedOn w:val="DefaultParagraphFont"/>
    <w:unhideWhenUsed/>
    <w:rsid w:val="008656AA"/>
    <w:rPr>
      <w:color w:val="0563C1" w:themeColor="hyperlink"/>
      <w:u w:val="single"/>
    </w:rPr>
  </w:style>
  <w:style w:type="paragraph" w:styleId="TOC1">
    <w:name w:val="toc 1"/>
    <w:basedOn w:val="Normal"/>
    <w:next w:val="Normal"/>
    <w:autoRedefine/>
    <w:uiPriority w:val="39"/>
    <w:unhideWhenUsed/>
    <w:rsid w:val="008656AA"/>
    <w:pPr>
      <w:spacing w:after="0"/>
    </w:pPr>
    <w:rPr>
      <w:b/>
      <w:caps/>
      <w:sz w:val="22"/>
      <w:szCs w:val="22"/>
    </w:rPr>
  </w:style>
  <w:style w:type="paragraph" w:styleId="TOC2">
    <w:name w:val="toc 2"/>
    <w:basedOn w:val="Normal"/>
    <w:next w:val="Normal"/>
    <w:autoRedefine/>
    <w:uiPriority w:val="39"/>
    <w:unhideWhenUsed/>
    <w:rsid w:val="008656AA"/>
    <w:pPr>
      <w:spacing w:before="0" w:after="0"/>
      <w:ind w:left="240"/>
    </w:pPr>
    <w:rPr>
      <w:smallCaps/>
      <w:sz w:val="22"/>
      <w:szCs w:val="22"/>
    </w:rPr>
  </w:style>
  <w:style w:type="paragraph" w:styleId="TOC3">
    <w:name w:val="toc 3"/>
    <w:basedOn w:val="Normal"/>
    <w:next w:val="Normal"/>
    <w:autoRedefine/>
    <w:uiPriority w:val="39"/>
    <w:unhideWhenUsed/>
    <w:rsid w:val="008656AA"/>
    <w:pPr>
      <w:tabs>
        <w:tab w:val="left" w:pos="1440"/>
        <w:tab w:val="right" w:leader="dot" w:pos="9010"/>
      </w:tabs>
      <w:spacing w:before="0" w:after="0"/>
      <w:ind w:left="720"/>
    </w:pPr>
    <w:rPr>
      <w:i/>
      <w:sz w:val="22"/>
      <w:szCs w:val="22"/>
    </w:rPr>
  </w:style>
  <w:style w:type="paragraph" w:styleId="TOC4">
    <w:name w:val="toc 4"/>
    <w:basedOn w:val="Normal"/>
    <w:next w:val="Normal"/>
    <w:autoRedefine/>
    <w:uiPriority w:val="39"/>
    <w:unhideWhenUsed/>
    <w:rsid w:val="008656AA"/>
    <w:pPr>
      <w:spacing w:before="0" w:after="0"/>
      <w:ind w:left="720"/>
    </w:pPr>
    <w:rPr>
      <w:sz w:val="18"/>
      <w:szCs w:val="18"/>
    </w:rPr>
  </w:style>
  <w:style w:type="paragraph" w:styleId="TOC5">
    <w:name w:val="toc 5"/>
    <w:basedOn w:val="Normal"/>
    <w:next w:val="Normal"/>
    <w:autoRedefine/>
    <w:uiPriority w:val="39"/>
    <w:unhideWhenUsed/>
    <w:rsid w:val="008656AA"/>
    <w:pPr>
      <w:spacing w:before="0" w:after="0"/>
      <w:ind w:left="960"/>
    </w:pPr>
    <w:rPr>
      <w:sz w:val="18"/>
      <w:szCs w:val="18"/>
    </w:rPr>
  </w:style>
  <w:style w:type="paragraph" w:styleId="TOC6">
    <w:name w:val="toc 6"/>
    <w:basedOn w:val="Normal"/>
    <w:next w:val="Normal"/>
    <w:autoRedefine/>
    <w:uiPriority w:val="39"/>
    <w:unhideWhenUsed/>
    <w:rsid w:val="008656AA"/>
    <w:pPr>
      <w:spacing w:before="0" w:after="0"/>
      <w:ind w:left="1200"/>
    </w:pPr>
    <w:rPr>
      <w:sz w:val="18"/>
      <w:szCs w:val="18"/>
    </w:rPr>
  </w:style>
  <w:style w:type="paragraph" w:styleId="TOC7">
    <w:name w:val="toc 7"/>
    <w:basedOn w:val="Normal"/>
    <w:next w:val="Normal"/>
    <w:autoRedefine/>
    <w:uiPriority w:val="39"/>
    <w:unhideWhenUsed/>
    <w:rsid w:val="008656AA"/>
    <w:pPr>
      <w:spacing w:before="0" w:after="0"/>
      <w:ind w:left="1440"/>
    </w:pPr>
    <w:rPr>
      <w:sz w:val="18"/>
      <w:szCs w:val="18"/>
    </w:rPr>
  </w:style>
  <w:style w:type="paragraph" w:styleId="TOC8">
    <w:name w:val="toc 8"/>
    <w:basedOn w:val="Normal"/>
    <w:next w:val="Normal"/>
    <w:autoRedefine/>
    <w:uiPriority w:val="39"/>
    <w:unhideWhenUsed/>
    <w:rsid w:val="008656AA"/>
    <w:pPr>
      <w:spacing w:before="0" w:after="0"/>
      <w:ind w:left="1680"/>
    </w:pPr>
    <w:rPr>
      <w:sz w:val="18"/>
      <w:szCs w:val="18"/>
    </w:rPr>
  </w:style>
  <w:style w:type="paragraph" w:styleId="TOC9">
    <w:name w:val="toc 9"/>
    <w:basedOn w:val="Normal"/>
    <w:next w:val="Normal"/>
    <w:autoRedefine/>
    <w:uiPriority w:val="39"/>
    <w:unhideWhenUsed/>
    <w:rsid w:val="008656AA"/>
    <w:pPr>
      <w:spacing w:before="0" w:after="0"/>
      <w:ind w:left="1920"/>
    </w:pPr>
    <w:rPr>
      <w:sz w:val="18"/>
      <w:szCs w:val="18"/>
    </w:rPr>
  </w:style>
  <w:style w:type="paragraph" w:styleId="DocumentMap">
    <w:name w:val="Document Map"/>
    <w:basedOn w:val="Normal"/>
    <w:link w:val="DocumentMapChar"/>
    <w:uiPriority w:val="99"/>
    <w:semiHidden/>
    <w:unhideWhenUsed/>
    <w:rsid w:val="008656AA"/>
    <w:pPr>
      <w:spacing w:before="0"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8656AA"/>
    <w:rPr>
      <w:rFonts w:ascii="Times New Roman" w:hAnsi="Times New Roman" w:cs="Times New Roman"/>
      <w:sz w:val="24"/>
      <w:szCs w:val="24"/>
      <w:lang w:val="en-AU"/>
    </w:rPr>
  </w:style>
  <w:style w:type="paragraph" w:styleId="Header">
    <w:name w:val="header"/>
    <w:basedOn w:val="Normal"/>
    <w:link w:val="HeaderChar"/>
    <w:uiPriority w:val="99"/>
    <w:unhideWhenUsed/>
    <w:rsid w:val="008656AA"/>
    <w:pPr>
      <w:tabs>
        <w:tab w:val="center" w:pos="4513"/>
        <w:tab w:val="right" w:pos="9026"/>
      </w:tabs>
      <w:spacing w:before="0" w:after="0"/>
    </w:pPr>
    <w:rPr>
      <w:sz w:val="22"/>
      <w:szCs w:val="22"/>
    </w:rPr>
  </w:style>
  <w:style w:type="character" w:customStyle="1" w:styleId="HeaderChar">
    <w:name w:val="Header Char"/>
    <w:basedOn w:val="DefaultParagraphFont"/>
    <w:link w:val="Header"/>
    <w:uiPriority w:val="99"/>
    <w:rsid w:val="008656AA"/>
    <w:rPr>
      <w:lang w:val="en-AU"/>
    </w:rPr>
  </w:style>
  <w:style w:type="paragraph" w:styleId="Revision">
    <w:name w:val="Revision"/>
    <w:hidden/>
    <w:uiPriority w:val="99"/>
    <w:semiHidden/>
    <w:rsid w:val="008656AA"/>
    <w:pPr>
      <w:spacing w:after="0" w:line="240" w:lineRule="auto"/>
    </w:pPr>
    <w:rPr>
      <w:sz w:val="24"/>
      <w:szCs w:val="24"/>
      <w:lang w:val="en-US"/>
    </w:rPr>
  </w:style>
  <w:style w:type="paragraph" w:styleId="BalloonText">
    <w:name w:val="Balloon Text"/>
    <w:basedOn w:val="Normal"/>
    <w:link w:val="BalloonTextChar"/>
    <w:uiPriority w:val="99"/>
    <w:semiHidden/>
    <w:unhideWhenUsed/>
    <w:rsid w:val="008656A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AA"/>
    <w:rPr>
      <w:rFonts w:ascii="Tahoma" w:hAnsi="Tahoma" w:cs="Tahoma"/>
      <w:sz w:val="16"/>
      <w:szCs w:val="16"/>
      <w:lang w:val="en-AU"/>
    </w:rPr>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rPr>
      <w:sz w:val="20"/>
      <w:szCs w:val="20"/>
    </w:rPr>
  </w:style>
  <w:style w:type="character" w:customStyle="1" w:styleId="CommentTextChar">
    <w:name w:val="Comment Text Char"/>
    <w:basedOn w:val="DefaultParagraphFont"/>
    <w:link w:val="CommentText"/>
    <w:uiPriority w:val="99"/>
    <w:rsid w:val="008656AA"/>
    <w:rPr>
      <w:sz w:val="20"/>
      <w:szCs w:val="20"/>
      <w:lang w:val="en-AU"/>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lang w:val="en-AU"/>
    </w:rPr>
  </w:style>
  <w:style w:type="paragraph" w:styleId="Subtitle">
    <w:name w:val="Subtitle"/>
    <w:basedOn w:val="Normal"/>
    <w:next w:val="Normal"/>
    <w:link w:val="SubtitleChar"/>
    <w:uiPriority w:val="11"/>
    <w:qFormat/>
    <w:rsid w:val="008656AA"/>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8656AA"/>
    <w:rPr>
      <w:rFonts w:asciiTheme="majorHAnsi" w:eastAsiaTheme="majorEastAsia" w:hAnsiTheme="majorHAnsi" w:cstheme="majorBidi"/>
      <w:i/>
      <w:iCs/>
      <w:color w:val="5B9BD5" w:themeColor="accent1"/>
      <w:spacing w:val="15"/>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0278">
      <w:bodyDiv w:val="1"/>
      <w:marLeft w:val="0"/>
      <w:marRight w:val="0"/>
      <w:marTop w:val="0"/>
      <w:marBottom w:val="0"/>
      <w:divBdr>
        <w:top w:val="none" w:sz="0" w:space="0" w:color="auto"/>
        <w:left w:val="none" w:sz="0" w:space="0" w:color="auto"/>
        <w:bottom w:val="none" w:sz="0" w:space="0" w:color="auto"/>
        <w:right w:val="none" w:sz="0" w:space="0" w:color="auto"/>
      </w:divBdr>
      <w:divsChild>
        <w:div w:id="1767918621">
          <w:marLeft w:val="0"/>
          <w:marRight w:val="0"/>
          <w:marTop w:val="0"/>
          <w:marBottom w:val="0"/>
          <w:divBdr>
            <w:top w:val="none" w:sz="0" w:space="0" w:color="auto"/>
            <w:left w:val="none" w:sz="0" w:space="0" w:color="auto"/>
            <w:bottom w:val="none" w:sz="0" w:space="0" w:color="auto"/>
            <w:right w:val="none" w:sz="0" w:space="0" w:color="auto"/>
          </w:divBdr>
          <w:divsChild>
            <w:div w:id="2132935279">
              <w:marLeft w:val="0"/>
              <w:marRight w:val="0"/>
              <w:marTop w:val="0"/>
              <w:marBottom w:val="0"/>
              <w:divBdr>
                <w:top w:val="none" w:sz="0" w:space="0" w:color="auto"/>
                <w:left w:val="none" w:sz="0" w:space="0" w:color="auto"/>
                <w:bottom w:val="none" w:sz="0" w:space="0" w:color="auto"/>
                <w:right w:val="none" w:sz="0" w:space="0" w:color="auto"/>
              </w:divBdr>
              <w:divsChild>
                <w:div w:id="221908299">
                  <w:marLeft w:val="0"/>
                  <w:marRight w:val="0"/>
                  <w:marTop w:val="105"/>
                  <w:marBottom w:val="0"/>
                  <w:divBdr>
                    <w:top w:val="none" w:sz="0" w:space="0" w:color="auto"/>
                    <w:left w:val="none" w:sz="0" w:space="0" w:color="auto"/>
                    <w:bottom w:val="none" w:sz="0" w:space="0" w:color="auto"/>
                    <w:right w:val="none" w:sz="0" w:space="0" w:color="auto"/>
                  </w:divBdr>
                  <w:divsChild>
                    <w:div w:id="856041892">
                      <w:marLeft w:val="450"/>
                      <w:marRight w:val="225"/>
                      <w:marTop w:val="0"/>
                      <w:marBottom w:val="0"/>
                      <w:divBdr>
                        <w:top w:val="none" w:sz="0" w:space="0" w:color="auto"/>
                        <w:left w:val="none" w:sz="0" w:space="0" w:color="auto"/>
                        <w:bottom w:val="none" w:sz="0" w:space="0" w:color="auto"/>
                        <w:right w:val="none" w:sz="0" w:space="0" w:color="auto"/>
                      </w:divBdr>
                      <w:divsChild>
                        <w:div w:id="1401562012">
                          <w:marLeft w:val="0"/>
                          <w:marRight w:val="0"/>
                          <w:marTop w:val="0"/>
                          <w:marBottom w:val="600"/>
                          <w:divBdr>
                            <w:top w:val="single" w:sz="6" w:space="0" w:color="314664"/>
                            <w:left w:val="single" w:sz="6" w:space="0" w:color="314664"/>
                            <w:bottom w:val="single" w:sz="6" w:space="0" w:color="314664"/>
                            <w:right w:val="single" w:sz="6" w:space="0" w:color="314664"/>
                          </w:divBdr>
                          <w:divsChild>
                            <w:div w:id="434252602">
                              <w:marLeft w:val="0"/>
                              <w:marRight w:val="0"/>
                              <w:marTop w:val="0"/>
                              <w:marBottom w:val="0"/>
                              <w:divBdr>
                                <w:top w:val="none" w:sz="0" w:space="0" w:color="auto"/>
                                <w:left w:val="none" w:sz="0" w:space="0" w:color="auto"/>
                                <w:bottom w:val="none" w:sz="0" w:space="0" w:color="auto"/>
                                <w:right w:val="none" w:sz="0" w:space="0" w:color="auto"/>
                              </w:divBdr>
                              <w:divsChild>
                                <w:div w:id="708185720">
                                  <w:marLeft w:val="0"/>
                                  <w:marRight w:val="0"/>
                                  <w:marTop w:val="0"/>
                                  <w:marBottom w:val="0"/>
                                  <w:divBdr>
                                    <w:top w:val="none" w:sz="0" w:space="0" w:color="auto"/>
                                    <w:left w:val="none" w:sz="0" w:space="0" w:color="auto"/>
                                    <w:bottom w:val="none" w:sz="0" w:space="0" w:color="auto"/>
                                    <w:right w:val="none" w:sz="0" w:space="0" w:color="auto"/>
                                  </w:divBdr>
                                  <w:divsChild>
                                    <w:div w:id="1374116918">
                                      <w:marLeft w:val="0"/>
                                      <w:marRight w:val="0"/>
                                      <w:marTop w:val="0"/>
                                      <w:marBottom w:val="0"/>
                                      <w:divBdr>
                                        <w:top w:val="none" w:sz="0" w:space="0" w:color="auto"/>
                                        <w:left w:val="none" w:sz="0" w:space="0" w:color="auto"/>
                                        <w:bottom w:val="none" w:sz="0" w:space="0" w:color="auto"/>
                                        <w:right w:val="none" w:sz="0" w:space="0" w:color="auto"/>
                                      </w:divBdr>
                                      <w:divsChild>
                                        <w:div w:id="1096554850">
                                          <w:marLeft w:val="0"/>
                                          <w:marRight w:val="0"/>
                                          <w:marTop w:val="0"/>
                                          <w:marBottom w:val="0"/>
                                          <w:divBdr>
                                            <w:top w:val="none" w:sz="0" w:space="0" w:color="auto"/>
                                            <w:left w:val="none" w:sz="0" w:space="0" w:color="auto"/>
                                            <w:bottom w:val="none" w:sz="0" w:space="0" w:color="auto"/>
                                            <w:right w:val="none" w:sz="0" w:space="0" w:color="auto"/>
                                          </w:divBdr>
                                          <w:divsChild>
                                            <w:div w:id="597297021">
                                              <w:marLeft w:val="0"/>
                                              <w:marRight w:val="0"/>
                                              <w:marTop w:val="0"/>
                                              <w:marBottom w:val="0"/>
                                              <w:divBdr>
                                                <w:top w:val="none" w:sz="0" w:space="0" w:color="auto"/>
                                                <w:left w:val="none" w:sz="0" w:space="0" w:color="auto"/>
                                                <w:bottom w:val="none" w:sz="0" w:space="0" w:color="auto"/>
                                                <w:right w:val="none" w:sz="0" w:space="0" w:color="auto"/>
                                              </w:divBdr>
                                              <w:divsChild>
                                                <w:div w:id="1558779152">
                                                  <w:marLeft w:val="0"/>
                                                  <w:marRight w:val="0"/>
                                                  <w:marTop w:val="0"/>
                                                  <w:marBottom w:val="0"/>
                                                  <w:divBdr>
                                                    <w:top w:val="none" w:sz="0" w:space="0" w:color="auto"/>
                                                    <w:left w:val="none" w:sz="0" w:space="0" w:color="auto"/>
                                                    <w:bottom w:val="none" w:sz="0" w:space="0" w:color="auto"/>
                                                    <w:right w:val="none" w:sz="0" w:space="0" w:color="auto"/>
                                                  </w:divBdr>
                                                  <w:divsChild>
                                                    <w:div w:id="4971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Users\swebster\AppData\Local\Temp\notes226C16\www.scottdmiller.com" TargetMode="External"/><Relationship Id="rId2" Type="http://schemas.openxmlformats.org/officeDocument/2006/relationships/hyperlink" Target="file:///C:\Users\swebster\AppData\Local\Temp\notes226C16\www.ihi.org" TargetMode="External"/><Relationship Id="rId1" Type="http://schemas.openxmlformats.org/officeDocument/2006/relationships/hyperlink" Target="http://www.hqs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88EE5-9C83-400D-B0B8-C9E703D9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21939</Words>
  <Characters>121105</Characters>
  <Application>Microsoft Office Word</Application>
  <DocSecurity>0</DocSecurity>
  <Lines>2088</Lines>
  <Paragraphs>916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99 Inspection of Waikato District Health Board Mental Health and Addiction Services</dc:title>
  <dc:creator>Jane O'Malley</dc:creator>
  <cp:lastModifiedBy>Jane Adam</cp:lastModifiedBy>
  <cp:revision>4</cp:revision>
  <cp:lastPrinted>2016-04-13T21:42:00Z</cp:lastPrinted>
  <dcterms:created xsi:type="dcterms:W3CDTF">2016-04-14T02:36:00Z</dcterms:created>
  <dcterms:modified xsi:type="dcterms:W3CDTF">2016-04-14T02:39:00Z</dcterms:modified>
</cp:coreProperties>
</file>