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3D039" w14:textId="77777777" w:rsidR="008C2973" w:rsidRDefault="00E429AC" w:rsidP="009C1654">
      <w:pPr>
        <w:pStyle w:val="Heading1-notnumbered"/>
      </w:pPr>
      <w:bookmarkStart w:id="0" w:name="Introduction"/>
      <w:bookmarkStart w:id="1" w:name="_Toc87367930"/>
      <w:bookmarkEnd w:id="0"/>
      <w:r>
        <w:t>Review of Radiation Safety Regulations 2016</w:t>
      </w:r>
      <w:bookmarkEnd w:id="1"/>
    </w:p>
    <w:p w14:paraId="6447E6E8" w14:textId="77777777" w:rsidR="00232F0B" w:rsidRPr="00A40FD5" w:rsidRDefault="00E429AC" w:rsidP="009C1654">
      <w:pPr>
        <w:pStyle w:val="Heading2-notnumbered"/>
      </w:pPr>
      <w:bookmarkStart w:id="2" w:name="We_want_your_input"/>
      <w:bookmarkStart w:id="3" w:name="_Toc83133453"/>
      <w:bookmarkStart w:id="4" w:name="_Toc87367931"/>
      <w:bookmarkStart w:id="5" w:name="_Toc449001260"/>
      <w:bookmarkStart w:id="6" w:name="_Toc450059020"/>
      <w:bookmarkStart w:id="7" w:name="_Toc75349231"/>
      <w:bookmarkEnd w:id="2"/>
      <w:r>
        <w:t>Submission form</w:t>
      </w:r>
      <w:bookmarkEnd w:id="3"/>
      <w:bookmarkEnd w:id="4"/>
    </w:p>
    <w:bookmarkEnd w:id="5"/>
    <w:bookmarkEnd w:id="6"/>
    <w:bookmarkEnd w:id="7"/>
    <w:p w14:paraId="35724812" w14:textId="77777777" w:rsidR="00E429AC" w:rsidRPr="00126814" w:rsidRDefault="00E429AC" w:rsidP="00E429AC">
      <w:pPr>
        <w:pStyle w:val="Heading3"/>
      </w:pPr>
      <w:r w:rsidRPr="00126814">
        <w:t>Making a submission</w:t>
      </w:r>
    </w:p>
    <w:p w14:paraId="7C43A2B1" w14:textId="53CA440F" w:rsidR="00E429AC" w:rsidRPr="00126814" w:rsidRDefault="00E429AC" w:rsidP="00E429AC">
      <w:r w:rsidRPr="00126814">
        <w:t xml:space="preserve">This form is designed to </w:t>
      </w:r>
      <w:r>
        <w:t>help</w:t>
      </w:r>
      <w:r w:rsidRPr="00126814">
        <w:t xml:space="preserve"> submitters respond to the </w:t>
      </w:r>
      <w:r>
        <w:t>consultation questions</w:t>
      </w:r>
      <w:r w:rsidRPr="00126814">
        <w:t xml:space="preserve"> </w:t>
      </w:r>
      <w:r>
        <w:t xml:space="preserve">listed </w:t>
      </w:r>
      <w:r w:rsidRPr="00126814">
        <w:t xml:space="preserve">in </w:t>
      </w:r>
      <w:r w:rsidRPr="00126814">
        <w:rPr>
          <w:i/>
        </w:rPr>
        <w:t>Review of Radiation Safety Regulations</w:t>
      </w:r>
      <w:r>
        <w:rPr>
          <w:i/>
        </w:rPr>
        <w:t xml:space="preserve"> 2016</w:t>
      </w:r>
      <w:r w:rsidRPr="00126814">
        <w:rPr>
          <w:i/>
        </w:rPr>
        <w:t>: A consultation document</w:t>
      </w:r>
      <w:r w:rsidRPr="00126814">
        <w:t xml:space="preserve"> </w:t>
      </w:r>
      <w:r>
        <w:t xml:space="preserve">published in </w:t>
      </w:r>
      <w:r w:rsidR="00F02F38">
        <w:t>March</w:t>
      </w:r>
      <w:r w:rsidR="003D381D" w:rsidRPr="00483AAF">
        <w:t xml:space="preserve"> </w:t>
      </w:r>
      <w:r w:rsidRPr="00483AAF">
        <w:t>2022.</w:t>
      </w:r>
      <w:r w:rsidRPr="00126814">
        <w:t xml:space="preserve"> The </w:t>
      </w:r>
      <w:r>
        <w:t>form</w:t>
      </w:r>
      <w:r w:rsidRPr="00126814">
        <w:t xml:space="preserve"> is not intended to constrain submissions. Submitters may wish to raise other matters or address the questions in this </w:t>
      </w:r>
      <w:r>
        <w:t>form</w:t>
      </w:r>
      <w:r w:rsidRPr="00126814">
        <w:t xml:space="preserve"> in other ways. Also, submitters using this </w:t>
      </w:r>
      <w:r>
        <w:t>form</w:t>
      </w:r>
      <w:r w:rsidRPr="00126814">
        <w:t xml:space="preserve"> do not have to </w:t>
      </w:r>
      <w:r>
        <w:t>respond</w:t>
      </w:r>
      <w:r w:rsidRPr="00126814">
        <w:t xml:space="preserve"> to all </w:t>
      </w:r>
      <w:r>
        <w:t xml:space="preserve">the </w:t>
      </w:r>
      <w:r w:rsidRPr="00126814">
        <w:t>questions</w:t>
      </w:r>
      <w:r>
        <w:t xml:space="preserve"> listed on the following pages</w:t>
      </w:r>
      <w:r w:rsidRPr="00126814">
        <w:t>.</w:t>
      </w:r>
    </w:p>
    <w:p w14:paraId="49C55D6E" w14:textId="77777777" w:rsidR="00E429AC" w:rsidRPr="00126814" w:rsidRDefault="00E429AC" w:rsidP="00E429AC"/>
    <w:p w14:paraId="339E2BFD" w14:textId="5D99E0BE" w:rsidR="00E429AC" w:rsidRPr="00126814" w:rsidRDefault="00E429AC" w:rsidP="00E429AC">
      <w:r w:rsidRPr="00126814">
        <w:t xml:space="preserve">All written submissions that fall within the scope of this consultation and are received before the closing date will be considered. The closing date for submissions is </w:t>
      </w:r>
      <w:r w:rsidR="00483AAF">
        <w:rPr>
          <w:b/>
        </w:rPr>
        <w:t>12</w:t>
      </w:r>
      <w:r w:rsidRPr="00483AAF">
        <w:rPr>
          <w:b/>
        </w:rPr>
        <w:t xml:space="preserve"> pm, </w:t>
      </w:r>
      <w:r w:rsidR="00483AAF">
        <w:rPr>
          <w:b/>
        </w:rPr>
        <w:t>Friday</w:t>
      </w:r>
      <w:r w:rsidR="003D381D" w:rsidRPr="00483AAF">
        <w:rPr>
          <w:b/>
        </w:rPr>
        <w:t xml:space="preserve"> 2</w:t>
      </w:r>
      <w:r w:rsidR="00483AAF">
        <w:rPr>
          <w:b/>
        </w:rPr>
        <w:t>9</w:t>
      </w:r>
      <w:r w:rsidR="003D381D" w:rsidRPr="00483AAF">
        <w:rPr>
          <w:b/>
        </w:rPr>
        <w:t xml:space="preserve"> April</w:t>
      </w:r>
      <w:r w:rsidRPr="00483AAF">
        <w:rPr>
          <w:b/>
        </w:rPr>
        <w:t xml:space="preserve"> 2022</w:t>
      </w:r>
      <w:r w:rsidRPr="00126814">
        <w:t>.</w:t>
      </w:r>
    </w:p>
    <w:p w14:paraId="560A5962" w14:textId="77777777" w:rsidR="00E429AC" w:rsidRPr="00126814" w:rsidRDefault="00E429AC" w:rsidP="00E429AC"/>
    <w:p w14:paraId="6613E196" w14:textId="5EC77EFD" w:rsidR="00E429AC" w:rsidRPr="00126814" w:rsidRDefault="00E429AC" w:rsidP="00E429AC">
      <w:r w:rsidRPr="00126814">
        <w:t xml:space="preserve">The preferred method of receiving submissions is </w:t>
      </w:r>
      <w:r w:rsidR="009376F2" w:rsidRPr="00F02F38">
        <w:t>by using our online consultation tool</w:t>
      </w:r>
      <w:r w:rsidR="00CE33C1" w:rsidRPr="00F02F38">
        <w:t>,</w:t>
      </w:r>
      <w:r w:rsidR="009376F2" w:rsidRPr="00F02F38">
        <w:t xml:space="preserve"> </w:t>
      </w:r>
      <w:hyperlink r:id="rId8" w:history="1">
        <w:r w:rsidR="00CE33C1" w:rsidRPr="00F02F38">
          <w:rPr>
            <w:rStyle w:val="Hyperlink"/>
          </w:rPr>
          <w:t>Citizen Space</w:t>
        </w:r>
      </w:hyperlink>
      <w:r w:rsidR="009376F2" w:rsidRPr="00F02F38">
        <w:t>. We can also receive submissions</w:t>
      </w:r>
      <w:r w:rsidR="00CE33C1">
        <w:t xml:space="preserve"> </w:t>
      </w:r>
      <w:r w:rsidRPr="00126814">
        <w:t xml:space="preserve">by email, </w:t>
      </w:r>
      <w:r>
        <w:t>to</w:t>
      </w:r>
      <w:r w:rsidRPr="00126814">
        <w:t>:</w:t>
      </w:r>
    </w:p>
    <w:p w14:paraId="23C2214B" w14:textId="77777777" w:rsidR="00E429AC" w:rsidRPr="00E429AC" w:rsidRDefault="00791F7B" w:rsidP="00FD6F2E">
      <w:pPr>
        <w:spacing w:before="60"/>
        <w:ind w:left="567"/>
        <w:rPr>
          <w:rStyle w:val="Hyperlink"/>
        </w:rPr>
      </w:pPr>
      <w:hyperlink r:id="rId9" w:history="1">
        <w:r w:rsidR="00E429AC" w:rsidRPr="00E429AC">
          <w:rPr>
            <w:rStyle w:val="Hyperlink"/>
          </w:rPr>
          <w:t>RadiationSafetyFees&amp;Regs@health.govt.nz</w:t>
        </w:r>
      </w:hyperlink>
    </w:p>
    <w:p w14:paraId="69840001" w14:textId="77777777" w:rsidR="00E429AC" w:rsidRPr="00126814" w:rsidRDefault="00E429AC" w:rsidP="00E429AC"/>
    <w:p w14:paraId="08010454" w14:textId="77777777" w:rsidR="00E429AC" w:rsidRPr="00126814" w:rsidRDefault="00E429AC" w:rsidP="00E429AC">
      <w:r w:rsidRPr="00126814">
        <w:t>Alternatively, submissions can be mailed to:</w:t>
      </w:r>
    </w:p>
    <w:p w14:paraId="2A0FB574" w14:textId="77777777" w:rsidR="00E429AC" w:rsidRPr="00126814" w:rsidRDefault="00E429AC" w:rsidP="00FD6F2E">
      <w:pPr>
        <w:spacing w:before="60"/>
        <w:ind w:left="567"/>
      </w:pPr>
      <w:r w:rsidRPr="00126814">
        <w:t>Radiation Safety Regulations Consultation</w:t>
      </w:r>
    </w:p>
    <w:p w14:paraId="37B0D9B0" w14:textId="77777777" w:rsidR="00E429AC" w:rsidRPr="00126814" w:rsidRDefault="00E429AC" w:rsidP="00E429AC">
      <w:pPr>
        <w:ind w:left="567"/>
      </w:pPr>
      <w:r w:rsidRPr="00126814">
        <w:t>Ministry of Health</w:t>
      </w:r>
    </w:p>
    <w:p w14:paraId="169C17C5" w14:textId="77777777" w:rsidR="00E429AC" w:rsidRPr="00126814" w:rsidRDefault="00E429AC" w:rsidP="00E429AC">
      <w:pPr>
        <w:ind w:left="567"/>
      </w:pPr>
      <w:r w:rsidRPr="00126814">
        <w:t>PO Box 5013</w:t>
      </w:r>
    </w:p>
    <w:p w14:paraId="7D48AA71" w14:textId="77777777" w:rsidR="00E429AC" w:rsidRPr="00126814" w:rsidRDefault="00E429AC" w:rsidP="00E429AC">
      <w:pPr>
        <w:ind w:left="567"/>
      </w:pPr>
      <w:r w:rsidRPr="00126814">
        <w:t>Wellington 6140</w:t>
      </w:r>
    </w:p>
    <w:p w14:paraId="67BFB4FF" w14:textId="77777777" w:rsidR="00E429AC" w:rsidRPr="00126814" w:rsidRDefault="00E429AC" w:rsidP="00FD6F2E"/>
    <w:p w14:paraId="408F95E5" w14:textId="77777777" w:rsidR="00E429AC" w:rsidRPr="00126814" w:rsidRDefault="00E429AC" w:rsidP="00E429AC">
      <w:pPr>
        <w:pStyle w:val="Heading3"/>
        <w:rPr>
          <w:rFonts w:cs="Arial"/>
        </w:rPr>
      </w:pPr>
      <w:r w:rsidRPr="00126814">
        <w:t>Submitter details</w:t>
      </w:r>
    </w:p>
    <w:p w14:paraId="5F764450" w14:textId="77777777" w:rsidR="00E429AC" w:rsidRPr="00126814" w:rsidRDefault="00E429AC" w:rsidP="00FD6F2E">
      <w:r w:rsidRPr="00126814">
        <w:t>It is helpful when assessing submissions if submitters provide information about themselves. However, providing this information is not required for a submission to be considered, and you can choose to withhold this information if you wish.</w:t>
      </w:r>
    </w:p>
    <w:p w14:paraId="57278DE6" w14:textId="77777777" w:rsidR="00E429AC" w:rsidRPr="00126814" w:rsidRDefault="00E429AC" w:rsidP="00FD6F2E"/>
    <w:tbl>
      <w:tblPr>
        <w:tblW w:w="8134"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023"/>
        <w:gridCol w:w="4111"/>
      </w:tblGrid>
      <w:tr w:rsidR="00E429AC" w:rsidRPr="00126814" w14:paraId="42C8F239" w14:textId="77777777" w:rsidTr="00FD6F2E">
        <w:trPr>
          <w:cantSplit/>
        </w:trPr>
        <w:tc>
          <w:tcPr>
            <w:tcW w:w="4023" w:type="dxa"/>
            <w:tcBorders>
              <w:top w:val="nil"/>
              <w:bottom w:val="nil"/>
            </w:tcBorders>
          </w:tcPr>
          <w:p w14:paraId="237B8C6B" w14:textId="77777777" w:rsidR="00E429AC" w:rsidRPr="00126814" w:rsidRDefault="00E429AC" w:rsidP="00FD6F2E">
            <w:pPr>
              <w:tabs>
                <w:tab w:val="right" w:pos="3915"/>
              </w:tabs>
            </w:pPr>
            <w:r w:rsidRPr="00126814">
              <w:t>This submission was completed by:</w:t>
            </w:r>
            <w:r w:rsidRPr="00126814">
              <w:tab/>
            </w:r>
            <w:r w:rsidRPr="00FD6F2E">
              <w:rPr>
                <w:i/>
                <w:sz w:val="18"/>
              </w:rPr>
              <w:t>(name)</w:t>
            </w:r>
          </w:p>
        </w:tc>
        <w:tc>
          <w:tcPr>
            <w:tcW w:w="4111" w:type="dxa"/>
            <w:tcBorders>
              <w:top w:val="nil"/>
            </w:tcBorders>
            <w:vAlign w:val="bottom"/>
          </w:tcPr>
          <w:p w14:paraId="55C6B2DF" w14:textId="77777777" w:rsidR="00E429AC" w:rsidRPr="00126814" w:rsidRDefault="00E429AC" w:rsidP="00FD6F2E">
            <w:pPr>
              <w:pStyle w:val="TableText"/>
              <w:spacing w:before="0" w:after="0"/>
            </w:pPr>
            <w:r w:rsidRPr="00126814">
              <w:fldChar w:fldCharType="begin">
                <w:ffData>
                  <w:name w:val="Text1"/>
                  <w:enabled/>
                  <w:calcOnExit w:val="0"/>
                  <w:textInput/>
                </w:ffData>
              </w:fldChar>
            </w:r>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p>
        </w:tc>
      </w:tr>
      <w:tr w:rsidR="00E429AC" w:rsidRPr="00126814" w14:paraId="48CC4EFB" w14:textId="77777777" w:rsidTr="00FD6F2E">
        <w:trPr>
          <w:cantSplit/>
        </w:trPr>
        <w:tc>
          <w:tcPr>
            <w:tcW w:w="4023" w:type="dxa"/>
            <w:tcBorders>
              <w:top w:val="nil"/>
              <w:bottom w:val="nil"/>
            </w:tcBorders>
          </w:tcPr>
          <w:p w14:paraId="32014D0C" w14:textId="77777777" w:rsidR="00E429AC" w:rsidRPr="00126814" w:rsidRDefault="00E429AC" w:rsidP="00FD6F2E">
            <w:pPr>
              <w:tabs>
                <w:tab w:val="right" w:pos="3915"/>
              </w:tabs>
              <w:spacing w:before="120"/>
            </w:pPr>
            <w:r w:rsidRPr="00126814">
              <w:t>Address:</w:t>
            </w:r>
            <w:r w:rsidRPr="00126814">
              <w:tab/>
            </w:r>
            <w:r w:rsidRPr="00FD6F2E">
              <w:rPr>
                <w:i/>
                <w:sz w:val="18"/>
              </w:rPr>
              <w:t>(street/box number)</w:t>
            </w:r>
          </w:p>
        </w:tc>
        <w:tc>
          <w:tcPr>
            <w:tcW w:w="4111" w:type="dxa"/>
            <w:vAlign w:val="bottom"/>
          </w:tcPr>
          <w:p w14:paraId="76F5A51D" w14:textId="77777777" w:rsidR="00E429AC" w:rsidRPr="00126814" w:rsidRDefault="00E429AC" w:rsidP="00FD6F2E">
            <w:pPr>
              <w:pStyle w:val="TableText"/>
              <w:spacing w:before="0" w:after="0"/>
            </w:pPr>
            <w:r w:rsidRPr="00126814">
              <w:fldChar w:fldCharType="begin">
                <w:ffData>
                  <w:name w:val="Text1"/>
                  <w:enabled/>
                  <w:calcOnExit w:val="0"/>
                  <w:textInput/>
                </w:ffData>
              </w:fldChar>
            </w:r>
            <w:bookmarkStart w:id="8" w:name="Text1"/>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bookmarkEnd w:id="8"/>
          </w:p>
        </w:tc>
      </w:tr>
      <w:tr w:rsidR="00E429AC" w:rsidRPr="00126814" w14:paraId="53B1AC60" w14:textId="77777777" w:rsidTr="00FD6F2E">
        <w:trPr>
          <w:cantSplit/>
        </w:trPr>
        <w:tc>
          <w:tcPr>
            <w:tcW w:w="4023" w:type="dxa"/>
            <w:tcBorders>
              <w:top w:val="nil"/>
              <w:bottom w:val="nil"/>
            </w:tcBorders>
          </w:tcPr>
          <w:p w14:paraId="60FEE05A" w14:textId="77777777" w:rsidR="00E429AC" w:rsidRPr="00126814" w:rsidRDefault="00E429AC" w:rsidP="00FD6F2E">
            <w:pPr>
              <w:tabs>
                <w:tab w:val="right" w:pos="3915"/>
              </w:tabs>
              <w:rPr>
                <w:i/>
              </w:rPr>
            </w:pPr>
            <w:r w:rsidRPr="00126814">
              <w:tab/>
            </w:r>
            <w:r w:rsidRPr="00FD6F2E">
              <w:rPr>
                <w:i/>
                <w:sz w:val="18"/>
              </w:rPr>
              <w:t>(town/city and postcode)</w:t>
            </w:r>
          </w:p>
        </w:tc>
        <w:tc>
          <w:tcPr>
            <w:tcW w:w="4111" w:type="dxa"/>
            <w:vAlign w:val="bottom"/>
          </w:tcPr>
          <w:p w14:paraId="2CF1CF7D" w14:textId="77777777" w:rsidR="00E429AC" w:rsidRPr="00126814" w:rsidRDefault="00E429AC" w:rsidP="00FD6F2E">
            <w:pPr>
              <w:pStyle w:val="TableText"/>
              <w:spacing w:before="0" w:after="0"/>
            </w:pPr>
            <w:r w:rsidRPr="00126814">
              <w:fldChar w:fldCharType="begin">
                <w:ffData>
                  <w:name w:val="Text1"/>
                  <w:enabled/>
                  <w:calcOnExit w:val="0"/>
                  <w:textInput/>
                </w:ffData>
              </w:fldChar>
            </w:r>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p>
        </w:tc>
      </w:tr>
      <w:tr w:rsidR="00E429AC" w:rsidRPr="00126814" w14:paraId="1EF3996C" w14:textId="77777777" w:rsidTr="00FD6F2E">
        <w:trPr>
          <w:cantSplit/>
        </w:trPr>
        <w:tc>
          <w:tcPr>
            <w:tcW w:w="4023" w:type="dxa"/>
            <w:tcBorders>
              <w:top w:val="nil"/>
              <w:bottom w:val="nil"/>
            </w:tcBorders>
          </w:tcPr>
          <w:p w14:paraId="622EC108" w14:textId="77777777" w:rsidR="00E429AC" w:rsidRPr="00126814" w:rsidRDefault="00E429AC" w:rsidP="00FD6F2E">
            <w:pPr>
              <w:spacing w:before="120"/>
            </w:pPr>
            <w:r w:rsidRPr="00126814">
              <w:t>Email:</w:t>
            </w:r>
          </w:p>
        </w:tc>
        <w:tc>
          <w:tcPr>
            <w:tcW w:w="4111" w:type="dxa"/>
            <w:vAlign w:val="bottom"/>
          </w:tcPr>
          <w:p w14:paraId="36B027CC" w14:textId="77777777" w:rsidR="00E429AC" w:rsidRPr="00126814" w:rsidRDefault="00E429AC" w:rsidP="00FD6F2E">
            <w:pPr>
              <w:pStyle w:val="TableText"/>
              <w:spacing w:before="0" w:after="0"/>
            </w:pPr>
            <w:r w:rsidRPr="00126814">
              <w:fldChar w:fldCharType="begin">
                <w:ffData>
                  <w:name w:val="Text1"/>
                  <w:enabled/>
                  <w:calcOnExit w:val="0"/>
                  <w:textInput/>
                </w:ffData>
              </w:fldChar>
            </w:r>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p>
        </w:tc>
      </w:tr>
      <w:tr w:rsidR="00E429AC" w:rsidRPr="00126814" w14:paraId="79FC5D09" w14:textId="77777777" w:rsidTr="00FD6F2E">
        <w:trPr>
          <w:cantSplit/>
        </w:trPr>
        <w:tc>
          <w:tcPr>
            <w:tcW w:w="4023" w:type="dxa"/>
            <w:tcBorders>
              <w:top w:val="nil"/>
              <w:bottom w:val="nil"/>
            </w:tcBorders>
          </w:tcPr>
          <w:p w14:paraId="025195AF" w14:textId="77777777" w:rsidR="00E429AC" w:rsidRPr="00126814" w:rsidRDefault="00E429AC" w:rsidP="00FD6F2E">
            <w:pPr>
              <w:spacing w:before="120"/>
            </w:pPr>
            <w:r w:rsidRPr="00126814">
              <w:t>Organisation (if applicable):</w:t>
            </w:r>
          </w:p>
        </w:tc>
        <w:tc>
          <w:tcPr>
            <w:tcW w:w="4111" w:type="dxa"/>
            <w:vAlign w:val="bottom"/>
          </w:tcPr>
          <w:p w14:paraId="0EE81F10" w14:textId="77777777" w:rsidR="00E429AC" w:rsidRPr="00126814" w:rsidRDefault="00E429AC" w:rsidP="00FD6F2E">
            <w:pPr>
              <w:pStyle w:val="TableText"/>
              <w:spacing w:before="0" w:after="0"/>
            </w:pPr>
            <w:r w:rsidRPr="00126814">
              <w:fldChar w:fldCharType="begin">
                <w:ffData>
                  <w:name w:val="Text1"/>
                  <w:enabled/>
                  <w:calcOnExit w:val="0"/>
                  <w:textInput/>
                </w:ffData>
              </w:fldChar>
            </w:r>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p>
        </w:tc>
      </w:tr>
      <w:tr w:rsidR="00E429AC" w:rsidRPr="00126814" w14:paraId="48A1D761" w14:textId="77777777" w:rsidTr="00FD6F2E">
        <w:trPr>
          <w:cantSplit/>
        </w:trPr>
        <w:tc>
          <w:tcPr>
            <w:tcW w:w="4023" w:type="dxa"/>
            <w:tcBorders>
              <w:top w:val="nil"/>
              <w:bottom w:val="nil"/>
            </w:tcBorders>
          </w:tcPr>
          <w:p w14:paraId="618A2A43" w14:textId="77777777" w:rsidR="00E429AC" w:rsidRPr="00126814" w:rsidRDefault="00E429AC" w:rsidP="00FD6F2E">
            <w:pPr>
              <w:spacing w:before="120"/>
            </w:pPr>
            <w:r w:rsidRPr="00126814">
              <w:t>Position (if applicable):</w:t>
            </w:r>
          </w:p>
        </w:tc>
        <w:tc>
          <w:tcPr>
            <w:tcW w:w="4111" w:type="dxa"/>
            <w:vAlign w:val="bottom"/>
          </w:tcPr>
          <w:p w14:paraId="0C844042" w14:textId="77777777" w:rsidR="00E429AC" w:rsidRPr="00126814" w:rsidRDefault="00E429AC" w:rsidP="00FD6F2E">
            <w:pPr>
              <w:pStyle w:val="TableText"/>
              <w:spacing w:before="0" w:after="0"/>
            </w:pPr>
            <w:r w:rsidRPr="00126814">
              <w:fldChar w:fldCharType="begin">
                <w:ffData>
                  <w:name w:val="Text1"/>
                  <w:enabled/>
                  <w:calcOnExit w:val="0"/>
                  <w:textInput/>
                </w:ffData>
              </w:fldChar>
            </w:r>
            <w:r w:rsidRPr="00126814">
              <w:instrText xml:space="preserve"> FORMTEXT </w:instrText>
            </w:r>
            <w:r w:rsidRPr="00126814">
              <w:fldChar w:fldCharType="separate"/>
            </w:r>
            <w:r w:rsidRPr="00126814">
              <w:rPr>
                <w:noProof/>
              </w:rPr>
              <w:t> </w:t>
            </w:r>
            <w:r w:rsidRPr="00126814">
              <w:rPr>
                <w:noProof/>
              </w:rPr>
              <w:t> </w:t>
            </w:r>
            <w:r w:rsidRPr="00126814">
              <w:rPr>
                <w:noProof/>
              </w:rPr>
              <w:t> </w:t>
            </w:r>
            <w:r w:rsidRPr="00126814">
              <w:rPr>
                <w:noProof/>
              </w:rPr>
              <w:t> </w:t>
            </w:r>
            <w:r w:rsidRPr="00126814">
              <w:rPr>
                <w:noProof/>
              </w:rPr>
              <w:t> </w:t>
            </w:r>
            <w:r w:rsidRPr="00126814">
              <w:fldChar w:fldCharType="end"/>
            </w:r>
          </w:p>
        </w:tc>
      </w:tr>
    </w:tbl>
    <w:p w14:paraId="03D06EF2" w14:textId="77777777" w:rsidR="00FD6F2E" w:rsidRDefault="00FD6F2E" w:rsidP="00FD6F2E"/>
    <w:p w14:paraId="6E3CF10F" w14:textId="77777777" w:rsidR="00E429AC" w:rsidRPr="00126814" w:rsidRDefault="00E429AC" w:rsidP="00FD6F2E">
      <w:pPr>
        <w:keepNext/>
      </w:pPr>
      <w:r w:rsidRPr="00126814">
        <w:lastRenderedPageBreak/>
        <w:t xml:space="preserve">Are you making this submission </w:t>
      </w:r>
      <w:r w:rsidRPr="00126814">
        <w:rPr>
          <w:i/>
          <w:sz w:val="18"/>
        </w:rPr>
        <w:t>(tick one box only)</w:t>
      </w:r>
      <w:r w:rsidRPr="00126814">
        <w:t>:</w:t>
      </w:r>
    </w:p>
    <w:p w14:paraId="32F8C0AA" w14:textId="77777777" w:rsidR="00E429AC" w:rsidRPr="00126814" w:rsidRDefault="00FD6F2E" w:rsidP="00FD6F2E">
      <w:pPr>
        <w:spacing w:before="60"/>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rsidR="00E429AC" w:rsidRPr="00126814">
        <w:tab/>
        <w:t>as an individual?</w:t>
      </w:r>
    </w:p>
    <w:p w14:paraId="0C04091C" w14:textId="77777777" w:rsidR="00E429AC" w:rsidRPr="00126814" w:rsidRDefault="00FD6F2E" w:rsidP="00FD6F2E">
      <w:pPr>
        <w:spacing w:before="60"/>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rsidR="00E429AC" w:rsidRPr="00126814">
        <w:tab/>
        <w:t>on behalf of a group or organisation?</w:t>
      </w:r>
    </w:p>
    <w:p w14:paraId="11DE385D" w14:textId="77777777" w:rsidR="00E429AC" w:rsidRPr="00126814" w:rsidRDefault="00E429AC" w:rsidP="00FD6F2E"/>
    <w:p w14:paraId="1524FC50" w14:textId="77777777" w:rsidR="00E429AC" w:rsidRPr="00126814" w:rsidRDefault="00E429AC" w:rsidP="00E429AC">
      <w:pPr>
        <w:pStyle w:val="Heading3"/>
      </w:pPr>
      <w:r w:rsidRPr="00126814">
        <w:t>Report</w:t>
      </w:r>
    </w:p>
    <w:p w14:paraId="46F04933" w14:textId="77777777" w:rsidR="00E429AC" w:rsidRDefault="00E429AC" w:rsidP="00FD6F2E">
      <w:r w:rsidRPr="00126814">
        <w:t xml:space="preserve">The Ministry of Health may publish a summary report on the submissions once the Government has made its decisions about the </w:t>
      </w:r>
      <w:r>
        <w:t>r</w:t>
      </w:r>
      <w:r w:rsidRPr="00126814">
        <w:t xml:space="preserve">egulations. No information identifying a person or an organisation will be released in </w:t>
      </w:r>
      <w:r>
        <w:t>such a summary</w:t>
      </w:r>
      <w:r w:rsidRPr="00126814">
        <w:t xml:space="preserve"> report.</w:t>
      </w:r>
    </w:p>
    <w:p w14:paraId="0B3515F4" w14:textId="77777777" w:rsidR="00E429AC" w:rsidRPr="00126814" w:rsidRDefault="00E429AC" w:rsidP="00FD6F2E"/>
    <w:p w14:paraId="0E97DEC0" w14:textId="77777777" w:rsidR="00E429AC" w:rsidRPr="00126814" w:rsidRDefault="00E429AC" w:rsidP="00E429AC">
      <w:pPr>
        <w:pStyle w:val="Heading3"/>
      </w:pPr>
      <w:r w:rsidRPr="00126814">
        <w:t>Official Information Act 1982</w:t>
      </w:r>
    </w:p>
    <w:p w14:paraId="73492C8F" w14:textId="77777777" w:rsidR="00E429AC" w:rsidRPr="00126814" w:rsidRDefault="00E429AC" w:rsidP="00FD6F2E">
      <w:r w:rsidRPr="00126814">
        <w:t>The Official Information Act 1982 (the OIA) applies to any submission you make and to any personal information you provide. The OIA provides that information held by the Ministry of Health must be made available unless there is good reason to withhold it. Accordingly, if the Ministry of Health receive</w:t>
      </w:r>
      <w:r>
        <w:t>s</w:t>
      </w:r>
      <w:r w:rsidRPr="00126814">
        <w:t xml:space="preserve"> a request under the OIA for your information</w:t>
      </w:r>
      <w:r>
        <w:t>,</w:t>
      </w:r>
      <w:r w:rsidRPr="00126814">
        <w:t xml:space="preserve"> it is possible that the </w:t>
      </w:r>
      <w:r>
        <w:t xml:space="preserve">Ministry of Health will release that </w:t>
      </w:r>
      <w:r w:rsidRPr="00126814">
        <w:t>information</w:t>
      </w:r>
      <w:r>
        <w:t xml:space="preserve"> as requested</w:t>
      </w:r>
      <w:r w:rsidR="00FD6F2E">
        <w:t>.</w:t>
      </w:r>
    </w:p>
    <w:p w14:paraId="593F6EB9" w14:textId="77777777" w:rsidR="00E429AC" w:rsidRPr="00126814" w:rsidRDefault="00E429AC" w:rsidP="00FD6F2E"/>
    <w:p w14:paraId="718783F3" w14:textId="77777777" w:rsidR="00E429AC" w:rsidRPr="00126814" w:rsidRDefault="00E429AC" w:rsidP="00E429AC">
      <w:pPr>
        <w:pStyle w:val="Heading3"/>
      </w:pPr>
      <w:bookmarkStart w:id="9" w:name="_Toc449087460"/>
      <w:bookmarkStart w:id="10" w:name="_Toc450059058"/>
      <w:r w:rsidRPr="00126814">
        <w:t>Consultation questions</w:t>
      </w:r>
      <w:bookmarkEnd w:id="9"/>
      <w:bookmarkEnd w:id="10"/>
    </w:p>
    <w:p w14:paraId="76DDEBD3" w14:textId="77777777" w:rsidR="00E429AC" w:rsidRPr="007B0EF8" w:rsidRDefault="00E429AC" w:rsidP="00E429AC">
      <w:pPr>
        <w:pStyle w:val="Heading4"/>
      </w:pPr>
      <w:bookmarkStart w:id="11" w:name="_Toc83133462"/>
      <w:bookmarkStart w:id="12" w:name="_Toc449001267"/>
      <w:bookmarkStart w:id="13" w:name="_Toc450059027"/>
      <w:r w:rsidRPr="007B0EF8">
        <w:t xml:space="preserve">Consultation </w:t>
      </w:r>
      <w:r>
        <w:t>document section</w:t>
      </w:r>
      <w:r w:rsidRPr="007B0EF8">
        <w:t xml:space="preserve"> 1</w:t>
      </w:r>
      <w:r>
        <w:t>.4</w:t>
      </w:r>
      <w:r w:rsidRPr="007B0EF8">
        <w:t>: Memorandum account</w:t>
      </w:r>
      <w:bookmarkEnd w:id="11"/>
    </w:p>
    <w:p w14:paraId="3AACE2E2" w14:textId="77777777" w:rsidR="00E429AC" w:rsidRPr="004C2772" w:rsidRDefault="00E429AC" w:rsidP="00E429AC">
      <w:pPr>
        <w:pStyle w:val="Number"/>
      </w:pPr>
      <w:r w:rsidRPr="004C2772">
        <w:t>Do you think the preferred option of recovering the negative memorandum account balance from source licence holders only over a period of eight years is justifiable and equitable?</w:t>
      </w:r>
    </w:p>
    <w:p w14:paraId="1588BADE" w14:textId="77777777" w:rsidR="00E429AC" w:rsidRDefault="008F024F" w:rsidP="008F024F">
      <w:pPr>
        <w:spacing w:before="60"/>
        <w:ind w:left="1134" w:hanging="567"/>
      </w:pPr>
      <w:r>
        <w:fldChar w:fldCharType="begin">
          <w:ffData>
            <w:name w:val="Check3"/>
            <w:enabled/>
            <w:calcOnExit w:val="0"/>
            <w:checkBox>
              <w:sizeAuto/>
              <w:default w:val="0"/>
            </w:checkBox>
          </w:ffData>
        </w:fldChar>
      </w:r>
      <w:bookmarkStart w:id="14" w:name="Check3"/>
      <w:r>
        <w:instrText xml:space="preserve"> FORMCHECKBOX </w:instrText>
      </w:r>
      <w:r w:rsidR="00791F7B">
        <w:fldChar w:fldCharType="separate"/>
      </w:r>
      <w:r>
        <w:fldChar w:fldCharType="end"/>
      </w:r>
      <w:bookmarkEnd w:id="14"/>
      <w:r>
        <w:tab/>
      </w:r>
      <w:r w:rsidR="00E429AC">
        <w:t>Yes</w:t>
      </w:r>
    </w:p>
    <w:p w14:paraId="3975840E" w14:textId="77777777" w:rsidR="00E429AC" w:rsidRDefault="008F024F" w:rsidP="008F024F">
      <w:pPr>
        <w:spacing w:before="60"/>
        <w:ind w:left="1134" w:hanging="567"/>
      </w:pPr>
      <w:r>
        <w:fldChar w:fldCharType="begin">
          <w:ffData>
            <w:name w:val="Check4"/>
            <w:enabled/>
            <w:calcOnExit w:val="0"/>
            <w:checkBox>
              <w:sizeAuto/>
              <w:default w:val="0"/>
            </w:checkBox>
          </w:ffData>
        </w:fldChar>
      </w:r>
      <w:bookmarkStart w:id="15" w:name="Check4"/>
      <w:r>
        <w:instrText xml:space="preserve"> FORMCHECKBOX </w:instrText>
      </w:r>
      <w:r w:rsidR="00791F7B">
        <w:fldChar w:fldCharType="separate"/>
      </w:r>
      <w:r>
        <w:fldChar w:fldCharType="end"/>
      </w:r>
      <w:bookmarkEnd w:id="15"/>
      <w:r>
        <w:tab/>
      </w:r>
      <w:r w:rsidR="00E429AC">
        <w:t>No</w:t>
      </w:r>
    </w:p>
    <w:p w14:paraId="6C57E9C5" w14:textId="77777777" w:rsidR="00E429AC" w:rsidRDefault="00E429AC" w:rsidP="008F024F">
      <w:pPr>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8F024F" w14:paraId="169C8DCE" w14:textId="77777777" w:rsidTr="00C01558">
        <w:trPr>
          <w:cantSplit/>
          <w:trHeight w:val="1701"/>
        </w:trPr>
        <w:tc>
          <w:tcPr>
            <w:tcW w:w="7513" w:type="dxa"/>
          </w:tcPr>
          <w:p w14:paraId="03B01EDC" w14:textId="77777777" w:rsidR="008F024F" w:rsidRDefault="008F024F" w:rsidP="008F024F">
            <w:pPr>
              <w:pStyle w:val="TableText"/>
            </w:pPr>
            <w:r>
              <w:fldChar w:fldCharType="begin">
                <w:ffData>
                  <w:name w:val="Text2"/>
                  <w:enabled/>
                  <w:calcOnExit w:val="0"/>
                  <w:textInput/>
                </w:ffData>
              </w:fldChar>
            </w:r>
            <w:bookmarkStart w:id="1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0EF8CDF0" w14:textId="77777777" w:rsidR="00E429AC" w:rsidRDefault="00E429AC" w:rsidP="00C01558"/>
    <w:p w14:paraId="7A012934" w14:textId="77777777" w:rsidR="00E429AC" w:rsidRDefault="00E429AC" w:rsidP="00FD6F2E">
      <w:pPr>
        <w:pStyle w:val="Number"/>
        <w:keepNext/>
        <w:spacing w:after="120"/>
      </w:pPr>
      <w:r w:rsidRPr="004C2772">
        <w:lastRenderedPageBreak/>
        <w:t xml:space="preserve">If you think the preferred option of recovering the memorandum account deficit from source licence holders only over a period of eight years is </w:t>
      </w:r>
      <w:r w:rsidRPr="00887578">
        <w:rPr>
          <w:b/>
          <w:bCs/>
        </w:rPr>
        <w:t>not</w:t>
      </w:r>
      <w:r w:rsidRPr="004C2772">
        <w:t xml:space="preserve"> justifiable or equitable, please outline your reasons.</w:t>
      </w:r>
    </w:p>
    <w:tbl>
      <w:tblPr>
        <w:tblStyle w:val="TableGrid"/>
        <w:tblW w:w="0" w:type="auto"/>
        <w:tblInd w:w="675" w:type="dxa"/>
        <w:tblLayout w:type="fixed"/>
        <w:tblLook w:val="04A0" w:firstRow="1" w:lastRow="0" w:firstColumn="1" w:lastColumn="0" w:noHBand="0" w:noVBand="1"/>
      </w:tblPr>
      <w:tblGrid>
        <w:gridCol w:w="7513"/>
      </w:tblGrid>
      <w:tr w:rsidR="00FD6F2E" w14:paraId="463EAB42" w14:textId="77777777" w:rsidTr="00C01558">
        <w:trPr>
          <w:cantSplit/>
          <w:trHeight w:val="1701"/>
        </w:trPr>
        <w:tc>
          <w:tcPr>
            <w:tcW w:w="7513" w:type="dxa"/>
          </w:tcPr>
          <w:p w14:paraId="1996B8DD" w14:textId="77777777" w:rsidR="00FD6F2E" w:rsidRDefault="00FD6F2E"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3CECEC" w14:textId="77777777" w:rsidR="00FD6F2E" w:rsidRDefault="00FD6F2E" w:rsidP="00C01558"/>
    <w:p w14:paraId="555A13CB" w14:textId="77777777" w:rsidR="00FD6F2E" w:rsidRDefault="00E429AC" w:rsidP="00FD6F2E">
      <w:pPr>
        <w:pStyle w:val="Number"/>
        <w:spacing w:before="120" w:after="120"/>
      </w:pPr>
      <w:r w:rsidRPr="004C2772">
        <w:t xml:space="preserve">Do you think the alternative option of recovering the </w:t>
      </w:r>
      <w:r>
        <w:t xml:space="preserve">negative </w:t>
      </w:r>
      <w:r w:rsidRPr="004C2772">
        <w:t>memorandum account balance from all authorisation holders is a better option?</w:t>
      </w:r>
      <w:r w:rsidR="00FD6F2E">
        <w:t xml:space="preserve"> Please outline your reasons here.</w:t>
      </w:r>
    </w:p>
    <w:tbl>
      <w:tblPr>
        <w:tblStyle w:val="TableGrid"/>
        <w:tblW w:w="0" w:type="auto"/>
        <w:tblInd w:w="675" w:type="dxa"/>
        <w:tblLayout w:type="fixed"/>
        <w:tblLook w:val="04A0" w:firstRow="1" w:lastRow="0" w:firstColumn="1" w:lastColumn="0" w:noHBand="0" w:noVBand="1"/>
      </w:tblPr>
      <w:tblGrid>
        <w:gridCol w:w="7513"/>
      </w:tblGrid>
      <w:tr w:rsidR="00FD6F2E" w14:paraId="163E0F27" w14:textId="77777777" w:rsidTr="00C01558">
        <w:trPr>
          <w:cantSplit/>
          <w:trHeight w:val="1701"/>
        </w:trPr>
        <w:tc>
          <w:tcPr>
            <w:tcW w:w="7513" w:type="dxa"/>
          </w:tcPr>
          <w:p w14:paraId="7BB62889" w14:textId="77777777" w:rsidR="00FD6F2E" w:rsidRDefault="00FD6F2E"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D7F68D" w14:textId="77777777" w:rsidR="00FD6F2E" w:rsidRDefault="00FD6F2E" w:rsidP="00FD6F2E"/>
    <w:p w14:paraId="291A5F95" w14:textId="77777777" w:rsidR="00E429AC" w:rsidRDefault="00E429AC" w:rsidP="00FD6F2E">
      <w:pPr>
        <w:pStyle w:val="Number"/>
      </w:pPr>
      <w:r w:rsidRPr="004C2772">
        <w:t xml:space="preserve">Do you think the </w:t>
      </w:r>
      <w:r>
        <w:t xml:space="preserve">negative </w:t>
      </w:r>
      <w:r w:rsidRPr="004C2772">
        <w:t>memorandum account balance should be recovered o</w:t>
      </w:r>
      <w:r w:rsidR="00FD6F2E">
        <w:t>ver a longer or shorter period?</w:t>
      </w:r>
    </w:p>
    <w:p w14:paraId="73D1A13B" w14:textId="77777777" w:rsidR="00FD6F2E" w:rsidRDefault="00FD6F2E" w:rsidP="00FD6F2E">
      <w:pPr>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4C2346EC" w14:textId="77777777" w:rsidR="00FD6F2E" w:rsidRDefault="00FD6F2E" w:rsidP="00FD6F2E">
      <w:pPr>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0064BA8F" w14:textId="77777777" w:rsidR="00FD6F2E" w:rsidRDefault="00FD6F2E" w:rsidP="00FD6F2E">
      <w:pPr>
        <w:spacing w:before="120" w:after="120"/>
        <w:ind w:left="567"/>
      </w:pPr>
      <w:r w:rsidRPr="004C2772">
        <w:t xml:space="preserve">If yes, please </w:t>
      </w:r>
      <w:r>
        <w:t>state whether it should be longer or shorter and outline</w:t>
      </w:r>
      <w:r w:rsidRPr="004C2772">
        <w:t xml:space="preserve"> your reasons</w:t>
      </w:r>
      <w:r>
        <w:t xml:space="preserve"> here</w:t>
      </w:r>
      <w:r w:rsidRPr="004C2772">
        <w:t>.</w:t>
      </w:r>
    </w:p>
    <w:tbl>
      <w:tblPr>
        <w:tblStyle w:val="TableGrid"/>
        <w:tblW w:w="0" w:type="auto"/>
        <w:tblInd w:w="675" w:type="dxa"/>
        <w:tblLayout w:type="fixed"/>
        <w:tblLook w:val="04A0" w:firstRow="1" w:lastRow="0" w:firstColumn="1" w:lastColumn="0" w:noHBand="0" w:noVBand="1"/>
      </w:tblPr>
      <w:tblGrid>
        <w:gridCol w:w="7513"/>
      </w:tblGrid>
      <w:tr w:rsidR="00FD6F2E" w14:paraId="77C8E5AD" w14:textId="77777777" w:rsidTr="00C01558">
        <w:trPr>
          <w:cantSplit/>
          <w:trHeight w:val="1701"/>
        </w:trPr>
        <w:tc>
          <w:tcPr>
            <w:tcW w:w="7513" w:type="dxa"/>
          </w:tcPr>
          <w:p w14:paraId="3355A5DD" w14:textId="77777777" w:rsidR="00FD6F2E" w:rsidRDefault="00FD6F2E"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2016A1" w14:textId="77777777" w:rsidR="00FD6F2E" w:rsidRDefault="00FD6F2E" w:rsidP="00FD6F2E"/>
    <w:p w14:paraId="77111732" w14:textId="77777777" w:rsidR="00E429AC" w:rsidRDefault="00E429AC" w:rsidP="00FD6F2E">
      <w:pPr>
        <w:pStyle w:val="Number"/>
        <w:spacing w:after="120"/>
      </w:pPr>
      <w:r w:rsidRPr="00D90B8D">
        <w:t>Do you have an alternative method for addressing the negative memorandum account balance?</w:t>
      </w:r>
    </w:p>
    <w:tbl>
      <w:tblPr>
        <w:tblStyle w:val="TableGrid"/>
        <w:tblW w:w="0" w:type="auto"/>
        <w:tblInd w:w="675" w:type="dxa"/>
        <w:tblLayout w:type="fixed"/>
        <w:tblLook w:val="04A0" w:firstRow="1" w:lastRow="0" w:firstColumn="1" w:lastColumn="0" w:noHBand="0" w:noVBand="1"/>
      </w:tblPr>
      <w:tblGrid>
        <w:gridCol w:w="7513"/>
      </w:tblGrid>
      <w:tr w:rsidR="00FD6F2E" w14:paraId="3D7ED5BA" w14:textId="77777777" w:rsidTr="00C01558">
        <w:trPr>
          <w:cantSplit/>
          <w:trHeight w:val="1701"/>
        </w:trPr>
        <w:tc>
          <w:tcPr>
            <w:tcW w:w="7513" w:type="dxa"/>
          </w:tcPr>
          <w:p w14:paraId="65B3CAFA" w14:textId="77777777" w:rsidR="00FD6F2E" w:rsidRDefault="00FD6F2E"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DA128B" w14:textId="77777777" w:rsidR="00FD6F2E" w:rsidRDefault="00FD6F2E" w:rsidP="00FD6F2E"/>
    <w:p w14:paraId="5A062D65" w14:textId="77777777" w:rsidR="00E429AC" w:rsidRDefault="00E429AC" w:rsidP="00FD6F2E">
      <w:pPr>
        <w:pStyle w:val="Number"/>
        <w:keepNext/>
        <w:spacing w:after="120"/>
      </w:pPr>
      <w:r w:rsidRPr="00A40FD5">
        <w:lastRenderedPageBreak/>
        <w:t>Do you have any further comments, suggestions or options</w:t>
      </w:r>
      <w:r>
        <w:t xml:space="preserve"> for us to consider</w:t>
      </w:r>
      <w:r w:rsidRPr="00A40FD5">
        <w:t>?</w:t>
      </w:r>
    </w:p>
    <w:tbl>
      <w:tblPr>
        <w:tblStyle w:val="TableGrid"/>
        <w:tblW w:w="0" w:type="auto"/>
        <w:tblInd w:w="675" w:type="dxa"/>
        <w:tblLayout w:type="fixed"/>
        <w:tblLook w:val="04A0" w:firstRow="1" w:lastRow="0" w:firstColumn="1" w:lastColumn="0" w:noHBand="0" w:noVBand="1"/>
      </w:tblPr>
      <w:tblGrid>
        <w:gridCol w:w="7513"/>
      </w:tblGrid>
      <w:tr w:rsidR="00FD6F2E" w14:paraId="6E4FE25C" w14:textId="77777777" w:rsidTr="00C01558">
        <w:trPr>
          <w:cantSplit/>
          <w:trHeight w:val="1701"/>
        </w:trPr>
        <w:tc>
          <w:tcPr>
            <w:tcW w:w="7513" w:type="dxa"/>
          </w:tcPr>
          <w:p w14:paraId="3A085FCC" w14:textId="77777777" w:rsidR="00FD6F2E" w:rsidRDefault="00FD6F2E"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ABC7AE" w14:textId="77777777" w:rsidR="00FD6F2E" w:rsidRDefault="00FD6F2E" w:rsidP="00C01558"/>
    <w:p w14:paraId="1E181330" w14:textId="77777777" w:rsidR="00E429AC" w:rsidRPr="007B0EF8" w:rsidRDefault="00E429AC" w:rsidP="00E429AC">
      <w:pPr>
        <w:pStyle w:val="Heading4"/>
      </w:pPr>
      <w:r w:rsidRPr="007B0EF8">
        <w:t xml:space="preserve">Consultation </w:t>
      </w:r>
      <w:r>
        <w:t>document section</w:t>
      </w:r>
      <w:r w:rsidRPr="007B0EF8">
        <w:t xml:space="preserve"> 1</w:t>
      </w:r>
      <w:r>
        <w:t>.6</w:t>
      </w:r>
      <w:r w:rsidRPr="007B0EF8">
        <w:t xml:space="preserve">: </w:t>
      </w:r>
      <w:r>
        <w:t>Cost recovery model</w:t>
      </w:r>
    </w:p>
    <w:p w14:paraId="1CA4DC06" w14:textId="77777777" w:rsidR="00E429AC" w:rsidRPr="007B0EF8" w:rsidRDefault="00E429AC" w:rsidP="00E429AC">
      <w:pPr>
        <w:pStyle w:val="Number"/>
      </w:pPr>
      <w:r w:rsidRPr="007B0EF8">
        <w:t>Do you think it is reasonable to recover the full costs stated in fees?</w:t>
      </w:r>
    </w:p>
    <w:p w14:paraId="7B99A5DF" w14:textId="77777777" w:rsidR="00C01558" w:rsidRDefault="00C01558" w:rsidP="00C01558">
      <w:pPr>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507D5818" w14:textId="77777777" w:rsidR="00C01558" w:rsidRDefault="00C01558" w:rsidP="00C01558">
      <w:pPr>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73A962C3" w14:textId="77777777" w:rsidR="00C01558" w:rsidRDefault="00C01558" w:rsidP="00C01558">
      <w:pPr>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C01558" w14:paraId="389AC5AC" w14:textId="77777777" w:rsidTr="000606C1">
        <w:trPr>
          <w:cantSplit/>
          <w:trHeight w:val="1701"/>
        </w:trPr>
        <w:tc>
          <w:tcPr>
            <w:tcW w:w="7513" w:type="dxa"/>
          </w:tcPr>
          <w:p w14:paraId="443ECF12"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9E330C" w14:textId="77777777" w:rsidR="00C01558" w:rsidRDefault="00C01558" w:rsidP="00C01558"/>
    <w:p w14:paraId="64192BD9" w14:textId="77777777" w:rsidR="00E429AC" w:rsidRDefault="00E429AC" w:rsidP="00730F16">
      <w:pPr>
        <w:pStyle w:val="Number"/>
        <w:spacing w:after="120"/>
      </w:pPr>
      <w:r w:rsidRPr="007B0EF8">
        <w:t>If you think it is unreasonable to recover the full costs stated in fees, please provide your reasons</w:t>
      </w:r>
      <w:r>
        <w:t xml:space="preserve"> here</w:t>
      </w:r>
      <w:r w:rsidRPr="007B0EF8">
        <w:t xml:space="preserve">. Please also identify what costs should </w:t>
      </w:r>
      <w:r w:rsidRPr="00887578">
        <w:rPr>
          <w:b/>
          <w:bCs/>
        </w:rPr>
        <w:t>not</w:t>
      </w:r>
      <w:r w:rsidRPr="007B0EF8">
        <w:t xml:space="preserve"> be recovered and who should meet the unrecovered costs</w:t>
      </w:r>
      <w:r>
        <w:t>.</w:t>
      </w:r>
    </w:p>
    <w:tbl>
      <w:tblPr>
        <w:tblStyle w:val="TableGrid"/>
        <w:tblW w:w="0" w:type="auto"/>
        <w:tblInd w:w="675" w:type="dxa"/>
        <w:tblLayout w:type="fixed"/>
        <w:tblLook w:val="04A0" w:firstRow="1" w:lastRow="0" w:firstColumn="1" w:lastColumn="0" w:noHBand="0" w:noVBand="1"/>
      </w:tblPr>
      <w:tblGrid>
        <w:gridCol w:w="7513"/>
      </w:tblGrid>
      <w:tr w:rsidR="00C01558" w14:paraId="7B113EE2" w14:textId="77777777" w:rsidTr="000606C1">
        <w:trPr>
          <w:cantSplit/>
          <w:trHeight w:val="1701"/>
        </w:trPr>
        <w:tc>
          <w:tcPr>
            <w:tcW w:w="7513" w:type="dxa"/>
          </w:tcPr>
          <w:p w14:paraId="34B41187"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A651F2" w14:textId="77777777" w:rsidR="00C01558" w:rsidRPr="007921DE" w:rsidRDefault="00C01558" w:rsidP="00C01558"/>
    <w:p w14:paraId="0AA295D9" w14:textId="77777777" w:rsidR="00E429AC" w:rsidRDefault="00E429AC" w:rsidP="00730F16">
      <w:pPr>
        <w:pStyle w:val="Number"/>
        <w:spacing w:after="120"/>
      </w:pPr>
      <w:r w:rsidRPr="007B0EF8">
        <w:t>Do you have any further comments, suggestions or options?</w:t>
      </w:r>
    </w:p>
    <w:tbl>
      <w:tblPr>
        <w:tblStyle w:val="TableGrid"/>
        <w:tblW w:w="0" w:type="auto"/>
        <w:tblInd w:w="675" w:type="dxa"/>
        <w:tblLayout w:type="fixed"/>
        <w:tblLook w:val="04A0" w:firstRow="1" w:lastRow="0" w:firstColumn="1" w:lastColumn="0" w:noHBand="0" w:noVBand="1"/>
      </w:tblPr>
      <w:tblGrid>
        <w:gridCol w:w="7513"/>
      </w:tblGrid>
      <w:tr w:rsidR="00C01558" w14:paraId="3B98333A" w14:textId="77777777" w:rsidTr="000606C1">
        <w:trPr>
          <w:cantSplit/>
          <w:trHeight w:val="1701"/>
        </w:trPr>
        <w:tc>
          <w:tcPr>
            <w:tcW w:w="7513" w:type="dxa"/>
          </w:tcPr>
          <w:p w14:paraId="1A5B4CA6"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F21761" w14:textId="77777777" w:rsidR="00C01558" w:rsidRPr="007921DE" w:rsidRDefault="00C01558" w:rsidP="00730F16"/>
    <w:p w14:paraId="5A77BFE0" w14:textId="77777777" w:rsidR="00E429AC" w:rsidRPr="007B0EF8" w:rsidRDefault="00E429AC" w:rsidP="00E429AC">
      <w:pPr>
        <w:pStyle w:val="Heading4"/>
      </w:pPr>
      <w:r w:rsidRPr="007B0EF8">
        <w:lastRenderedPageBreak/>
        <w:t xml:space="preserve">Consultation </w:t>
      </w:r>
      <w:r>
        <w:t>document section</w:t>
      </w:r>
      <w:r w:rsidRPr="007B0EF8">
        <w:t xml:space="preserve"> 1</w:t>
      </w:r>
      <w:r>
        <w:t>.7</w:t>
      </w:r>
      <w:r w:rsidRPr="007B0EF8">
        <w:t xml:space="preserve">: </w:t>
      </w:r>
      <w:r>
        <w:t>Distribution of fees</w:t>
      </w:r>
    </w:p>
    <w:p w14:paraId="3F08D3D6" w14:textId="77777777" w:rsidR="00E429AC" w:rsidRPr="007B0EF8" w:rsidRDefault="00E429AC" w:rsidP="00730F16">
      <w:pPr>
        <w:pStyle w:val="Number"/>
        <w:keepNext/>
      </w:pPr>
      <w:r w:rsidRPr="007B0EF8">
        <w:t>Do you think it is reasonable to distribute fees across the authorisation types based on where the costs are generated?</w:t>
      </w:r>
    </w:p>
    <w:p w14:paraId="50B37BF4" w14:textId="77777777" w:rsidR="00730F16" w:rsidRDefault="00730F16" w:rsidP="00730F16">
      <w:pPr>
        <w:keepNext/>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10A716DC" w14:textId="77777777" w:rsidR="00730F16" w:rsidRDefault="00730F16" w:rsidP="00730F16">
      <w:pPr>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7524B9E1" w14:textId="77777777" w:rsidR="00730F16" w:rsidRDefault="00730F16" w:rsidP="00730F16">
      <w:pPr>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730F16" w14:paraId="064ADC0F" w14:textId="77777777" w:rsidTr="000606C1">
        <w:trPr>
          <w:cantSplit/>
          <w:trHeight w:val="1701"/>
        </w:trPr>
        <w:tc>
          <w:tcPr>
            <w:tcW w:w="7513" w:type="dxa"/>
          </w:tcPr>
          <w:p w14:paraId="1CFBE347" w14:textId="77777777" w:rsidR="00730F16" w:rsidRDefault="00730F16"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E8E6F2" w14:textId="77777777" w:rsidR="00730F16" w:rsidRDefault="00730F16" w:rsidP="00730F16"/>
    <w:p w14:paraId="01F08DF0" w14:textId="77777777" w:rsidR="00E429AC" w:rsidRDefault="00E429AC" w:rsidP="00730F16">
      <w:pPr>
        <w:pStyle w:val="Number"/>
        <w:spacing w:after="120"/>
      </w:pPr>
      <w:r w:rsidRPr="007B0EF8">
        <w:t>If you think it is unreasonable to distribute fees across the authorisation types based on where the costs are generated, please provide your reasons</w:t>
      </w:r>
      <w:r>
        <w:t xml:space="preserve"> here</w:t>
      </w:r>
      <w:r w:rsidRPr="007B0EF8">
        <w:t>. Please also identify how the fees could be better distributed and provide your reasons.</w:t>
      </w:r>
    </w:p>
    <w:tbl>
      <w:tblPr>
        <w:tblStyle w:val="TableGrid"/>
        <w:tblW w:w="0" w:type="auto"/>
        <w:tblInd w:w="675" w:type="dxa"/>
        <w:tblLayout w:type="fixed"/>
        <w:tblLook w:val="04A0" w:firstRow="1" w:lastRow="0" w:firstColumn="1" w:lastColumn="0" w:noHBand="0" w:noVBand="1"/>
      </w:tblPr>
      <w:tblGrid>
        <w:gridCol w:w="7513"/>
      </w:tblGrid>
      <w:tr w:rsidR="00C01558" w14:paraId="031F4F6E" w14:textId="77777777" w:rsidTr="000606C1">
        <w:trPr>
          <w:cantSplit/>
          <w:trHeight w:val="1701"/>
        </w:trPr>
        <w:tc>
          <w:tcPr>
            <w:tcW w:w="7513" w:type="dxa"/>
          </w:tcPr>
          <w:p w14:paraId="0481D043"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36D2D2" w14:textId="77777777" w:rsidR="00E429AC" w:rsidRDefault="00E429AC" w:rsidP="00730F16"/>
    <w:p w14:paraId="4942BB4F" w14:textId="77777777" w:rsidR="00E429AC" w:rsidRDefault="00E429AC" w:rsidP="00730F16">
      <w:pPr>
        <w:pStyle w:val="Number"/>
        <w:spacing w:after="120"/>
      </w:pPr>
      <w:r w:rsidRPr="007B0EF8">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7513"/>
      </w:tblGrid>
      <w:tr w:rsidR="00C01558" w14:paraId="6DACEBC8" w14:textId="77777777" w:rsidTr="000606C1">
        <w:trPr>
          <w:cantSplit/>
          <w:trHeight w:val="1701"/>
        </w:trPr>
        <w:tc>
          <w:tcPr>
            <w:tcW w:w="7513" w:type="dxa"/>
          </w:tcPr>
          <w:p w14:paraId="2018ACE1"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DE52C4" w14:textId="77777777" w:rsidR="00E429AC" w:rsidRDefault="00E429AC" w:rsidP="00730F16"/>
    <w:p w14:paraId="7519ED76" w14:textId="77777777" w:rsidR="00E429AC" w:rsidRPr="007B0EF8" w:rsidRDefault="00E429AC" w:rsidP="00E429AC">
      <w:pPr>
        <w:pStyle w:val="Heading4"/>
      </w:pPr>
      <w:r w:rsidRPr="007B0EF8">
        <w:lastRenderedPageBreak/>
        <w:t xml:space="preserve">Consultation </w:t>
      </w:r>
      <w:r>
        <w:t>document section</w:t>
      </w:r>
      <w:r w:rsidRPr="007B0EF8">
        <w:t xml:space="preserve"> </w:t>
      </w:r>
      <w:r>
        <w:t>2.1</w:t>
      </w:r>
      <w:r w:rsidRPr="007B0EF8">
        <w:t xml:space="preserve">: </w:t>
      </w:r>
      <w:r>
        <w:t>Different fees for licence renewals</w:t>
      </w:r>
    </w:p>
    <w:p w14:paraId="7EB7B3E9" w14:textId="77777777" w:rsidR="00E429AC" w:rsidRPr="007B0EF8" w:rsidRDefault="00E429AC" w:rsidP="00730F16">
      <w:pPr>
        <w:pStyle w:val="Number"/>
        <w:keepNext/>
      </w:pPr>
      <w:r w:rsidRPr="007B0EF8">
        <w:t>Do you agree that it is justifiable to charge differential application fees because of the difference in effort required to process applications?</w:t>
      </w:r>
    </w:p>
    <w:p w14:paraId="687DEF26" w14:textId="77777777" w:rsidR="00730F16" w:rsidRDefault="00730F16" w:rsidP="00730F16">
      <w:pPr>
        <w:keepNext/>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424C683C" w14:textId="77777777" w:rsidR="00730F16" w:rsidRDefault="00730F16" w:rsidP="00730F16">
      <w:pPr>
        <w:keepNext/>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0847A110" w14:textId="77777777" w:rsidR="00730F16" w:rsidRDefault="00730F16" w:rsidP="00730F16">
      <w:pPr>
        <w:keepNext/>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730F16" w14:paraId="2FC316C7" w14:textId="77777777" w:rsidTr="000606C1">
        <w:trPr>
          <w:cantSplit/>
          <w:trHeight w:val="1701"/>
        </w:trPr>
        <w:tc>
          <w:tcPr>
            <w:tcW w:w="7513" w:type="dxa"/>
          </w:tcPr>
          <w:p w14:paraId="3EFA9F6E" w14:textId="77777777" w:rsidR="00730F16" w:rsidRDefault="00730F16"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4DA5A2" w14:textId="77777777" w:rsidR="00730F16" w:rsidRDefault="00730F16" w:rsidP="00730F16"/>
    <w:p w14:paraId="3FD833C9" w14:textId="77777777" w:rsidR="00E429AC" w:rsidRDefault="00E429AC" w:rsidP="00730F16">
      <w:pPr>
        <w:pStyle w:val="Number"/>
        <w:spacing w:after="120"/>
      </w:pPr>
      <w:r w:rsidRPr="007B0EF8">
        <w:t>If you do not agree that differential fees are justifiable, please provide your reasoning</w:t>
      </w:r>
      <w:r>
        <w:t xml:space="preserve"> here</w:t>
      </w:r>
      <w:r w:rsidRPr="007B0EF8">
        <w:t>.</w:t>
      </w:r>
    </w:p>
    <w:tbl>
      <w:tblPr>
        <w:tblStyle w:val="TableGrid"/>
        <w:tblW w:w="0" w:type="auto"/>
        <w:tblInd w:w="675" w:type="dxa"/>
        <w:tblLayout w:type="fixed"/>
        <w:tblLook w:val="04A0" w:firstRow="1" w:lastRow="0" w:firstColumn="1" w:lastColumn="0" w:noHBand="0" w:noVBand="1"/>
      </w:tblPr>
      <w:tblGrid>
        <w:gridCol w:w="7513"/>
      </w:tblGrid>
      <w:tr w:rsidR="00C01558" w14:paraId="22BF521A" w14:textId="77777777" w:rsidTr="000606C1">
        <w:trPr>
          <w:cantSplit/>
          <w:trHeight w:val="1701"/>
        </w:trPr>
        <w:tc>
          <w:tcPr>
            <w:tcW w:w="7513" w:type="dxa"/>
          </w:tcPr>
          <w:p w14:paraId="64476A21"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BD6851" w14:textId="77777777" w:rsidR="00E429AC" w:rsidRDefault="00E429AC" w:rsidP="00730F16"/>
    <w:p w14:paraId="1D57C019" w14:textId="77777777" w:rsidR="00E429AC" w:rsidRDefault="00E429AC" w:rsidP="00730F16">
      <w:pPr>
        <w:pStyle w:val="Number"/>
        <w:spacing w:after="120"/>
      </w:pPr>
      <w:r w:rsidRPr="007B0EF8">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7513"/>
      </w:tblGrid>
      <w:tr w:rsidR="00C01558" w14:paraId="752318CE" w14:textId="77777777" w:rsidTr="000606C1">
        <w:trPr>
          <w:cantSplit/>
          <w:trHeight w:val="1701"/>
        </w:trPr>
        <w:tc>
          <w:tcPr>
            <w:tcW w:w="7513" w:type="dxa"/>
          </w:tcPr>
          <w:p w14:paraId="4A713C4C"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7B97F0" w14:textId="77777777" w:rsidR="00E429AC" w:rsidRDefault="00E429AC" w:rsidP="00730F16"/>
    <w:p w14:paraId="4680AAD4" w14:textId="77777777" w:rsidR="00E429AC" w:rsidRPr="007B0EF8" w:rsidRDefault="00E429AC" w:rsidP="00E429AC">
      <w:pPr>
        <w:pStyle w:val="Heading4"/>
      </w:pPr>
      <w:r w:rsidRPr="007B0EF8">
        <w:lastRenderedPageBreak/>
        <w:t xml:space="preserve">Consultation </w:t>
      </w:r>
      <w:r>
        <w:t>document section</w:t>
      </w:r>
      <w:r w:rsidRPr="007B0EF8">
        <w:t xml:space="preserve"> </w:t>
      </w:r>
      <w:r>
        <w:t>2.2</w:t>
      </w:r>
      <w:r w:rsidRPr="007B0EF8">
        <w:t xml:space="preserve">: </w:t>
      </w:r>
      <w:r>
        <w:t>Refunds</w:t>
      </w:r>
    </w:p>
    <w:p w14:paraId="51265C49" w14:textId="77777777" w:rsidR="00E429AC" w:rsidRPr="001E78D7" w:rsidRDefault="00E429AC" w:rsidP="00730F16">
      <w:pPr>
        <w:pStyle w:val="Number"/>
        <w:keepNext/>
      </w:pPr>
      <w:r w:rsidRPr="001E78D7">
        <w:t>Do you think the preferred option to retain the portions of application fee set out in this section is justifiable?</w:t>
      </w:r>
    </w:p>
    <w:p w14:paraId="47AF2B1F" w14:textId="77777777" w:rsidR="00730F16" w:rsidRDefault="00730F16" w:rsidP="00730F16">
      <w:pPr>
        <w:keepNext/>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26160C7F" w14:textId="77777777" w:rsidR="00730F16" w:rsidRDefault="00730F16" w:rsidP="00730F16">
      <w:pPr>
        <w:keepNext/>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36EA1B82" w14:textId="77777777" w:rsidR="00730F16" w:rsidRDefault="00730F16" w:rsidP="00730F16">
      <w:pPr>
        <w:keepNext/>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730F16" w14:paraId="5C808275" w14:textId="77777777" w:rsidTr="000606C1">
        <w:trPr>
          <w:cantSplit/>
          <w:trHeight w:val="1701"/>
        </w:trPr>
        <w:tc>
          <w:tcPr>
            <w:tcW w:w="7513" w:type="dxa"/>
          </w:tcPr>
          <w:p w14:paraId="4E2E2CFB" w14:textId="77777777" w:rsidR="00730F16" w:rsidRDefault="00730F16"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19A436" w14:textId="77777777" w:rsidR="00730F16" w:rsidRDefault="00730F16" w:rsidP="00730F16"/>
    <w:p w14:paraId="77BD800F" w14:textId="77777777" w:rsidR="00E429AC" w:rsidRDefault="00E429AC" w:rsidP="00730F16">
      <w:pPr>
        <w:pStyle w:val="Number"/>
        <w:spacing w:after="120"/>
      </w:pPr>
      <w:r w:rsidRPr="001E78D7">
        <w:t xml:space="preserve">If you think the preferred option to retain the portions of application fee set out in this section is </w:t>
      </w:r>
      <w:r>
        <w:rPr>
          <w:b/>
          <w:bCs/>
        </w:rPr>
        <w:t xml:space="preserve">not </w:t>
      </w:r>
      <w:r>
        <w:t>justified</w:t>
      </w:r>
      <w:r w:rsidRPr="00E00C32">
        <w:t>,</w:t>
      </w:r>
      <w:r w:rsidRPr="001E78D7">
        <w:t xml:space="preserve"> please outline your reasons</w:t>
      </w:r>
      <w:r>
        <w:t xml:space="preserve"> here</w:t>
      </w:r>
      <w:r w:rsidRPr="001E78D7">
        <w:t>.</w:t>
      </w:r>
    </w:p>
    <w:tbl>
      <w:tblPr>
        <w:tblStyle w:val="TableGrid"/>
        <w:tblW w:w="0" w:type="auto"/>
        <w:tblInd w:w="675" w:type="dxa"/>
        <w:tblLayout w:type="fixed"/>
        <w:tblLook w:val="04A0" w:firstRow="1" w:lastRow="0" w:firstColumn="1" w:lastColumn="0" w:noHBand="0" w:noVBand="1"/>
      </w:tblPr>
      <w:tblGrid>
        <w:gridCol w:w="7513"/>
      </w:tblGrid>
      <w:tr w:rsidR="00C01558" w14:paraId="1CA6EEC3" w14:textId="77777777" w:rsidTr="000606C1">
        <w:trPr>
          <w:cantSplit/>
          <w:trHeight w:val="1701"/>
        </w:trPr>
        <w:tc>
          <w:tcPr>
            <w:tcW w:w="7513" w:type="dxa"/>
          </w:tcPr>
          <w:p w14:paraId="3BE6B47D"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227007" w14:textId="77777777" w:rsidR="00E429AC" w:rsidRDefault="00E429AC" w:rsidP="00730F16"/>
    <w:p w14:paraId="0330976F" w14:textId="77777777" w:rsidR="00E429AC" w:rsidRDefault="00E429AC" w:rsidP="00E429AC">
      <w:pPr>
        <w:pStyle w:val="Number"/>
      </w:pPr>
      <w:r w:rsidRPr="001E78D7">
        <w:t>Do you think the alternative option to retain a nominal percent of 15 percent of the application fee when applications are declined is justified?</w:t>
      </w:r>
    </w:p>
    <w:p w14:paraId="7A2E3D76" w14:textId="77777777" w:rsidR="00730F16" w:rsidRDefault="00730F16" w:rsidP="00730F16">
      <w:pPr>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5AF8C44A" w14:textId="77777777" w:rsidR="00730F16" w:rsidRDefault="00730F16" w:rsidP="00730F16">
      <w:pPr>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148F355C" w14:textId="77777777" w:rsidR="00730F16" w:rsidRDefault="00730F16" w:rsidP="00730F16">
      <w:pPr>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730F16" w14:paraId="4C6BCADB" w14:textId="77777777" w:rsidTr="000606C1">
        <w:trPr>
          <w:cantSplit/>
          <w:trHeight w:val="1701"/>
        </w:trPr>
        <w:tc>
          <w:tcPr>
            <w:tcW w:w="7513" w:type="dxa"/>
          </w:tcPr>
          <w:p w14:paraId="54FEC22B" w14:textId="77777777" w:rsidR="00730F16" w:rsidRDefault="00730F16"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52083A" w14:textId="77777777" w:rsidR="00730F16" w:rsidRDefault="00730F16" w:rsidP="00730F16"/>
    <w:p w14:paraId="0C127CA7" w14:textId="77777777" w:rsidR="00E429AC" w:rsidRDefault="00E429AC" w:rsidP="00730F16">
      <w:pPr>
        <w:pStyle w:val="Number"/>
        <w:spacing w:after="120"/>
      </w:pPr>
      <w:r w:rsidRPr="00E258D6">
        <w:t xml:space="preserve">If you think the alternative option to retain a nominal percent of 15 percent of the application fee when applications are declined is </w:t>
      </w:r>
      <w:r>
        <w:rPr>
          <w:b/>
          <w:bCs/>
        </w:rPr>
        <w:t xml:space="preserve">not </w:t>
      </w:r>
      <w:r>
        <w:t>justified</w:t>
      </w:r>
      <w:r w:rsidRPr="00E258D6">
        <w:t>, please outline your reasons</w:t>
      </w:r>
      <w:r>
        <w:t xml:space="preserve"> here.</w:t>
      </w:r>
    </w:p>
    <w:tbl>
      <w:tblPr>
        <w:tblStyle w:val="TableGrid"/>
        <w:tblW w:w="0" w:type="auto"/>
        <w:tblInd w:w="675" w:type="dxa"/>
        <w:tblLayout w:type="fixed"/>
        <w:tblLook w:val="04A0" w:firstRow="1" w:lastRow="0" w:firstColumn="1" w:lastColumn="0" w:noHBand="0" w:noVBand="1"/>
      </w:tblPr>
      <w:tblGrid>
        <w:gridCol w:w="7513"/>
      </w:tblGrid>
      <w:tr w:rsidR="00C01558" w14:paraId="37BF909A" w14:textId="77777777" w:rsidTr="000606C1">
        <w:trPr>
          <w:cantSplit/>
          <w:trHeight w:val="1701"/>
        </w:trPr>
        <w:tc>
          <w:tcPr>
            <w:tcW w:w="7513" w:type="dxa"/>
          </w:tcPr>
          <w:p w14:paraId="3C44D581"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1B3C83" w14:textId="77777777" w:rsidR="00E429AC" w:rsidRDefault="00E429AC" w:rsidP="00730F16">
      <w:pPr>
        <w:pStyle w:val="Number"/>
        <w:spacing w:before="420" w:after="120"/>
      </w:pPr>
      <w:r w:rsidRPr="00E258D6">
        <w:lastRenderedPageBreak/>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7513"/>
      </w:tblGrid>
      <w:tr w:rsidR="00C01558" w14:paraId="1E1F6C8D" w14:textId="77777777" w:rsidTr="000606C1">
        <w:trPr>
          <w:cantSplit/>
          <w:trHeight w:val="1701"/>
        </w:trPr>
        <w:tc>
          <w:tcPr>
            <w:tcW w:w="7513" w:type="dxa"/>
          </w:tcPr>
          <w:p w14:paraId="6EED3BE3"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942514" w14:textId="77777777" w:rsidR="00E429AC" w:rsidRDefault="00E429AC" w:rsidP="00730F16"/>
    <w:p w14:paraId="6C5F5185" w14:textId="77777777" w:rsidR="00E429AC" w:rsidRPr="007B0EF8" w:rsidRDefault="00E429AC" w:rsidP="00E429AC">
      <w:pPr>
        <w:pStyle w:val="Heading4"/>
      </w:pPr>
      <w:r w:rsidRPr="007B0EF8">
        <w:t xml:space="preserve">Consultation </w:t>
      </w:r>
      <w:r>
        <w:t>document section</w:t>
      </w:r>
      <w:r w:rsidRPr="007B0EF8">
        <w:t xml:space="preserve"> </w:t>
      </w:r>
      <w:r>
        <w:t>2.3</w:t>
      </w:r>
      <w:r w:rsidRPr="007B0EF8">
        <w:t xml:space="preserve">: </w:t>
      </w:r>
      <w:r>
        <w:t>Determining the source licence fee payable (compliance monitoring categories)</w:t>
      </w:r>
    </w:p>
    <w:p w14:paraId="1FC752AE" w14:textId="77777777" w:rsidR="00E429AC" w:rsidRPr="00310D3B" w:rsidRDefault="00E429AC" w:rsidP="00E429AC">
      <w:pPr>
        <w:pStyle w:val="Number"/>
      </w:pPr>
      <w:r w:rsidRPr="00310D3B">
        <w:t xml:space="preserve">Do you agree that the preferred options set out in </w:t>
      </w:r>
      <w:r w:rsidR="00B15966">
        <w:t>T</w:t>
      </w:r>
      <w:r w:rsidRPr="00310D3B">
        <w:t xml:space="preserve">able 11 of the </w:t>
      </w:r>
      <w:r>
        <w:t>c</w:t>
      </w:r>
      <w:r w:rsidRPr="00310D3B">
        <w:t xml:space="preserve">onsultation </w:t>
      </w:r>
      <w:r>
        <w:t>d</w:t>
      </w:r>
      <w:r w:rsidRPr="00310D3B">
        <w:t>ocument are justifiable?</w:t>
      </w:r>
    </w:p>
    <w:p w14:paraId="3CBB9E53" w14:textId="77777777" w:rsidR="00B15966" w:rsidRDefault="00B15966" w:rsidP="00B15966">
      <w:pPr>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04B5AA13" w14:textId="77777777" w:rsidR="00B15966" w:rsidRDefault="00B15966" w:rsidP="00B15966">
      <w:pPr>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484A5F29" w14:textId="77777777" w:rsidR="00B15966" w:rsidRDefault="00B15966" w:rsidP="00B15966">
      <w:pPr>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B15966" w14:paraId="51055B8B" w14:textId="77777777" w:rsidTr="000606C1">
        <w:trPr>
          <w:cantSplit/>
          <w:trHeight w:val="1701"/>
        </w:trPr>
        <w:tc>
          <w:tcPr>
            <w:tcW w:w="7513" w:type="dxa"/>
          </w:tcPr>
          <w:p w14:paraId="683193F0" w14:textId="77777777" w:rsidR="00B15966" w:rsidRDefault="00B15966"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95B8EA" w14:textId="77777777" w:rsidR="00B15966" w:rsidRDefault="00B15966" w:rsidP="00B15966"/>
    <w:p w14:paraId="6BE3C58B" w14:textId="77777777" w:rsidR="00E429AC" w:rsidRDefault="00E429AC" w:rsidP="00B15966">
      <w:pPr>
        <w:pStyle w:val="Number"/>
        <w:spacing w:after="120"/>
      </w:pPr>
      <w:r w:rsidRPr="00310D3B">
        <w:t xml:space="preserve">If you do not agree that the preferred options set out in </w:t>
      </w:r>
      <w:r w:rsidR="00B15966">
        <w:t>T</w:t>
      </w:r>
      <w:r w:rsidRPr="00310D3B">
        <w:t xml:space="preserve">able 11 of the </w:t>
      </w:r>
      <w:r>
        <w:t>c</w:t>
      </w:r>
      <w:r w:rsidRPr="00310D3B">
        <w:t xml:space="preserve">onsultation </w:t>
      </w:r>
      <w:r>
        <w:t>d</w:t>
      </w:r>
      <w:r w:rsidRPr="00310D3B">
        <w:t>ocument are justifiable, please identify your reasons and/or provide an alternative option</w:t>
      </w:r>
      <w:r>
        <w:t xml:space="preserve"> here</w:t>
      </w:r>
      <w:r w:rsidRPr="00310D3B">
        <w:t>.</w:t>
      </w:r>
    </w:p>
    <w:tbl>
      <w:tblPr>
        <w:tblStyle w:val="TableGrid"/>
        <w:tblW w:w="0" w:type="auto"/>
        <w:tblInd w:w="675" w:type="dxa"/>
        <w:tblLayout w:type="fixed"/>
        <w:tblLook w:val="04A0" w:firstRow="1" w:lastRow="0" w:firstColumn="1" w:lastColumn="0" w:noHBand="0" w:noVBand="1"/>
      </w:tblPr>
      <w:tblGrid>
        <w:gridCol w:w="7513"/>
      </w:tblGrid>
      <w:tr w:rsidR="00C01558" w14:paraId="5150A277" w14:textId="77777777" w:rsidTr="000606C1">
        <w:trPr>
          <w:cantSplit/>
          <w:trHeight w:val="1701"/>
        </w:trPr>
        <w:tc>
          <w:tcPr>
            <w:tcW w:w="7513" w:type="dxa"/>
          </w:tcPr>
          <w:p w14:paraId="1C1E4BDA"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7598E2" w14:textId="77777777" w:rsidR="00E429AC" w:rsidRDefault="00E429AC" w:rsidP="00B15966"/>
    <w:p w14:paraId="4376CDEC" w14:textId="77777777" w:rsidR="00E429AC" w:rsidRDefault="00E429AC" w:rsidP="00B15966">
      <w:pPr>
        <w:pStyle w:val="Number"/>
        <w:spacing w:after="120"/>
      </w:pPr>
      <w:r w:rsidRPr="00310D3B">
        <w:t>Do you have any further suggestions on grading the compliance monitoring categories so that they better reflect the radiation safety risk that needs to be managed?</w:t>
      </w:r>
    </w:p>
    <w:tbl>
      <w:tblPr>
        <w:tblStyle w:val="TableGrid"/>
        <w:tblW w:w="0" w:type="auto"/>
        <w:tblInd w:w="675" w:type="dxa"/>
        <w:tblLayout w:type="fixed"/>
        <w:tblLook w:val="04A0" w:firstRow="1" w:lastRow="0" w:firstColumn="1" w:lastColumn="0" w:noHBand="0" w:noVBand="1"/>
      </w:tblPr>
      <w:tblGrid>
        <w:gridCol w:w="7513"/>
      </w:tblGrid>
      <w:tr w:rsidR="00C01558" w14:paraId="464B13BC" w14:textId="77777777" w:rsidTr="000606C1">
        <w:trPr>
          <w:cantSplit/>
          <w:trHeight w:val="1701"/>
        </w:trPr>
        <w:tc>
          <w:tcPr>
            <w:tcW w:w="7513" w:type="dxa"/>
          </w:tcPr>
          <w:p w14:paraId="3FC6BCF0"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40F740" w14:textId="77777777" w:rsidR="00B15966" w:rsidRDefault="00B15966" w:rsidP="00B15966"/>
    <w:p w14:paraId="5C5A37ED" w14:textId="77777777" w:rsidR="00E429AC" w:rsidRDefault="00E429AC" w:rsidP="00B15966">
      <w:pPr>
        <w:pStyle w:val="Number"/>
        <w:spacing w:after="120"/>
      </w:pPr>
      <w:r w:rsidRPr="00310D3B">
        <w:lastRenderedPageBreak/>
        <w:t xml:space="preserve">Do you have any further suggestions on </w:t>
      </w:r>
      <w:r>
        <w:t>ways to make</w:t>
      </w:r>
      <w:r w:rsidRPr="00310D3B">
        <w:t xml:space="preserve"> the Regulations clearer for applicants to determine the fees</w:t>
      </w:r>
      <w:r>
        <w:t xml:space="preserve"> they must pay</w:t>
      </w:r>
      <w:r w:rsidRPr="00310D3B">
        <w:t>?</w:t>
      </w:r>
    </w:p>
    <w:tbl>
      <w:tblPr>
        <w:tblStyle w:val="TableGrid"/>
        <w:tblW w:w="0" w:type="auto"/>
        <w:tblInd w:w="675" w:type="dxa"/>
        <w:tblLayout w:type="fixed"/>
        <w:tblLook w:val="04A0" w:firstRow="1" w:lastRow="0" w:firstColumn="1" w:lastColumn="0" w:noHBand="0" w:noVBand="1"/>
      </w:tblPr>
      <w:tblGrid>
        <w:gridCol w:w="7513"/>
      </w:tblGrid>
      <w:tr w:rsidR="00C01558" w14:paraId="52CC80A8" w14:textId="77777777" w:rsidTr="000606C1">
        <w:trPr>
          <w:cantSplit/>
          <w:trHeight w:val="1701"/>
        </w:trPr>
        <w:tc>
          <w:tcPr>
            <w:tcW w:w="7513" w:type="dxa"/>
          </w:tcPr>
          <w:p w14:paraId="0C206B99"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709017" w14:textId="77777777" w:rsidR="00E429AC" w:rsidRDefault="00E429AC" w:rsidP="00B15966"/>
    <w:p w14:paraId="1B547AC7" w14:textId="77777777" w:rsidR="00E429AC" w:rsidRPr="009A367A" w:rsidRDefault="00E429AC" w:rsidP="00E429AC">
      <w:pPr>
        <w:pStyle w:val="Heading4"/>
      </w:pPr>
      <w:r w:rsidRPr="007B0EF8">
        <w:t xml:space="preserve">Consultation </w:t>
      </w:r>
      <w:r>
        <w:t>document section</w:t>
      </w:r>
      <w:r w:rsidRPr="007B0EF8">
        <w:t xml:space="preserve"> </w:t>
      </w:r>
      <w:r>
        <w:t>2.4</w:t>
      </w:r>
      <w:r w:rsidRPr="007B0EF8">
        <w:t xml:space="preserve">: </w:t>
      </w:r>
      <w:r>
        <w:t>Determining the source licence fee payable (inspection periods)</w:t>
      </w:r>
    </w:p>
    <w:p w14:paraId="12F6F585" w14:textId="77777777" w:rsidR="00E429AC" w:rsidRPr="009A367A" w:rsidRDefault="00E429AC" w:rsidP="00E429AC">
      <w:pPr>
        <w:pStyle w:val="Number"/>
      </w:pPr>
      <w:r w:rsidRPr="009A367A">
        <w:t xml:space="preserve">Do you agree with the preferred option to remove </w:t>
      </w:r>
      <w:r>
        <w:t>c</w:t>
      </w:r>
      <w:r w:rsidRPr="009A367A">
        <w:t xml:space="preserve">olumn 2 of </w:t>
      </w:r>
      <w:r>
        <w:t>s</w:t>
      </w:r>
      <w:r w:rsidRPr="009A367A">
        <w:t>chedule 2 of the Regulations (‘Inspection period (years)’) and replace the references with the fees payable (with suitable consequential amendments to ensure that the function of regulation</w:t>
      </w:r>
      <w:r>
        <w:t>s 15 and</w:t>
      </w:r>
      <w:r w:rsidRPr="009A367A">
        <w:t xml:space="preserve"> 16 remain intact and unaltered)?</w:t>
      </w:r>
    </w:p>
    <w:p w14:paraId="27359EE6" w14:textId="77777777" w:rsidR="00B15966" w:rsidRDefault="00B15966" w:rsidP="00B15966">
      <w:pPr>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4F1D9E24" w14:textId="77777777" w:rsidR="00B15966" w:rsidRDefault="00B15966" w:rsidP="00B15966">
      <w:pPr>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3E48BAF2" w14:textId="77777777" w:rsidR="00B15966" w:rsidRDefault="00B15966" w:rsidP="00B15966">
      <w:pPr>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B15966" w14:paraId="25D2243E" w14:textId="77777777" w:rsidTr="000606C1">
        <w:trPr>
          <w:cantSplit/>
          <w:trHeight w:val="1701"/>
        </w:trPr>
        <w:tc>
          <w:tcPr>
            <w:tcW w:w="7513" w:type="dxa"/>
          </w:tcPr>
          <w:p w14:paraId="0738B706" w14:textId="77777777" w:rsidR="00B15966" w:rsidRDefault="00B15966"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C527CF" w14:textId="77777777" w:rsidR="00B15966" w:rsidRDefault="00B15966" w:rsidP="00B15966"/>
    <w:p w14:paraId="6B94D609" w14:textId="77777777" w:rsidR="00E429AC" w:rsidRDefault="00E429AC" w:rsidP="00B15966">
      <w:pPr>
        <w:pStyle w:val="Number"/>
        <w:spacing w:after="120"/>
      </w:pPr>
      <w:r w:rsidRPr="009A367A">
        <w:t xml:space="preserve">If you do not agree with the preferred option to remove </w:t>
      </w:r>
      <w:r>
        <w:t>c</w:t>
      </w:r>
      <w:r w:rsidRPr="009A367A">
        <w:t xml:space="preserve">olumn 2 of </w:t>
      </w:r>
      <w:r>
        <w:t>s</w:t>
      </w:r>
      <w:r w:rsidRPr="009A367A">
        <w:t>chedule 2 of the Regulations (‘Inspection period (years)’) and replace the references with the fees payable (with suitable consequential amendments to ensure that the function of regulation</w:t>
      </w:r>
      <w:r>
        <w:t>s 15 and</w:t>
      </w:r>
      <w:r w:rsidRPr="009A367A">
        <w:t xml:space="preserve"> 16 remain intact and unaltered), please identify your reasons and/or provide an alternative option</w:t>
      </w:r>
      <w:r>
        <w:t xml:space="preserve"> here</w:t>
      </w:r>
      <w:r w:rsidRPr="009A367A">
        <w:t>.</w:t>
      </w:r>
    </w:p>
    <w:tbl>
      <w:tblPr>
        <w:tblStyle w:val="TableGrid"/>
        <w:tblW w:w="0" w:type="auto"/>
        <w:tblInd w:w="675" w:type="dxa"/>
        <w:tblLayout w:type="fixed"/>
        <w:tblLook w:val="04A0" w:firstRow="1" w:lastRow="0" w:firstColumn="1" w:lastColumn="0" w:noHBand="0" w:noVBand="1"/>
      </w:tblPr>
      <w:tblGrid>
        <w:gridCol w:w="7513"/>
      </w:tblGrid>
      <w:tr w:rsidR="00C01558" w14:paraId="12D5C09C" w14:textId="77777777" w:rsidTr="000606C1">
        <w:trPr>
          <w:cantSplit/>
          <w:trHeight w:val="1701"/>
        </w:trPr>
        <w:tc>
          <w:tcPr>
            <w:tcW w:w="7513" w:type="dxa"/>
          </w:tcPr>
          <w:p w14:paraId="47E40D0F"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4AD114" w14:textId="77777777" w:rsidR="00E429AC" w:rsidRDefault="00E429AC" w:rsidP="00B15966"/>
    <w:p w14:paraId="2A43ACC8" w14:textId="77777777" w:rsidR="00E429AC" w:rsidRDefault="00E429AC" w:rsidP="00B15966">
      <w:pPr>
        <w:pStyle w:val="Number"/>
        <w:keepNext/>
        <w:spacing w:after="120"/>
      </w:pPr>
      <w:r w:rsidRPr="009A367A">
        <w:lastRenderedPageBreak/>
        <w:t xml:space="preserve">Do you agree with the alternative option to amend the term ‘inspection period’ to ‘compliance </w:t>
      </w:r>
      <w:r>
        <w:t>verification</w:t>
      </w:r>
      <w:r w:rsidRPr="009A367A">
        <w:t xml:space="preserve"> period’ in regulation 16 and </w:t>
      </w:r>
      <w:r>
        <w:t>s</w:t>
      </w:r>
      <w:r w:rsidRPr="009A367A">
        <w:t>chedule 2 of the Regulations?</w:t>
      </w:r>
    </w:p>
    <w:tbl>
      <w:tblPr>
        <w:tblStyle w:val="TableGrid"/>
        <w:tblW w:w="0" w:type="auto"/>
        <w:tblInd w:w="675" w:type="dxa"/>
        <w:tblLayout w:type="fixed"/>
        <w:tblLook w:val="04A0" w:firstRow="1" w:lastRow="0" w:firstColumn="1" w:lastColumn="0" w:noHBand="0" w:noVBand="1"/>
      </w:tblPr>
      <w:tblGrid>
        <w:gridCol w:w="7513"/>
      </w:tblGrid>
      <w:tr w:rsidR="00C01558" w14:paraId="4A7A3807" w14:textId="77777777" w:rsidTr="000606C1">
        <w:trPr>
          <w:cantSplit/>
          <w:trHeight w:val="1701"/>
        </w:trPr>
        <w:tc>
          <w:tcPr>
            <w:tcW w:w="7513" w:type="dxa"/>
          </w:tcPr>
          <w:p w14:paraId="01483732"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C44D98" w14:textId="77777777" w:rsidR="00E429AC" w:rsidRDefault="00E429AC" w:rsidP="00B15966"/>
    <w:p w14:paraId="7EE1987B" w14:textId="77777777" w:rsidR="00E429AC" w:rsidRDefault="00E429AC" w:rsidP="00B15966">
      <w:pPr>
        <w:pStyle w:val="Number"/>
        <w:spacing w:after="120"/>
      </w:pPr>
      <w:r w:rsidRPr="009A367A">
        <w:t xml:space="preserve">If you do not agree with the alternative option to amend the term ‘inspection period’ to ‘compliance </w:t>
      </w:r>
      <w:r>
        <w:t xml:space="preserve">verification </w:t>
      </w:r>
      <w:r w:rsidRPr="009A367A">
        <w:t xml:space="preserve">period’ in regulation 16 and </w:t>
      </w:r>
      <w:r>
        <w:t>s</w:t>
      </w:r>
      <w:r w:rsidRPr="009A367A">
        <w:t>chedule 2 of the Regulations, please identify your reasons and/or provide an alternative option</w:t>
      </w:r>
      <w:r>
        <w:t xml:space="preserve"> here</w:t>
      </w:r>
      <w:r w:rsidRPr="009A367A">
        <w:t>.</w:t>
      </w:r>
    </w:p>
    <w:tbl>
      <w:tblPr>
        <w:tblStyle w:val="TableGrid"/>
        <w:tblW w:w="0" w:type="auto"/>
        <w:tblInd w:w="675" w:type="dxa"/>
        <w:tblLayout w:type="fixed"/>
        <w:tblLook w:val="04A0" w:firstRow="1" w:lastRow="0" w:firstColumn="1" w:lastColumn="0" w:noHBand="0" w:noVBand="1"/>
      </w:tblPr>
      <w:tblGrid>
        <w:gridCol w:w="7513"/>
      </w:tblGrid>
      <w:tr w:rsidR="00C01558" w14:paraId="341DE606" w14:textId="77777777" w:rsidTr="000606C1">
        <w:trPr>
          <w:cantSplit/>
          <w:trHeight w:val="1701"/>
        </w:trPr>
        <w:tc>
          <w:tcPr>
            <w:tcW w:w="7513" w:type="dxa"/>
          </w:tcPr>
          <w:p w14:paraId="2FA3A5D7"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0E4181" w14:textId="77777777" w:rsidR="00E429AC" w:rsidRDefault="00E429AC" w:rsidP="00B15966"/>
    <w:p w14:paraId="0FF3DD17" w14:textId="77777777" w:rsidR="00E429AC" w:rsidRDefault="00E429AC" w:rsidP="00B15966">
      <w:pPr>
        <w:pStyle w:val="Number"/>
        <w:spacing w:after="120"/>
      </w:pPr>
      <w:r w:rsidRPr="009A367A">
        <w:t>Do you prefer the status quo option of no change? If so, please explain your reasons</w:t>
      </w:r>
      <w:r>
        <w:t xml:space="preserve"> here</w:t>
      </w:r>
      <w:r w:rsidRPr="009A367A">
        <w:t>.</w:t>
      </w:r>
    </w:p>
    <w:tbl>
      <w:tblPr>
        <w:tblStyle w:val="TableGrid"/>
        <w:tblW w:w="0" w:type="auto"/>
        <w:tblInd w:w="675" w:type="dxa"/>
        <w:tblLayout w:type="fixed"/>
        <w:tblLook w:val="04A0" w:firstRow="1" w:lastRow="0" w:firstColumn="1" w:lastColumn="0" w:noHBand="0" w:noVBand="1"/>
      </w:tblPr>
      <w:tblGrid>
        <w:gridCol w:w="7513"/>
      </w:tblGrid>
      <w:tr w:rsidR="00C01558" w14:paraId="48C237B5" w14:textId="77777777" w:rsidTr="000606C1">
        <w:trPr>
          <w:cantSplit/>
          <w:trHeight w:val="1701"/>
        </w:trPr>
        <w:tc>
          <w:tcPr>
            <w:tcW w:w="7513" w:type="dxa"/>
          </w:tcPr>
          <w:p w14:paraId="19756C23"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DFEF0C" w14:textId="77777777" w:rsidR="00E429AC" w:rsidRDefault="00E429AC" w:rsidP="00B15966"/>
    <w:p w14:paraId="72E28675" w14:textId="77777777" w:rsidR="00E429AC" w:rsidRDefault="00E429AC" w:rsidP="00B15966">
      <w:pPr>
        <w:pStyle w:val="Number"/>
        <w:spacing w:after="120"/>
      </w:pPr>
      <w:r w:rsidRPr="009A367A">
        <w:t>Do you have any further suggestions on making the Regulations clearer for applicants to determine the fees they must pay?</w:t>
      </w:r>
    </w:p>
    <w:tbl>
      <w:tblPr>
        <w:tblStyle w:val="TableGrid"/>
        <w:tblW w:w="0" w:type="auto"/>
        <w:tblInd w:w="675" w:type="dxa"/>
        <w:tblLayout w:type="fixed"/>
        <w:tblLook w:val="04A0" w:firstRow="1" w:lastRow="0" w:firstColumn="1" w:lastColumn="0" w:noHBand="0" w:noVBand="1"/>
      </w:tblPr>
      <w:tblGrid>
        <w:gridCol w:w="7513"/>
      </w:tblGrid>
      <w:tr w:rsidR="00C01558" w14:paraId="67DC93A3" w14:textId="77777777" w:rsidTr="000606C1">
        <w:trPr>
          <w:cantSplit/>
          <w:trHeight w:val="1701"/>
        </w:trPr>
        <w:tc>
          <w:tcPr>
            <w:tcW w:w="7513" w:type="dxa"/>
          </w:tcPr>
          <w:p w14:paraId="774D344E"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18C56F" w14:textId="77777777" w:rsidR="00E429AC" w:rsidRDefault="00E429AC" w:rsidP="00B15966"/>
    <w:p w14:paraId="155AF869" w14:textId="77777777" w:rsidR="00E429AC" w:rsidRPr="007B0EF8" w:rsidRDefault="00E429AC" w:rsidP="00E429AC">
      <w:pPr>
        <w:pStyle w:val="Heading4"/>
      </w:pPr>
      <w:r w:rsidRPr="007B0EF8">
        <w:lastRenderedPageBreak/>
        <w:t xml:space="preserve">Consultation </w:t>
      </w:r>
      <w:r>
        <w:t>document section</w:t>
      </w:r>
      <w:r w:rsidRPr="007B0EF8">
        <w:t xml:space="preserve"> </w:t>
      </w:r>
      <w:r>
        <w:t>3.1</w:t>
      </w:r>
      <w:r w:rsidRPr="007B0EF8">
        <w:t xml:space="preserve">: </w:t>
      </w:r>
      <w:r>
        <w:t>Proposed new source licence fees</w:t>
      </w:r>
    </w:p>
    <w:p w14:paraId="5DF899C0" w14:textId="77777777" w:rsidR="00E429AC" w:rsidRPr="009A367A" w:rsidRDefault="00E429AC" w:rsidP="00B15966">
      <w:pPr>
        <w:pStyle w:val="Number"/>
        <w:keepNext/>
      </w:pPr>
      <w:r w:rsidRPr="009A367A">
        <w:t xml:space="preserve">Do you think the preferred option of retaining the existing graded approach to source licence fees based on the assessed cost components set out in </w:t>
      </w:r>
      <w:r w:rsidR="00B15966">
        <w:t>T</w:t>
      </w:r>
      <w:r w:rsidRPr="009A367A">
        <w:t>ables 14 and 15 of the Consultation Document is justified?</w:t>
      </w:r>
    </w:p>
    <w:p w14:paraId="252F5123" w14:textId="77777777" w:rsidR="00B15966" w:rsidRDefault="00B15966" w:rsidP="00B15966">
      <w:pPr>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23488542" w14:textId="77777777" w:rsidR="00B15966" w:rsidRDefault="00B15966" w:rsidP="00B15966">
      <w:pPr>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302CEAC7" w14:textId="77777777" w:rsidR="00B15966" w:rsidRDefault="00B15966" w:rsidP="00B15966">
      <w:pPr>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B15966" w14:paraId="5DC78690" w14:textId="77777777" w:rsidTr="000606C1">
        <w:trPr>
          <w:cantSplit/>
          <w:trHeight w:val="1701"/>
        </w:trPr>
        <w:tc>
          <w:tcPr>
            <w:tcW w:w="7513" w:type="dxa"/>
          </w:tcPr>
          <w:p w14:paraId="463797CE" w14:textId="77777777" w:rsidR="00B15966" w:rsidRDefault="00B15966"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821C27" w14:textId="77777777" w:rsidR="00B15966" w:rsidRDefault="00B15966" w:rsidP="00B15966"/>
    <w:p w14:paraId="7C7ED5D6" w14:textId="77777777" w:rsidR="00E429AC" w:rsidRDefault="00E429AC" w:rsidP="00B15966">
      <w:pPr>
        <w:pStyle w:val="Number"/>
        <w:spacing w:after="120"/>
      </w:pPr>
      <w:r w:rsidRPr="009A367A">
        <w:t xml:space="preserve">If you think the preferred option of retaining the existing graded approach to source licence fees based on the assessed cost components set out in </w:t>
      </w:r>
      <w:r w:rsidR="00C01558">
        <w:t>T</w:t>
      </w:r>
      <w:r w:rsidRPr="009A367A">
        <w:t xml:space="preserve">ables 14 and 15 of the Consultation Document is </w:t>
      </w:r>
      <w:r w:rsidRPr="00765053">
        <w:rPr>
          <w:b/>
          <w:bCs/>
        </w:rPr>
        <w:t>not</w:t>
      </w:r>
      <w:r w:rsidRPr="009A367A">
        <w:t xml:space="preserve"> justifiable, please outline an alternative option for assigning source licence fees</w:t>
      </w:r>
      <w:r>
        <w:t xml:space="preserve"> and</w:t>
      </w:r>
      <w:r w:rsidRPr="009A367A">
        <w:t xml:space="preserve"> provide reasons for </w:t>
      </w:r>
      <w:r>
        <w:t>your option here</w:t>
      </w:r>
      <w:r w:rsidRPr="009A367A">
        <w:t>.</w:t>
      </w:r>
    </w:p>
    <w:tbl>
      <w:tblPr>
        <w:tblStyle w:val="TableGrid"/>
        <w:tblW w:w="0" w:type="auto"/>
        <w:tblInd w:w="675" w:type="dxa"/>
        <w:tblLayout w:type="fixed"/>
        <w:tblLook w:val="04A0" w:firstRow="1" w:lastRow="0" w:firstColumn="1" w:lastColumn="0" w:noHBand="0" w:noVBand="1"/>
      </w:tblPr>
      <w:tblGrid>
        <w:gridCol w:w="7513"/>
      </w:tblGrid>
      <w:tr w:rsidR="00C01558" w14:paraId="78DB406F" w14:textId="77777777" w:rsidTr="000606C1">
        <w:trPr>
          <w:cantSplit/>
          <w:trHeight w:val="1701"/>
        </w:trPr>
        <w:tc>
          <w:tcPr>
            <w:tcW w:w="7513" w:type="dxa"/>
          </w:tcPr>
          <w:p w14:paraId="28DE727F" w14:textId="77777777" w:rsidR="00C01558" w:rsidRDefault="00C01558"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43DB69" w14:textId="77777777" w:rsidR="00E429AC" w:rsidRDefault="00E429AC" w:rsidP="00B15966"/>
    <w:p w14:paraId="5C451300" w14:textId="77777777" w:rsidR="00E429AC" w:rsidRPr="00462C87" w:rsidRDefault="00E429AC" w:rsidP="00191E27">
      <w:pPr>
        <w:pStyle w:val="Number"/>
        <w:spacing w:after="120"/>
      </w:pPr>
      <w:r w:rsidRPr="009A367A">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7513"/>
      </w:tblGrid>
      <w:tr w:rsidR="00191E27" w14:paraId="766D5CF9" w14:textId="77777777" w:rsidTr="000606C1">
        <w:trPr>
          <w:cantSplit/>
          <w:trHeight w:val="1701"/>
        </w:trPr>
        <w:tc>
          <w:tcPr>
            <w:tcW w:w="7513" w:type="dxa"/>
          </w:tcPr>
          <w:p w14:paraId="60F6C841" w14:textId="77777777" w:rsidR="00191E27" w:rsidRDefault="00191E27"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94A3DB" w14:textId="77777777" w:rsidR="00E429AC" w:rsidRDefault="00E429AC" w:rsidP="00191E27"/>
    <w:p w14:paraId="4D5EFBDF" w14:textId="77777777" w:rsidR="00E429AC" w:rsidRPr="00CE19AB" w:rsidRDefault="00E429AC" w:rsidP="00E429AC">
      <w:pPr>
        <w:pStyle w:val="Heading4"/>
      </w:pPr>
      <w:r w:rsidRPr="007B0EF8">
        <w:lastRenderedPageBreak/>
        <w:t>Consultation</w:t>
      </w:r>
      <w:r>
        <w:t xml:space="preserve"> document</w:t>
      </w:r>
      <w:r w:rsidRPr="007B0EF8">
        <w:t xml:space="preserve"> </w:t>
      </w:r>
      <w:r>
        <w:t>section</w:t>
      </w:r>
      <w:r w:rsidRPr="007B0EF8">
        <w:t xml:space="preserve"> </w:t>
      </w:r>
      <w:r>
        <w:t>3.2</w:t>
      </w:r>
      <w:r w:rsidRPr="007B0EF8">
        <w:t xml:space="preserve">: </w:t>
      </w:r>
      <w:r>
        <w:t>Proposed new use licence fees</w:t>
      </w:r>
    </w:p>
    <w:p w14:paraId="4FF188C1" w14:textId="77777777" w:rsidR="00E429AC" w:rsidRDefault="00E429AC" w:rsidP="00691D24">
      <w:pPr>
        <w:pStyle w:val="Number"/>
        <w:keepNext/>
      </w:pPr>
      <w:r w:rsidRPr="00CE19AB">
        <w:t>Do you think the preferred option of setting use licence fees based on the assessed cost components</w:t>
      </w:r>
      <w:r>
        <w:t>, as</w:t>
      </w:r>
      <w:r w:rsidRPr="00CE19AB">
        <w:t xml:space="preserve"> set out in </w:t>
      </w:r>
      <w:r w:rsidR="00691D24">
        <w:t>T</w:t>
      </w:r>
      <w:r w:rsidRPr="00CE19AB">
        <w:t xml:space="preserve">able 16 </w:t>
      </w:r>
      <w:r>
        <w:t xml:space="preserve">of the consultation document, </w:t>
      </w:r>
      <w:r w:rsidRPr="00CE19AB">
        <w:t>is justifiable?</w:t>
      </w:r>
    </w:p>
    <w:p w14:paraId="00183FCA" w14:textId="77777777" w:rsidR="00691D24" w:rsidRDefault="00691D24" w:rsidP="00691D24">
      <w:pPr>
        <w:keepNext/>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3D53DC89" w14:textId="77777777" w:rsidR="00691D24" w:rsidRDefault="00691D24" w:rsidP="00691D24">
      <w:pPr>
        <w:keepNext/>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5540376E" w14:textId="77777777" w:rsidR="00691D24" w:rsidRDefault="00691D24" w:rsidP="00691D24">
      <w:pPr>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691D24" w14:paraId="32A26130" w14:textId="77777777" w:rsidTr="000606C1">
        <w:trPr>
          <w:cantSplit/>
          <w:trHeight w:val="1701"/>
        </w:trPr>
        <w:tc>
          <w:tcPr>
            <w:tcW w:w="7513" w:type="dxa"/>
          </w:tcPr>
          <w:p w14:paraId="1B9B5F43" w14:textId="77777777" w:rsidR="00691D24" w:rsidRDefault="00691D24"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772BBB" w14:textId="77777777" w:rsidR="00691D24" w:rsidRDefault="00691D24" w:rsidP="00691D24"/>
    <w:p w14:paraId="68D56EBC" w14:textId="77777777" w:rsidR="00E429AC" w:rsidRDefault="00E429AC" w:rsidP="00691D24">
      <w:pPr>
        <w:pStyle w:val="Number"/>
        <w:spacing w:after="120"/>
      </w:pPr>
      <w:r w:rsidRPr="00C84736">
        <w:t>If you think the preferred option of setting use licence fees based on the assessed cost components</w:t>
      </w:r>
      <w:r>
        <w:t>, as</w:t>
      </w:r>
      <w:r w:rsidRPr="00C84736">
        <w:t xml:space="preserve"> set out in </w:t>
      </w:r>
      <w:r w:rsidR="00691D24">
        <w:t>T</w:t>
      </w:r>
      <w:r w:rsidRPr="00C84736">
        <w:t xml:space="preserve">able 16 </w:t>
      </w:r>
      <w:r>
        <w:t xml:space="preserve">of the consultation document, </w:t>
      </w:r>
      <w:r w:rsidRPr="00C84736">
        <w:t xml:space="preserve">is </w:t>
      </w:r>
      <w:r w:rsidRPr="00743999">
        <w:rPr>
          <w:b/>
          <w:bCs/>
        </w:rPr>
        <w:t>not</w:t>
      </w:r>
      <w:r w:rsidRPr="00C84736">
        <w:t xml:space="preserve"> justifiable, please outline an alternative option for assigning use licence fees</w:t>
      </w:r>
      <w:r>
        <w:t xml:space="preserve"> and </w:t>
      </w:r>
      <w:r w:rsidRPr="00C84736">
        <w:t xml:space="preserve">provide reasons for your </w:t>
      </w:r>
      <w:r>
        <w:t>option here</w:t>
      </w:r>
      <w:r w:rsidRPr="00C84736">
        <w:t>.</w:t>
      </w:r>
    </w:p>
    <w:tbl>
      <w:tblPr>
        <w:tblStyle w:val="TableGrid"/>
        <w:tblW w:w="0" w:type="auto"/>
        <w:tblInd w:w="675" w:type="dxa"/>
        <w:tblLayout w:type="fixed"/>
        <w:tblLook w:val="04A0" w:firstRow="1" w:lastRow="0" w:firstColumn="1" w:lastColumn="0" w:noHBand="0" w:noVBand="1"/>
      </w:tblPr>
      <w:tblGrid>
        <w:gridCol w:w="7513"/>
      </w:tblGrid>
      <w:tr w:rsidR="00D46127" w14:paraId="08EABFBD" w14:textId="77777777" w:rsidTr="000606C1">
        <w:trPr>
          <w:cantSplit/>
          <w:trHeight w:val="1701"/>
        </w:trPr>
        <w:tc>
          <w:tcPr>
            <w:tcW w:w="7513" w:type="dxa"/>
          </w:tcPr>
          <w:p w14:paraId="5F061F47" w14:textId="77777777" w:rsidR="00D46127" w:rsidRDefault="00D46127"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CA5A14" w14:textId="77777777" w:rsidR="00D46127" w:rsidRDefault="00D46127" w:rsidP="00D46127"/>
    <w:p w14:paraId="5DEE6F61" w14:textId="77777777" w:rsidR="00E429AC" w:rsidRDefault="00E429AC" w:rsidP="00691D24">
      <w:pPr>
        <w:pStyle w:val="Number"/>
        <w:spacing w:after="120"/>
      </w:pPr>
      <w:r w:rsidRPr="00C84736">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7513"/>
      </w:tblGrid>
      <w:tr w:rsidR="00D46127" w14:paraId="2132A888" w14:textId="77777777" w:rsidTr="000606C1">
        <w:trPr>
          <w:cantSplit/>
          <w:trHeight w:val="1701"/>
        </w:trPr>
        <w:tc>
          <w:tcPr>
            <w:tcW w:w="7513" w:type="dxa"/>
          </w:tcPr>
          <w:p w14:paraId="1F33CC55" w14:textId="77777777" w:rsidR="00D46127" w:rsidRDefault="00D46127"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78201B" w14:textId="77777777" w:rsidR="00D46127" w:rsidRDefault="00D46127" w:rsidP="00D46127"/>
    <w:p w14:paraId="2E747637" w14:textId="77777777" w:rsidR="00E429AC" w:rsidRPr="00CE19AB" w:rsidRDefault="00E429AC" w:rsidP="00E429AC">
      <w:pPr>
        <w:pStyle w:val="Heading4"/>
      </w:pPr>
      <w:r w:rsidRPr="007B0EF8">
        <w:lastRenderedPageBreak/>
        <w:t xml:space="preserve">Consultation </w:t>
      </w:r>
      <w:r>
        <w:t>document section</w:t>
      </w:r>
      <w:r w:rsidRPr="007B0EF8">
        <w:t xml:space="preserve"> </w:t>
      </w:r>
      <w:r>
        <w:t>3.3</w:t>
      </w:r>
      <w:r w:rsidRPr="007B0EF8">
        <w:t xml:space="preserve">: </w:t>
      </w:r>
      <w:r>
        <w:t>Proposed new consent fees</w:t>
      </w:r>
    </w:p>
    <w:p w14:paraId="44E7DD9E" w14:textId="77777777" w:rsidR="00E429AC" w:rsidRPr="00FB6180" w:rsidRDefault="00E429AC" w:rsidP="00D46127">
      <w:pPr>
        <w:pStyle w:val="Number"/>
        <w:keepNext/>
      </w:pPr>
      <w:r w:rsidRPr="00FB6180">
        <w:t xml:space="preserve">Do you think the preferred option of setting consent fees based on the assessed cost components set out in </w:t>
      </w:r>
      <w:r w:rsidR="00691D24">
        <w:t>T</w:t>
      </w:r>
      <w:r w:rsidRPr="00FB6180">
        <w:t xml:space="preserve">able 17 </w:t>
      </w:r>
      <w:r>
        <w:t xml:space="preserve">of the consultation document </w:t>
      </w:r>
      <w:r w:rsidRPr="00FB6180">
        <w:t>is justifiable?</w:t>
      </w:r>
    </w:p>
    <w:p w14:paraId="0E2DD4BD" w14:textId="77777777" w:rsidR="00691D24" w:rsidRDefault="00691D24" w:rsidP="00D46127">
      <w:pPr>
        <w:keepNext/>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0F46FE13" w14:textId="77777777" w:rsidR="00691D24" w:rsidRDefault="00691D24" w:rsidP="00D46127">
      <w:pPr>
        <w:keepNext/>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318DE736" w14:textId="77777777" w:rsidR="00691D24" w:rsidRDefault="00691D24" w:rsidP="00D46127">
      <w:pPr>
        <w:keepNext/>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691D24" w14:paraId="0E5655A4" w14:textId="77777777" w:rsidTr="000606C1">
        <w:trPr>
          <w:cantSplit/>
          <w:trHeight w:val="1701"/>
        </w:trPr>
        <w:tc>
          <w:tcPr>
            <w:tcW w:w="7513" w:type="dxa"/>
          </w:tcPr>
          <w:p w14:paraId="2BEBC0F6" w14:textId="77777777" w:rsidR="00691D24" w:rsidRDefault="00691D24"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2037DE" w14:textId="77777777" w:rsidR="00691D24" w:rsidRDefault="00691D24" w:rsidP="00691D24"/>
    <w:p w14:paraId="6C0BF778" w14:textId="77777777" w:rsidR="00E429AC" w:rsidRDefault="00E429AC" w:rsidP="00691D24">
      <w:pPr>
        <w:pStyle w:val="Number"/>
        <w:spacing w:after="120"/>
      </w:pPr>
      <w:r w:rsidRPr="006D04B8">
        <w:t xml:space="preserve">If you think the preferred option of setting consent fees based on the assessed cost components set out in </w:t>
      </w:r>
      <w:r w:rsidR="00691D24">
        <w:t>T</w:t>
      </w:r>
      <w:r w:rsidRPr="006D04B8">
        <w:t xml:space="preserve">able 17 </w:t>
      </w:r>
      <w:r>
        <w:t xml:space="preserve">of the consultation document </w:t>
      </w:r>
      <w:r w:rsidRPr="006D04B8">
        <w:t xml:space="preserve">is </w:t>
      </w:r>
      <w:r w:rsidRPr="00987885">
        <w:rPr>
          <w:b/>
          <w:bCs/>
        </w:rPr>
        <w:t>not</w:t>
      </w:r>
      <w:r w:rsidRPr="006D04B8">
        <w:t xml:space="preserve"> justifiable, please outline an alternative option for assigning use licence fees</w:t>
      </w:r>
      <w:r>
        <w:t xml:space="preserve"> and</w:t>
      </w:r>
      <w:r w:rsidRPr="006D04B8">
        <w:t xml:space="preserve"> provide reasons for your </w:t>
      </w:r>
      <w:r>
        <w:t>option here.</w:t>
      </w:r>
    </w:p>
    <w:tbl>
      <w:tblPr>
        <w:tblStyle w:val="TableGrid"/>
        <w:tblW w:w="0" w:type="auto"/>
        <w:tblInd w:w="675" w:type="dxa"/>
        <w:tblLayout w:type="fixed"/>
        <w:tblLook w:val="04A0" w:firstRow="1" w:lastRow="0" w:firstColumn="1" w:lastColumn="0" w:noHBand="0" w:noVBand="1"/>
      </w:tblPr>
      <w:tblGrid>
        <w:gridCol w:w="7513"/>
      </w:tblGrid>
      <w:tr w:rsidR="00D46127" w14:paraId="7E890EA7" w14:textId="77777777" w:rsidTr="000606C1">
        <w:trPr>
          <w:cantSplit/>
          <w:trHeight w:val="1701"/>
        </w:trPr>
        <w:tc>
          <w:tcPr>
            <w:tcW w:w="7513" w:type="dxa"/>
          </w:tcPr>
          <w:p w14:paraId="22219CCC" w14:textId="77777777" w:rsidR="00D46127" w:rsidRDefault="00D46127"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426FC" w14:textId="77777777" w:rsidR="00D46127" w:rsidRDefault="00D46127" w:rsidP="00D46127"/>
    <w:p w14:paraId="19587761" w14:textId="77777777" w:rsidR="00E429AC" w:rsidRDefault="00E429AC" w:rsidP="00D46127">
      <w:pPr>
        <w:pStyle w:val="Number"/>
        <w:spacing w:after="120"/>
      </w:pPr>
      <w:r w:rsidRPr="002C2C67">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7513"/>
      </w:tblGrid>
      <w:tr w:rsidR="00D46127" w14:paraId="7D6B02FA" w14:textId="77777777" w:rsidTr="000606C1">
        <w:trPr>
          <w:cantSplit/>
          <w:trHeight w:val="1701"/>
        </w:trPr>
        <w:tc>
          <w:tcPr>
            <w:tcW w:w="7513" w:type="dxa"/>
          </w:tcPr>
          <w:p w14:paraId="71E87204" w14:textId="77777777" w:rsidR="00D46127" w:rsidRDefault="00D46127"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5E3705" w14:textId="77777777" w:rsidR="00D46127" w:rsidRDefault="00D46127" w:rsidP="00D46127"/>
    <w:p w14:paraId="72717A94" w14:textId="77777777" w:rsidR="00E429AC" w:rsidRPr="00CE19AB" w:rsidRDefault="00E429AC" w:rsidP="00E429AC">
      <w:pPr>
        <w:pStyle w:val="Heading4"/>
      </w:pPr>
      <w:r w:rsidRPr="007B0EF8">
        <w:t xml:space="preserve">Consultation </w:t>
      </w:r>
      <w:r>
        <w:t>document section</w:t>
      </w:r>
      <w:r w:rsidRPr="007B0EF8">
        <w:t xml:space="preserve"> </w:t>
      </w:r>
      <w:r>
        <w:t>4.1</w:t>
      </w:r>
      <w:r w:rsidRPr="007B0EF8">
        <w:t xml:space="preserve">: </w:t>
      </w:r>
      <w:r>
        <w:t>Exemption for dealing with irradiating apparatuses used for X-ray fluorescence and X-ray diffraction likely to result in very low effective doses</w:t>
      </w:r>
    </w:p>
    <w:p w14:paraId="06786FB6" w14:textId="77777777" w:rsidR="00E429AC" w:rsidRPr="00233327" w:rsidRDefault="00E429AC" w:rsidP="00D46127">
      <w:pPr>
        <w:pStyle w:val="Number"/>
        <w:keepNext/>
      </w:pPr>
      <w:r w:rsidRPr="00233327">
        <w:t>Do you think that the preferred option of requiring registration and record keeping for people who deal with irradiating apparatus</w:t>
      </w:r>
      <w:r>
        <w:t>es</w:t>
      </w:r>
      <w:r w:rsidRPr="00233327">
        <w:t xml:space="preserve"> used for X-ray fluorescence and X-ray diffraction that, in reasonably foreseeable circumstances, </w:t>
      </w:r>
      <w:r w:rsidRPr="00233327">
        <w:lastRenderedPageBreak/>
        <w:t>is likely to result in an effective does of less than 10 micros</w:t>
      </w:r>
      <w:r>
        <w:t>i</w:t>
      </w:r>
      <w:r w:rsidRPr="00233327">
        <w:t>everts per year is proportionate to the additional radiation safety that will be achieved?</w:t>
      </w:r>
    </w:p>
    <w:p w14:paraId="55625AFA" w14:textId="77777777" w:rsidR="00691D24" w:rsidRDefault="00691D24" w:rsidP="00D46127">
      <w:pPr>
        <w:keepNext/>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39491C10" w14:textId="77777777" w:rsidR="00691D24" w:rsidRDefault="00691D24" w:rsidP="00D46127">
      <w:pPr>
        <w:keepNext/>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44C6533A" w14:textId="77777777" w:rsidR="00691D24" w:rsidRDefault="00691D24" w:rsidP="00691D24">
      <w:pPr>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691D24" w14:paraId="7A0785A3" w14:textId="77777777" w:rsidTr="000606C1">
        <w:trPr>
          <w:cantSplit/>
          <w:trHeight w:val="1701"/>
        </w:trPr>
        <w:tc>
          <w:tcPr>
            <w:tcW w:w="7513" w:type="dxa"/>
          </w:tcPr>
          <w:p w14:paraId="0773A181" w14:textId="77777777" w:rsidR="00691D24" w:rsidRDefault="00691D24"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9EABC3" w14:textId="77777777" w:rsidR="00691D24" w:rsidRDefault="00691D24" w:rsidP="00691D24"/>
    <w:p w14:paraId="1B3020E6" w14:textId="77777777" w:rsidR="00E429AC" w:rsidRDefault="00E429AC" w:rsidP="00691D24">
      <w:pPr>
        <w:pStyle w:val="Number"/>
        <w:spacing w:after="120"/>
      </w:pPr>
      <w:r w:rsidRPr="00233327">
        <w:t>If you think the preferred option is disproportionate, please provide comment to support your view</w:t>
      </w:r>
      <w:r>
        <w:t xml:space="preserve"> here</w:t>
      </w:r>
      <w:r w:rsidRPr="00233327">
        <w:t>.</w:t>
      </w:r>
    </w:p>
    <w:tbl>
      <w:tblPr>
        <w:tblStyle w:val="TableGrid"/>
        <w:tblW w:w="0" w:type="auto"/>
        <w:tblInd w:w="675" w:type="dxa"/>
        <w:tblLayout w:type="fixed"/>
        <w:tblLook w:val="04A0" w:firstRow="1" w:lastRow="0" w:firstColumn="1" w:lastColumn="0" w:noHBand="0" w:noVBand="1"/>
      </w:tblPr>
      <w:tblGrid>
        <w:gridCol w:w="7513"/>
      </w:tblGrid>
      <w:tr w:rsidR="00D46127" w14:paraId="3C8E5CFC" w14:textId="77777777" w:rsidTr="000606C1">
        <w:trPr>
          <w:cantSplit/>
          <w:trHeight w:val="1701"/>
        </w:trPr>
        <w:tc>
          <w:tcPr>
            <w:tcW w:w="7513" w:type="dxa"/>
          </w:tcPr>
          <w:p w14:paraId="206ACEDB" w14:textId="77777777" w:rsidR="00D46127" w:rsidRDefault="00D46127"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1F694" w14:textId="77777777" w:rsidR="00D46127" w:rsidRDefault="00D46127" w:rsidP="00D46127"/>
    <w:p w14:paraId="46AD6D19" w14:textId="77777777" w:rsidR="00E429AC" w:rsidRDefault="00E429AC" w:rsidP="00691D24">
      <w:pPr>
        <w:pStyle w:val="Number"/>
        <w:spacing w:after="120"/>
      </w:pPr>
      <w:r w:rsidRPr="00233327">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7513"/>
      </w:tblGrid>
      <w:tr w:rsidR="00D46127" w14:paraId="41231FA4" w14:textId="77777777" w:rsidTr="000606C1">
        <w:trPr>
          <w:cantSplit/>
          <w:trHeight w:val="1701"/>
        </w:trPr>
        <w:tc>
          <w:tcPr>
            <w:tcW w:w="7513" w:type="dxa"/>
          </w:tcPr>
          <w:p w14:paraId="063F300D" w14:textId="77777777" w:rsidR="00D46127" w:rsidRDefault="00D46127"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81A3E7" w14:textId="77777777" w:rsidR="00D46127" w:rsidRDefault="00D46127" w:rsidP="00D46127"/>
    <w:p w14:paraId="3779C024" w14:textId="77777777" w:rsidR="00E429AC" w:rsidRDefault="00E429AC" w:rsidP="00E429AC">
      <w:pPr>
        <w:pStyle w:val="Heading4"/>
        <w:rPr>
          <w:sz w:val="22"/>
        </w:rPr>
      </w:pPr>
      <w:r w:rsidRPr="007B0EF8">
        <w:t xml:space="preserve">Consultation </w:t>
      </w:r>
      <w:r>
        <w:t>document section</w:t>
      </w:r>
      <w:r w:rsidRPr="007B0EF8">
        <w:t xml:space="preserve"> </w:t>
      </w:r>
      <w:r>
        <w:t>4.2</w:t>
      </w:r>
      <w:r w:rsidRPr="007B0EF8">
        <w:t xml:space="preserve">: </w:t>
      </w:r>
      <w:r>
        <w:t>Proposed changes to Veterinarian exemption and Medical Imaging Technologists exemption under Schedule 3</w:t>
      </w:r>
    </w:p>
    <w:p w14:paraId="54CCFC38" w14:textId="77777777" w:rsidR="00E429AC" w:rsidRPr="0057470F" w:rsidRDefault="00E429AC" w:rsidP="00D46127">
      <w:pPr>
        <w:pStyle w:val="Number"/>
        <w:keepNext/>
      </w:pPr>
      <w:r w:rsidRPr="0057470F">
        <w:t>Do you agree with the preferred option to tighten the scope of activities that veterinarians can perform without the need to obtain a use licence?</w:t>
      </w:r>
    </w:p>
    <w:p w14:paraId="56F4D3B3" w14:textId="77777777" w:rsidR="00691D24" w:rsidRDefault="00691D24" w:rsidP="00D46127">
      <w:pPr>
        <w:keepNext/>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096A4E53" w14:textId="77777777" w:rsidR="00691D24" w:rsidRDefault="00691D24" w:rsidP="00D46127">
      <w:pPr>
        <w:keepNext/>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4E4B86E4" w14:textId="77777777" w:rsidR="00691D24" w:rsidRDefault="00691D24" w:rsidP="00691D24">
      <w:pPr>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691D24" w14:paraId="2AB11FEF" w14:textId="77777777" w:rsidTr="000606C1">
        <w:trPr>
          <w:cantSplit/>
          <w:trHeight w:val="1701"/>
        </w:trPr>
        <w:tc>
          <w:tcPr>
            <w:tcW w:w="7513" w:type="dxa"/>
          </w:tcPr>
          <w:p w14:paraId="4282B045" w14:textId="77777777" w:rsidR="00691D24" w:rsidRDefault="00691D24"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22D7A2" w14:textId="77777777" w:rsidR="00691D24" w:rsidRDefault="00691D24" w:rsidP="00691D24"/>
    <w:p w14:paraId="1BB74A74" w14:textId="77777777" w:rsidR="00E429AC" w:rsidRDefault="00E429AC" w:rsidP="00691D24">
      <w:pPr>
        <w:pStyle w:val="Number"/>
        <w:spacing w:after="120"/>
      </w:pPr>
      <w:r w:rsidRPr="009F2A40">
        <w:t>If you do not agree with the preferred option to tighten the scope of activities that veterinarians can perform without the need to obtain a use licence, please outline your reasons and/or suggest an alternative approach</w:t>
      </w:r>
      <w:r>
        <w:t xml:space="preserve"> here</w:t>
      </w:r>
      <w:r w:rsidRPr="009F2A40">
        <w:t>.</w:t>
      </w:r>
    </w:p>
    <w:tbl>
      <w:tblPr>
        <w:tblStyle w:val="TableGrid"/>
        <w:tblW w:w="0" w:type="auto"/>
        <w:tblInd w:w="675" w:type="dxa"/>
        <w:tblLayout w:type="fixed"/>
        <w:tblLook w:val="04A0" w:firstRow="1" w:lastRow="0" w:firstColumn="1" w:lastColumn="0" w:noHBand="0" w:noVBand="1"/>
      </w:tblPr>
      <w:tblGrid>
        <w:gridCol w:w="7513"/>
      </w:tblGrid>
      <w:tr w:rsidR="00D46127" w14:paraId="3A02944F" w14:textId="77777777" w:rsidTr="000606C1">
        <w:trPr>
          <w:cantSplit/>
          <w:trHeight w:val="1701"/>
        </w:trPr>
        <w:tc>
          <w:tcPr>
            <w:tcW w:w="7513" w:type="dxa"/>
          </w:tcPr>
          <w:p w14:paraId="61B00D7E" w14:textId="77777777" w:rsidR="00D46127" w:rsidRDefault="00D46127"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006601" w14:textId="77777777" w:rsidR="00D46127" w:rsidRDefault="00D46127" w:rsidP="00D46127"/>
    <w:p w14:paraId="7A55FCE4" w14:textId="77777777" w:rsidR="00E429AC" w:rsidRPr="00A3017C" w:rsidRDefault="00E429AC" w:rsidP="00E429AC">
      <w:pPr>
        <w:pStyle w:val="Number"/>
      </w:pPr>
      <w:r w:rsidRPr="00A3017C">
        <w:t>Do you agree with the preferred option to broaden the scope of activities that medical imaging technologists can perform without the need to obtain a use licence?</w:t>
      </w:r>
    </w:p>
    <w:p w14:paraId="4FD3B070" w14:textId="77777777" w:rsidR="00691D24" w:rsidRDefault="00691D24" w:rsidP="00691D24">
      <w:pPr>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07248B0A" w14:textId="77777777" w:rsidR="00691D24" w:rsidRDefault="00691D24" w:rsidP="00691D24">
      <w:pPr>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1FF6A3A6" w14:textId="77777777" w:rsidR="00691D24" w:rsidRDefault="00691D24" w:rsidP="00691D24">
      <w:pPr>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691D24" w14:paraId="5BD33BF5" w14:textId="77777777" w:rsidTr="000606C1">
        <w:trPr>
          <w:cantSplit/>
          <w:trHeight w:val="1701"/>
        </w:trPr>
        <w:tc>
          <w:tcPr>
            <w:tcW w:w="7513" w:type="dxa"/>
          </w:tcPr>
          <w:p w14:paraId="53F0E6CD" w14:textId="77777777" w:rsidR="00691D24" w:rsidRDefault="00691D24"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B01F03" w14:textId="77777777" w:rsidR="00691D24" w:rsidRDefault="00691D24" w:rsidP="00691D24"/>
    <w:p w14:paraId="6CA29D57" w14:textId="77777777" w:rsidR="00E429AC" w:rsidRDefault="00E429AC" w:rsidP="00D46127">
      <w:pPr>
        <w:pStyle w:val="Number"/>
        <w:keepNext/>
        <w:spacing w:after="120"/>
      </w:pPr>
      <w:r w:rsidRPr="008D58E7">
        <w:t>If you do not agree with the preferred option to broaden the scope of activities that medical imaging technologists can perform without the need to obtain a use licence, please outline your reasons and/or suggest an alternative approach</w:t>
      </w:r>
      <w:r>
        <w:t xml:space="preserve"> here</w:t>
      </w:r>
      <w:r w:rsidRPr="008D58E7">
        <w:t>.</w:t>
      </w:r>
    </w:p>
    <w:tbl>
      <w:tblPr>
        <w:tblStyle w:val="TableGrid"/>
        <w:tblW w:w="0" w:type="auto"/>
        <w:tblInd w:w="675" w:type="dxa"/>
        <w:tblLayout w:type="fixed"/>
        <w:tblLook w:val="04A0" w:firstRow="1" w:lastRow="0" w:firstColumn="1" w:lastColumn="0" w:noHBand="0" w:noVBand="1"/>
      </w:tblPr>
      <w:tblGrid>
        <w:gridCol w:w="7513"/>
      </w:tblGrid>
      <w:tr w:rsidR="00D46127" w14:paraId="49884F3F" w14:textId="77777777" w:rsidTr="000606C1">
        <w:trPr>
          <w:cantSplit/>
          <w:trHeight w:val="1701"/>
        </w:trPr>
        <w:tc>
          <w:tcPr>
            <w:tcW w:w="7513" w:type="dxa"/>
          </w:tcPr>
          <w:p w14:paraId="357AF7FC" w14:textId="77777777" w:rsidR="00D46127" w:rsidRDefault="00D46127"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54EF6B" w14:textId="77777777" w:rsidR="00D46127" w:rsidRDefault="00D46127" w:rsidP="00D46127"/>
    <w:p w14:paraId="0E7192F2" w14:textId="77777777" w:rsidR="00E429AC" w:rsidRDefault="00E429AC" w:rsidP="00691D24">
      <w:pPr>
        <w:pStyle w:val="Number"/>
        <w:spacing w:after="120"/>
      </w:pPr>
      <w:r w:rsidRPr="001C33DB">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7513"/>
      </w:tblGrid>
      <w:tr w:rsidR="00D46127" w14:paraId="616DA981" w14:textId="77777777" w:rsidTr="000606C1">
        <w:trPr>
          <w:cantSplit/>
          <w:trHeight w:val="1701"/>
        </w:trPr>
        <w:tc>
          <w:tcPr>
            <w:tcW w:w="7513" w:type="dxa"/>
          </w:tcPr>
          <w:p w14:paraId="361F14CC" w14:textId="77777777" w:rsidR="00D46127" w:rsidRDefault="00D46127"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0C9A12" w14:textId="77777777" w:rsidR="00D46127" w:rsidRDefault="00D46127" w:rsidP="00D46127"/>
    <w:p w14:paraId="497F8712" w14:textId="77777777" w:rsidR="00E429AC" w:rsidRDefault="00E429AC" w:rsidP="00E429AC">
      <w:pPr>
        <w:pStyle w:val="Heading4"/>
        <w:rPr>
          <w:sz w:val="22"/>
        </w:rPr>
      </w:pPr>
      <w:r w:rsidRPr="007B0EF8">
        <w:lastRenderedPageBreak/>
        <w:t xml:space="preserve">Consultation </w:t>
      </w:r>
      <w:r>
        <w:t>document section</w:t>
      </w:r>
      <w:r w:rsidRPr="007B0EF8">
        <w:t xml:space="preserve"> </w:t>
      </w:r>
      <w:r>
        <w:t>5</w:t>
      </w:r>
      <w:r w:rsidRPr="007B0EF8">
        <w:t xml:space="preserve">: </w:t>
      </w:r>
      <w:r>
        <w:t>Other matters that can be dealt with under the Regulations</w:t>
      </w:r>
    </w:p>
    <w:p w14:paraId="3C6D91E9" w14:textId="77777777" w:rsidR="00E429AC" w:rsidRPr="00A80109" w:rsidRDefault="00E429AC" w:rsidP="00E429AC">
      <w:pPr>
        <w:pStyle w:val="Number"/>
      </w:pPr>
      <w:r w:rsidRPr="00A80109">
        <w:t>Do you think there are any other matters that should be included in or removed from the Regulations? Please provide justification for your view.</w:t>
      </w:r>
    </w:p>
    <w:p w14:paraId="52835F5A" w14:textId="77777777" w:rsidR="00691D24" w:rsidRDefault="00691D24" w:rsidP="00691D24">
      <w:pPr>
        <w:spacing w:before="60"/>
        <w:ind w:left="1134" w:hanging="567"/>
      </w:pPr>
      <w:r>
        <w:fldChar w:fldCharType="begin">
          <w:ffData>
            <w:name w:val="Check3"/>
            <w:enabled/>
            <w:calcOnExit w:val="0"/>
            <w:checkBox>
              <w:sizeAuto/>
              <w:default w:val="0"/>
            </w:checkBox>
          </w:ffData>
        </w:fldChar>
      </w:r>
      <w:r>
        <w:instrText xml:space="preserve"> FORMCHECKBOX </w:instrText>
      </w:r>
      <w:r w:rsidR="00791F7B">
        <w:fldChar w:fldCharType="separate"/>
      </w:r>
      <w:r>
        <w:fldChar w:fldCharType="end"/>
      </w:r>
      <w:r>
        <w:tab/>
        <w:t>Yes</w:t>
      </w:r>
    </w:p>
    <w:p w14:paraId="14EDD305" w14:textId="77777777" w:rsidR="00691D24" w:rsidRDefault="00691D24" w:rsidP="00691D24">
      <w:pPr>
        <w:spacing w:before="60"/>
        <w:ind w:left="1134" w:hanging="567"/>
      </w:pPr>
      <w:r>
        <w:fldChar w:fldCharType="begin">
          <w:ffData>
            <w:name w:val="Check4"/>
            <w:enabled/>
            <w:calcOnExit w:val="0"/>
            <w:checkBox>
              <w:sizeAuto/>
              <w:default w:val="0"/>
            </w:checkBox>
          </w:ffData>
        </w:fldChar>
      </w:r>
      <w:r>
        <w:instrText xml:space="preserve"> FORMCHECKBOX </w:instrText>
      </w:r>
      <w:r w:rsidR="00791F7B">
        <w:fldChar w:fldCharType="separate"/>
      </w:r>
      <w:r>
        <w:fldChar w:fldCharType="end"/>
      </w:r>
      <w:r>
        <w:tab/>
        <w:t>No</w:t>
      </w:r>
    </w:p>
    <w:p w14:paraId="02C519B2" w14:textId="77777777" w:rsidR="00691D24" w:rsidRDefault="00691D24" w:rsidP="00691D24">
      <w:pPr>
        <w:spacing w:before="120" w:after="120"/>
        <w:ind w:left="567"/>
      </w:pPr>
      <w:r>
        <w:t>Please provide further information here if you wish.</w:t>
      </w:r>
    </w:p>
    <w:tbl>
      <w:tblPr>
        <w:tblStyle w:val="TableGrid"/>
        <w:tblW w:w="0" w:type="auto"/>
        <w:tblInd w:w="675" w:type="dxa"/>
        <w:tblLayout w:type="fixed"/>
        <w:tblLook w:val="04A0" w:firstRow="1" w:lastRow="0" w:firstColumn="1" w:lastColumn="0" w:noHBand="0" w:noVBand="1"/>
      </w:tblPr>
      <w:tblGrid>
        <w:gridCol w:w="7513"/>
      </w:tblGrid>
      <w:tr w:rsidR="00691D24" w14:paraId="29C141A4" w14:textId="77777777" w:rsidTr="000606C1">
        <w:trPr>
          <w:cantSplit/>
          <w:trHeight w:val="1701"/>
        </w:trPr>
        <w:tc>
          <w:tcPr>
            <w:tcW w:w="7513" w:type="dxa"/>
          </w:tcPr>
          <w:p w14:paraId="5E7781F3" w14:textId="77777777" w:rsidR="00691D24" w:rsidRDefault="00691D24" w:rsidP="000606C1">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2"/>
      <w:bookmarkEnd w:id="13"/>
    </w:tbl>
    <w:p w14:paraId="75FFEC71" w14:textId="77777777" w:rsidR="002E543D" w:rsidRDefault="002E543D" w:rsidP="00691D24"/>
    <w:sectPr w:rsidR="002E543D" w:rsidSect="00FD6F2E">
      <w:footerReference w:type="even" r:id="rId10"/>
      <w:footerReference w:type="default" r:id="rId11"/>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4ED2" w14:textId="77777777" w:rsidR="00A3710F" w:rsidRDefault="00A3710F">
      <w:r>
        <w:separator/>
      </w:r>
    </w:p>
    <w:p w14:paraId="08FB9660" w14:textId="77777777" w:rsidR="00A3710F" w:rsidRDefault="00A3710F"/>
  </w:endnote>
  <w:endnote w:type="continuationSeparator" w:id="0">
    <w:p w14:paraId="2CFAE3B3" w14:textId="77777777" w:rsidR="00A3710F" w:rsidRDefault="00A3710F">
      <w:r>
        <w:continuationSeparator/>
      </w:r>
    </w:p>
    <w:p w14:paraId="2FFE0C31" w14:textId="77777777" w:rsidR="00A3710F" w:rsidRDefault="00A37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FD6F2E" w14:paraId="0C08DB57" w14:textId="77777777" w:rsidTr="000606C1">
      <w:trPr>
        <w:cantSplit/>
      </w:trPr>
      <w:tc>
        <w:tcPr>
          <w:tcW w:w="709" w:type="dxa"/>
          <w:vAlign w:val="center"/>
        </w:tcPr>
        <w:p w14:paraId="15A62741" w14:textId="77777777" w:rsidR="00FD6F2E" w:rsidRPr="00931466" w:rsidRDefault="00FD6F2E" w:rsidP="000606C1">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E543D">
            <w:rPr>
              <w:rStyle w:val="PageNumber"/>
              <w:noProof/>
            </w:rPr>
            <w:t>16</w:t>
          </w:r>
          <w:r w:rsidRPr="00931466">
            <w:rPr>
              <w:rStyle w:val="PageNumber"/>
            </w:rPr>
            <w:fldChar w:fldCharType="end"/>
          </w:r>
        </w:p>
      </w:tc>
      <w:tc>
        <w:tcPr>
          <w:tcW w:w="8080" w:type="dxa"/>
          <w:vAlign w:val="center"/>
        </w:tcPr>
        <w:p w14:paraId="223CA814" w14:textId="77777777" w:rsidR="00FD6F2E" w:rsidRDefault="00FD6F2E" w:rsidP="00FD6F2E">
          <w:pPr>
            <w:pStyle w:val="RectoFooter"/>
            <w:jc w:val="left"/>
          </w:pPr>
          <w:r>
            <w:t>review of radiation safety regulations 2016: submission form</w:t>
          </w:r>
        </w:p>
      </w:tc>
    </w:tr>
  </w:tbl>
  <w:p w14:paraId="4AD34470" w14:textId="77777777" w:rsidR="00FD6F2E" w:rsidRPr="00FD6F2E" w:rsidRDefault="00FD6F2E" w:rsidP="00FD6F2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E429AC" w14:paraId="1B7C0F35" w14:textId="77777777" w:rsidTr="006E2886">
      <w:trPr>
        <w:cantSplit/>
      </w:trPr>
      <w:tc>
        <w:tcPr>
          <w:tcW w:w="8080" w:type="dxa"/>
          <w:vAlign w:val="center"/>
        </w:tcPr>
        <w:p w14:paraId="51839984" w14:textId="77777777" w:rsidR="00E429AC" w:rsidRDefault="00E429AC" w:rsidP="00E429AC">
          <w:pPr>
            <w:pStyle w:val="RectoFooter"/>
          </w:pPr>
          <w:r>
            <w:t>review of radiation safety regulations 2016: submission form</w:t>
          </w:r>
        </w:p>
      </w:tc>
      <w:tc>
        <w:tcPr>
          <w:tcW w:w="709" w:type="dxa"/>
          <w:vAlign w:val="center"/>
        </w:tcPr>
        <w:p w14:paraId="40A52B54" w14:textId="77777777" w:rsidR="00E429AC" w:rsidRPr="00931466" w:rsidRDefault="00E429A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E543D">
            <w:rPr>
              <w:rStyle w:val="PageNumber"/>
              <w:noProof/>
            </w:rPr>
            <w:t>1</w:t>
          </w:r>
          <w:r w:rsidRPr="00931466">
            <w:rPr>
              <w:rStyle w:val="PageNumber"/>
            </w:rPr>
            <w:fldChar w:fldCharType="end"/>
          </w:r>
        </w:p>
      </w:tc>
    </w:tr>
  </w:tbl>
  <w:p w14:paraId="016027FE" w14:textId="77777777" w:rsidR="00E429AC" w:rsidRPr="00581EB8" w:rsidRDefault="00E429AC"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B63E2" w14:textId="77777777" w:rsidR="00A3710F" w:rsidRPr="00A26E6B" w:rsidRDefault="00A3710F" w:rsidP="00A26E6B"/>
  </w:footnote>
  <w:footnote w:type="continuationSeparator" w:id="0">
    <w:p w14:paraId="164FF883" w14:textId="77777777" w:rsidR="00A3710F" w:rsidRDefault="00A3710F">
      <w:r>
        <w:continuationSeparator/>
      </w:r>
    </w:p>
    <w:p w14:paraId="14FD7383" w14:textId="77777777" w:rsidR="00A3710F" w:rsidRDefault="00A371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2305122"/>
    <w:multiLevelType w:val="hybridMultilevel"/>
    <w:tmpl w:val="BAEEB8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6034D"/>
    <w:multiLevelType w:val="multilevel"/>
    <w:tmpl w:val="9E4AE93E"/>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434CC9"/>
    <w:multiLevelType w:val="hybridMultilevel"/>
    <w:tmpl w:val="D688A5A6"/>
    <w:lvl w:ilvl="0" w:tplc="D8328E62">
      <w:start w:val="1"/>
      <w:numFmt w:val="decimal"/>
      <w:lvlText w:val="%1."/>
      <w:lvlJc w:val="left"/>
      <w:pPr>
        <w:ind w:left="720" w:hanging="360"/>
      </w:pPr>
      <w:rPr>
        <w:rFonts w:cstheme="minorBidi"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A9E08A6"/>
    <w:multiLevelType w:val="hybridMultilevel"/>
    <w:tmpl w:val="8CCCFE34"/>
    <w:lvl w:ilvl="0" w:tplc="681C4F82">
      <w:start w:val="1"/>
      <w:numFmt w:val="decimal"/>
      <w:pStyle w:val="BoxNumber"/>
      <w:lvlText w:val="%1"/>
      <w:lvlJc w:val="left"/>
      <w:pPr>
        <w:ind w:left="64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8" w15:restartNumberingAfterBreak="0">
    <w:nsid w:val="6FC6603A"/>
    <w:multiLevelType w:val="hybridMultilevel"/>
    <w:tmpl w:val="1264F6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3"/>
  </w:num>
  <w:num w:numId="3">
    <w:abstractNumId w:val="4"/>
  </w:num>
  <w:num w:numId="4">
    <w:abstractNumId w:val="1"/>
  </w:num>
  <w:num w:numId="5">
    <w:abstractNumId w:val="0"/>
  </w:num>
  <w:num w:numId="6">
    <w:abstractNumId w:val="6"/>
  </w:num>
  <w:num w:numId="7">
    <w:abstractNumId w:val="5"/>
  </w:num>
  <w:num w:numId="8">
    <w:abstractNumId w:val="7"/>
  </w:num>
  <w:num w:numId="9">
    <w:abstractNumId w:val="2"/>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1AC0"/>
    <w:rsid w:val="00025A6F"/>
    <w:rsid w:val="0002618D"/>
    <w:rsid w:val="00030B26"/>
    <w:rsid w:val="00030E84"/>
    <w:rsid w:val="00031E2A"/>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3CC"/>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1E27"/>
    <w:rsid w:val="00197427"/>
    <w:rsid w:val="00197BC7"/>
    <w:rsid w:val="001A21B4"/>
    <w:rsid w:val="001A5CF5"/>
    <w:rsid w:val="001A5D81"/>
    <w:rsid w:val="001B39D2"/>
    <w:rsid w:val="001B4BF8"/>
    <w:rsid w:val="001B7B14"/>
    <w:rsid w:val="001C4326"/>
    <w:rsid w:val="001C665E"/>
    <w:rsid w:val="001D3541"/>
    <w:rsid w:val="001D3E4E"/>
    <w:rsid w:val="001E0952"/>
    <w:rsid w:val="001E254A"/>
    <w:rsid w:val="001E7386"/>
    <w:rsid w:val="001F45A7"/>
    <w:rsid w:val="001F5E27"/>
    <w:rsid w:val="0020027C"/>
    <w:rsid w:val="00201A01"/>
    <w:rsid w:val="00202430"/>
    <w:rsid w:val="00202A51"/>
    <w:rsid w:val="0020754B"/>
    <w:rsid w:val="002104D3"/>
    <w:rsid w:val="00213A33"/>
    <w:rsid w:val="0021763B"/>
    <w:rsid w:val="00217668"/>
    <w:rsid w:val="00232E9F"/>
    <w:rsid w:val="00232F0B"/>
    <w:rsid w:val="00245748"/>
    <w:rsid w:val="00246DB1"/>
    <w:rsid w:val="002476B5"/>
    <w:rsid w:val="002520CC"/>
    <w:rsid w:val="00253ECF"/>
    <w:rsid w:val="00254044"/>
    <w:rsid w:val="002546A1"/>
    <w:rsid w:val="00256FE7"/>
    <w:rsid w:val="002575E8"/>
    <w:rsid w:val="00257EF1"/>
    <w:rsid w:val="002628F4"/>
    <w:rsid w:val="00275D08"/>
    <w:rsid w:val="002839AF"/>
    <w:rsid w:val="002858E3"/>
    <w:rsid w:val="0029190A"/>
    <w:rsid w:val="00292C5A"/>
    <w:rsid w:val="00295241"/>
    <w:rsid w:val="002A4DFC"/>
    <w:rsid w:val="002B047D"/>
    <w:rsid w:val="002B2970"/>
    <w:rsid w:val="002B732B"/>
    <w:rsid w:val="002B76A7"/>
    <w:rsid w:val="002B7BEC"/>
    <w:rsid w:val="002C2219"/>
    <w:rsid w:val="002C2552"/>
    <w:rsid w:val="002C3106"/>
    <w:rsid w:val="002C380A"/>
    <w:rsid w:val="002D0DF2"/>
    <w:rsid w:val="002D23BD"/>
    <w:rsid w:val="002E0B47"/>
    <w:rsid w:val="002E543D"/>
    <w:rsid w:val="002F3A0D"/>
    <w:rsid w:val="002F4685"/>
    <w:rsid w:val="002F7213"/>
    <w:rsid w:val="0030382F"/>
    <w:rsid w:val="0030408D"/>
    <w:rsid w:val="00305136"/>
    <w:rsid w:val="003060E4"/>
    <w:rsid w:val="00306B65"/>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574F1"/>
    <w:rsid w:val="003606F8"/>
    <w:rsid w:val="003648EF"/>
    <w:rsid w:val="003673E6"/>
    <w:rsid w:val="00377264"/>
    <w:rsid w:val="003779D2"/>
    <w:rsid w:val="00381210"/>
    <w:rsid w:val="00384DD3"/>
    <w:rsid w:val="00385E38"/>
    <w:rsid w:val="003A26A5"/>
    <w:rsid w:val="003A3761"/>
    <w:rsid w:val="003A512D"/>
    <w:rsid w:val="003A5FEA"/>
    <w:rsid w:val="003A710B"/>
    <w:rsid w:val="003B1D10"/>
    <w:rsid w:val="003B7E58"/>
    <w:rsid w:val="003C310C"/>
    <w:rsid w:val="003C76D4"/>
    <w:rsid w:val="003D137D"/>
    <w:rsid w:val="003D2CC5"/>
    <w:rsid w:val="003D381D"/>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6E8"/>
    <w:rsid w:val="0046596D"/>
    <w:rsid w:val="00476B21"/>
    <w:rsid w:val="00483AAF"/>
    <w:rsid w:val="004852AB"/>
    <w:rsid w:val="00486383"/>
    <w:rsid w:val="00487C04"/>
    <w:rsid w:val="004907E1"/>
    <w:rsid w:val="00494C8E"/>
    <w:rsid w:val="004A035B"/>
    <w:rsid w:val="004A2108"/>
    <w:rsid w:val="004A38D7"/>
    <w:rsid w:val="004A778C"/>
    <w:rsid w:val="004B14DD"/>
    <w:rsid w:val="004B48C7"/>
    <w:rsid w:val="004C2E6A"/>
    <w:rsid w:val="004C64B8"/>
    <w:rsid w:val="004D02E9"/>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1531A"/>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4F8C"/>
    <w:rsid w:val="005763E0"/>
    <w:rsid w:val="00581136"/>
    <w:rsid w:val="00581EB8"/>
    <w:rsid w:val="005839E7"/>
    <w:rsid w:val="0058437F"/>
    <w:rsid w:val="0058481D"/>
    <w:rsid w:val="00595889"/>
    <w:rsid w:val="005A27CA"/>
    <w:rsid w:val="005A43BD"/>
    <w:rsid w:val="005A79E5"/>
    <w:rsid w:val="005B5BE2"/>
    <w:rsid w:val="005C71CD"/>
    <w:rsid w:val="005D034C"/>
    <w:rsid w:val="005E226E"/>
    <w:rsid w:val="005E2636"/>
    <w:rsid w:val="006015D7"/>
    <w:rsid w:val="00601B21"/>
    <w:rsid w:val="006041F0"/>
    <w:rsid w:val="00605C6D"/>
    <w:rsid w:val="006120CA"/>
    <w:rsid w:val="0061443A"/>
    <w:rsid w:val="00624174"/>
    <w:rsid w:val="00624EA5"/>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1D24"/>
    <w:rsid w:val="00694895"/>
    <w:rsid w:val="00697E2E"/>
    <w:rsid w:val="006A25A2"/>
    <w:rsid w:val="006A3B87"/>
    <w:rsid w:val="006B0A88"/>
    <w:rsid w:val="006B0E73"/>
    <w:rsid w:val="006B1E3D"/>
    <w:rsid w:val="006B4A4D"/>
    <w:rsid w:val="006B5695"/>
    <w:rsid w:val="006B62E6"/>
    <w:rsid w:val="006B7B2E"/>
    <w:rsid w:val="006C5EA4"/>
    <w:rsid w:val="006C78EB"/>
    <w:rsid w:val="006D1660"/>
    <w:rsid w:val="006D63E5"/>
    <w:rsid w:val="006E1753"/>
    <w:rsid w:val="006E2886"/>
    <w:rsid w:val="006E3911"/>
    <w:rsid w:val="006E69F4"/>
    <w:rsid w:val="006F1B67"/>
    <w:rsid w:val="006F4D9C"/>
    <w:rsid w:val="0070091D"/>
    <w:rsid w:val="00702854"/>
    <w:rsid w:val="0071741C"/>
    <w:rsid w:val="00730F16"/>
    <w:rsid w:val="00742B90"/>
    <w:rsid w:val="0074434D"/>
    <w:rsid w:val="00752E53"/>
    <w:rsid w:val="0075379E"/>
    <w:rsid w:val="007570C4"/>
    <w:rsid w:val="007605B8"/>
    <w:rsid w:val="00765053"/>
    <w:rsid w:val="00771B1E"/>
    <w:rsid w:val="007732DF"/>
    <w:rsid w:val="00773C95"/>
    <w:rsid w:val="0078171E"/>
    <w:rsid w:val="0078658E"/>
    <w:rsid w:val="00791F7B"/>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15C4D"/>
    <w:rsid w:val="0082081A"/>
    <w:rsid w:val="00822F2C"/>
    <w:rsid w:val="00823DEE"/>
    <w:rsid w:val="008305E8"/>
    <w:rsid w:val="00836165"/>
    <w:rsid w:val="008365B2"/>
    <w:rsid w:val="0084640C"/>
    <w:rsid w:val="00856088"/>
    <w:rsid w:val="00860826"/>
    <w:rsid w:val="00860E21"/>
    <w:rsid w:val="0086307D"/>
    <w:rsid w:val="00863117"/>
    <w:rsid w:val="0086388B"/>
    <w:rsid w:val="008642E5"/>
    <w:rsid w:val="00864488"/>
    <w:rsid w:val="00870A36"/>
    <w:rsid w:val="00872D93"/>
    <w:rsid w:val="0087667B"/>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024F"/>
    <w:rsid w:val="008F29BE"/>
    <w:rsid w:val="008F4AE5"/>
    <w:rsid w:val="008F51EB"/>
    <w:rsid w:val="00900197"/>
    <w:rsid w:val="00902F55"/>
    <w:rsid w:val="0090582B"/>
    <w:rsid w:val="009060C0"/>
    <w:rsid w:val="009079BC"/>
    <w:rsid w:val="009133F5"/>
    <w:rsid w:val="0091756F"/>
    <w:rsid w:val="00920A27"/>
    <w:rsid w:val="00921216"/>
    <w:rsid w:val="009216CC"/>
    <w:rsid w:val="00922E41"/>
    <w:rsid w:val="00925892"/>
    <w:rsid w:val="00926083"/>
    <w:rsid w:val="00926D08"/>
    <w:rsid w:val="00930D08"/>
    <w:rsid w:val="00931466"/>
    <w:rsid w:val="0093169D"/>
    <w:rsid w:val="00932D69"/>
    <w:rsid w:val="009354FD"/>
    <w:rsid w:val="00935589"/>
    <w:rsid w:val="00937408"/>
    <w:rsid w:val="009376F2"/>
    <w:rsid w:val="009427FA"/>
    <w:rsid w:val="00944647"/>
    <w:rsid w:val="009469E2"/>
    <w:rsid w:val="0095565C"/>
    <w:rsid w:val="00964AB6"/>
    <w:rsid w:val="00966F9A"/>
    <w:rsid w:val="00970ED9"/>
    <w:rsid w:val="00977B8A"/>
    <w:rsid w:val="00982971"/>
    <w:rsid w:val="009845AD"/>
    <w:rsid w:val="00984835"/>
    <w:rsid w:val="009933EF"/>
    <w:rsid w:val="00995BA0"/>
    <w:rsid w:val="009A2D7D"/>
    <w:rsid w:val="009A418B"/>
    <w:rsid w:val="009A426F"/>
    <w:rsid w:val="009A42D5"/>
    <w:rsid w:val="009A4473"/>
    <w:rsid w:val="009B05C9"/>
    <w:rsid w:val="009B286C"/>
    <w:rsid w:val="009C151C"/>
    <w:rsid w:val="009C1654"/>
    <w:rsid w:val="009C440A"/>
    <w:rsid w:val="009D2B45"/>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710F"/>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15966"/>
    <w:rsid w:val="00B253F6"/>
    <w:rsid w:val="00B26675"/>
    <w:rsid w:val="00B305DB"/>
    <w:rsid w:val="00B332F8"/>
    <w:rsid w:val="00B3492B"/>
    <w:rsid w:val="00B4646F"/>
    <w:rsid w:val="00B55585"/>
    <w:rsid w:val="00B55C7D"/>
    <w:rsid w:val="00B63038"/>
    <w:rsid w:val="00B64BD8"/>
    <w:rsid w:val="00B669E0"/>
    <w:rsid w:val="00B701D1"/>
    <w:rsid w:val="00B73AF2"/>
    <w:rsid w:val="00B73D79"/>
    <w:rsid w:val="00B7551A"/>
    <w:rsid w:val="00B773F1"/>
    <w:rsid w:val="00B800C1"/>
    <w:rsid w:val="00B81283"/>
    <w:rsid w:val="00B85ED6"/>
    <w:rsid w:val="00B86AB1"/>
    <w:rsid w:val="00B87726"/>
    <w:rsid w:val="00B9117B"/>
    <w:rsid w:val="00B91B22"/>
    <w:rsid w:val="00BA0DAA"/>
    <w:rsid w:val="00BA7EBA"/>
    <w:rsid w:val="00BB2A06"/>
    <w:rsid w:val="00BB2CBB"/>
    <w:rsid w:val="00BB4198"/>
    <w:rsid w:val="00BC03EE"/>
    <w:rsid w:val="00BC297D"/>
    <w:rsid w:val="00BC59F1"/>
    <w:rsid w:val="00BD488E"/>
    <w:rsid w:val="00BF3DE1"/>
    <w:rsid w:val="00BF4843"/>
    <w:rsid w:val="00BF5205"/>
    <w:rsid w:val="00C01558"/>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92E07"/>
    <w:rsid w:val="00CA0D6F"/>
    <w:rsid w:val="00CA4C33"/>
    <w:rsid w:val="00CA6F4A"/>
    <w:rsid w:val="00CB3483"/>
    <w:rsid w:val="00CB6427"/>
    <w:rsid w:val="00CC0FBE"/>
    <w:rsid w:val="00CD077C"/>
    <w:rsid w:val="00CD2119"/>
    <w:rsid w:val="00CD237A"/>
    <w:rsid w:val="00CD36AC"/>
    <w:rsid w:val="00CE13A3"/>
    <w:rsid w:val="00CE33C1"/>
    <w:rsid w:val="00CE36BC"/>
    <w:rsid w:val="00CF1747"/>
    <w:rsid w:val="00CF4B8F"/>
    <w:rsid w:val="00CF60ED"/>
    <w:rsid w:val="00D05D74"/>
    <w:rsid w:val="00D20C59"/>
    <w:rsid w:val="00D23323"/>
    <w:rsid w:val="00D2392A"/>
    <w:rsid w:val="00D25FFE"/>
    <w:rsid w:val="00D27922"/>
    <w:rsid w:val="00D27A64"/>
    <w:rsid w:val="00D37D80"/>
    <w:rsid w:val="00D442F3"/>
    <w:rsid w:val="00D44483"/>
    <w:rsid w:val="00D4476F"/>
    <w:rsid w:val="00D45C25"/>
    <w:rsid w:val="00D46127"/>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D68B8"/>
    <w:rsid w:val="00DE3B20"/>
    <w:rsid w:val="00DE6C94"/>
    <w:rsid w:val="00DE6FD7"/>
    <w:rsid w:val="00DF0C7C"/>
    <w:rsid w:val="00E02465"/>
    <w:rsid w:val="00E10B18"/>
    <w:rsid w:val="00E23271"/>
    <w:rsid w:val="00E24F80"/>
    <w:rsid w:val="00E259F3"/>
    <w:rsid w:val="00E30985"/>
    <w:rsid w:val="00E33238"/>
    <w:rsid w:val="00E33934"/>
    <w:rsid w:val="00E376B7"/>
    <w:rsid w:val="00E429AC"/>
    <w:rsid w:val="00E42F5D"/>
    <w:rsid w:val="00E4486C"/>
    <w:rsid w:val="00E460B6"/>
    <w:rsid w:val="00E511D5"/>
    <w:rsid w:val="00E53A9F"/>
    <w:rsid w:val="00E556EF"/>
    <w:rsid w:val="00E57349"/>
    <w:rsid w:val="00E60249"/>
    <w:rsid w:val="00E62238"/>
    <w:rsid w:val="00E65269"/>
    <w:rsid w:val="00E76D66"/>
    <w:rsid w:val="00E82448"/>
    <w:rsid w:val="00E91015"/>
    <w:rsid w:val="00EA796A"/>
    <w:rsid w:val="00EB1856"/>
    <w:rsid w:val="00EC50CE"/>
    <w:rsid w:val="00EC5B34"/>
    <w:rsid w:val="00ED021E"/>
    <w:rsid w:val="00ED323C"/>
    <w:rsid w:val="00EE2D5C"/>
    <w:rsid w:val="00EE4ADE"/>
    <w:rsid w:val="00EE4DE8"/>
    <w:rsid w:val="00EE5CB7"/>
    <w:rsid w:val="00F000BF"/>
    <w:rsid w:val="00F024FE"/>
    <w:rsid w:val="00F02F38"/>
    <w:rsid w:val="00F05AD4"/>
    <w:rsid w:val="00F103BE"/>
    <w:rsid w:val="00F10EB6"/>
    <w:rsid w:val="00F13F07"/>
    <w:rsid w:val="00F140B2"/>
    <w:rsid w:val="00F16595"/>
    <w:rsid w:val="00F219FC"/>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D667D"/>
    <w:rsid w:val="00FD6F2E"/>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4246A6"/>
  <w15:docId w15:val="{A401134F-AE53-4D91-96B8-B15B515A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1E0952"/>
    <w:pPr>
      <w:pageBreakBefore/>
      <w:numPr>
        <w:numId w:val="7"/>
      </w:numPr>
      <w:spacing w:after="360"/>
      <w:outlineLvl w:val="0"/>
    </w:pPr>
    <w:rPr>
      <w:b/>
      <w:color w:val="23305D"/>
      <w:spacing w:val="-10"/>
      <w:sz w:val="64"/>
    </w:rPr>
  </w:style>
  <w:style w:type="paragraph" w:styleId="Heading2">
    <w:name w:val="heading 2"/>
    <w:basedOn w:val="Normal"/>
    <w:next w:val="Normal"/>
    <w:link w:val="Heading2Char"/>
    <w:uiPriority w:val="9"/>
    <w:qFormat/>
    <w:rsid w:val="001E0952"/>
    <w:pPr>
      <w:keepNext/>
      <w:numPr>
        <w:ilvl w:val="1"/>
        <w:numId w:val="7"/>
      </w:numPr>
      <w:spacing w:before="480" w:after="180"/>
      <w:outlineLvl w:val="1"/>
    </w:pPr>
    <w:rPr>
      <w:b/>
      <w:color w:val="0A6AB4"/>
      <w:spacing w:val="-5"/>
      <w:sz w:val="40"/>
    </w:rPr>
  </w:style>
  <w:style w:type="paragraph" w:styleId="Heading3">
    <w:name w:val="heading 3"/>
    <w:basedOn w:val="Normal"/>
    <w:next w:val="Normal"/>
    <w:link w:val="Heading3Char"/>
    <w:uiPriority w:val="9"/>
    <w:qFormat/>
    <w:rsid w:val="003B7E58"/>
    <w:pPr>
      <w:keepNext/>
      <w:numPr>
        <w:ilvl w:val="2"/>
        <w:numId w:val="5"/>
      </w:numPr>
      <w:spacing w:before="360" w:after="180"/>
      <w:outlineLvl w:val="2"/>
    </w:pPr>
    <w:rPr>
      <w:color w:val="0A6AB4"/>
      <w:spacing w:val="-5"/>
      <w:sz w:val="32"/>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0952"/>
    <w:rPr>
      <w:rFonts w:ascii="Segoe UI" w:hAnsi="Segoe UI"/>
      <w:b/>
      <w:color w:val="23305D"/>
      <w:spacing w:val="-10"/>
      <w:sz w:val="64"/>
      <w:lang w:eastAsia="en-GB"/>
    </w:rPr>
  </w:style>
  <w:style w:type="character" w:customStyle="1" w:styleId="Heading2Char">
    <w:name w:val="Heading 2 Char"/>
    <w:link w:val="Heading2"/>
    <w:uiPriority w:val="9"/>
    <w:rsid w:val="001E0952"/>
    <w:rPr>
      <w:rFonts w:ascii="Segoe UI" w:hAnsi="Segoe UI"/>
      <w:b/>
      <w:color w:val="0A6AB4"/>
      <w:spacing w:val="-5"/>
      <w:sz w:val="40"/>
      <w:lang w:eastAsia="en-GB"/>
    </w:rPr>
  </w:style>
  <w:style w:type="character" w:customStyle="1" w:styleId="Heading3Char">
    <w:name w:val="Heading 3 Char"/>
    <w:link w:val="Heading3"/>
    <w:uiPriority w:val="9"/>
    <w:rsid w:val="003B7E58"/>
    <w:rPr>
      <w:rFonts w:ascii="Segoe UI" w:hAnsi="Segoe UI"/>
      <w:color w:val="0A6AB4"/>
      <w:spacing w:val="-5"/>
      <w:sz w:val="32"/>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E556EF"/>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E556EF"/>
    <w:pPr>
      <w:tabs>
        <w:tab w:val="right" w:pos="8080"/>
      </w:tabs>
      <w:spacing w:before="60"/>
      <w:ind w:left="1134" w:right="567" w:hanging="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232F0B"/>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9C1654"/>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217668"/>
    <w:pPr>
      <w:spacing w:after="200"/>
    </w:pPr>
    <w:rPr>
      <w:b/>
      <w:bCs/>
      <w:color w:val="4F81BD" w:themeColor="accent1"/>
      <w:sz w:val="18"/>
      <w:szCs w:val="18"/>
    </w:rPr>
  </w:style>
  <w:style w:type="paragraph" w:customStyle="1" w:styleId="Heading1-notnumbered">
    <w:name w:val="Heading 1 - not numbered"/>
    <w:basedOn w:val="Heading1"/>
    <w:next w:val="Normal"/>
    <w:qFormat/>
    <w:rsid w:val="009C1654"/>
    <w:pPr>
      <w:numPr>
        <w:numId w:val="0"/>
      </w:numPr>
    </w:pPr>
  </w:style>
  <w:style w:type="paragraph" w:customStyle="1" w:styleId="Heading2-notnumbered">
    <w:name w:val="Heading 2 - not numbered"/>
    <w:basedOn w:val="Heading2"/>
    <w:next w:val="Normal"/>
    <w:qFormat/>
    <w:rsid w:val="009C1654"/>
    <w:pPr>
      <w:numPr>
        <w:ilvl w:val="0"/>
        <w:numId w:val="0"/>
      </w:numPr>
    </w:pPr>
  </w:style>
  <w:style w:type="table" w:styleId="TableGrid">
    <w:name w:val="Table Grid"/>
    <w:basedOn w:val="TableNormal"/>
    <w:uiPriority w:val="39"/>
    <w:rsid w:val="00232F0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32F0B"/>
    <w:pPr>
      <w:pBdr>
        <w:bottom w:val="single" w:sz="6" w:space="1" w:color="auto"/>
      </w:pBdr>
      <w:jc w:val="center"/>
    </w:pPr>
    <w:rPr>
      <w:rFonts w:ascii="Arial" w:hAnsi="Arial" w:cs="Arial"/>
      <w:vanish/>
      <w:sz w:val="16"/>
      <w:szCs w:val="16"/>
      <w:lang w:eastAsia="en-NZ"/>
    </w:rPr>
  </w:style>
  <w:style w:type="character" w:customStyle="1" w:styleId="z-TopofFormChar">
    <w:name w:val="z-Top of Form Char"/>
    <w:basedOn w:val="DefaultParagraphFont"/>
    <w:link w:val="z-TopofForm"/>
    <w:uiPriority w:val="99"/>
    <w:semiHidden/>
    <w:rsid w:val="00232F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32F0B"/>
    <w:pPr>
      <w:pBdr>
        <w:top w:val="single" w:sz="6" w:space="1" w:color="auto"/>
      </w:pBdr>
      <w:jc w:val="center"/>
    </w:pPr>
    <w:rPr>
      <w:rFonts w:ascii="Arial"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232F0B"/>
    <w:rPr>
      <w:rFonts w:ascii="Arial" w:hAnsi="Arial" w:cs="Arial"/>
      <w:vanish/>
      <w:sz w:val="16"/>
      <w:szCs w:val="16"/>
    </w:rPr>
  </w:style>
  <w:style w:type="paragraph" w:customStyle="1" w:styleId="BoxNumber">
    <w:name w:val="Box Number"/>
    <w:basedOn w:val="Box"/>
    <w:qFormat/>
    <w:rsid w:val="00384DD3"/>
    <w:pPr>
      <w:numPr>
        <w:numId w:val="8"/>
      </w:numPr>
    </w:pPr>
  </w:style>
  <w:style w:type="paragraph" w:styleId="ListParagraph">
    <w:name w:val="List Paragraph"/>
    <w:basedOn w:val="Normal"/>
    <w:uiPriority w:val="34"/>
    <w:qFormat/>
    <w:rsid w:val="00E429AC"/>
    <w:pPr>
      <w:spacing w:after="200" w:line="276" w:lineRule="auto"/>
      <w:ind w:left="720"/>
      <w:contextualSpacing/>
    </w:pPr>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F02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health.govt.nz/radiation-safety/review-of-radiation-safety-fees-and-regul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iationSafetyFees&amp;Regs@healt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660C-8224-4B3A-8085-B29A756C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16</Pages>
  <Words>2021</Words>
  <Characters>12028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radiation safety regulations 2016 - submission form</dc:title>
  <dc:creator>Ministry of Health</dc:creator>
  <cp:lastModifiedBy>Keith Gardner</cp:lastModifiedBy>
  <cp:revision>2</cp:revision>
  <cp:lastPrinted>2015-11-17T05:02:00Z</cp:lastPrinted>
  <dcterms:created xsi:type="dcterms:W3CDTF">2022-03-10T04:17:00Z</dcterms:created>
  <dcterms:modified xsi:type="dcterms:W3CDTF">2022-03-10T04:17:00Z</dcterms:modified>
</cp:coreProperties>
</file>